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仿宋_GB2312" w:hAnsi="宋体" w:eastAsia="仿宋_GB2312"/>
          <w:b/>
          <w:color w:val="auto"/>
          <w:spacing w:val="28"/>
          <w:sz w:val="52"/>
          <w:szCs w:val="48"/>
        </w:rPr>
      </w:pPr>
    </w:p>
    <w:p>
      <w:pPr>
        <w:pStyle w:val="2"/>
        <w:rPr>
          <w:rFonts w:hint="eastAsia" w:ascii="仿宋_GB2312" w:hAnsi="宋体" w:eastAsia="仿宋_GB2312"/>
          <w:b/>
          <w:color w:val="auto"/>
          <w:spacing w:val="28"/>
          <w:sz w:val="52"/>
          <w:szCs w:val="48"/>
        </w:rPr>
      </w:pPr>
    </w:p>
    <w:p>
      <w:pPr>
        <w:pStyle w:val="2"/>
        <w:rPr>
          <w:rFonts w:hint="eastAsia" w:ascii="仿宋_GB2312" w:hAnsi="宋体" w:eastAsia="仿宋_GB2312"/>
          <w:b/>
          <w:color w:val="auto"/>
          <w:spacing w:val="28"/>
          <w:sz w:val="52"/>
          <w:szCs w:val="48"/>
        </w:rPr>
      </w:pPr>
    </w:p>
    <w:p>
      <w:pPr>
        <w:adjustRightInd w:val="0"/>
        <w:snapToGrid w:val="0"/>
        <w:spacing w:line="360" w:lineRule="auto"/>
        <w:jc w:val="center"/>
        <w:rPr>
          <w:rFonts w:hint="eastAsia" w:ascii="仿宋_GB2312" w:hAnsi="宋体" w:eastAsia="仿宋_GB2312"/>
          <w:b/>
          <w:color w:val="auto"/>
          <w:spacing w:val="28"/>
          <w:sz w:val="52"/>
          <w:szCs w:val="48"/>
          <w:lang w:val="en-US" w:eastAsia="zh-CN"/>
        </w:rPr>
      </w:pPr>
      <w:r>
        <w:rPr>
          <w:rFonts w:hint="eastAsia" w:ascii="仿宋_GB2312" w:hAnsi="宋体" w:eastAsia="仿宋_GB2312"/>
          <w:b/>
          <w:color w:val="auto"/>
          <w:spacing w:val="28"/>
          <w:sz w:val="52"/>
          <w:szCs w:val="48"/>
        </w:rPr>
        <w:t>一水厂“智慧安防”升级改造</w:t>
      </w:r>
      <w:r>
        <w:rPr>
          <w:rFonts w:hint="eastAsia" w:ascii="仿宋_GB2312" w:hAnsi="宋体" w:eastAsia="仿宋_GB2312"/>
          <w:b/>
          <w:color w:val="auto"/>
          <w:spacing w:val="28"/>
          <w:sz w:val="52"/>
          <w:szCs w:val="48"/>
          <w:lang w:val="en-US" w:eastAsia="zh-CN"/>
        </w:rPr>
        <w:t>项目</w:t>
      </w:r>
    </w:p>
    <w:p>
      <w:pPr>
        <w:adjustRightInd w:val="0"/>
        <w:snapToGrid w:val="0"/>
        <w:spacing w:line="360" w:lineRule="auto"/>
        <w:jc w:val="center"/>
        <w:rPr>
          <w:rFonts w:ascii="仿宋_GB2312" w:hAnsi="宋体" w:eastAsia="仿宋_GB2312"/>
          <w:b/>
          <w:snapToGrid w:val="0"/>
          <w:color w:val="auto"/>
          <w:sz w:val="52"/>
          <w:szCs w:val="52"/>
        </w:rPr>
      </w:pPr>
      <w:r>
        <w:rPr>
          <w:rFonts w:hint="eastAsia" w:ascii="仿宋_GB2312" w:hAnsi="宋体" w:eastAsia="仿宋_GB2312"/>
          <w:b/>
          <w:color w:val="auto"/>
          <w:spacing w:val="28"/>
          <w:sz w:val="52"/>
          <w:szCs w:val="48"/>
        </w:rPr>
        <w:t>招标文件</w:t>
      </w:r>
    </w:p>
    <w:p>
      <w:pPr>
        <w:adjustRightInd w:val="0"/>
        <w:snapToGrid w:val="0"/>
        <w:spacing w:line="360" w:lineRule="auto"/>
        <w:ind w:firstLine="3384" w:firstLineChars="1204"/>
        <w:rPr>
          <w:rFonts w:ascii="黑体" w:hAnsi="宋体" w:eastAsia="黑体"/>
          <w:b/>
          <w:bCs/>
          <w:snapToGrid w:val="0"/>
          <w:color w:val="auto"/>
          <w:sz w:val="28"/>
          <w:szCs w:val="28"/>
        </w:rPr>
      </w:pPr>
    </w:p>
    <w:p>
      <w:pPr>
        <w:adjustRightInd w:val="0"/>
        <w:snapToGrid w:val="0"/>
        <w:spacing w:line="360" w:lineRule="auto"/>
        <w:ind w:firstLine="602" w:firstLineChars="200"/>
        <w:jc w:val="center"/>
        <w:rPr>
          <w:rFonts w:ascii="仿宋_GB2312" w:hAnsi="宋体" w:eastAsia="仿宋_GB2312"/>
          <w:b/>
          <w:bCs/>
          <w:snapToGrid w:val="0"/>
          <w:color w:val="auto"/>
          <w:sz w:val="30"/>
        </w:rPr>
      </w:pPr>
    </w:p>
    <w:p>
      <w:pPr>
        <w:adjustRightInd w:val="0"/>
        <w:snapToGrid w:val="0"/>
        <w:spacing w:line="360" w:lineRule="auto"/>
        <w:ind w:firstLine="1446" w:firstLineChars="200"/>
        <w:jc w:val="center"/>
        <w:rPr>
          <w:rFonts w:ascii="仿宋_GB2312" w:hAnsi="宋体" w:eastAsia="仿宋_GB2312"/>
          <w:b/>
          <w:snapToGrid w:val="0"/>
          <w:color w:val="auto"/>
          <w:sz w:val="72"/>
        </w:rPr>
      </w:pPr>
    </w:p>
    <w:p>
      <w:pPr>
        <w:adjustRightInd w:val="0"/>
        <w:snapToGrid w:val="0"/>
        <w:spacing w:line="360" w:lineRule="auto"/>
        <w:ind w:firstLine="1446" w:firstLineChars="200"/>
        <w:jc w:val="center"/>
        <w:rPr>
          <w:rFonts w:ascii="仿宋_GB2312" w:hAnsi="宋体" w:eastAsia="仿宋_GB2312"/>
          <w:b/>
          <w:snapToGrid w:val="0"/>
          <w:color w:val="auto"/>
          <w:sz w:val="72"/>
        </w:rPr>
      </w:pPr>
    </w:p>
    <w:p>
      <w:pPr>
        <w:adjustRightInd w:val="0"/>
        <w:snapToGrid w:val="0"/>
        <w:spacing w:line="360" w:lineRule="auto"/>
        <w:ind w:firstLine="1446" w:firstLineChars="200"/>
        <w:jc w:val="center"/>
        <w:rPr>
          <w:rFonts w:ascii="仿宋_GB2312" w:hAnsi="宋体" w:eastAsia="仿宋_GB2312"/>
          <w:b/>
          <w:snapToGrid w:val="0"/>
          <w:color w:val="auto"/>
          <w:sz w:val="72"/>
        </w:rPr>
      </w:pPr>
    </w:p>
    <w:p>
      <w:pPr>
        <w:adjustRightInd w:val="0"/>
        <w:snapToGrid w:val="0"/>
        <w:spacing w:line="480" w:lineRule="auto"/>
        <w:ind w:firstLine="1494" w:firstLineChars="496"/>
        <w:rPr>
          <w:rFonts w:ascii="仿宋_GB2312" w:hAnsi="宋体" w:eastAsia="仿宋_GB2312"/>
          <w:b/>
          <w:bCs/>
          <w:snapToGrid w:val="0"/>
          <w:color w:val="auto"/>
          <w:sz w:val="28"/>
        </w:rPr>
      </w:pPr>
      <w:r>
        <w:rPr>
          <w:rFonts w:hint="eastAsia" w:ascii="仿宋_GB2312" w:hAnsi="宋体" w:eastAsia="仿宋_GB2312"/>
          <w:b/>
          <w:bCs/>
          <w:snapToGrid w:val="0"/>
          <w:color w:val="auto"/>
          <w:sz w:val="30"/>
        </w:rPr>
        <w:t>招       标      人：江苏长江水务股份有限公司</w:t>
      </w:r>
    </w:p>
    <w:p>
      <w:pPr>
        <w:spacing w:line="460" w:lineRule="exact"/>
        <w:ind w:firstLine="1494" w:firstLineChars="496"/>
        <w:rPr>
          <w:rFonts w:eastAsia="黑体"/>
          <w:color w:val="auto"/>
          <w:sz w:val="36"/>
        </w:rPr>
      </w:pPr>
      <w:r>
        <w:rPr>
          <w:rFonts w:hint="eastAsia" w:ascii="仿宋_GB2312" w:hAnsi="宋体" w:eastAsia="仿宋_GB2312"/>
          <w:b/>
          <w:bCs/>
          <w:snapToGrid w:val="0"/>
          <w:color w:val="auto"/>
          <w:sz w:val="30"/>
        </w:rPr>
        <w:t xml:space="preserve">发    放    日   期：  </w:t>
      </w:r>
      <w:r>
        <w:rPr>
          <w:rFonts w:hint="eastAsia" w:ascii="仿宋_GB2312" w:hAnsi="宋体" w:eastAsia="仿宋_GB2312"/>
          <w:b/>
          <w:bCs/>
          <w:snapToGrid w:val="0"/>
          <w:color w:val="auto"/>
          <w:sz w:val="30"/>
          <w:u w:val="single"/>
        </w:rPr>
        <w:t xml:space="preserve"> 2021</w:t>
      </w:r>
      <w:r>
        <w:rPr>
          <w:rFonts w:hint="eastAsia" w:ascii="仿宋_GB2312" w:hAnsi="宋体" w:eastAsia="仿宋_GB2312"/>
          <w:b/>
          <w:bCs/>
          <w:snapToGrid w:val="0"/>
          <w:color w:val="auto"/>
          <w:sz w:val="30"/>
        </w:rPr>
        <w:t>年</w:t>
      </w:r>
      <w:r>
        <w:rPr>
          <w:rFonts w:hint="eastAsia" w:ascii="仿宋_GB2312" w:hAnsi="宋体" w:eastAsia="仿宋_GB2312"/>
          <w:b/>
          <w:bCs/>
          <w:snapToGrid w:val="0"/>
          <w:color w:val="auto"/>
          <w:sz w:val="30"/>
          <w:u w:val="single"/>
        </w:rPr>
        <w:t xml:space="preserve"> </w:t>
      </w:r>
      <w:r>
        <w:rPr>
          <w:rFonts w:hint="eastAsia" w:ascii="仿宋_GB2312" w:hAnsi="宋体" w:eastAsia="仿宋_GB2312"/>
          <w:b/>
          <w:bCs/>
          <w:snapToGrid w:val="0"/>
          <w:color w:val="auto"/>
          <w:sz w:val="30"/>
          <w:u w:val="single"/>
          <w:lang w:val="en-US" w:eastAsia="zh-CN"/>
        </w:rPr>
        <w:t>7</w:t>
      </w:r>
      <w:r>
        <w:rPr>
          <w:rFonts w:hint="eastAsia" w:ascii="仿宋_GB2312" w:hAnsi="宋体" w:eastAsia="仿宋_GB2312"/>
          <w:b/>
          <w:bCs/>
          <w:snapToGrid w:val="0"/>
          <w:color w:val="auto"/>
          <w:sz w:val="30"/>
          <w:u w:val="single"/>
        </w:rPr>
        <w:t xml:space="preserve"> </w:t>
      </w:r>
      <w:r>
        <w:rPr>
          <w:rFonts w:hint="eastAsia" w:ascii="仿宋_GB2312" w:hAnsi="宋体" w:eastAsia="仿宋_GB2312"/>
          <w:b/>
          <w:bCs/>
          <w:snapToGrid w:val="0"/>
          <w:color w:val="auto"/>
          <w:sz w:val="30"/>
        </w:rPr>
        <w:t>月</w:t>
      </w:r>
      <w:r>
        <w:rPr>
          <w:rFonts w:hint="eastAsia" w:ascii="仿宋_GB2312" w:hAnsi="宋体" w:eastAsia="仿宋_GB2312"/>
          <w:b/>
          <w:bCs/>
          <w:snapToGrid w:val="0"/>
          <w:color w:val="auto"/>
          <w:sz w:val="30"/>
          <w:u w:val="single"/>
        </w:rPr>
        <w:t xml:space="preserve"> </w:t>
      </w:r>
      <w:r>
        <w:rPr>
          <w:rFonts w:hint="eastAsia" w:ascii="仿宋_GB2312" w:hAnsi="宋体" w:eastAsia="仿宋_GB2312"/>
          <w:b/>
          <w:bCs/>
          <w:snapToGrid w:val="0"/>
          <w:color w:val="auto"/>
          <w:sz w:val="30"/>
          <w:u w:val="single"/>
          <w:lang w:val="en-US" w:eastAsia="zh-CN"/>
        </w:rPr>
        <w:t>14</w:t>
      </w:r>
      <w:r>
        <w:rPr>
          <w:rFonts w:hint="eastAsia" w:ascii="仿宋_GB2312" w:hAnsi="宋体" w:eastAsia="仿宋_GB2312"/>
          <w:b/>
          <w:bCs/>
          <w:snapToGrid w:val="0"/>
          <w:color w:val="auto"/>
          <w:sz w:val="30"/>
          <w:u w:val="single"/>
        </w:rPr>
        <w:t xml:space="preserve"> </w:t>
      </w:r>
      <w:r>
        <w:rPr>
          <w:rFonts w:hint="eastAsia" w:ascii="仿宋_GB2312" w:hAnsi="宋体" w:eastAsia="仿宋_GB2312"/>
          <w:b/>
          <w:bCs/>
          <w:snapToGrid w:val="0"/>
          <w:color w:val="auto"/>
          <w:sz w:val="30"/>
        </w:rPr>
        <w:t>日</w:t>
      </w:r>
    </w:p>
    <w:p>
      <w:pPr>
        <w:spacing w:line="460" w:lineRule="exact"/>
        <w:rPr>
          <w:rFonts w:eastAsia="仿宋_GB2312"/>
          <w:color w:val="auto"/>
          <w:sz w:val="30"/>
          <w:u w:val="single"/>
        </w:rPr>
      </w:pPr>
    </w:p>
    <w:p>
      <w:pPr>
        <w:spacing w:line="460" w:lineRule="exact"/>
        <w:rPr>
          <w:rFonts w:eastAsia="仿宋_GB2312"/>
          <w:color w:val="auto"/>
          <w:sz w:val="30"/>
          <w:u w:val="single"/>
        </w:rPr>
      </w:pPr>
    </w:p>
    <w:p>
      <w:pPr>
        <w:spacing w:line="360" w:lineRule="auto"/>
        <w:outlineLvl w:val="0"/>
        <w:rPr>
          <w:rFonts w:ascii="宋体" w:hAnsi="宋体"/>
          <w:b/>
          <w:color w:val="auto"/>
          <w:sz w:val="36"/>
          <w:szCs w:val="36"/>
        </w:rPr>
      </w:pPr>
    </w:p>
    <w:p>
      <w:pPr>
        <w:pStyle w:val="5"/>
        <w:numPr>
          <w:ilvl w:val="0"/>
          <w:numId w:val="0"/>
        </w:numPr>
        <w:ind w:left="780" w:hanging="360"/>
        <w:rPr>
          <w:color w:val="auto"/>
        </w:rPr>
      </w:pPr>
    </w:p>
    <w:p>
      <w:pPr>
        <w:pStyle w:val="5"/>
        <w:numPr>
          <w:ilvl w:val="0"/>
          <w:numId w:val="0"/>
        </w:numPr>
        <w:ind w:left="780" w:hanging="360"/>
        <w:rPr>
          <w:color w:val="auto"/>
        </w:rPr>
      </w:pPr>
    </w:p>
    <w:p>
      <w:pPr>
        <w:pStyle w:val="5"/>
        <w:numPr>
          <w:ilvl w:val="0"/>
          <w:numId w:val="0"/>
        </w:numPr>
        <w:ind w:left="780" w:hanging="360"/>
        <w:rPr>
          <w:color w:val="auto"/>
        </w:rPr>
      </w:pPr>
    </w:p>
    <w:p>
      <w:pPr>
        <w:pStyle w:val="5"/>
        <w:numPr>
          <w:ilvl w:val="0"/>
          <w:numId w:val="0"/>
        </w:numPr>
        <w:ind w:left="780" w:hanging="360"/>
        <w:rPr>
          <w:color w:val="auto"/>
        </w:rPr>
      </w:pPr>
    </w:p>
    <w:p>
      <w:pPr>
        <w:pStyle w:val="5"/>
        <w:numPr>
          <w:ilvl w:val="0"/>
          <w:numId w:val="0"/>
        </w:numPr>
        <w:ind w:left="780" w:hanging="360"/>
        <w:rPr>
          <w:color w:val="auto"/>
        </w:rPr>
      </w:pPr>
    </w:p>
    <w:p>
      <w:pPr>
        <w:spacing w:line="360" w:lineRule="auto"/>
        <w:jc w:val="center"/>
        <w:outlineLvl w:val="0"/>
        <w:rPr>
          <w:rFonts w:ascii="宋体" w:hAnsi="宋体"/>
          <w:b/>
          <w:color w:val="auto"/>
          <w:sz w:val="36"/>
          <w:szCs w:val="36"/>
        </w:rPr>
      </w:pPr>
      <w:r>
        <w:rPr>
          <w:rFonts w:hint="eastAsia" w:ascii="宋体" w:hAnsi="宋体"/>
          <w:b/>
          <w:color w:val="auto"/>
          <w:sz w:val="36"/>
          <w:szCs w:val="36"/>
        </w:rPr>
        <w:t>前  附  表</w:t>
      </w:r>
    </w:p>
    <w:tbl>
      <w:tblPr>
        <w:tblStyle w:val="10"/>
        <w:tblW w:w="9853"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2106"/>
        <w:gridCol w:w="4556"/>
        <w:gridCol w:w="646"/>
        <w:gridCol w:w="1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r>
              <w:rPr>
                <w:rFonts w:hint="eastAsia" w:ascii="宋体" w:hAnsi="宋体"/>
                <w:color w:val="auto"/>
                <w:szCs w:val="21"/>
              </w:rPr>
              <w:t>序号</w:t>
            </w:r>
          </w:p>
        </w:tc>
        <w:tc>
          <w:tcPr>
            <w:tcW w:w="21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r>
              <w:rPr>
                <w:rFonts w:hint="eastAsia" w:ascii="宋体" w:hAnsi="宋体"/>
                <w:color w:val="auto"/>
                <w:szCs w:val="21"/>
              </w:rPr>
              <w:t>项    目</w:t>
            </w:r>
          </w:p>
        </w:tc>
        <w:tc>
          <w:tcPr>
            <w:tcW w:w="622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ind w:firstLine="2415" w:firstLineChars="1150"/>
              <w:rPr>
                <w:rFonts w:ascii="宋体" w:hAnsi="宋体"/>
                <w:color w:val="auto"/>
                <w:szCs w:val="21"/>
              </w:rPr>
            </w:pPr>
            <w:r>
              <w:rPr>
                <w:rFonts w:hint="eastAsia" w:ascii="宋体" w:hAnsi="宋体"/>
                <w:color w:val="auto"/>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trPr>
        <w:tc>
          <w:tcPr>
            <w:tcW w:w="1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r>
              <w:rPr>
                <w:rFonts w:hint="eastAsia" w:ascii="宋体" w:hAnsi="宋体"/>
                <w:color w:val="auto"/>
                <w:szCs w:val="21"/>
              </w:rPr>
              <w:t>1</w:t>
            </w:r>
          </w:p>
        </w:tc>
        <w:tc>
          <w:tcPr>
            <w:tcW w:w="21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r>
              <w:rPr>
                <w:rFonts w:hint="eastAsia" w:ascii="宋体" w:hAnsi="宋体"/>
                <w:color w:val="auto"/>
                <w:szCs w:val="21"/>
              </w:rPr>
              <w:t>项目名称</w:t>
            </w:r>
          </w:p>
        </w:tc>
        <w:tc>
          <w:tcPr>
            <w:tcW w:w="622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Cs w:val="21"/>
              </w:rPr>
            </w:pPr>
            <w:r>
              <w:rPr>
                <w:rFonts w:hint="eastAsia" w:ascii="宋体" w:hAnsi="宋体"/>
                <w:color w:val="auto"/>
                <w:szCs w:val="21"/>
              </w:rPr>
              <w:t>一水厂“智慧安防”升级改造项目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r>
              <w:rPr>
                <w:rFonts w:hint="eastAsia" w:ascii="宋体" w:hAnsi="宋体"/>
                <w:color w:val="auto"/>
                <w:szCs w:val="21"/>
              </w:rPr>
              <w:t>2</w:t>
            </w:r>
          </w:p>
        </w:tc>
        <w:tc>
          <w:tcPr>
            <w:tcW w:w="21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r>
              <w:rPr>
                <w:rFonts w:hint="eastAsia" w:ascii="宋体" w:hAnsi="宋体"/>
                <w:color w:val="auto"/>
                <w:szCs w:val="21"/>
              </w:rPr>
              <w:t>招标方式</w:t>
            </w:r>
          </w:p>
        </w:tc>
        <w:tc>
          <w:tcPr>
            <w:tcW w:w="622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Cs w:val="21"/>
              </w:rPr>
            </w:pPr>
            <w:r>
              <w:rPr>
                <w:rFonts w:hint="eastAsia" w:ascii="宋体" w:hAnsi="宋体"/>
                <w:color w:val="auto"/>
                <w:szCs w:val="21"/>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r>
              <w:rPr>
                <w:rFonts w:hint="eastAsia" w:ascii="宋体" w:hAnsi="宋体"/>
                <w:color w:val="auto"/>
                <w:szCs w:val="21"/>
              </w:rPr>
              <w:t>3</w:t>
            </w:r>
          </w:p>
        </w:tc>
        <w:tc>
          <w:tcPr>
            <w:tcW w:w="21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r>
              <w:rPr>
                <w:rFonts w:hint="eastAsia" w:ascii="宋体" w:hAnsi="宋体"/>
                <w:color w:val="auto"/>
                <w:szCs w:val="21"/>
              </w:rPr>
              <w:t>招标内容</w:t>
            </w:r>
          </w:p>
        </w:tc>
        <w:tc>
          <w:tcPr>
            <w:tcW w:w="622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Cs w:val="21"/>
              </w:rPr>
            </w:pPr>
            <w:r>
              <w:rPr>
                <w:rFonts w:hint="eastAsia" w:ascii="宋体" w:hAnsi="宋体"/>
                <w:color w:val="auto"/>
                <w:szCs w:val="21"/>
              </w:rPr>
              <w:t>见附表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r>
              <w:rPr>
                <w:rFonts w:hint="eastAsia" w:ascii="宋体" w:hAnsi="宋体"/>
                <w:color w:val="auto"/>
                <w:szCs w:val="21"/>
              </w:rPr>
              <w:t>4</w:t>
            </w:r>
          </w:p>
        </w:tc>
        <w:tc>
          <w:tcPr>
            <w:tcW w:w="21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olor w:val="auto"/>
                <w:szCs w:val="21"/>
                <w:lang w:val="en-US" w:eastAsia="zh-CN"/>
              </w:rPr>
            </w:pPr>
            <w:r>
              <w:rPr>
                <w:rFonts w:hint="eastAsia" w:ascii="宋体" w:hAnsi="宋体"/>
                <w:color w:val="auto"/>
                <w:szCs w:val="21"/>
                <w:lang w:val="en-US" w:eastAsia="zh-CN"/>
              </w:rPr>
              <w:t>项目峻工期限</w:t>
            </w:r>
          </w:p>
        </w:tc>
        <w:tc>
          <w:tcPr>
            <w:tcW w:w="622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宋体" w:hAnsi="宋体" w:eastAsia="宋体"/>
                <w:color w:val="auto"/>
                <w:szCs w:val="21"/>
                <w:lang w:val="en-US" w:eastAsia="zh-CN"/>
              </w:rPr>
            </w:pPr>
            <w:r>
              <w:rPr>
                <w:rFonts w:hint="eastAsia" w:ascii="宋体" w:hAnsi="宋体"/>
                <w:color w:val="auto"/>
                <w:szCs w:val="21"/>
                <w:lang w:val="en-US" w:eastAsia="zh-CN"/>
              </w:rPr>
              <w:t>40个工作日内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r>
              <w:rPr>
                <w:rFonts w:hint="eastAsia" w:ascii="宋体" w:hAnsi="宋体"/>
                <w:color w:val="auto"/>
                <w:szCs w:val="21"/>
              </w:rPr>
              <w:t>5</w:t>
            </w:r>
          </w:p>
        </w:tc>
        <w:tc>
          <w:tcPr>
            <w:tcW w:w="21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r>
              <w:rPr>
                <w:rFonts w:hint="eastAsia" w:ascii="宋体" w:hAnsi="宋体"/>
                <w:color w:val="auto"/>
                <w:szCs w:val="21"/>
              </w:rPr>
              <w:t>工程开始期</w:t>
            </w:r>
          </w:p>
        </w:tc>
        <w:tc>
          <w:tcPr>
            <w:tcW w:w="622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Cs w:val="21"/>
              </w:rPr>
            </w:pPr>
            <w:r>
              <w:rPr>
                <w:rFonts w:hint="eastAsia" w:ascii="宋体" w:hAnsi="宋体"/>
                <w:color w:val="auto"/>
                <w:szCs w:val="21"/>
              </w:rPr>
              <w:t>中标签订合同后的10天之内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olor w:val="auto"/>
                <w:szCs w:val="21"/>
                <w:lang w:val="en-US" w:eastAsia="zh-CN"/>
              </w:rPr>
            </w:pPr>
            <w:r>
              <w:rPr>
                <w:rFonts w:hint="eastAsia" w:ascii="宋体" w:hAnsi="宋体"/>
                <w:color w:val="auto"/>
                <w:szCs w:val="21"/>
                <w:lang w:val="en-US" w:eastAsia="zh-CN"/>
              </w:rPr>
              <w:t>6</w:t>
            </w:r>
          </w:p>
        </w:tc>
        <w:tc>
          <w:tcPr>
            <w:tcW w:w="21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olor w:val="auto"/>
                <w:szCs w:val="21"/>
                <w:lang w:val="en-US" w:eastAsia="zh-CN"/>
              </w:rPr>
            </w:pPr>
            <w:r>
              <w:rPr>
                <w:rFonts w:hint="eastAsia" w:ascii="宋体" w:hAnsi="宋体"/>
                <w:color w:val="auto"/>
                <w:szCs w:val="21"/>
                <w:lang w:val="en-US" w:eastAsia="zh-CN"/>
              </w:rPr>
              <w:t>最高限价</w:t>
            </w:r>
          </w:p>
        </w:tc>
        <w:tc>
          <w:tcPr>
            <w:tcW w:w="622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宋体" w:hAnsi="宋体" w:eastAsia="宋体"/>
                <w:color w:val="auto"/>
                <w:szCs w:val="21"/>
                <w:lang w:val="en-US" w:eastAsia="zh-CN"/>
              </w:rPr>
            </w:pPr>
            <w:r>
              <w:rPr>
                <w:rFonts w:hint="eastAsia" w:ascii="宋体" w:hAnsi="宋体"/>
                <w:color w:val="auto"/>
                <w:szCs w:val="21"/>
                <w:lang w:val="en-US" w:eastAsia="zh-CN"/>
              </w:rPr>
              <w:t>70万元人民币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color w:val="auto"/>
                <w:kern w:val="2"/>
                <w:sz w:val="21"/>
                <w:szCs w:val="21"/>
                <w:lang w:val="en-US" w:eastAsia="zh-CN" w:bidi="ar-SA"/>
              </w:rPr>
            </w:pPr>
            <w:r>
              <w:rPr>
                <w:rFonts w:hint="eastAsia" w:ascii="宋体" w:hAnsi="宋体"/>
                <w:color w:val="auto"/>
                <w:szCs w:val="21"/>
              </w:rPr>
              <w:t>7</w:t>
            </w:r>
          </w:p>
        </w:tc>
        <w:tc>
          <w:tcPr>
            <w:tcW w:w="21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r>
              <w:rPr>
                <w:rFonts w:hint="eastAsia" w:ascii="宋体" w:hAnsi="宋体"/>
                <w:color w:val="auto"/>
                <w:szCs w:val="21"/>
              </w:rPr>
              <w:t>服务内容/服务承诺</w:t>
            </w:r>
          </w:p>
        </w:tc>
        <w:tc>
          <w:tcPr>
            <w:tcW w:w="622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b/>
                <w:color w:val="auto"/>
                <w:szCs w:val="21"/>
              </w:rPr>
            </w:pPr>
            <w:r>
              <w:rPr>
                <w:rFonts w:hint="eastAsia" w:ascii="Arial" w:hAnsi="宋体"/>
                <w:bCs/>
                <w:iCs/>
                <w:color w:val="auto"/>
                <w:szCs w:val="28"/>
              </w:rPr>
              <w:t>在投标文件中注明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color w:val="auto"/>
                <w:kern w:val="2"/>
                <w:sz w:val="21"/>
                <w:szCs w:val="21"/>
                <w:lang w:val="en-US" w:eastAsia="zh-CN" w:bidi="ar-SA"/>
              </w:rPr>
            </w:pPr>
            <w:r>
              <w:rPr>
                <w:rFonts w:hint="eastAsia" w:ascii="宋体" w:hAnsi="宋体"/>
                <w:color w:val="auto"/>
                <w:szCs w:val="21"/>
              </w:rPr>
              <w:t>8</w:t>
            </w:r>
          </w:p>
        </w:tc>
        <w:tc>
          <w:tcPr>
            <w:tcW w:w="21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r>
              <w:rPr>
                <w:rFonts w:hint="eastAsia" w:ascii="宋体" w:hAnsi="宋体"/>
                <w:color w:val="auto"/>
                <w:szCs w:val="21"/>
              </w:rPr>
              <w:t>服务地点</w:t>
            </w:r>
          </w:p>
        </w:tc>
        <w:tc>
          <w:tcPr>
            <w:tcW w:w="622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olor w:val="auto"/>
                <w:szCs w:val="21"/>
                <w:lang w:eastAsia="zh-CN"/>
              </w:rPr>
            </w:pPr>
            <w:r>
              <w:rPr>
                <w:rFonts w:hint="eastAsia" w:ascii="宋体" w:hAnsi="宋体"/>
                <w:color w:val="auto"/>
                <w:szCs w:val="21"/>
              </w:rPr>
              <w:t>江苏长江水务股份有限公司</w:t>
            </w:r>
            <w:r>
              <w:rPr>
                <w:rFonts w:hint="eastAsia" w:ascii="宋体" w:hAnsi="宋体"/>
                <w:color w:val="auto"/>
                <w:szCs w:val="21"/>
                <w:lang w:eastAsia="zh-CN"/>
              </w:rPr>
              <w:t>一水厂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color w:val="auto"/>
                <w:kern w:val="2"/>
                <w:sz w:val="21"/>
                <w:szCs w:val="21"/>
                <w:lang w:val="en-US" w:eastAsia="zh-CN" w:bidi="ar-SA"/>
              </w:rPr>
            </w:pPr>
            <w:r>
              <w:rPr>
                <w:rFonts w:hint="eastAsia" w:ascii="宋体" w:hAnsi="宋体"/>
                <w:color w:val="auto"/>
                <w:szCs w:val="21"/>
              </w:rPr>
              <w:t>9</w:t>
            </w:r>
          </w:p>
        </w:tc>
        <w:tc>
          <w:tcPr>
            <w:tcW w:w="21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r>
              <w:rPr>
                <w:rFonts w:hint="eastAsia" w:ascii="宋体" w:hAnsi="宋体"/>
                <w:color w:val="auto"/>
                <w:szCs w:val="21"/>
              </w:rPr>
              <w:t>招标单位</w:t>
            </w:r>
          </w:p>
        </w:tc>
        <w:tc>
          <w:tcPr>
            <w:tcW w:w="622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Cs w:val="21"/>
              </w:rPr>
            </w:pPr>
            <w:r>
              <w:rPr>
                <w:rFonts w:hint="eastAsia" w:ascii="宋体" w:hAnsi="宋体"/>
                <w:color w:val="auto"/>
                <w:szCs w:val="21"/>
              </w:rPr>
              <w:t>江苏长江水务股份有限公司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color w:val="auto"/>
                <w:kern w:val="2"/>
                <w:sz w:val="21"/>
                <w:szCs w:val="21"/>
                <w:lang w:val="en-US" w:eastAsia="zh-CN" w:bidi="ar-SA"/>
              </w:rPr>
            </w:pPr>
            <w:r>
              <w:rPr>
                <w:rFonts w:hint="eastAsia" w:ascii="宋体" w:hAnsi="宋体"/>
                <w:color w:val="auto"/>
                <w:szCs w:val="21"/>
              </w:rPr>
              <w:t>10</w:t>
            </w:r>
          </w:p>
        </w:tc>
        <w:tc>
          <w:tcPr>
            <w:tcW w:w="21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r>
              <w:rPr>
                <w:rFonts w:hint="eastAsia" w:ascii="宋体" w:hAnsi="宋体"/>
                <w:color w:val="auto"/>
                <w:szCs w:val="21"/>
              </w:rPr>
              <w:t>投标文件份数</w:t>
            </w:r>
          </w:p>
        </w:tc>
        <w:tc>
          <w:tcPr>
            <w:tcW w:w="622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Cs w:val="21"/>
              </w:rPr>
            </w:pPr>
            <w:r>
              <w:rPr>
                <w:rFonts w:hint="eastAsia" w:ascii="宋体" w:hAnsi="宋体"/>
                <w:color w:val="auto"/>
                <w:szCs w:val="21"/>
              </w:rPr>
              <w:t>正本一份，副本</w:t>
            </w:r>
            <w:r>
              <w:rPr>
                <w:rFonts w:hint="eastAsia" w:ascii="宋体" w:hAnsi="宋体"/>
                <w:color w:val="auto"/>
                <w:szCs w:val="21"/>
                <w:lang w:val="en-US" w:eastAsia="zh-CN"/>
              </w:rPr>
              <w:t>四</w:t>
            </w:r>
            <w:r>
              <w:rPr>
                <w:rFonts w:hint="eastAsia" w:ascii="宋体" w:hAnsi="宋体"/>
                <w:color w:val="auto"/>
                <w:szCs w:val="21"/>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color w:val="auto"/>
                <w:kern w:val="2"/>
                <w:sz w:val="21"/>
                <w:szCs w:val="21"/>
                <w:lang w:val="en-US" w:eastAsia="zh-CN" w:bidi="ar-SA"/>
              </w:rPr>
            </w:pPr>
            <w:r>
              <w:rPr>
                <w:rFonts w:hint="eastAsia" w:ascii="宋体" w:hAnsi="宋体"/>
                <w:color w:val="auto"/>
                <w:szCs w:val="21"/>
              </w:rPr>
              <w:t>11</w:t>
            </w:r>
          </w:p>
        </w:tc>
        <w:tc>
          <w:tcPr>
            <w:tcW w:w="21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r>
              <w:rPr>
                <w:rFonts w:hint="eastAsia" w:ascii="宋体" w:hAnsi="宋体"/>
                <w:color w:val="auto"/>
                <w:szCs w:val="21"/>
              </w:rPr>
              <w:t>投标有效期</w:t>
            </w:r>
          </w:p>
        </w:tc>
        <w:tc>
          <w:tcPr>
            <w:tcW w:w="622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olor w:val="auto"/>
                <w:szCs w:val="21"/>
              </w:rPr>
            </w:pPr>
            <w:r>
              <w:rPr>
                <w:rFonts w:hint="eastAsia" w:ascii="宋体" w:hAnsi="宋体"/>
                <w:color w:val="auto"/>
                <w:szCs w:val="21"/>
              </w:rPr>
              <w:t>从投标截止日起90天内有效，如中标，有效期将延至合同终止日。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color w:val="auto"/>
                <w:kern w:val="2"/>
                <w:sz w:val="21"/>
                <w:szCs w:val="21"/>
                <w:lang w:val="en-US" w:eastAsia="zh-CN" w:bidi="ar-SA"/>
              </w:rPr>
            </w:pPr>
            <w:r>
              <w:rPr>
                <w:rFonts w:hint="eastAsia" w:ascii="宋体" w:hAnsi="宋体"/>
                <w:color w:val="auto"/>
                <w:szCs w:val="21"/>
              </w:rPr>
              <w:t>12</w:t>
            </w:r>
          </w:p>
        </w:tc>
        <w:tc>
          <w:tcPr>
            <w:tcW w:w="21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r>
              <w:rPr>
                <w:rFonts w:hint="eastAsia" w:ascii="宋体" w:hAnsi="宋体"/>
                <w:color w:val="auto"/>
                <w:szCs w:val="21"/>
              </w:rPr>
              <w:t>投标截止时间</w:t>
            </w:r>
          </w:p>
        </w:tc>
        <w:tc>
          <w:tcPr>
            <w:tcW w:w="622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Cs w:val="21"/>
              </w:rPr>
            </w:pPr>
            <w:r>
              <w:rPr>
                <w:rFonts w:hint="eastAsia" w:ascii="宋体" w:hAnsi="宋体"/>
                <w:color w:val="auto"/>
                <w:szCs w:val="21"/>
              </w:rPr>
              <w:t>2021年</w:t>
            </w:r>
            <w:r>
              <w:rPr>
                <w:rFonts w:hint="eastAsia" w:ascii="宋体" w:hAnsi="宋体"/>
                <w:color w:val="auto"/>
                <w:szCs w:val="21"/>
                <w:lang w:val="en-US" w:eastAsia="zh-CN"/>
              </w:rPr>
              <w:t>7</w:t>
            </w:r>
            <w:r>
              <w:rPr>
                <w:rFonts w:hint="eastAsia" w:ascii="宋体" w:hAnsi="宋体"/>
                <w:color w:val="auto"/>
                <w:szCs w:val="21"/>
              </w:rPr>
              <w:t xml:space="preserve">月 </w:t>
            </w:r>
            <w:r>
              <w:rPr>
                <w:rFonts w:hint="eastAsia" w:ascii="宋体" w:hAnsi="宋体"/>
                <w:color w:val="auto"/>
                <w:szCs w:val="21"/>
                <w:lang w:val="en-US" w:eastAsia="zh-CN"/>
              </w:rPr>
              <w:t>21</w:t>
            </w:r>
            <w:r>
              <w:rPr>
                <w:rFonts w:hint="eastAsia" w:ascii="宋体" w:hAnsi="宋体"/>
                <w:color w:val="auto"/>
                <w:szCs w:val="21"/>
              </w:rPr>
              <w:t>日</w:t>
            </w:r>
            <w:r>
              <w:rPr>
                <w:rFonts w:hint="eastAsia" w:ascii="宋体" w:hAnsi="宋体"/>
                <w:color w:val="auto"/>
                <w:szCs w:val="21"/>
                <w:lang w:eastAsia="zh-CN"/>
              </w:rPr>
              <w:t>上</w:t>
            </w:r>
            <w:r>
              <w:rPr>
                <w:rFonts w:hint="eastAsia" w:ascii="宋体" w:hAnsi="宋体"/>
                <w:color w:val="auto"/>
                <w:szCs w:val="21"/>
              </w:rPr>
              <w:t>午</w:t>
            </w:r>
            <w:r>
              <w:rPr>
                <w:rFonts w:hint="eastAsia" w:ascii="宋体" w:hAnsi="宋体"/>
                <w:color w:val="auto"/>
                <w:szCs w:val="21"/>
                <w:lang w:val="en-US" w:eastAsia="zh-CN"/>
              </w:rPr>
              <w:t>9</w:t>
            </w:r>
            <w:r>
              <w:rPr>
                <w:rFonts w:hint="eastAsia" w:ascii="宋体" w:hAnsi="宋体"/>
                <w:color w:val="auto"/>
                <w:szCs w:val="21"/>
              </w:rPr>
              <w:t xml:space="preserve">:00  </w:t>
            </w:r>
            <w:r>
              <w:rPr>
                <w:rFonts w:hint="eastAsia" w:ascii="宋体" w:hAnsi="宋体" w:cs="宋体"/>
                <w:color w:val="auto"/>
                <w:kern w:val="0"/>
                <w:szCs w:val="21"/>
              </w:rPr>
              <w:t>（北京时间）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524" w:type="dxa"/>
            <w:tcBorders>
              <w:top w:val="single" w:color="auto" w:sz="4" w:space="0"/>
              <w:left w:val="single" w:color="auto" w:sz="4" w:space="0"/>
              <w:bottom w:val="nil"/>
              <w:right w:val="single" w:color="auto" w:sz="4" w:space="0"/>
            </w:tcBorders>
            <w:vAlign w:val="center"/>
          </w:tcPr>
          <w:p>
            <w:pPr>
              <w:spacing w:line="360" w:lineRule="auto"/>
              <w:jc w:val="center"/>
              <w:rPr>
                <w:rFonts w:ascii="宋体" w:hAnsi="宋体" w:eastAsia="宋体" w:cs="Times New Roman"/>
                <w:color w:val="auto"/>
                <w:kern w:val="2"/>
                <w:sz w:val="21"/>
                <w:szCs w:val="21"/>
                <w:lang w:val="en-US" w:eastAsia="zh-CN" w:bidi="ar-SA"/>
              </w:rPr>
            </w:pPr>
            <w:r>
              <w:rPr>
                <w:rFonts w:hint="eastAsia" w:ascii="宋体" w:hAnsi="宋体"/>
                <w:color w:val="auto"/>
                <w:szCs w:val="21"/>
              </w:rPr>
              <w:t>13</w:t>
            </w:r>
          </w:p>
        </w:tc>
        <w:tc>
          <w:tcPr>
            <w:tcW w:w="2106" w:type="dxa"/>
            <w:tcBorders>
              <w:top w:val="single" w:color="auto" w:sz="4" w:space="0"/>
              <w:left w:val="single" w:color="auto" w:sz="8" w:space="0"/>
              <w:bottom w:val="single" w:color="auto" w:sz="4" w:space="0"/>
              <w:right w:val="single" w:color="auto" w:sz="4" w:space="0"/>
            </w:tcBorders>
            <w:vAlign w:val="center"/>
          </w:tcPr>
          <w:p>
            <w:pPr>
              <w:spacing w:line="360" w:lineRule="auto"/>
              <w:jc w:val="center"/>
              <w:rPr>
                <w:rFonts w:ascii="宋体" w:hAnsi="宋体"/>
                <w:color w:val="auto"/>
                <w:szCs w:val="21"/>
              </w:rPr>
            </w:pPr>
            <w:r>
              <w:rPr>
                <w:rFonts w:hint="eastAsia" w:ascii="宋体" w:hAnsi="宋体"/>
                <w:color w:val="auto"/>
                <w:szCs w:val="21"/>
              </w:rPr>
              <w:t>投标文件递交</w:t>
            </w:r>
          </w:p>
          <w:p>
            <w:pPr>
              <w:spacing w:line="360" w:lineRule="auto"/>
              <w:jc w:val="center"/>
              <w:rPr>
                <w:rFonts w:ascii="宋体" w:hAnsi="宋体"/>
                <w:color w:val="auto"/>
                <w:szCs w:val="21"/>
              </w:rPr>
            </w:pPr>
            <w:r>
              <w:rPr>
                <w:rFonts w:hint="eastAsia" w:ascii="宋体" w:hAnsi="宋体"/>
                <w:color w:val="auto"/>
                <w:szCs w:val="21"/>
              </w:rPr>
              <w:t>地址</w:t>
            </w:r>
          </w:p>
        </w:tc>
        <w:tc>
          <w:tcPr>
            <w:tcW w:w="6223" w:type="dxa"/>
            <w:gridSpan w:val="3"/>
            <w:tcBorders>
              <w:top w:val="single" w:color="auto" w:sz="4" w:space="0"/>
              <w:left w:val="single" w:color="auto" w:sz="4" w:space="0"/>
              <w:bottom w:val="single" w:color="auto" w:sz="4" w:space="0"/>
              <w:right w:val="single" w:color="auto" w:sz="8" w:space="0"/>
            </w:tcBorders>
            <w:vAlign w:val="center"/>
          </w:tcPr>
          <w:p>
            <w:pPr>
              <w:spacing w:line="360" w:lineRule="auto"/>
              <w:rPr>
                <w:rFonts w:hint="default" w:ascii="宋体" w:hAnsi="宋体" w:eastAsia="宋体"/>
                <w:color w:val="auto"/>
                <w:szCs w:val="21"/>
                <w:lang w:val="en-US" w:eastAsia="zh-CN"/>
              </w:rPr>
            </w:pPr>
            <w:r>
              <w:rPr>
                <w:rFonts w:hint="eastAsia" w:ascii="宋体" w:hAnsi="宋体"/>
                <w:color w:val="auto"/>
                <w:szCs w:val="21"/>
              </w:rPr>
              <w:t>扬州市文汇东路249号江苏长江水务股份有限公司</w:t>
            </w:r>
            <w:r>
              <w:rPr>
                <w:rFonts w:hint="eastAsia" w:ascii="宋体" w:hAnsi="宋体"/>
                <w:color w:val="auto"/>
                <w:szCs w:val="21"/>
                <w:lang w:val="en-US" w:eastAsia="zh-CN"/>
              </w:rPr>
              <w:t>物资供应处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color w:val="auto"/>
                <w:kern w:val="2"/>
                <w:sz w:val="21"/>
                <w:szCs w:val="21"/>
                <w:lang w:val="en-US" w:eastAsia="zh-CN" w:bidi="ar-SA"/>
              </w:rPr>
            </w:pPr>
            <w:r>
              <w:rPr>
                <w:rFonts w:hint="eastAsia" w:ascii="宋体" w:hAnsi="宋体"/>
                <w:color w:val="auto"/>
                <w:szCs w:val="21"/>
              </w:rPr>
              <w:t>14</w:t>
            </w:r>
          </w:p>
        </w:tc>
        <w:tc>
          <w:tcPr>
            <w:tcW w:w="2106" w:type="dxa"/>
            <w:tcBorders>
              <w:top w:val="single" w:color="auto" w:sz="4" w:space="0"/>
              <w:left w:val="single" w:color="auto" w:sz="8" w:space="0"/>
              <w:bottom w:val="single" w:color="auto" w:sz="4" w:space="0"/>
              <w:right w:val="single" w:color="auto" w:sz="4" w:space="0"/>
            </w:tcBorders>
            <w:vAlign w:val="center"/>
          </w:tcPr>
          <w:p>
            <w:pPr>
              <w:spacing w:line="360" w:lineRule="auto"/>
              <w:jc w:val="center"/>
              <w:rPr>
                <w:rFonts w:ascii="宋体" w:hAnsi="宋体"/>
                <w:color w:val="auto"/>
                <w:szCs w:val="21"/>
              </w:rPr>
            </w:pPr>
            <w:r>
              <w:rPr>
                <w:rFonts w:hint="eastAsia" w:ascii="宋体" w:hAnsi="宋体"/>
                <w:color w:val="auto"/>
                <w:szCs w:val="21"/>
              </w:rPr>
              <w:t>开标会时间</w:t>
            </w:r>
          </w:p>
        </w:tc>
        <w:tc>
          <w:tcPr>
            <w:tcW w:w="455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Cs w:val="21"/>
              </w:rPr>
            </w:pPr>
            <w:r>
              <w:rPr>
                <w:rFonts w:hint="eastAsia" w:ascii="宋体" w:hAnsi="宋体"/>
                <w:color w:val="auto"/>
                <w:szCs w:val="21"/>
              </w:rPr>
              <w:t>2021年</w:t>
            </w:r>
            <w:r>
              <w:rPr>
                <w:rFonts w:hint="eastAsia" w:ascii="宋体" w:hAnsi="宋体"/>
                <w:color w:val="auto"/>
                <w:szCs w:val="21"/>
                <w:lang w:val="en-US" w:eastAsia="zh-CN"/>
              </w:rPr>
              <w:t>7</w:t>
            </w:r>
            <w:r>
              <w:rPr>
                <w:rFonts w:hint="eastAsia" w:ascii="宋体" w:hAnsi="宋体"/>
                <w:color w:val="auto"/>
                <w:szCs w:val="21"/>
              </w:rPr>
              <w:t>月</w:t>
            </w:r>
            <w:r>
              <w:rPr>
                <w:rFonts w:hint="eastAsia" w:ascii="宋体" w:hAnsi="宋体"/>
                <w:color w:val="auto"/>
                <w:szCs w:val="21"/>
                <w:lang w:val="en-US" w:eastAsia="zh-CN"/>
              </w:rPr>
              <w:t>21</w:t>
            </w:r>
            <w:r>
              <w:rPr>
                <w:rFonts w:hint="eastAsia" w:ascii="宋体" w:hAnsi="宋体"/>
                <w:color w:val="auto"/>
                <w:szCs w:val="21"/>
              </w:rPr>
              <w:t>日</w:t>
            </w:r>
            <w:r>
              <w:rPr>
                <w:rFonts w:hint="eastAsia" w:ascii="宋体" w:hAnsi="宋体"/>
                <w:color w:val="auto"/>
                <w:szCs w:val="21"/>
                <w:lang w:eastAsia="zh-CN"/>
              </w:rPr>
              <w:t>上</w:t>
            </w:r>
            <w:r>
              <w:rPr>
                <w:rFonts w:hint="eastAsia" w:ascii="宋体" w:hAnsi="宋体"/>
                <w:color w:val="auto"/>
                <w:szCs w:val="21"/>
              </w:rPr>
              <w:t>午</w:t>
            </w:r>
            <w:r>
              <w:rPr>
                <w:rFonts w:hint="eastAsia" w:ascii="宋体" w:hAnsi="宋体"/>
                <w:color w:val="auto"/>
                <w:szCs w:val="21"/>
                <w:lang w:val="en-US" w:eastAsia="zh-CN"/>
              </w:rPr>
              <w:t>9</w:t>
            </w:r>
            <w:r>
              <w:rPr>
                <w:rFonts w:hint="eastAsia" w:ascii="宋体" w:hAnsi="宋体"/>
                <w:color w:val="auto"/>
                <w:szCs w:val="21"/>
              </w:rPr>
              <w:t>:</w:t>
            </w:r>
            <w:r>
              <w:rPr>
                <w:rFonts w:hint="eastAsia" w:ascii="宋体" w:hAnsi="宋体"/>
                <w:color w:val="auto"/>
                <w:szCs w:val="21"/>
                <w:lang w:val="en-US" w:eastAsia="zh-CN"/>
              </w:rPr>
              <w:t>3</w:t>
            </w:r>
            <w:r>
              <w:rPr>
                <w:rFonts w:hint="eastAsia" w:ascii="宋体" w:hAnsi="宋体"/>
                <w:color w:val="auto"/>
                <w:szCs w:val="21"/>
              </w:rPr>
              <w:t xml:space="preserve">0  </w:t>
            </w:r>
            <w:r>
              <w:rPr>
                <w:rFonts w:hint="eastAsia" w:ascii="宋体" w:hAnsi="宋体" w:cs="宋体"/>
                <w:color w:val="auto"/>
                <w:kern w:val="0"/>
                <w:szCs w:val="21"/>
              </w:rPr>
              <w:t>（北京时间）</w:t>
            </w:r>
          </w:p>
        </w:tc>
        <w:tc>
          <w:tcPr>
            <w:tcW w:w="6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r>
              <w:rPr>
                <w:rFonts w:hint="eastAsia" w:ascii="宋体" w:hAnsi="宋体"/>
                <w:color w:val="auto"/>
                <w:szCs w:val="21"/>
              </w:rPr>
              <w:t>地址</w:t>
            </w:r>
          </w:p>
        </w:tc>
        <w:tc>
          <w:tcPr>
            <w:tcW w:w="1021" w:type="dxa"/>
            <w:tcBorders>
              <w:top w:val="single" w:color="auto" w:sz="4" w:space="0"/>
              <w:left w:val="single" w:color="auto" w:sz="4" w:space="0"/>
              <w:bottom w:val="single" w:color="auto" w:sz="4" w:space="0"/>
              <w:right w:val="single" w:color="auto" w:sz="8" w:space="0"/>
            </w:tcBorders>
            <w:vAlign w:val="center"/>
          </w:tcPr>
          <w:p>
            <w:pPr>
              <w:spacing w:line="360" w:lineRule="auto"/>
              <w:rPr>
                <w:rFonts w:hint="default" w:ascii="宋体" w:hAnsi="宋体" w:eastAsia="宋体"/>
                <w:color w:val="auto"/>
                <w:szCs w:val="21"/>
                <w:lang w:val="en-US" w:eastAsia="zh-CN"/>
              </w:rPr>
            </w:pPr>
            <w:r>
              <w:rPr>
                <w:rFonts w:hint="eastAsia" w:ascii="宋体" w:hAnsi="宋体"/>
                <w:color w:val="auto"/>
                <w:szCs w:val="21"/>
              </w:rPr>
              <w:t>另 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color w:val="auto"/>
                <w:kern w:val="2"/>
                <w:sz w:val="21"/>
                <w:szCs w:val="21"/>
                <w:lang w:val="en-US" w:eastAsia="zh-CN" w:bidi="ar-SA"/>
              </w:rPr>
            </w:pPr>
            <w:r>
              <w:rPr>
                <w:rFonts w:hint="eastAsia" w:ascii="宋体" w:hAnsi="宋体"/>
                <w:color w:val="auto"/>
                <w:szCs w:val="21"/>
              </w:rPr>
              <w:t>15</w:t>
            </w:r>
          </w:p>
        </w:tc>
        <w:tc>
          <w:tcPr>
            <w:tcW w:w="21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r>
              <w:rPr>
                <w:rFonts w:hint="eastAsia" w:ascii="宋体" w:hAnsi="宋体"/>
                <w:color w:val="auto"/>
                <w:szCs w:val="21"/>
              </w:rPr>
              <w:t>标书装订</w:t>
            </w:r>
          </w:p>
          <w:p>
            <w:pPr>
              <w:spacing w:line="360" w:lineRule="auto"/>
              <w:jc w:val="center"/>
              <w:rPr>
                <w:rFonts w:ascii="宋体" w:hAnsi="宋体"/>
                <w:color w:val="auto"/>
                <w:szCs w:val="21"/>
              </w:rPr>
            </w:pPr>
            <w:r>
              <w:rPr>
                <w:rFonts w:hint="eastAsia" w:ascii="宋体" w:hAnsi="宋体"/>
                <w:color w:val="auto"/>
                <w:szCs w:val="21"/>
              </w:rPr>
              <w:t>及密封要求</w:t>
            </w:r>
          </w:p>
        </w:tc>
        <w:tc>
          <w:tcPr>
            <w:tcW w:w="622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Cs w:val="21"/>
              </w:rPr>
            </w:pPr>
            <w:r>
              <w:rPr>
                <w:rFonts w:hint="eastAsia" w:ascii="宋体" w:hAnsi="宋体"/>
                <w:color w:val="auto"/>
                <w:szCs w:val="21"/>
              </w:rPr>
              <w:t>所有封袋上应写明招标人名称、投标项目名称及投标人的名称。</w:t>
            </w:r>
          </w:p>
          <w:p>
            <w:pPr>
              <w:spacing w:line="360" w:lineRule="auto"/>
              <w:rPr>
                <w:rFonts w:ascii="宋体" w:hAnsi="宋体"/>
                <w:color w:val="auto"/>
                <w:szCs w:val="21"/>
              </w:rPr>
            </w:pPr>
            <w:r>
              <w:rPr>
                <w:rFonts w:hint="eastAsia" w:ascii="宋体" w:hAnsi="宋体"/>
                <w:color w:val="auto"/>
                <w:szCs w:val="21"/>
              </w:rPr>
              <w:t>所有投标文件都必须在封袋加盖投标单位公章及其法定代表人或授权委托人印鉴。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color w:val="auto"/>
                <w:kern w:val="2"/>
                <w:sz w:val="21"/>
                <w:szCs w:val="21"/>
                <w:lang w:val="en-US" w:eastAsia="zh-CN" w:bidi="ar-SA"/>
              </w:rPr>
            </w:pPr>
            <w:r>
              <w:rPr>
                <w:rFonts w:hint="eastAsia" w:ascii="宋体" w:hAnsi="宋体"/>
                <w:color w:val="auto"/>
                <w:szCs w:val="21"/>
              </w:rPr>
              <w:t>16</w:t>
            </w:r>
          </w:p>
        </w:tc>
        <w:tc>
          <w:tcPr>
            <w:tcW w:w="21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r>
              <w:rPr>
                <w:rFonts w:hint="eastAsia" w:ascii="宋体" w:hAnsi="宋体"/>
                <w:color w:val="auto"/>
                <w:szCs w:val="21"/>
              </w:rPr>
              <w:t>其他</w:t>
            </w:r>
          </w:p>
        </w:tc>
        <w:tc>
          <w:tcPr>
            <w:tcW w:w="6223" w:type="dxa"/>
            <w:gridSpan w:val="3"/>
            <w:tcBorders>
              <w:top w:val="single" w:color="auto" w:sz="4" w:space="0"/>
              <w:left w:val="single" w:color="auto" w:sz="4" w:space="0"/>
              <w:bottom w:val="single" w:color="auto" w:sz="4" w:space="0"/>
              <w:right w:val="single" w:color="auto" w:sz="4" w:space="0"/>
            </w:tcBorders>
            <w:vAlign w:val="center"/>
          </w:tcPr>
          <w:p>
            <w:pPr>
              <w:numPr>
                <w:ilvl w:val="0"/>
                <w:numId w:val="2"/>
              </w:numPr>
              <w:spacing w:line="360" w:lineRule="auto"/>
              <w:rPr>
                <w:rFonts w:ascii="宋体" w:hAnsi="宋体"/>
                <w:color w:val="auto"/>
                <w:szCs w:val="21"/>
              </w:rPr>
            </w:pPr>
            <w:r>
              <w:rPr>
                <w:rFonts w:hint="eastAsia" w:ascii="宋体" w:hAnsi="宋体"/>
                <w:color w:val="auto"/>
                <w:szCs w:val="21"/>
              </w:rPr>
              <w:t>下文中与“前附表”内容不一致的，以“前附表”为准；</w:t>
            </w:r>
          </w:p>
          <w:p>
            <w:pPr>
              <w:numPr>
                <w:ilvl w:val="0"/>
                <w:numId w:val="2"/>
              </w:numPr>
              <w:spacing w:line="360" w:lineRule="auto"/>
              <w:rPr>
                <w:rFonts w:ascii="宋体" w:hAnsi="宋体"/>
                <w:color w:val="auto"/>
                <w:szCs w:val="21"/>
              </w:rPr>
            </w:pPr>
            <w:r>
              <w:rPr>
                <w:rFonts w:hint="eastAsia" w:ascii="宋体" w:hAnsi="宋体"/>
                <w:color w:val="auto"/>
                <w:szCs w:val="21"/>
              </w:rPr>
              <w:t>本招标文件的解释权属于江苏长江水务股份有限公司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52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olor w:val="auto"/>
                <w:szCs w:val="21"/>
                <w:lang w:val="en-US" w:eastAsia="zh-CN"/>
              </w:rPr>
            </w:pPr>
            <w:r>
              <w:rPr>
                <w:rFonts w:hint="eastAsia" w:ascii="宋体" w:hAnsi="宋体"/>
                <w:color w:val="auto"/>
                <w:szCs w:val="21"/>
                <w:lang w:val="en-US" w:eastAsia="zh-CN"/>
              </w:rPr>
              <w:t>17</w:t>
            </w:r>
          </w:p>
        </w:tc>
        <w:tc>
          <w:tcPr>
            <w:tcW w:w="21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r>
              <w:rPr>
                <w:rFonts w:hint="eastAsia" w:ascii="宋体" w:hAnsi="宋体"/>
                <w:color w:val="auto"/>
                <w:szCs w:val="21"/>
              </w:rPr>
              <w:t>联系方式</w:t>
            </w:r>
          </w:p>
        </w:tc>
        <w:tc>
          <w:tcPr>
            <w:tcW w:w="6223"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360" w:lineRule="auto"/>
              <w:rPr>
                <w:rFonts w:ascii="宋体" w:hAnsi="宋体"/>
                <w:color w:val="auto"/>
                <w:szCs w:val="21"/>
              </w:rPr>
            </w:pPr>
            <w:r>
              <w:rPr>
                <w:rFonts w:hint="eastAsia" w:ascii="宋体" w:hAnsi="宋体"/>
                <w:color w:val="auto"/>
                <w:szCs w:val="21"/>
              </w:rPr>
              <w:t>招标人：江苏长江水务股份有限公司</w:t>
            </w:r>
          </w:p>
          <w:p>
            <w:pPr>
              <w:adjustRightInd w:val="0"/>
              <w:spacing w:line="360" w:lineRule="auto"/>
              <w:rPr>
                <w:rFonts w:ascii="宋体" w:hAnsi="宋体"/>
                <w:color w:val="auto"/>
                <w:szCs w:val="21"/>
              </w:rPr>
            </w:pPr>
            <w:r>
              <w:rPr>
                <w:rFonts w:hint="eastAsia" w:ascii="宋体" w:hAnsi="宋体"/>
                <w:color w:val="auto"/>
                <w:szCs w:val="21"/>
              </w:rPr>
              <w:t>地  址：扬州文汇东路249号</w:t>
            </w:r>
          </w:p>
          <w:p>
            <w:pPr>
              <w:adjustRightInd w:val="0"/>
              <w:spacing w:line="360" w:lineRule="auto"/>
              <w:rPr>
                <w:rFonts w:hint="default" w:ascii="宋体" w:hAnsi="宋体" w:eastAsia="宋体"/>
                <w:color w:val="auto"/>
                <w:szCs w:val="21"/>
                <w:lang w:val="en-US" w:eastAsia="zh-CN"/>
              </w:rPr>
            </w:pPr>
            <w:r>
              <w:rPr>
                <w:rFonts w:hint="eastAsia" w:ascii="宋体" w:hAnsi="宋体"/>
                <w:color w:val="auto"/>
                <w:szCs w:val="21"/>
              </w:rPr>
              <w:t>电  话：0514-829800</w:t>
            </w:r>
            <w:r>
              <w:rPr>
                <w:rFonts w:hint="eastAsia" w:ascii="宋体" w:hAnsi="宋体"/>
                <w:color w:val="auto"/>
                <w:szCs w:val="21"/>
                <w:lang w:val="en-US" w:eastAsia="zh-CN"/>
              </w:rPr>
              <w:t>68</w:t>
            </w:r>
          </w:p>
          <w:p>
            <w:pPr>
              <w:adjustRightInd w:val="0"/>
              <w:spacing w:line="360" w:lineRule="auto"/>
              <w:rPr>
                <w:rFonts w:hint="default" w:ascii="宋体" w:hAnsi="宋体" w:eastAsia="宋体"/>
                <w:color w:val="auto"/>
                <w:szCs w:val="21"/>
                <w:lang w:val="en-US" w:eastAsia="zh-CN"/>
              </w:rPr>
            </w:pPr>
            <w:r>
              <w:rPr>
                <w:rFonts w:hint="eastAsia" w:ascii="宋体" w:hAnsi="宋体"/>
                <w:color w:val="auto"/>
                <w:szCs w:val="21"/>
              </w:rPr>
              <w:t xml:space="preserve">联系人： </w:t>
            </w:r>
            <w:r>
              <w:rPr>
                <w:rFonts w:hint="eastAsia" w:ascii="宋体" w:hAnsi="宋体"/>
                <w:color w:val="auto"/>
                <w:szCs w:val="21"/>
                <w:lang w:val="en-US" w:eastAsia="zh-CN"/>
              </w:rPr>
              <w:t>王海涛</w:t>
            </w:r>
          </w:p>
        </w:tc>
      </w:tr>
    </w:tbl>
    <w:p>
      <w:pPr>
        <w:autoSpaceDE w:val="0"/>
        <w:autoSpaceDN w:val="0"/>
        <w:adjustRightInd w:val="0"/>
        <w:snapToGrid w:val="0"/>
        <w:spacing w:line="480" w:lineRule="exact"/>
        <w:ind w:firstLine="561"/>
        <w:rPr>
          <w:rFonts w:ascii="宋体" w:hAnsi="宋体"/>
          <w:color w:val="auto"/>
          <w:szCs w:val="21"/>
        </w:rPr>
      </w:pPr>
    </w:p>
    <w:p>
      <w:pPr>
        <w:autoSpaceDE w:val="0"/>
        <w:autoSpaceDN w:val="0"/>
        <w:adjustRightInd w:val="0"/>
        <w:snapToGrid w:val="0"/>
        <w:spacing w:line="480" w:lineRule="exact"/>
        <w:ind w:firstLine="561"/>
        <w:rPr>
          <w:rFonts w:ascii="宋体" w:hAnsi="宋体"/>
          <w:color w:val="auto"/>
          <w:szCs w:val="21"/>
        </w:rPr>
      </w:pPr>
    </w:p>
    <w:p>
      <w:pPr>
        <w:autoSpaceDE w:val="0"/>
        <w:autoSpaceDN w:val="0"/>
        <w:adjustRightInd w:val="0"/>
        <w:snapToGrid w:val="0"/>
        <w:spacing w:line="480" w:lineRule="exact"/>
        <w:ind w:firstLine="561"/>
        <w:rPr>
          <w:rFonts w:ascii="宋体" w:hAnsi="宋体"/>
          <w:b/>
          <w:color w:val="auto"/>
          <w:szCs w:val="21"/>
        </w:rPr>
      </w:pPr>
      <w:r>
        <w:rPr>
          <w:rFonts w:hint="eastAsia" w:ascii="宋体" w:hAnsi="宋体"/>
          <w:b/>
          <w:color w:val="auto"/>
          <w:szCs w:val="21"/>
        </w:rPr>
        <w:t>一、总    则</w:t>
      </w:r>
    </w:p>
    <w:p>
      <w:pPr>
        <w:autoSpaceDE w:val="0"/>
        <w:autoSpaceDN w:val="0"/>
        <w:adjustRightInd w:val="0"/>
        <w:snapToGrid w:val="0"/>
        <w:spacing w:line="480" w:lineRule="exact"/>
        <w:ind w:firstLine="561"/>
        <w:rPr>
          <w:rFonts w:ascii="宋体" w:hAnsi="宋体"/>
          <w:b/>
          <w:color w:val="auto"/>
          <w:szCs w:val="21"/>
        </w:rPr>
      </w:pPr>
      <w:r>
        <w:rPr>
          <w:rFonts w:hint="eastAsia" w:ascii="宋体" w:hAnsi="宋体"/>
          <w:b/>
          <w:color w:val="auto"/>
          <w:szCs w:val="21"/>
        </w:rPr>
        <w:t>1、招标项目概况</w:t>
      </w:r>
    </w:p>
    <w:p>
      <w:pPr>
        <w:spacing w:line="500" w:lineRule="exact"/>
        <w:ind w:firstLine="525" w:firstLineChars="250"/>
        <w:rPr>
          <w:rFonts w:ascii="宋体" w:hAnsi="宋体"/>
          <w:color w:val="auto"/>
          <w:szCs w:val="21"/>
        </w:rPr>
      </w:pPr>
      <w:r>
        <w:rPr>
          <w:rFonts w:hint="eastAsia" w:ascii="宋体" w:hAnsi="宋体"/>
          <w:color w:val="auto"/>
          <w:szCs w:val="21"/>
        </w:rPr>
        <w:t>1.1 我公司江苏长江水务股份有限公司一水厂原模拟监控系统更新为网络高清视频监控系统整体改造。本招标项目已具备招标条件，现对本项目进行招标。</w:t>
      </w:r>
    </w:p>
    <w:p>
      <w:pPr>
        <w:spacing w:line="500" w:lineRule="exact"/>
        <w:ind w:firstLine="420" w:firstLineChars="200"/>
        <w:rPr>
          <w:color w:val="auto"/>
          <w:szCs w:val="21"/>
        </w:rPr>
      </w:pPr>
      <w:r>
        <w:rPr>
          <w:rFonts w:hint="eastAsia" w:ascii="宋体" w:hAnsi="宋体"/>
          <w:color w:val="auto"/>
          <w:szCs w:val="21"/>
        </w:rPr>
        <w:t>1.2 本工程招标控制价为人民币：</w:t>
      </w:r>
      <w:r>
        <w:rPr>
          <w:rFonts w:hint="eastAsia" w:ascii="宋体" w:hAnsi="宋体"/>
          <w:color w:val="auto"/>
          <w:szCs w:val="21"/>
          <w:u w:val="single"/>
          <w:lang w:val="en-US" w:eastAsia="zh-CN"/>
        </w:rPr>
        <w:t>柒拾万</w:t>
      </w:r>
      <w:r>
        <w:rPr>
          <w:rFonts w:hint="eastAsia" w:ascii="宋体" w:hAnsi="宋体"/>
          <w:color w:val="auto"/>
          <w:szCs w:val="21"/>
          <w:u w:val="single"/>
        </w:rPr>
        <w:t>元整</w:t>
      </w:r>
      <w:r>
        <w:rPr>
          <w:rFonts w:hint="eastAsia" w:ascii="宋体" w:hAnsi="宋体"/>
          <w:color w:val="auto"/>
          <w:szCs w:val="21"/>
        </w:rPr>
        <w:t>（￥：</w:t>
      </w:r>
      <w:r>
        <w:rPr>
          <w:rFonts w:hint="eastAsia" w:ascii="宋体" w:hAnsi="宋体"/>
          <w:color w:val="auto"/>
          <w:szCs w:val="21"/>
          <w:lang w:val="en-US" w:eastAsia="zh-CN"/>
        </w:rPr>
        <w:t>700000</w:t>
      </w:r>
      <w:r>
        <w:rPr>
          <w:rFonts w:hint="eastAsia" w:ascii="宋体" w:hAnsi="宋体"/>
          <w:color w:val="auto"/>
          <w:szCs w:val="21"/>
        </w:rPr>
        <w:t>元）。</w:t>
      </w:r>
      <w:r>
        <w:rPr>
          <w:rFonts w:hint="eastAsia"/>
          <w:color w:val="auto"/>
          <w:szCs w:val="21"/>
        </w:rPr>
        <w:t>最后报价超过</w:t>
      </w:r>
      <w:r>
        <w:rPr>
          <w:rFonts w:hint="eastAsia"/>
          <w:color w:val="auto"/>
          <w:szCs w:val="21"/>
          <w:lang w:val="en-US" w:eastAsia="zh-CN"/>
        </w:rPr>
        <w:t>+</w:t>
      </w:r>
      <w:bookmarkStart w:id="2" w:name="_GoBack"/>
      <w:bookmarkEnd w:id="2"/>
      <w:r>
        <w:rPr>
          <w:rFonts w:hint="eastAsia"/>
          <w:color w:val="auto"/>
          <w:szCs w:val="21"/>
        </w:rPr>
        <w:t>招标控制价的为无效报价，按照无效响应处理。</w:t>
      </w:r>
    </w:p>
    <w:p>
      <w:pPr>
        <w:autoSpaceDE w:val="0"/>
        <w:autoSpaceDN w:val="0"/>
        <w:adjustRightInd w:val="0"/>
        <w:snapToGrid w:val="0"/>
        <w:spacing w:line="480" w:lineRule="exact"/>
        <w:ind w:firstLine="561"/>
        <w:rPr>
          <w:rFonts w:ascii="宋体" w:hAnsi="宋体"/>
          <w:b/>
          <w:color w:val="auto"/>
          <w:szCs w:val="21"/>
        </w:rPr>
      </w:pPr>
      <w:r>
        <w:rPr>
          <w:rFonts w:hint="eastAsia" w:ascii="宋体" w:hAnsi="宋体"/>
          <w:b/>
          <w:color w:val="auto"/>
          <w:szCs w:val="21"/>
        </w:rPr>
        <w:t>2、投标费用</w:t>
      </w:r>
    </w:p>
    <w:p>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2.1投标人应承担其编制投标文件与递交投标文件所涉及的一切费用。不管投标结果如何，招标人对上述费用不负任何责任。</w:t>
      </w:r>
    </w:p>
    <w:p>
      <w:pPr>
        <w:autoSpaceDE w:val="0"/>
        <w:autoSpaceDN w:val="0"/>
        <w:adjustRightInd w:val="0"/>
        <w:snapToGrid w:val="0"/>
        <w:spacing w:line="480" w:lineRule="exact"/>
        <w:ind w:firstLine="561"/>
        <w:rPr>
          <w:rFonts w:ascii="宋体" w:hAnsi="宋体"/>
          <w:b/>
          <w:color w:val="auto"/>
          <w:szCs w:val="21"/>
        </w:rPr>
      </w:pPr>
      <w:r>
        <w:rPr>
          <w:rFonts w:hint="eastAsia" w:ascii="宋体" w:hAnsi="宋体"/>
          <w:b/>
          <w:color w:val="auto"/>
          <w:szCs w:val="21"/>
        </w:rPr>
        <w:t>3、保密</w:t>
      </w:r>
    </w:p>
    <w:p>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参与招标投标活动的各方应对招标文件和投标文件中的商业和技术等秘密保密，违者应对由此造成的后果承担法律责任。</w:t>
      </w:r>
    </w:p>
    <w:p>
      <w:pPr>
        <w:autoSpaceDE w:val="0"/>
        <w:autoSpaceDN w:val="0"/>
        <w:adjustRightInd w:val="0"/>
        <w:snapToGrid w:val="0"/>
        <w:spacing w:line="480" w:lineRule="exact"/>
        <w:ind w:firstLine="561"/>
        <w:rPr>
          <w:rFonts w:ascii="宋体" w:hAnsi="宋体"/>
          <w:b/>
          <w:color w:val="auto"/>
          <w:szCs w:val="21"/>
        </w:rPr>
      </w:pPr>
      <w:r>
        <w:rPr>
          <w:rFonts w:hint="eastAsia" w:ascii="宋体" w:hAnsi="宋体"/>
          <w:b/>
          <w:color w:val="auto"/>
          <w:szCs w:val="21"/>
        </w:rPr>
        <w:t>4、合格的投标人</w:t>
      </w:r>
    </w:p>
    <w:p>
      <w:pPr>
        <w:widowControl/>
        <w:shd w:val="clear" w:color="auto" w:fill="FFFFFF"/>
        <w:spacing w:line="360" w:lineRule="auto"/>
        <w:ind w:right="312" w:firstLine="525" w:firstLineChars="250"/>
        <w:rPr>
          <w:rFonts w:ascii="宋体" w:hAnsi="宋体"/>
          <w:color w:val="auto"/>
          <w:szCs w:val="21"/>
        </w:rPr>
      </w:pPr>
      <w:r>
        <w:rPr>
          <w:rFonts w:hint="eastAsia" w:ascii="宋体" w:hAnsi="宋体"/>
          <w:color w:val="auto"/>
          <w:szCs w:val="21"/>
        </w:rPr>
        <w:t>4.1 ★被授权人参加投标的须提供法定代表人授权委托书</w:t>
      </w:r>
      <w:r>
        <w:rPr>
          <w:rFonts w:hint="eastAsia" w:ascii="宋体" w:hAnsi="宋体"/>
          <w:b w:val="0"/>
          <w:bCs w:val="0"/>
          <w:color w:val="auto"/>
          <w:szCs w:val="21"/>
        </w:rPr>
        <w:t>原件</w:t>
      </w:r>
      <w:r>
        <w:rPr>
          <w:rFonts w:hint="eastAsia" w:ascii="宋体" w:hAnsi="宋体"/>
          <w:color w:val="auto"/>
          <w:szCs w:val="21"/>
        </w:rPr>
        <w:t>和被授权人身份证复印件；若法定代表人参加投标的只</w:t>
      </w:r>
      <w:r>
        <w:rPr>
          <w:rFonts w:hint="eastAsia" w:ascii="宋体" w:hAnsi="宋体"/>
          <w:color w:val="auto"/>
          <w:szCs w:val="21"/>
          <w:lang w:eastAsia="zh-CN"/>
        </w:rPr>
        <w:t>需</w:t>
      </w:r>
      <w:r>
        <w:rPr>
          <w:rFonts w:hint="eastAsia" w:ascii="宋体" w:hAnsi="宋体"/>
          <w:color w:val="auto"/>
          <w:szCs w:val="21"/>
        </w:rPr>
        <w:t>提供本人身份证复印件</w:t>
      </w:r>
    </w:p>
    <w:p>
      <w:pPr>
        <w:widowControl/>
        <w:shd w:val="clear" w:color="auto" w:fill="FFFFFF"/>
        <w:spacing w:line="360" w:lineRule="auto"/>
        <w:ind w:right="312" w:firstLine="525" w:firstLineChars="250"/>
        <w:rPr>
          <w:rFonts w:ascii="宋体" w:hAnsi="宋体"/>
          <w:b/>
          <w:bCs/>
          <w:color w:val="auto"/>
          <w:szCs w:val="21"/>
        </w:rPr>
      </w:pPr>
      <w:r>
        <w:rPr>
          <w:rFonts w:hint="eastAsia" w:ascii="宋体" w:hAnsi="宋体"/>
          <w:color w:val="auto"/>
          <w:szCs w:val="21"/>
        </w:rPr>
        <w:t>4.2 ★营业执照副本</w:t>
      </w:r>
      <w:r>
        <w:rPr>
          <w:rFonts w:hint="eastAsia" w:ascii="宋体" w:hAnsi="宋体"/>
          <w:b/>
          <w:bCs/>
          <w:color w:val="auto"/>
          <w:szCs w:val="21"/>
        </w:rPr>
        <w:t>(复印件加盖投标人公章)</w:t>
      </w:r>
    </w:p>
    <w:p>
      <w:pPr>
        <w:widowControl/>
        <w:shd w:val="clear" w:color="auto" w:fill="FFFFFF"/>
        <w:spacing w:line="360" w:lineRule="auto"/>
        <w:ind w:right="312" w:firstLine="525" w:firstLineChars="250"/>
        <w:rPr>
          <w:rFonts w:ascii="宋体" w:hAnsi="宋体"/>
          <w:color w:val="auto"/>
          <w:szCs w:val="21"/>
        </w:rPr>
      </w:pPr>
      <w:r>
        <w:rPr>
          <w:rFonts w:hint="eastAsia" w:ascii="宋体" w:hAnsi="宋体"/>
          <w:color w:val="auto"/>
          <w:szCs w:val="21"/>
        </w:rPr>
        <w:t>4.3 ★投标人具备</w:t>
      </w:r>
      <w:r>
        <w:rPr>
          <w:rFonts w:hint="eastAsia"/>
          <w:color w:val="auto"/>
        </w:rPr>
        <w:t>电子与智能化工程专业承包二级及以上资质</w:t>
      </w:r>
      <w:r>
        <w:rPr>
          <w:rFonts w:hint="eastAsia" w:ascii="宋体" w:hAnsi="宋体"/>
          <w:b/>
          <w:bCs/>
          <w:color w:val="auto"/>
          <w:szCs w:val="21"/>
        </w:rPr>
        <w:t>(复印件加盖投标人公章)</w:t>
      </w:r>
    </w:p>
    <w:p>
      <w:pPr>
        <w:widowControl/>
        <w:shd w:val="clear" w:color="auto" w:fill="FFFFFF"/>
        <w:spacing w:line="360" w:lineRule="auto"/>
        <w:ind w:right="312" w:firstLine="525" w:firstLineChars="250"/>
        <w:rPr>
          <w:rFonts w:ascii="宋体" w:hAnsi="宋体"/>
          <w:b/>
          <w:bCs/>
          <w:color w:val="auto"/>
          <w:szCs w:val="21"/>
        </w:rPr>
      </w:pPr>
      <w:r>
        <w:rPr>
          <w:rFonts w:hint="eastAsia" w:ascii="宋体" w:hAnsi="宋体"/>
          <w:color w:val="auto"/>
          <w:szCs w:val="21"/>
        </w:rPr>
        <w:t>4.4 ★拟派项目经理应具备相应资格证书，项目经理应持有安全生产考核合格证（B类）</w:t>
      </w:r>
      <w:r>
        <w:rPr>
          <w:rFonts w:hint="eastAsia" w:ascii="宋体" w:hAnsi="宋体"/>
          <w:b/>
          <w:bCs/>
          <w:color w:val="auto"/>
          <w:szCs w:val="21"/>
        </w:rPr>
        <w:t>(复印件加盖投标人公章)</w:t>
      </w:r>
    </w:p>
    <w:p>
      <w:pPr>
        <w:widowControl/>
        <w:shd w:val="clear" w:color="auto" w:fill="FFFFFF"/>
        <w:spacing w:line="360" w:lineRule="auto"/>
        <w:ind w:right="312" w:firstLine="525" w:firstLineChars="250"/>
        <w:rPr>
          <w:rFonts w:ascii="宋体" w:hAnsi="宋体"/>
          <w:b/>
          <w:bCs/>
          <w:color w:val="auto"/>
          <w:szCs w:val="21"/>
        </w:rPr>
      </w:pPr>
      <w:r>
        <w:rPr>
          <w:rFonts w:hint="eastAsia" w:ascii="宋体" w:hAnsi="宋体"/>
          <w:color w:val="auto"/>
          <w:szCs w:val="21"/>
        </w:rPr>
        <w:t>4.5 ★投标人2020-2021年近六个月内任意一份依法纳税的缴款凭证</w:t>
      </w:r>
      <w:r>
        <w:rPr>
          <w:rFonts w:hint="eastAsia" w:ascii="宋体" w:hAnsi="宋体"/>
          <w:b/>
          <w:bCs/>
          <w:color w:val="auto"/>
          <w:szCs w:val="21"/>
        </w:rPr>
        <w:t>(复印件加盖投标人公章)</w:t>
      </w:r>
    </w:p>
    <w:p>
      <w:pPr>
        <w:widowControl/>
        <w:shd w:val="clear" w:color="auto" w:fill="FFFFFF"/>
        <w:spacing w:line="360" w:lineRule="auto"/>
        <w:ind w:right="312" w:firstLine="525" w:firstLineChars="250"/>
        <w:rPr>
          <w:rFonts w:ascii="宋体" w:hAnsi="宋体"/>
          <w:color w:val="auto"/>
          <w:szCs w:val="21"/>
        </w:rPr>
      </w:pPr>
      <w:r>
        <w:rPr>
          <w:rFonts w:hint="eastAsia" w:ascii="宋体" w:hAnsi="宋体"/>
          <w:color w:val="auto"/>
          <w:szCs w:val="21"/>
        </w:rPr>
        <w:t>4.6  投标人认为需要提供的其他商务资料</w:t>
      </w:r>
      <w:r>
        <w:rPr>
          <w:rFonts w:hint="eastAsia"/>
          <w:color w:val="auto"/>
          <w:szCs w:val="21"/>
        </w:rPr>
        <w:t xml:space="preserve">                       </w:t>
      </w:r>
    </w:p>
    <w:p>
      <w:pPr>
        <w:autoSpaceDE w:val="0"/>
        <w:autoSpaceDN w:val="0"/>
        <w:adjustRightInd w:val="0"/>
        <w:snapToGrid w:val="0"/>
        <w:spacing w:line="480" w:lineRule="exact"/>
        <w:ind w:left="561"/>
        <w:rPr>
          <w:rFonts w:ascii="宋体" w:hAnsi="宋体"/>
          <w:b/>
          <w:bCs/>
          <w:color w:val="auto"/>
          <w:szCs w:val="21"/>
        </w:rPr>
      </w:pPr>
      <w:r>
        <w:rPr>
          <w:rFonts w:hint="eastAsia" w:ascii="宋体" w:hAnsi="宋体"/>
          <w:b/>
          <w:bCs/>
          <w:color w:val="auto"/>
          <w:szCs w:val="21"/>
        </w:rPr>
        <w:t>二、投标须知：</w:t>
      </w:r>
    </w:p>
    <w:p>
      <w:pPr>
        <w:widowControl/>
        <w:shd w:val="clear" w:color="auto" w:fill="FFFFFF"/>
        <w:spacing w:line="360" w:lineRule="auto"/>
        <w:ind w:firstLine="420"/>
        <w:rPr>
          <w:bCs/>
          <w:color w:val="auto"/>
          <w:szCs w:val="21"/>
        </w:rPr>
      </w:pPr>
      <w:r>
        <w:rPr>
          <w:rFonts w:hint="eastAsia" w:ascii="宋体" w:hAnsi="宋体"/>
          <w:bCs/>
          <w:color w:val="auto"/>
          <w:szCs w:val="21"/>
        </w:rPr>
        <w:t>1、</w:t>
      </w:r>
      <w:r>
        <w:rPr>
          <w:rFonts w:hint="eastAsia"/>
          <w:bCs/>
          <w:color w:val="auto"/>
          <w:szCs w:val="21"/>
        </w:rPr>
        <w:t>投标单位应根据附件格式分项单位报价。</w:t>
      </w:r>
    </w:p>
    <w:p>
      <w:pPr>
        <w:widowControl/>
        <w:shd w:val="clear" w:color="auto" w:fill="FFFFFF"/>
        <w:spacing w:line="360" w:lineRule="auto"/>
        <w:ind w:firstLine="420"/>
        <w:rPr>
          <w:rFonts w:ascii="宋体" w:hAnsi="宋体" w:cs="宋体"/>
          <w:color w:val="auto"/>
          <w:szCs w:val="21"/>
        </w:rPr>
      </w:pPr>
      <w:r>
        <w:rPr>
          <w:rFonts w:hint="eastAsia"/>
          <w:bCs/>
          <w:color w:val="auto"/>
          <w:szCs w:val="21"/>
        </w:rPr>
        <w:t>1.1投标方将自行现场查勘，发标方将予以配合，</w:t>
      </w:r>
      <w:r>
        <w:rPr>
          <w:rFonts w:hint="eastAsia" w:ascii="宋体" w:hAnsi="宋体" w:cs="宋体"/>
          <w:color w:val="auto"/>
          <w:szCs w:val="21"/>
        </w:rPr>
        <w:t>各投标单位</w:t>
      </w:r>
      <w:r>
        <w:rPr>
          <w:rFonts w:hint="eastAsia" w:ascii="宋体" w:hAnsi="宋体" w:cs="宋体"/>
          <w:color w:val="auto"/>
          <w:szCs w:val="21"/>
          <w:lang w:eastAsia="zh-CN"/>
        </w:rPr>
        <w:t>须</w:t>
      </w:r>
      <w:r>
        <w:rPr>
          <w:rFonts w:hint="eastAsia" w:ascii="宋体" w:hAnsi="宋体" w:cs="宋体"/>
          <w:color w:val="auto"/>
          <w:szCs w:val="21"/>
        </w:rPr>
        <w:t>对项目现场和周围环境进行仔细认真查勘，充分了解本项目具体工作内容，否则自行承担因了解不充分而影响报价准确性的风险。</w:t>
      </w:r>
    </w:p>
    <w:p>
      <w:pPr>
        <w:widowControl/>
        <w:shd w:val="clear" w:color="auto" w:fill="FFFFFF"/>
        <w:spacing w:line="360" w:lineRule="auto"/>
        <w:ind w:firstLine="420"/>
        <w:rPr>
          <w:rFonts w:hint="default" w:ascii="宋体" w:hAnsi="宋体" w:eastAsia="宋体" w:cs="宋体"/>
          <w:color w:val="auto"/>
          <w:szCs w:val="21"/>
          <w:lang w:val="en-US" w:eastAsia="zh-CN"/>
        </w:rPr>
      </w:pPr>
      <w:r>
        <w:rPr>
          <w:rFonts w:hint="eastAsia" w:ascii="宋体" w:hAnsi="宋体" w:cs="宋体"/>
          <w:color w:val="auto"/>
          <w:szCs w:val="21"/>
        </w:rPr>
        <w:t xml:space="preserve">现场勘察联系人：高俊      联系号码： </w:t>
      </w:r>
      <w:r>
        <w:rPr>
          <w:rFonts w:hint="eastAsia" w:ascii="宋体" w:hAnsi="宋体" w:cs="宋体"/>
          <w:color w:val="auto"/>
          <w:szCs w:val="21"/>
          <w:lang w:val="en-US" w:eastAsia="zh-CN"/>
        </w:rPr>
        <w:t>18952758850</w:t>
      </w:r>
    </w:p>
    <w:p>
      <w:pPr>
        <w:widowControl/>
        <w:shd w:val="clear" w:color="auto" w:fill="FFFFFF"/>
        <w:spacing w:line="360" w:lineRule="auto"/>
        <w:rPr>
          <w:rFonts w:ascii="宋体" w:hAnsi="宋体" w:cs="宋体"/>
          <w:color w:val="auto"/>
          <w:szCs w:val="21"/>
        </w:rPr>
      </w:pPr>
      <w:r>
        <w:rPr>
          <w:rFonts w:hint="eastAsia" w:ascii="宋体" w:hAnsi="宋体" w:cs="宋体"/>
          <w:color w:val="auto"/>
          <w:szCs w:val="21"/>
        </w:rPr>
        <w:t>1.2 其中主要视频设备须采用</w:t>
      </w:r>
      <w:r>
        <w:rPr>
          <w:rFonts w:hint="eastAsia" w:ascii="宋体" w:hAnsi="宋体" w:cs="宋体"/>
          <w:color w:val="auto"/>
          <w:szCs w:val="21"/>
          <w:lang w:eastAsia="zh-CN"/>
        </w:rPr>
        <w:t>优质</w:t>
      </w:r>
      <w:r>
        <w:rPr>
          <w:rFonts w:hint="eastAsia" w:ascii="宋体" w:hAnsi="宋体" w:cs="宋体"/>
          <w:color w:val="auto"/>
          <w:szCs w:val="21"/>
        </w:rPr>
        <w:t>品牌设备，投标文件中须</w:t>
      </w:r>
      <w:r>
        <w:rPr>
          <w:rFonts w:hint="eastAsia" w:ascii="宋体" w:hAnsi="宋体" w:cs="宋体"/>
          <w:b w:val="0"/>
          <w:bCs w:val="0"/>
          <w:color w:val="auto"/>
          <w:szCs w:val="21"/>
        </w:rPr>
        <w:t>提供</w:t>
      </w:r>
      <w:r>
        <w:rPr>
          <w:rFonts w:hint="eastAsia" w:ascii="宋体" w:hAnsi="宋体" w:cs="宋体"/>
          <w:b w:val="0"/>
          <w:bCs w:val="0"/>
          <w:color w:val="auto"/>
          <w:szCs w:val="21"/>
          <w:lang w:eastAsia="zh-CN"/>
        </w:rPr>
        <w:t>所投标产品的</w:t>
      </w:r>
      <w:r>
        <w:rPr>
          <w:rFonts w:hint="eastAsia" w:ascii="宋体" w:hAnsi="宋体" w:cs="宋体"/>
          <w:b w:val="0"/>
          <w:bCs w:val="0"/>
          <w:color w:val="auto"/>
          <w:szCs w:val="21"/>
        </w:rPr>
        <w:t>厂家授权使用原件（盖厂家红章）。</w:t>
      </w:r>
      <w:r>
        <w:rPr>
          <w:rFonts w:hint="eastAsia" w:ascii="宋体" w:hAnsi="宋体" w:cs="宋体"/>
          <w:b/>
          <w:bCs/>
          <w:color w:val="auto"/>
          <w:szCs w:val="21"/>
        </w:rPr>
        <w:t xml:space="preserve"> </w:t>
      </w:r>
    </w:p>
    <w:p>
      <w:pPr>
        <w:widowControl/>
        <w:shd w:val="clear" w:color="auto" w:fill="FFFFFF"/>
        <w:spacing w:line="360" w:lineRule="auto"/>
        <w:ind w:firstLine="420"/>
        <w:rPr>
          <w:rFonts w:asciiTheme="minorEastAsia" w:hAnsiTheme="minorEastAsia" w:eastAsiaTheme="minorEastAsia"/>
          <w:bCs/>
          <w:color w:val="auto"/>
          <w:szCs w:val="21"/>
        </w:rPr>
      </w:pPr>
      <w:r>
        <w:rPr>
          <w:rFonts w:hint="eastAsia" w:asciiTheme="minorEastAsia" w:hAnsiTheme="minorEastAsia" w:eastAsiaTheme="minorEastAsia"/>
          <w:color w:val="auto"/>
          <w:szCs w:val="21"/>
        </w:rPr>
        <w:t>1.</w:t>
      </w:r>
      <w:r>
        <w:rPr>
          <w:rFonts w:hint="eastAsia" w:asciiTheme="minorEastAsia" w:hAnsiTheme="minorEastAsia" w:eastAsiaTheme="minorEastAsia"/>
          <w:bCs/>
          <w:color w:val="auto"/>
          <w:szCs w:val="21"/>
        </w:rPr>
        <w:t>3网络摄像机的技术要求</w:t>
      </w:r>
    </w:p>
    <w:p>
      <w:pPr>
        <w:widowControl/>
        <w:shd w:val="clear" w:color="auto" w:fill="FFFFFF"/>
        <w:ind w:firstLine="420"/>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1）、400万像素</w:t>
      </w:r>
      <w:r>
        <w:rPr>
          <w:rFonts w:asciiTheme="minorEastAsia" w:hAnsiTheme="minorEastAsia" w:eastAsiaTheme="minorEastAsia"/>
          <w:b/>
          <w:color w:val="auto"/>
          <w:szCs w:val="21"/>
        </w:rPr>
        <w:t>日夜型</w:t>
      </w:r>
      <w:r>
        <w:rPr>
          <w:rFonts w:hint="eastAsia" w:asciiTheme="minorEastAsia" w:hAnsiTheme="minorEastAsia" w:eastAsiaTheme="minorEastAsia"/>
          <w:b/>
          <w:color w:val="auto"/>
          <w:szCs w:val="21"/>
        </w:rPr>
        <w:t>筒型网络高清摄像机（枪机）</w:t>
      </w:r>
    </w:p>
    <w:p>
      <w:pPr>
        <w:widowControl/>
        <w:shd w:val="clear" w:color="auto" w:fill="FFFFFF"/>
        <w:ind w:firstLine="420"/>
        <w:rPr>
          <w:rFonts w:asciiTheme="minorEastAsia" w:hAnsiTheme="minorEastAsia" w:eastAsiaTheme="minorEastAsia"/>
          <w:bCs/>
          <w:color w:val="auto"/>
          <w:szCs w:val="21"/>
        </w:rPr>
      </w:pPr>
      <w:r>
        <w:rPr>
          <w:rFonts w:asciiTheme="minorEastAsia" w:hAnsiTheme="minorEastAsia" w:eastAsiaTheme="minorEastAsia"/>
          <w:bCs/>
          <w:color w:val="auto"/>
          <w:szCs w:val="21"/>
        </w:rPr>
        <w:t>最低照度: 彩色：0.005 Lux @（F1.2，AGC ON），0 Lux with IR</w:t>
      </w:r>
    </w:p>
    <w:p>
      <w:pPr>
        <w:widowControl/>
        <w:shd w:val="clear" w:color="auto" w:fill="FFFFFF"/>
        <w:ind w:firstLine="420"/>
        <w:rPr>
          <w:rFonts w:asciiTheme="minorEastAsia" w:hAnsiTheme="minorEastAsia" w:eastAsiaTheme="minorEastAsia"/>
          <w:bCs/>
          <w:color w:val="auto"/>
          <w:szCs w:val="21"/>
        </w:rPr>
      </w:pPr>
      <w:r>
        <w:rPr>
          <w:rFonts w:asciiTheme="minorEastAsia" w:hAnsiTheme="minorEastAsia" w:eastAsiaTheme="minorEastAsia"/>
          <w:bCs/>
          <w:color w:val="auto"/>
          <w:szCs w:val="21"/>
        </w:rPr>
        <w:t>宽动态: 120 dB</w:t>
      </w:r>
    </w:p>
    <w:p>
      <w:pPr>
        <w:widowControl/>
        <w:shd w:val="clear" w:color="auto" w:fill="FFFFFF"/>
        <w:ind w:firstLine="420"/>
        <w:rPr>
          <w:rFonts w:asciiTheme="minorEastAsia" w:hAnsiTheme="minorEastAsia" w:eastAsiaTheme="minorEastAsia"/>
          <w:bCs/>
          <w:color w:val="auto"/>
          <w:szCs w:val="21"/>
        </w:rPr>
      </w:pPr>
      <w:r>
        <w:rPr>
          <w:rFonts w:asciiTheme="minorEastAsia" w:hAnsiTheme="minorEastAsia" w:eastAsiaTheme="minorEastAsia"/>
          <w:bCs/>
          <w:color w:val="auto"/>
          <w:szCs w:val="21"/>
        </w:rPr>
        <w:t xml:space="preserve">焦距&amp;视场角: </w:t>
      </w:r>
    </w:p>
    <w:p>
      <w:pPr>
        <w:widowControl/>
        <w:shd w:val="clear" w:color="auto" w:fill="FFFFFF"/>
        <w:ind w:firstLine="420"/>
        <w:rPr>
          <w:rFonts w:asciiTheme="minorEastAsia" w:hAnsiTheme="minorEastAsia" w:eastAsiaTheme="minorEastAsia"/>
          <w:bCs/>
          <w:color w:val="auto"/>
          <w:szCs w:val="21"/>
        </w:rPr>
      </w:pPr>
      <w:r>
        <w:rPr>
          <w:rFonts w:asciiTheme="minorEastAsia" w:hAnsiTheme="minorEastAsia" w:eastAsiaTheme="minorEastAsia"/>
          <w:bCs/>
          <w:color w:val="auto"/>
          <w:szCs w:val="21"/>
        </w:rPr>
        <w:t>2.8 mm，水平视场角：98.2°，垂直视场角：54.6°，对角线视场角：115.2°</w:t>
      </w:r>
    </w:p>
    <w:p>
      <w:pPr>
        <w:widowControl/>
        <w:shd w:val="clear" w:color="auto" w:fill="FFFFFF"/>
        <w:ind w:firstLine="420"/>
        <w:rPr>
          <w:rFonts w:asciiTheme="minorEastAsia" w:hAnsiTheme="minorEastAsia" w:eastAsiaTheme="minorEastAsia"/>
          <w:bCs/>
          <w:color w:val="auto"/>
          <w:szCs w:val="21"/>
        </w:rPr>
      </w:pPr>
      <w:r>
        <w:rPr>
          <w:rFonts w:asciiTheme="minorEastAsia" w:hAnsiTheme="minorEastAsia" w:eastAsiaTheme="minorEastAsia"/>
          <w:bCs/>
          <w:color w:val="auto"/>
          <w:szCs w:val="21"/>
        </w:rPr>
        <w:t xml:space="preserve">4 mm，水平视场角：79°，垂直视场角：42.4°，对角线视场角：93.3° </w:t>
      </w:r>
    </w:p>
    <w:p>
      <w:pPr>
        <w:widowControl/>
        <w:shd w:val="clear" w:color="auto" w:fill="FFFFFF"/>
        <w:ind w:firstLine="420"/>
        <w:rPr>
          <w:rFonts w:asciiTheme="minorEastAsia" w:hAnsiTheme="minorEastAsia" w:eastAsiaTheme="minorEastAsia"/>
          <w:bCs/>
          <w:color w:val="auto"/>
          <w:szCs w:val="21"/>
        </w:rPr>
      </w:pPr>
      <w:r>
        <w:rPr>
          <w:rFonts w:asciiTheme="minorEastAsia" w:hAnsiTheme="minorEastAsia" w:eastAsiaTheme="minorEastAsia"/>
          <w:bCs/>
          <w:color w:val="auto"/>
          <w:szCs w:val="21"/>
        </w:rPr>
        <w:t xml:space="preserve">6 mm，水平视场角：49.1°，垂直视场角：26.3°，对角线视场角：57.2° </w:t>
      </w:r>
    </w:p>
    <w:p>
      <w:pPr>
        <w:widowControl/>
        <w:shd w:val="clear" w:color="auto" w:fill="FFFFFF"/>
        <w:ind w:firstLine="420"/>
        <w:rPr>
          <w:rFonts w:asciiTheme="minorEastAsia" w:hAnsiTheme="minorEastAsia" w:eastAsiaTheme="minorEastAsia"/>
          <w:bCs/>
          <w:color w:val="auto"/>
          <w:szCs w:val="21"/>
        </w:rPr>
      </w:pPr>
      <w:r>
        <w:rPr>
          <w:rFonts w:asciiTheme="minorEastAsia" w:hAnsiTheme="minorEastAsia" w:eastAsiaTheme="minorEastAsia"/>
          <w:bCs/>
          <w:color w:val="auto"/>
          <w:szCs w:val="21"/>
        </w:rPr>
        <w:t xml:space="preserve">8 mm，水平视场角：37.5°，垂直视场角：20.7°，对角线视场角：43.3° </w:t>
      </w:r>
    </w:p>
    <w:p>
      <w:pPr>
        <w:widowControl/>
        <w:shd w:val="clear" w:color="auto" w:fill="FFFFFF"/>
        <w:ind w:firstLine="420"/>
        <w:rPr>
          <w:rFonts w:asciiTheme="minorEastAsia" w:hAnsiTheme="minorEastAsia" w:eastAsiaTheme="minorEastAsia"/>
          <w:bCs/>
          <w:color w:val="auto"/>
          <w:szCs w:val="21"/>
        </w:rPr>
      </w:pPr>
      <w:r>
        <w:rPr>
          <w:rFonts w:asciiTheme="minorEastAsia" w:hAnsiTheme="minorEastAsia" w:eastAsiaTheme="minorEastAsia"/>
          <w:bCs/>
          <w:color w:val="auto"/>
          <w:szCs w:val="21"/>
        </w:rPr>
        <w:t>12 mm，水平视场角：23.4°，垂直视场角：12.3°，对角线视场角：26.8°</w:t>
      </w:r>
    </w:p>
    <w:p>
      <w:pPr>
        <w:widowControl/>
        <w:shd w:val="clear" w:color="auto" w:fill="FFFFFF"/>
        <w:ind w:firstLine="420"/>
        <w:rPr>
          <w:rFonts w:asciiTheme="minorEastAsia" w:hAnsiTheme="minorEastAsia" w:eastAsiaTheme="minorEastAsia"/>
          <w:bCs/>
          <w:color w:val="auto"/>
          <w:szCs w:val="21"/>
        </w:rPr>
      </w:pPr>
      <w:r>
        <w:rPr>
          <w:rFonts w:asciiTheme="minorEastAsia" w:hAnsiTheme="minorEastAsia" w:eastAsiaTheme="minorEastAsia"/>
          <w:bCs/>
          <w:color w:val="auto"/>
          <w:szCs w:val="21"/>
        </w:rPr>
        <w:t>红外距离: 最远可达30 m</w:t>
      </w:r>
    </w:p>
    <w:p>
      <w:pPr>
        <w:widowControl/>
        <w:shd w:val="clear" w:color="auto" w:fill="FFFFFF"/>
        <w:ind w:firstLine="420"/>
        <w:rPr>
          <w:rFonts w:asciiTheme="minorEastAsia" w:hAnsiTheme="minorEastAsia" w:eastAsiaTheme="minorEastAsia"/>
          <w:bCs/>
          <w:color w:val="auto"/>
          <w:szCs w:val="21"/>
        </w:rPr>
      </w:pPr>
      <w:r>
        <w:rPr>
          <w:rFonts w:asciiTheme="minorEastAsia" w:hAnsiTheme="minorEastAsia" w:eastAsiaTheme="minorEastAsia"/>
          <w:bCs/>
          <w:color w:val="auto"/>
          <w:szCs w:val="21"/>
        </w:rPr>
        <w:t>最大图像尺寸: 2560 × 1440</w:t>
      </w:r>
    </w:p>
    <w:p>
      <w:pPr>
        <w:widowControl/>
        <w:shd w:val="clear" w:color="auto" w:fill="FFFFFF"/>
        <w:ind w:firstLine="420"/>
        <w:rPr>
          <w:rFonts w:asciiTheme="minorEastAsia" w:hAnsiTheme="minorEastAsia" w:eastAsiaTheme="minorEastAsia"/>
          <w:bCs/>
          <w:color w:val="auto"/>
          <w:szCs w:val="21"/>
        </w:rPr>
      </w:pPr>
      <w:r>
        <w:rPr>
          <w:rFonts w:asciiTheme="minorEastAsia" w:hAnsiTheme="minorEastAsia" w:eastAsiaTheme="minorEastAsia"/>
          <w:bCs/>
          <w:color w:val="auto"/>
          <w:szCs w:val="21"/>
        </w:rPr>
        <w:t>视频压缩标准: 主码流：H.265/H.264</w:t>
      </w:r>
    </w:p>
    <w:p>
      <w:pPr>
        <w:widowControl/>
        <w:shd w:val="clear" w:color="auto" w:fill="FFFFFF"/>
        <w:ind w:firstLine="420"/>
        <w:rPr>
          <w:rFonts w:asciiTheme="minorEastAsia" w:hAnsiTheme="minorEastAsia" w:eastAsiaTheme="minorEastAsia"/>
          <w:bCs/>
          <w:color w:val="auto"/>
          <w:szCs w:val="21"/>
        </w:rPr>
      </w:pPr>
      <w:r>
        <w:rPr>
          <w:rFonts w:asciiTheme="minorEastAsia" w:hAnsiTheme="minorEastAsia" w:eastAsiaTheme="minorEastAsia"/>
          <w:bCs/>
          <w:color w:val="auto"/>
          <w:szCs w:val="21"/>
        </w:rPr>
        <w:t>网络存储: 支持NAS（NFS，SMB/CIFS均支持）</w:t>
      </w:r>
    </w:p>
    <w:p>
      <w:pPr>
        <w:widowControl/>
        <w:shd w:val="clear" w:color="auto" w:fill="FFFFFF"/>
        <w:ind w:firstLine="420"/>
        <w:rPr>
          <w:rFonts w:asciiTheme="minorEastAsia" w:hAnsiTheme="minorEastAsia" w:eastAsiaTheme="minorEastAsia"/>
          <w:bCs/>
          <w:color w:val="auto"/>
          <w:szCs w:val="21"/>
        </w:rPr>
      </w:pPr>
      <w:r>
        <w:rPr>
          <w:rFonts w:asciiTheme="minorEastAsia" w:hAnsiTheme="minorEastAsia" w:eastAsiaTheme="minorEastAsia"/>
          <w:bCs/>
          <w:color w:val="auto"/>
          <w:szCs w:val="21"/>
        </w:rPr>
        <w:t>网络: 1个RJ45 10M / 100M 自适应以太网口</w:t>
      </w:r>
    </w:p>
    <w:p>
      <w:pPr>
        <w:widowControl/>
        <w:shd w:val="clear" w:color="auto" w:fill="FFFFFF"/>
        <w:ind w:firstLine="420"/>
        <w:rPr>
          <w:rFonts w:asciiTheme="minorEastAsia" w:hAnsiTheme="minorEastAsia" w:eastAsiaTheme="minorEastAsia"/>
          <w:bCs/>
          <w:color w:val="auto"/>
          <w:szCs w:val="21"/>
        </w:rPr>
      </w:pPr>
      <w:r>
        <w:rPr>
          <w:rFonts w:asciiTheme="minorEastAsia" w:hAnsiTheme="minorEastAsia" w:eastAsiaTheme="minorEastAsia"/>
          <w:bCs/>
          <w:color w:val="auto"/>
          <w:szCs w:val="21"/>
        </w:rPr>
        <w:t>音频: 1个内置麦克风</w:t>
      </w:r>
    </w:p>
    <w:p>
      <w:pPr>
        <w:widowControl/>
        <w:shd w:val="clear" w:color="auto" w:fill="FFFFFF"/>
        <w:ind w:firstLine="420"/>
        <w:rPr>
          <w:rFonts w:asciiTheme="minorEastAsia" w:hAnsiTheme="minorEastAsia" w:eastAsiaTheme="minorEastAsia"/>
          <w:bCs/>
          <w:color w:val="auto"/>
          <w:szCs w:val="21"/>
        </w:rPr>
      </w:pPr>
      <w:r>
        <w:rPr>
          <w:rFonts w:asciiTheme="minorEastAsia" w:hAnsiTheme="minorEastAsia" w:eastAsiaTheme="minorEastAsia"/>
          <w:bCs/>
          <w:color w:val="auto"/>
          <w:szCs w:val="21"/>
        </w:rPr>
        <w:t>产品尺寸: 186.6 × 93.5 × 92.9 mm</w:t>
      </w:r>
    </w:p>
    <w:p>
      <w:pPr>
        <w:widowControl/>
        <w:shd w:val="clear" w:color="auto" w:fill="FFFFFF"/>
        <w:ind w:firstLine="420"/>
        <w:rPr>
          <w:rFonts w:asciiTheme="minorEastAsia" w:hAnsiTheme="minorEastAsia" w:eastAsiaTheme="minorEastAsia"/>
          <w:bCs/>
          <w:color w:val="auto"/>
          <w:szCs w:val="21"/>
        </w:rPr>
      </w:pPr>
      <w:r>
        <w:rPr>
          <w:rFonts w:asciiTheme="minorEastAsia" w:hAnsiTheme="minorEastAsia" w:eastAsiaTheme="minorEastAsia"/>
          <w:bCs/>
          <w:color w:val="auto"/>
          <w:szCs w:val="21"/>
        </w:rPr>
        <w:t>包装尺寸: 235 × 120 × 125 mm</w:t>
      </w:r>
    </w:p>
    <w:p>
      <w:pPr>
        <w:widowControl/>
        <w:shd w:val="clear" w:color="auto" w:fill="FFFFFF"/>
        <w:ind w:firstLine="420"/>
        <w:rPr>
          <w:rFonts w:asciiTheme="minorEastAsia" w:hAnsiTheme="minorEastAsia" w:eastAsiaTheme="minorEastAsia"/>
          <w:bCs/>
          <w:color w:val="auto"/>
          <w:szCs w:val="21"/>
        </w:rPr>
      </w:pPr>
      <w:r>
        <w:rPr>
          <w:rFonts w:asciiTheme="minorEastAsia" w:hAnsiTheme="minorEastAsia" w:eastAsiaTheme="minorEastAsia"/>
          <w:bCs/>
          <w:color w:val="auto"/>
          <w:szCs w:val="21"/>
        </w:rPr>
        <w:t>设备重量: 660 g</w:t>
      </w:r>
    </w:p>
    <w:p>
      <w:pPr>
        <w:widowControl/>
        <w:shd w:val="clear" w:color="auto" w:fill="FFFFFF"/>
        <w:ind w:firstLine="420"/>
        <w:rPr>
          <w:rFonts w:asciiTheme="minorEastAsia" w:hAnsiTheme="minorEastAsia" w:eastAsiaTheme="minorEastAsia"/>
          <w:bCs/>
          <w:color w:val="auto"/>
          <w:szCs w:val="21"/>
        </w:rPr>
      </w:pPr>
      <w:r>
        <w:rPr>
          <w:rFonts w:asciiTheme="minorEastAsia" w:hAnsiTheme="minorEastAsia" w:eastAsiaTheme="minorEastAsia"/>
          <w:bCs/>
          <w:color w:val="auto"/>
          <w:szCs w:val="21"/>
        </w:rPr>
        <w:t>带包装重量: 880 g</w:t>
      </w:r>
    </w:p>
    <w:p>
      <w:pPr>
        <w:widowControl/>
        <w:shd w:val="clear" w:color="auto" w:fill="FFFFFF"/>
        <w:ind w:firstLine="420"/>
        <w:rPr>
          <w:rFonts w:asciiTheme="minorEastAsia" w:hAnsiTheme="minorEastAsia" w:eastAsiaTheme="minorEastAsia"/>
          <w:bCs/>
          <w:color w:val="auto"/>
          <w:szCs w:val="21"/>
        </w:rPr>
      </w:pPr>
      <w:r>
        <w:rPr>
          <w:rFonts w:asciiTheme="minorEastAsia" w:hAnsiTheme="minorEastAsia" w:eastAsiaTheme="minorEastAsia"/>
          <w:bCs/>
          <w:color w:val="auto"/>
          <w:szCs w:val="21"/>
        </w:rPr>
        <w:t>启动和工作温湿度: -30 ℃~60 ℃，湿度小于95%（无凝结）</w:t>
      </w:r>
    </w:p>
    <w:p>
      <w:pPr>
        <w:widowControl/>
        <w:shd w:val="clear" w:color="auto" w:fill="FFFFFF"/>
        <w:ind w:firstLine="420"/>
        <w:rPr>
          <w:rFonts w:asciiTheme="minorEastAsia" w:hAnsiTheme="minorEastAsia" w:eastAsiaTheme="minorEastAsia"/>
          <w:bCs/>
          <w:color w:val="auto"/>
          <w:szCs w:val="21"/>
        </w:rPr>
      </w:pPr>
      <w:r>
        <w:rPr>
          <w:rFonts w:asciiTheme="minorEastAsia" w:hAnsiTheme="minorEastAsia" w:eastAsiaTheme="minorEastAsia"/>
          <w:bCs/>
          <w:color w:val="auto"/>
          <w:szCs w:val="21"/>
        </w:rPr>
        <w:t>电流及功耗: DC：12 V，0.33 A，最大功耗：4.0 W; PoE：802.3af，36 V~57 V，0.18 A~0.11 A，最大功耗：6.5 W</w:t>
      </w:r>
    </w:p>
    <w:p>
      <w:pPr>
        <w:widowControl/>
        <w:shd w:val="clear" w:color="auto" w:fill="FFFFFF"/>
        <w:ind w:firstLine="420"/>
        <w:rPr>
          <w:rFonts w:asciiTheme="minorEastAsia" w:hAnsiTheme="minorEastAsia" w:eastAsiaTheme="minorEastAsia"/>
          <w:bCs/>
          <w:color w:val="auto"/>
          <w:szCs w:val="21"/>
        </w:rPr>
      </w:pPr>
      <w:r>
        <w:rPr>
          <w:rFonts w:asciiTheme="minorEastAsia" w:hAnsiTheme="minorEastAsia" w:eastAsiaTheme="minorEastAsia"/>
          <w:bCs/>
          <w:color w:val="auto"/>
          <w:szCs w:val="21"/>
        </w:rPr>
        <w:t>供电方式: DC：12 V ± 25%; PoE：802.3af</w:t>
      </w:r>
    </w:p>
    <w:p>
      <w:pPr>
        <w:widowControl/>
        <w:shd w:val="clear" w:color="auto" w:fill="FFFFFF"/>
        <w:ind w:firstLine="420"/>
        <w:rPr>
          <w:rFonts w:asciiTheme="minorEastAsia" w:hAnsiTheme="minorEastAsia" w:eastAsiaTheme="minorEastAsia"/>
          <w:bCs/>
          <w:color w:val="auto"/>
          <w:szCs w:val="21"/>
        </w:rPr>
      </w:pPr>
      <w:r>
        <w:rPr>
          <w:rFonts w:asciiTheme="minorEastAsia" w:hAnsiTheme="minorEastAsia" w:eastAsiaTheme="minorEastAsia"/>
          <w:bCs/>
          <w:color w:val="auto"/>
          <w:szCs w:val="21"/>
        </w:rPr>
        <w:t>电源接口类型: Ø5.5 mm圆口</w:t>
      </w:r>
    </w:p>
    <w:p>
      <w:pPr>
        <w:widowControl/>
        <w:shd w:val="clear" w:color="auto" w:fill="FFFFFF"/>
        <w:ind w:firstLine="420"/>
        <w:rPr>
          <w:rFonts w:asciiTheme="minorEastAsia" w:hAnsiTheme="minorEastAsia" w:eastAsiaTheme="minorEastAsia"/>
          <w:bCs/>
          <w:color w:val="auto"/>
          <w:szCs w:val="21"/>
        </w:rPr>
      </w:pPr>
      <w:r>
        <w:rPr>
          <w:rFonts w:asciiTheme="minorEastAsia" w:hAnsiTheme="minorEastAsia" w:eastAsiaTheme="minorEastAsia"/>
          <w:bCs/>
          <w:color w:val="auto"/>
          <w:szCs w:val="21"/>
        </w:rPr>
        <w:t>防护: IP66</w:t>
      </w:r>
    </w:p>
    <w:p>
      <w:pPr>
        <w:widowControl/>
        <w:shd w:val="clear" w:color="auto" w:fill="FFFFFF"/>
        <w:spacing w:line="360" w:lineRule="auto"/>
        <w:ind w:firstLine="420"/>
        <w:rPr>
          <w:rFonts w:asciiTheme="minorEastAsia" w:hAnsiTheme="minorEastAsia" w:eastAsiaTheme="minorEastAsia"/>
          <w:b/>
          <w:color w:val="auto"/>
          <w:szCs w:val="21"/>
        </w:rPr>
      </w:pPr>
    </w:p>
    <w:p>
      <w:pPr>
        <w:widowControl/>
        <w:shd w:val="clear" w:color="auto" w:fill="FFFFFF"/>
        <w:spacing w:line="360" w:lineRule="auto"/>
        <w:ind w:firstLine="420"/>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2）、400万像素网络红外球型摄像机</w:t>
      </w:r>
    </w:p>
    <w:p>
      <w:pPr>
        <w:widowControl/>
        <w:shd w:val="clear" w:color="auto" w:fill="FFFFFF"/>
        <w:ind w:firstLine="420"/>
        <w:rPr>
          <w:rFonts w:asciiTheme="minorEastAsia" w:hAnsiTheme="minorEastAsia" w:eastAsiaTheme="minorEastAsia"/>
          <w:bCs/>
          <w:color w:val="auto"/>
          <w:szCs w:val="21"/>
        </w:rPr>
      </w:pPr>
      <w:r>
        <w:rPr>
          <w:rFonts w:asciiTheme="minorEastAsia" w:hAnsiTheme="minorEastAsia" w:eastAsiaTheme="minorEastAsia"/>
          <w:bCs/>
          <w:color w:val="auto"/>
          <w:szCs w:val="21"/>
        </w:rPr>
        <w:t>★视频输出支持2560×1440@25fps，分辨力不小于1400TVL，红外距离可达300米（以公安部检验报告为准）</w:t>
      </w:r>
    </w:p>
    <w:p>
      <w:pPr>
        <w:widowControl/>
        <w:shd w:val="clear" w:color="auto" w:fill="FFFFFF"/>
        <w:ind w:firstLine="420"/>
        <w:rPr>
          <w:rFonts w:asciiTheme="minorEastAsia" w:hAnsiTheme="minorEastAsia" w:eastAsiaTheme="minorEastAsia"/>
          <w:bCs/>
          <w:color w:val="auto"/>
          <w:szCs w:val="21"/>
        </w:rPr>
      </w:pPr>
      <w:r>
        <w:rPr>
          <w:rFonts w:asciiTheme="minorEastAsia" w:hAnsiTheme="minorEastAsia" w:eastAsiaTheme="minorEastAsia"/>
          <w:bCs/>
          <w:color w:val="auto"/>
          <w:szCs w:val="21"/>
        </w:rPr>
        <w:t>支持23倍光学变焦</w:t>
      </w:r>
    </w:p>
    <w:p>
      <w:pPr>
        <w:widowControl/>
        <w:shd w:val="clear" w:color="auto" w:fill="FFFFFF"/>
        <w:ind w:firstLine="420"/>
        <w:rPr>
          <w:rFonts w:asciiTheme="minorEastAsia" w:hAnsiTheme="minorEastAsia" w:eastAsiaTheme="minorEastAsia"/>
          <w:bCs/>
          <w:color w:val="auto"/>
          <w:szCs w:val="21"/>
        </w:rPr>
      </w:pPr>
      <w:r>
        <w:rPr>
          <w:rFonts w:asciiTheme="minorEastAsia" w:hAnsiTheme="minorEastAsia" w:eastAsiaTheme="minorEastAsia"/>
          <w:bCs/>
          <w:color w:val="auto"/>
          <w:szCs w:val="21"/>
        </w:rPr>
        <w:t>★支持最低照度可达彩色0.0002Lux，黑白0.0001Lux（以公安部检验报告为准）</w:t>
      </w:r>
    </w:p>
    <w:p>
      <w:pPr>
        <w:widowControl/>
        <w:shd w:val="clear" w:color="auto" w:fill="FFFFFF"/>
        <w:ind w:firstLine="420"/>
        <w:rPr>
          <w:rFonts w:asciiTheme="minorEastAsia" w:hAnsiTheme="minorEastAsia" w:eastAsiaTheme="minorEastAsia"/>
          <w:bCs/>
          <w:color w:val="auto"/>
          <w:szCs w:val="21"/>
        </w:rPr>
      </w:pPr>
      <w:r>
        <w:rPr>
          <w:rFonts w:asciiTheme="minorEastAsia" w:hAnsiTheme="minorEastAsia" w:eastAsiaTheme="minorEastAsia"/>
          <w:bCs/>
          <w:color w:val="auto"/>
          <w:szCs w:val="21"/>
        </w:rPr>
        <w:t>★支持水平手控速度不小于550°/S，垂直速度不小于120°/S，云台定位精度为±0.1°（以公安部检验报告为准）</w:t>
      </w:r>
    </w:p>
    <w:p>
      <w:pPr>
        <w:widowControl/>
        <w:shd w:val="clear" w:color="auto" w:fill="FFFFFF"/>
        <w:ind w:firstLine="420"/>
        <w:rPr>
          <w:rFonts w:asciiTheme="minorEastAsia" w:hAnsiTheme="minorEastAsia" w:eastAsiaTheme="minorEastAsia"/>
          <w:bCs/>
          <w:color w:val="auto"/>
          <w:szCs w:val="21"/>
        </w:rPr>
      </w:pPr>
      <w:r>
        <w:rPr>
          <w:rFonts w:asciiTheme="minorEastAsia" w:hAnsiTheme="minorEastAsia" w:eastAsiaTheme="minorEastAsia"/>
          <w:bCs/>
          <w:color w:val="auto"/>
          <w:szCs w:val="21"/>
        </w:rPr>
        <w:t>水平旋转范围为360°连续旋转，垂直旋转范围为-20°~90°</w:t>
      </w:r>
    </w:p>
    <w:p>
      <w:pPr>
        <w:widowControl/>
        <w:shd w:val="clear" w:color="auto" w:fill="FFFFFF"/>
        <w:ind w:firstLine="420"/>
        <w:rPr>
          <w:rFonts w:asciiTheme="minorEastAsia" w:hAnsiTheme="minorEastAsia" w:eastAsiaTheme="minorEastAsia"/>
          <w:bCs/>
          <w:color w:val="auto"/>
          <w:szCs w:val="21"/>
        </w:rPr>
      </w:pPr>
      <w:r>
        <w:rPr>
          <w:rFonts w:asciiTheme="minorEastAsia" w:hAnsiTheme="minorEastAsia" w:eastAsiaTheme="minorEastAsia"/>
          <w:bCs/>
          <w:color w:val="auto"/>
          <w:szCs w:val="21"/>
        </w:rPr>
        <w:t>支持300个预置位，可按照所设置的预置位完成不小于8条巡航路径，支持不小于4条模式路径设置，支持预置位视频冻结功能；可实现RS485接口优先或RJ45网络接口优先控制功能</w:t>
      </w:r>
    </w:p>
    <w:p>
      <w:pPr>
        <w:widowControl/>
        <w:shd w:val="clear" w:color="auto" w:fill="FFFFFF"/>
        <w:ind w:firstLine="420"/>
        <w:rPr>
          <w:rFonts w:asciiTheme="minorEastAsia" w:hAnsiTheme="minorEastAsia" w:eastAsiaTheme="minorEastAsia"/>
          <w:bCs/>
          <w:color w:val="auto"/>
          <w:szCs w:val="21"/>
        </w:rPr>
      </w:pPr>
      <w:r>
        <w:rPr>
          <w:rFonts w:asciiTheme="minorEastAsia" w:hAnsiTheme="minorEastAsia" w:eastAsiaTheme="minorEastAsia"/>
          <w:bCs/>
          <w:color w:val="auto"/>
          <w:szCs w:val="21"/>
        </w:rPr>
        <w:t>样机可对设定区域内的运动目标在设定时间内持续跟踪，使该目标处于主视频图像中，样机可自动调节变倍，可对该目标抓拍图片并可手动切换跟踪目标</w:t>
      </w:r>
    </w:p>
    <w:p>
      <w:pPr>
        <w:widowControl/>
        <w:shd w:val="clear" w:color="auto" w:fill="FFFFFF"/>
        <w:ind w:firstLine="420"/>
        <w:rPr>
          <w:rFonts w:asciiTheme="minorEastAsia" w:hAnsiTheme="minorEastAsia" w:eastAsiaTheme="minorEastAsia"/>
          <w:bCs/>
          <w:color w:val="auto"/>
          <w:szCs w:val="21"/>
        </w:rPr>
      </w:pPr>
      <w:r>
        <w:rPr>
          <w:rFonts w:asciiTheme="minorEastAsia" w:hAnsiTheme="minorEastAsia" w:eastAsiaTheme="minorEastAsia"/>
          <w:bCs/>
          <w:color w:val="auto"/>
          <w:szCs w:val="21"/>
        </w:rPr>
        <w:t>★信噪比≥63dB，网络延时不大于100ms（以公安部检验报告为准）</w:t>
      </w:r>
    </w:p>
    <w:p>
      <w:pPr>
        <w:widowControl/>
        <w:shd w:val="clear" w:color="auto" w:fill="FFFFFF"/>
        <w:ind w:firstLine="420"/>
        <w:rPr>
          <w:rFonts w:asciiTheme="minorEastAsia" w:hAnsiTheme="minorEastAsia" w:eastAsiaTheme="minorEastAsia"/>
          <w:bCs/>
          <w:color w:val="auto"/>
          <w:szCs w:val="21"/>
        </w:rPr>
      </w:pPr>
      <w:r>
        <w:rPr>
          <w:rFonts w:asciiTheme="minorEastAsia" w:hAnsiTheme="minorEastAsia" w:eastAsiaTheme="minorEastAsia"/>
          <w:bCs/>
          <w:color w:val="auto"/>
          <w:szCs w:val="21"/>
        </w:rPr>
        <w:t>★动态范围不小于106dB，照度适应范围不小于138dB，宽动态能力综合得分不小于135（以公安部检验报告为准）</w:t>
      </w:r>
    </w:p>
    <w:p>
      <w:pPr>
        <w:widowControl/>
        <w:shd w:val="clear" w:color="auto" w:fill="FFFFFF"/>
        <w:ind w:firstLine="420"/>
        <w:rPr>
          <w:rFonts w:asciiTheme="minorEastAsia" w:hAnsiTheme="minorEastAsia" w:eastAsiaTheme="minorEastAsia"/>
          <w:bCs/>
          <w:color w:val="auto"/>
          <w:szCs w:val="21"/>
        </w:rPr>
      </w:pPr>
      <w:r>
        <w:rPr>
          <w:rFonts w:asciiTheme="minorEastAsia" w:hAnsiTheme="minorEastAsia" w:eastAsiaTheme="minorEastAsia"/>
          <w:bCs/>
          <w:color w:val="auto"/>
          <w:szCs w:val="21"/>
        </w:rPr>
        <w:t>★样机与客户端之间用300m五类非屏蔽网线直接连接，网络传输能力满足发送1500个数据包，重复测试3次，每次丢包数不大于1个（以公安部检验报告为准）</w:t>
      </w:r>
    </w:p>
    <w:p>
      <w:pPr>
        <w:widowControl/>
        <w:shd w:val="clear" w:color="auto" w:fill="FFFFFF"/>
        <w:ind w:firstLine="420"/>
        <w:rPr>
          <w:rFonts w:asciiTheme="minorEastAsia" w:hAnsiTheme="minorEastAsia" w:eastAsiaTheme="minorEastAsia"/>
          <w:bCs/>
          <w:color w:val="auto"/>
          <w:szCs w:val="21"/>
        </w:rPr>
      </w:pPr>
      <w:r>
        <w:rPr>
          <w:rFonts w:asciiTheme="minorEastAsia" w:hAnsiTheme="minorEastAsia" w:eastAsiaTheme="minorEastAsia"/>
          <w:bCs/>
          <w:color w:val="auto"/>
          <w:szCs w:val="21"/>
        </w:rPr>
        <w:t>★具备较强的网络自适应能力，在丢包率为20%的网络环境下，仍可正常显示监视画面。（以公安部检验报告为准）</w:t>
      </w:r>
    </w:p>
    <w:p>
      <w:pPr>
        <w:widowControl/>
        <w:shd w:val="clear" w:color="auto" w:fill="FFFFFF"/>
        <w:ind w:firstLine="420"/>
        <w:rPr>
          <w:rFonts w:asciiTheme="minorEastAsia" w:hAnsiTheme="minorEastAsia" w:eastAsiaTheme="minorEastAsia"/>
          <w:bCs/>
          <w:color w:val="auto"/>
          <w:szCs w:val="21"/>
        </w:rPr>
      </w:pPr>
      <w:r>
        <w:rPr>
          <w:rFonts w:asciiTheme="minorEastAsia" w:hAnsiTheme="minorEastAsia" w:eastAsiaTheme="minorEastAsia"/>
          <w:bCs/>
          <w:color w:val="auto"/>
          <w:szCs w:val="21"/>
        </w:rPr>
        <w:t>支持智能红外、透雾、强光抑制、电子防抖、数字降噪、防红外过曝功能</w:t>
      </w:r>
    </w:p>
    <w:p>
      <w:pPr>
        <w:widowControl/>
        <w:shd w:val="clear" w:color="auto" w:fill="FFFFFF"/>
        <w:ind w:firstLine="420"/>
        <w:rPr>
          <w:rFonts w:asciiTheme="minorEastAsia" w:hAnsiTheme="minorEastAsia" w:eastAsiaTheme="minorEastAsia"/>
          <w:bCs/>
          <w:color w:val="auto"/>
          <w:szCs w:val="21"/>
        </w:rPr>
      </w:pPr>
      <w:r>
        <w:rPr>
          <w:rFonts w:asciiTheme="minorEastAsia" w:hAnsiTheme="minorEastAsia" w:eastAsiaTheme="minorEastAsia"/>
          <w:bCs/>
          <w:color w:val="auto"/>
          <w:szCs w:val="21"/>
        </w:rPr>
        <w:t>支持区域遮盖功能，支持设置不少于24个不规则四边形区域，可设置不同颜色；支持3D定位、断电记忆功能；支持IP地址访问控制功能，支持定时抓图或报警联动抓图上传ftp功能</w:t>
      </w:r>
    </w:p>
    <w:p>
      <w:pPr>
        <w:widowControl/>
        <w:shd w:val="clear" w:color="auto" w:fill="FFFFFF"/>
        <w:ind w:firstLine="420"/>
        <w:rPr>
          <w:rFonts w:asciiTheme="minorEastAsia" w:hAnsiTheme="minorEastAsia" w:eastAsiaTheme="minorEastAsia"/>
          <w:bCs/>
          <w:color w:val="auto"/>
          <w:szCs w:val="21"/>
        </w:rPr>
      </w:pPr>
      <w:r>
        <w:rPr>
          <w:rFonts w:asciiTheme="minorEastAsia" w:hAnsiTheme="minorEastAsia" w:eastAsiaTheme="minorEastAsia"/>
          <w:bCs/>
          <w:color w:val="auto"/>
          <w:szCs w:val="21"/>
        </w:rPr>
        <w:t>★球机应具备本机存储功能，支持SD卡热插拔，最大支持512GB（以公安部检验报告为准）</w:t>
      </w:r>
    </w:p>
    <w:p>
      <w:pPr>
        <w:widowControl/>
        <w:shd w:val="clear" w:color="auto" w:fill="FFFFFF"/>
        <w:ind w:firstLine="420"/>
        <w:rPr>
          <w:rFonts w:asciiTheme="minorEastAsia" w:hAnsiTheme="minorEastAsia" w:eastAsiaTheme="minorEastAsia"/>
          <w:bCs/>
          <w:color w:val="auto"/>
          <w:szCs w:val="21"/>
        </w:rPr>
      </w:pPr>
      <w:r>
        <w:rPr>
          <w:rFonts w:asciiTheme="minorEastAsia" w:hAnsiTheme="minorEastAsia" w:eastAsiaTheme="minorEastAsia"/>
          <w:bCs/>
          <w:color w:val="auto"/>
          <w:szCs w:val="21"/>
        </w:rPr>
        <w:t>支持采用H.265、H.264视频编码标准，H.264编码支持Baseline/Main/High Profile，音频编码支持G.711ulaw/G.711alaw/G.726/G.722.1</w:t>
      </w:r>
    </w:p>
    <w:p>
      <w:pPr>
        <w:widowControl/>
        <w:shd w:val="clear" w:color="auto" w:fill="FFFFFF"/>
        <w:ind w:firstLine="420"/>
        <w:rPr>
          <w:rFonts w:asciiTheme="minorEastAsia" w:hAnsiTheme="minorEastAsia" w:eastAsiaTheme="minorEastAsia"/>
          <w:bCs/>
          <w:color w:val="auto"/>
          <w:szCs w:val="21"/>
        </w:rPr>
      </w:pPr>
      <w:r>
        <w:rPr>
          <w:rFonts w:asciiTheme="minorEastAsia" w:hAnsiTheme="minorEastAsia" w:eastAsiaTheme="minorEastAsia"/>
          <w:bCs/>
          <w:color w:val="auto"/>
          <w:szCs w:val="21"/>
        </w:rPr>
        <w:t>支持三码流同时输出，主码流、第三码流同时支持2560×1440@30fps，2048×1536@30fps</w:t>
      </w:r>
    </w:p>
    <w:p>
      <w:pPr>
        <w:widowControl/>
        <w:shd w:val="clear" w:color="auto" w:fill="FFFFFF"/>
        <w:ind w:firstLine="420"/>
        <w:rPr>
          <w:rFonts w:asciiTheme="minorEastAsia" w:hAnsiTheme="minorEastAsia" w:eastAsiaTheme="minorEastAsia"/>
          <w:bCs/>
          <w:color w:val="auto"/>
          <w:szCs w:val="21"/>
        </w:rPr>
      </w:pPr>
      <w:r>
        <w:rPr>
          <w:rFonts w:asciiTheme="minorEastAsia" w:hAnsiTheme="minorEastAsia" w:eastAsiaTheme="minorEastAsia"/>
          <w:bCs/>
          <w:color w:val="auto"/>
          <w:szCs w:val="21"/>
        </w:rPr>
        <w:t>支持GB28181协议，支持标准Onvif协议</w:t>
      </w:r>
    </w:p>
    <w:p>
      <w:pPr>
        <w:widowControl/>
        <w:shd w:val="clear" w:color="auto" w:fill="FFFFFF"/>
        <w:ind w:firstLine="420"/>
        <w:rPr>
          <w:rFonts w:asciiTheme="minorEastAsia" w:hAnsiTheme="minorEastAsia" w:eastAsiaTheme="minorEastAsia"/>
          <w:bCs/>
          <w:color w:val="auto"/>
          <w:szCs w:val="21"/>
        </w:rPr>
      </w:pPr>
      <w:r>
        <w:rPr>
          <w:rFonts w:asciiTheme="minorEastAsia" w:hAnsiTheme="minorEastAsia" w:eastAsiaTheme="minorEastAsia"/>
          <w:bCs/>
          <w:color w:val="auto"/>
          <w:szCs w:val="21"/>
        </w:rPr>
        <w:t>支持区域入侵、越界入侵、徘徊、物品移除、物品遗留、人员聚集、停车，并联动报警</w:t>
      </w:r>
    </w:p>
    <w:p>
      <w:pPr>
        <w:widowControl/>
        <w:shd w:val="clear" w:color="auto" w:fill="FFFFFF"/>
        <w:ind w:firstLine="420"/>
        <w:rPr>
          <w:rFonts w:asciiTheme="minorEastAsia" w:hAnsiTheme="minorEastAsia" w:eastAsiaTheme="minorEastAsia"/>
          <w:bCs/>
          <w:color w:val="auto"/>
          <w:szCs w:val="21"/>
        </w:rPr>
      </w:pPr>
      <w:r>
        <w:rPr>
          <w:rFonts w:asciiTheme="minorEastAsia" w:hAnsiTheme="minorEastAsia" w:eastAsiaTheme="minorEastAsia"/>
          <w:bCs/>
          <w:color w:val="auto"/>
          <w:szCs w:val="21"/>
        </w:rPr>
        <w:t>具备较好的防护性能环境适应性，支持IP67，8kV防浪涌，工作温度范围可达-45℃-70℃</w:t>
      </w:r>
    </w:p>
    <w:p>
      <w:pPr>
        <w:widowControl/>
        <w:shd w:val="clear" w:color="auto" w:fill="FFFFFF"/>
        <w:ind w:firstLine="420"/>
        <w:rPr>
          <w:rFonts w:asciiTheme="minorEastAsia" w:hAnsiTheme="minorEastAsia" w:eastAsiaTheme="minorEastAsia"/>
          <w:bCs/>
          <w:color w:val="auto"/>
          <w:szCs w:val="21"/>
        </w:rPr>
      </w:pPr>
      <w:r>
        <w:rPr>
          <w:rFonts w:asciiTheme="minorEastAsia" w:hAnsiTheme="minorEastAsia" w:eastAsiaTheme="minorEastAsia"/>
          <w:bCs/>
          <w:color w:val="auto"/>
          <w:szCs w:val="21"/>
        </w:rPr>
        <w:t>★具备较好的电源适应性，电压在AC24V±30%或DC24V±30%范围内变化时，设备可正常工作（以公安部检验报告为准）</w:t>
      </w:r>
    </w:p>
    <w:p>
      <w:pPr>
        <w:widowControl/>
        <w:shd w:val="clear" w:color="auto" w:fill="FFFFFF"/>
        <w:ind w:firstLine="420"/>
        <w:rPr>
          <w:rFonts w:asciiTheme="minorEastAsia" w:hAnsiTheme="minorEastAsia" w:eastAsiaTheme="minorEastAsia"/>
          <w:bCs/>
          <w:color w:val="auto"/>
          <w:szCs w:val="21"/>
        </w:rPr>
      </w:pPr>
      <w:r>
        <w:rPr>
          <w:rFonts w:asciiTheme="minorEastAsia" w:hAnsiTheme="minorEastAsia" w:eastAsiaTheme="minorEastAsia"/>
          <w:bCs/>
          <w:color w:val="auto"/>
          <w:szCs w:val="21"/>
        </w:rPr>
        <w:t>支持区域入侵侦测，越界侦测，进入区域侦测和离开区域侦等智能侦测并联动跟踪</w:t>
      </w:r>
    </w:p>
    <w:p>
      <w:pPr>
        <w:widowControl/>
        <w:shd w:val="clear" w:color="auto" w:fill="FFFFFF"/>
        <w:spacing w:line="360" w:lineRule="auto"/>
        <w:ind w:firstLine="420"/>
        <w:rPr>
          <w:rFonts w:asciiTheme="minorEastAsia" w:hAnsiTheme="minorEastAsia" w:eastAsiaTheme="minorEastAsia"/>
          <w:bCs/>
          <w:color w:val="auto"/>
          <w:szCs w:val="21"/>
        </w:rPr>
      </w:pPr>
    </w:p>
    <w:p>
      <w:pPr>
        <w:widowControl/>
        <w:shd w:val="clear" w:color="auto" w:fill="FFFFFF"/>
        <w:spacing w:line="360" w:lineRule="auto"/>
        <w:ind w:firstLine="420"/>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3）、400万像素防爆筒型网络高清摄像机</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具有400万像素CMOS传感器。</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具有不小于1/3"靶面尺寸。（公安部型式检验报告证明）</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需具有最高2560x1440@25fps编码能力。（公安部型式检验报告证明）</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红外距离不小于50米</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水平分辨力不小于1000TVL。（（公安部型式检验报告证明）</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图像几何位置失真需≤5%。（公安部型式检验报告证明）</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图像延时需不大于242ms。（ （公安部型式检验报告证明）</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最低照度彩色：0.008lx，黑白:0.0002lx，亮度等级不小于11级。（公安部型式检验报告证明）</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需具有数字降噪、移动侦测、背光补偿、区域遮盖、感兴趣区域、图片叠加、数字水印、走廊模式、故障报警等功能。（公安部型式检验报告证明）</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需具有1个以太网接口。（公安部型式检验报告证明）</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需支持AV220V与POE供电，且能在AC110V~AC240V范围内变化时可以正常工作。（公安部型式检验报告证明）</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摄像机能够在-30~60摄氏度环境下稳定工作。（公安部型式检验报告证明）</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需支持智能红外功能，红外灯开启时，可根据被摄物的距离自动调节红外光功率密度。（公安部型式检验报告证明）</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具有抗丢包（10%）处理能力。（公安部型式检验报告证明）</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当使用一个账户登录，密码输入错误达到5次时，该账户会被锁定一段时间。（公安部型式检验报告证明）</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设置密码时，需可以自动提示密码复杂度为高、中、低。（公安部型式检验报告证明）</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★防爆标志：ExdⅡCT6Gb/ExtDA21IP68T80℃（以防爆合格证为准）</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★产品需同时提供防爆合格证、公安部型式检验报告、ATEX，IECEx</w:t>
      </w:r>
    </w:p>
    <w:p>
      <w:pPr>
        <w:widowControl/>
        <w:shd w:val="clear" w:color="auto" w:fill="FFFFFF"/>
        <w:spacing w:line="360" w:lineRule="auto"/>
        <w:rPr>
          <w:rFonts w:asciiTheme="minorEastAsia" w:hAnsiTheme="minorEastAsia" w:eastAsiaTheme="minorEastAsia"/>
          <w:bCs/>
          <w:color w:val="auto"/>
          <w:szCs w:val="21"/>
        </w:rPr>
      </w:pPr>
    </w:p>
    <w:p>
      <w:pPr>
        <w:pStyle w:val="5"/>
        <w:numPr>
          <w:ilvl w:val="0"/>
          <w:numId w:val="0"/>
        </w:numPr>
        <w:rPr>
          <w:rFonts w:asciiTheme="minorEastAsia" w:hAnsiTheme="minorEastAsia" w:eastAsiaTheme="minorEastAsia"/>
          <w:b/>
          <w:bCs/>
          <w:color w:val="auto"/>
          <w:szCs w:val="21"/>
        </w:rPr>
      </w:pPr>
      <w:r>
        <w:rPr>
          <w:rFonts w:hint="eastAsia" w:asciiTheme="minorEastAsia" w:hAnsiTheme="minorEastAsia" w:eastAsiaTheme="minorEastAsia"/>
          <w:b/>
          <w:bCs/>
          <w:color w:val="auto"/>
          <w:szCs w:val="21"/>
        </w:rPr>
        <w:t>4）、智能警戒网络摄像机（星光级）：</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具有400万像素 CMOS传感器。</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★内置GPU芯片。（公安部检验报告证明）</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★内置麦克风和喇叭。（公安部检验报告证明）</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★内置红外与白光补光灯。（公安部检验报告证明）</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★支持白光报警功能，当报警产生时，可触发联动声音警报和白光闪烁。（公安部检验报告证明）</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最低照度彩色：0.001 lx，黑白:0.0001 lx，最大亮度鉴别等级（灰度等级）不小于11级。（公安部检验报告证明）</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红外补光距离不小于100米。（公安部检验报告证明）</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需支持双码流技术，主码流最高2560x1440@25fps，子码流640x480@25fps。（公安部检验报告证明）</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在2560x1440 @ 25fps下，清晰度不小于1400TVL。（公安部检验报告证明）</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支持H.264、H.265、MJPEG视频编码格式，其中H.264支持Baseline/Main/High Profile。（公安部检验报告证明）</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信噪比不小于62dB。（公安部检验报告证明）</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★支持声音报警功能，报警声音类型不小于10种，报警声级及报警次数可设置。（公安部检验报告证明）</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★需具备智能分析抗干扰功能，当篮球、小狗、树叶等非人或车辆目标经过检测区域时，不会触发报警。（公安部检验报告证明）</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不低于IP67防尘防水等级。（公安部检验报告证明）</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需支持DC12V供电，且在不小于DC12V±30%范围内变化时可以正常工作。（公安部检验报告证明）</w:t>
      </w:r>
    </w:p>
    <w:p>
      <w:pPr>
        <w:pStyle w:val="5"/>
        <w:numPr>
          <w:ilvl w:val="0"/>
          <w:numId w:val="0"/>
        </w:numPr>
        <w:rPr>
          <w:rFonts w:asciiTheme="minorEastAsia" w:hAnsiTheme="minorEastAsia" w:eastAsiaTheme="minorEastAsia"/>
          <w:b/>
          <w:bCs/>
          <w:color w:val="auto"/>
          <w:szCs w:val="21"/>
        </w:rPr>
      </w:pPr>
    </w:p>
    <w:p>
      <w:pPr>
        <w:pStyle w:val="5"/>
        <w:numPr>
          <w:ilvl w:val="0"/>
          <w:numId w:val="0"/>
        </w:numPr>
        <w:rPr>
          <w:rFonts w:asciiTheme="minorEastAsia" w:hAnsiTheme="minorEastAsia" w:eastAsiaTheme="minorEastAsia"/>
          <w:b/>
          <w:bCs/>
          <w:color w:val="auto"/>
          <w:szCs w:val="21"/>
        </w:rPr>
      </w:pPr>
      <w:r>
        <w:rPr>
          <w:rFonts w:hint="eastAsia" w:asciiTheme="minorEastAsia" w:hAnsiTheme="minorEastAsia" w:eastAsiaTheme="minorEastAsia"/>
          <w:b/>
          <w:bCs/>
          <w:color w:val="auto"/>
          <w:szCs w:val="21"/>
        </w:rPr>
        <w:t>5）、全彩全景枪球智能一体机：</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★内置2个镜头，可以输出两路视频图像，1路全景视频图像、1路细节视频图像（以公安部检验报告为准）</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★内置2颗GPU芯片（以公安部检验报告为准）</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视频输出支持2560×1440@25fps，分辨力不小于1400TVL，红外距离可达300米（以公安部检验报告为准）</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★对人或车辆进入警戒区域后，设备可发出白光警示、声音警示，并启动智能跟踪功能（以公安部检验报告为准）</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支持最低照度可达彩色0.0002Lux，黑白0.0001Lux（以公安部检验报告为准）</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支持水平手控速度不小于550°/S，垂直速度不小于120°/S，云台定位精度为±0.1°（以公安部检验报告为准）</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水平旋转范围为360°连续旋转，垂直旋转范围为-20°~90°</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★支持对镜头前盖玻璃加热，去除玻璃上的冰状和水状附着物。</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★需具备智能分析抗干扰功能，当篮球、小狗、树叶等非人或车辆目标经过检测区域时，不会触发报警。（公安部检验报告证明）</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★支持快捷配置功能，可在预览画面开启/关闭“快捷配置”页面，对曝光参数、OSD、智能资源分配模式等参数进行配置，并可一键恢复为默认设置。（公安部检验报告证明）</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★支持循环跟踪功能，当全景视频图像中有多个目标触发报警事件后，细节视频图像可联动对多个目标循环跟踪。（公安部检验报告证明）</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支持300个预置位，可按照所设置的预置位完成不小于8条巡航路径，支持不小于4条模式路径设置，支持预置位视频冻结功能；可实现RS485接口优先或RJ45网络接口优先控制功能（以公安部检验报告为准）</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支持智能红外、透雾、强光抑制、电子防抖、数字降噪、防红外过曝功能</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支持区域遮盖功能，支持设置不少于24个不规则四边形区域，可设置不同颜色</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★支持定位联动功能，在全景视频图像中点击或者框选任意区域后，细节视频图像可将该区域处于视频图像中央</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球机应具备本机存储功能，支持SD卡热插拔，最大支持256GB（以公安部检验报告为准）</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支持采用H.265、H.264视频编码标准，H.264编码支持Baseline/Main/High Profile，音频编码支持G.711ulaw/G.711alaw/G.726/G.722.1</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支持GB28181协议</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支持区域入侵、越界入侵、徘徊、物品移除、物品遗留、人员聚集、停车、快速移动，并联动报警</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具备较好的防护性能环境适应性，支持IP67，6kV防浪涌，工作温度范围可达-40℃-70℃</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具备较好的电源适应性，电压在DC36V±30%范围内变化时，设备可正常工作（以公安部检验报告为准）</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【支持声光警戒功能，全景4Mp红外4mm;细节4Mp红外23倍】</w:t>
      </w:r>
      <w:r>
        <w:rPr>
          <w:rFonts w:hint="eastAsia" w:asciiTheme="minorEastAsia" w:hAnsiTheme="minorEastAsia" w:eastAsiaTheme="minorEastAsia"/>
          <w:color w:val="auto"/>
          <w:szCs w:val="21"/>
        </w:rPr>
        <w:cr/>
      </w:r>
      <w:r>
        <w:rPr>
          <w:rFonts w:hint="eastAsia" w:asciiTheme="minorEastAsia" w:hAnsiTheme="minorEastAsia" w:eastAsiaTheme="minorEastAsia"/>
          <w:color w:val="auto"/>
          <w:szCs w:val="21"/>
        </w:rPr>
        <w:t>支持深度学习算法，提供精准的人车分类侦测、报警、联动跟踪</w:t>
      </w:r>
      <w:r>
        <w:rPr>
          <w:rFonts w:hint="eastAsia" w:asciiTheme="minorEastAsia" w:hAnsiTheme="minorEastAsia" w:eastAsiaTheme="minorEastAsia"/>
          <w:color w:val="auto"/>
          <w:szCs w:val="21"/>
        </w:rPr>
        <w:cr/>
      </w:r>
      <w:r>
        <w:rPr>
          <w:rFonts w:hint="eastAsia" w:asciiTheme="minorEastAsia" w:hAnsiTheme="minorEastAsia" w:eastAsiaTheme="minorEastAsia"/>
          <w:color w:val="auto"/>
          <w:szCs w:val="21"/>
        </w:rPr>
        <w:t>支持声光警戒：报警联动白光闪烁报警和声音报警，声音内容可选。</w:t>
      </w:r>
      <w:r>
        <w:rPr>
          <w:rFonts w:hint="eastAsia" w:asciiTheme="minorEastAsia" w:hAnsiTheme="minorEastAsia" w:eastAsiaTheme="minorEastAsia"/>
          <w:color w:val="auto"/>
          <w:szCs w:val="21"/>
        </w:rPr>
        <w:cr/>
      </w:r>
      <w:r>
        <w:rPr>
          <w:rFonts w:hint="eastAsia" w:asciiTheme="minorEastAsia" w:hAnsiTheme="minorEastAsia" w:eastAsiaTheme="minorEastAsia"/>
          <w:color w:val="auto"/>
          <w:szCs w:val="21"/>
        </w:rPr>
        <w:t>支持同时检测5张人脸，支持对运动人脸进行检测、跟踪、抓拍、评分、筛选，输出最优的人脸抓图</w:t>
      </w:r>
      <w:r>
        <w:rPr>
          <w:rFonts w:hint="eastAsia" w:asciiTheme="minorEastAsia" w:hAnsiTheme="minorEastAsia" w:eastAsiaTheme="minorEastAsia"/>
          <w:color w:val="auto"/>
          <w:szCs w:val="21"/>
        </w:rPr>
        <w:cr/>
      </w:r>
      <w:r>
        <w:rPr>
          <w:rFonts w:hint="eastAsia" w:asciiTheme="minorEastAsia" w:hAnsiTheme="minorEastAsia" w:eastAsiaTheme="minorEastAsia"/>
          <w:color w:val="auto"/>
          <w:szCs w:val="21"/>
        </w:rPr>
        <w:t>支持双路区域入侵侦测、越界侦测、进入区域侦测和离开区域侦测等智能侦测并联动跟踪</w:t>
      </w:r>
      <w:r>
        <w:rPr>
          <w:rFonts w:hint="eastAsia" w:asciiTheme="minorEastAsia" w:hAnsiTheme="minorEastAsia" w:eastAsiaTheme="minorEastAsia"/>
          <w:color w:val="auto"/>
          <w:szCs w:val="21"/>
        </w:rPr>
        <w:cr/>
      </w:r>
      <w:r>
        <w:rPr>
          <w:rFonts w:hint="eastAsia" w:asciiTheme="minorEastAsia" w:hAnsiTheme="minorEastAsia" w:eastAsiaTheme="minorEastAsia"/>
          <w:color w:val="auto"/>
          <w:szCs w:val="21"/>
        </w:rPr>
        <w:t>内置加热玻璃，有效除雾</w:t>
      </w:r>
      <w:r>
        <w:rPr>
          <w:rFonts w:hint="eastAsia" w:asciiTheme="minorEastAsia" w:hAnsiTheme="minorEastAsia" w:eastAsiaTheme="minorEastAsia"/>
          <w:color w:val="auto"/>
          <w:szCs w:val="21"/>
        </w:rPr>
        <w:cr/>
      </w:r>
      <w:r>
        <w:rPr>
          <w:rFonts w:hint="eastAsia" w:asciiTheme="minorEastAsia" w:hAnsiTheme="minorEastAsia" w:eastAsiaTheme="minorEastAsia"/>
          <w:color w:val="auto"/>
          <w:szCs w:val="21"/>
        </w:rPr>
        <w:t>传感器类型: 【全景】1/2.8" Progressive Scan CMOS,【细节】1/2.8＂ progressive scan CMOS</w:t>
      </w:r>
      <w:r>
        <w:rPr>
          <w:rFonts w:hint="eastAsia" w:asciiTheme="minorEastAsia" w:hAnsiTheme="minorEastAsia" w:eastAsiaTheme="minorEastAsia"/>
          <w:color w:val="auto"/>
          <w:szCs w:val="21"/>
        </w:rPr>
        <w:cr/>
      </w:r>
      <w:r>
        <w:rPr>
          <w:rFonts w:hint="eastAsia" w:asciiTheme="minorEastAsia" w:hAnsiTheme="minorEastAsia" w:eastAsiaTheme="minorEastAsia"/>
          <w:color w:val="auto"/>
          <w:szCs w:val="21"/>
        </w:rPr>
        <w:t xml:space="preserve">最低照度: </w:t>
      </w:r>
      <w:r>
        <w:rPr>
          <w:rFonts w:hint="eastAsia" w:asciiTheme="minorEastAsia" w:hAnsiTheme="minorEastAsia" w:eastAsiaTheme="minorEastAsia"/>
          <w:color w:val="auto"/>
          <w:szCs w:val="21"/>
        </w:rPr>
        <w:cr/>
      </w:r>
      <w:r>
        <w:rPr>
          <w:rFonts w:hint="eastAsia" w:asciiTheme="minorEastAsia" w:hAnsiTheme="minorEastAsia" w:eastAsiaTheme="minorEastAsia"/>
          <w:color w:val="auto"/>
          <w:szCs w:val="21"/>
        </w:rPr>
        <w:t>【细节】彩色：0.005 Lux @（F1.6，AGC ON）；黑白：0.00 1Lux @（F1.6，AGC ON），0 Lux with IR</w:t>
      </w:r>
      <w:r>
        <w:rPr>
          <w:rFonts w:hint="eastAsia" w:asciiTheme="minorEastAsia" w:hAnsiTheme="minorEastAsia" w:eastAsiaTheme="minorEastAsia"/>
          <w:color w:val="auto"/>
          <w:szCs w:val="21"/>
        </w:rPr>
        <w:cr/>
      </w:r>
      <w:r>
        <w:rPr>
          <w:rFonts w:hint="eastAsia" w:asciiTheme="minorEastAsia" w:hAnsiTheme="minorEastAsia" w:eastAsiaTheme="minorEastAsia"/>
          <w:color w:val="auto"/>
          <w:szCs w:val="21"/>
        </w:rPr>
        <w:t>【全景】0.005 Lux @（F1.6，AGC ON），0 Lux with IR</w:t>
      </w:r>
      <w:r>
        <w:rPr>
          <w:rFonts w:hint="eastAsia" w:asciiTheme="minorEastAsia" w:hAnsiTheme="minorEastAsia" w:eastAsiaTheme="minorEastAsia"/>
          <w:color w:val="auto"/>
          <w:szCs w:val="21"/>
        </w:rPr>
        <w:cr/>
      </w:r>
      <w:r>
        <w:rPr>
          <w:rFonts w:hint="eastAsia" w:asciiTheme="minorEastAsia" w:hAnsiTheme="minorEastAsia" w:eastAsiaTheme="minorEastAsia"/>
          <w:color w:val="auto"/>
          <w:szCs w:val="21"/>
        </w:rPr>
        <w:t>宽动态: 120dB超宽动态</w:t>
      </w:r>
      <w:r>
        <w:rPr>
          <w:rFonts w:hint="eastAsia" w:asciiTheme="minorEastAsia" w:hAnsiTheme="minorEastAsia" w:eastAsiaTheme="minorEastAsia"/>
          <w:color w:val="auto"/>
          <w:szCs w:val="21"/>
        </w:rPr>
        <w:cr/>
      </w:r>
      <w:r>
        <w:rPr>
          <w:rFonts w:hint="eastAsia" w:asciiTheme="minorEastAsia" w:hAnsiTheme="minorEastAsia" w:eastAsiaTheme="minorEastAsia"/>
          <w:color w:val="auto"/>
          <w:szCs w:val="21"/>
        </w:rPr>
        <w:t xml:space="preserve">焦距: 【全景】4 mm；【细节】4.8 mm~110 mm，23倍光学变倍 </w:t>
      </w:r>
      <w:r>
        <w:rPr>
          <w:rFonts w:hint="eastAsia" w:asciiTheme="minorEastAsia" w:hAnsiTheme="minorEastAsia" w:eastAsiaTheme="minorEastAsia"/>
          <w:color w:val="auto"/>
          <w:szCs w:val="21"/>
        </w:rPr>
        <w:cr/>
      </w:r>
      <w:r>
        <w:rPr>
          <w:rFonts w:hint="eastAsia" w:asciiTheme="minorEastAsia" w:hAnsiTheme="minorEastAsia" w:eastAsiaTheme="minorEastAsia"/>
          <w:color w:val="auto"/>
          <w:szCs w:val="21"/>
        </w:rPr>
        <w:t xml:space="preserve">视场角: 【全景】水平视场角：79°，垂直视场角：42.4°，【细节】水平视场角：55°~2.7°（广角~望远） </w:t>
      </w:r>
      <w:r>
        <w:rPr>
          <w:rFonts w:hint="eastAsia" w:asciiTheme="minorEastAsia" w:hAnsiTheme="minorEastAsia" w:eastAsiaTheme="minorEastAsia"/>
          <w:color w:val="auto"/>
          <w:szCs w:val="21"/>
        </w:rPr>
        <w:cr/>
      </w:r>
      <w:r>
        <w:rPr>
          <w:rFonts w:hint="eastAsia" w:asciiTheme="minorEastAsia" w:hAnsiTheme="minorEastAsia" w:eastAsiaTheme="minorEastAsia"/>
          <w:color w:val="auto"/>
          <w:szCs w:val="21"/>
        </w:rPr>
        <w:t>水平范围: 360°</w:t>
      </w:r>
      <w:r>
        <w:rPr>
          <w:rFonts w:hint="eastAsia" w:asciiTheme="minorEastAsia" w:hAnsiTheme="minorEastAsia" w:eastAsiaTheme="minorEastAsia"/>
          <w:color w:val="auto"/>
          <w:szCs w:val="21"/>
        </w:rPr>
        <w:cr/>
      </w:r>
      <w:r>
        <w:rPr>
          <w:rFonts w:hint="eastAsia" w:asciiTheme="minorEastAsia" w:hAnsiTheme="minorEastAsia" w:eastAsiaTheme="minorEastAsia"/>
          <w:color w:val="auto"/>
          <w:szCs w:val="21"/>
        </w:rPr>
        <w:t>垂直范围:</w:t>
      </w:r>
      <w:r>
        <w:rPr>
          <w:rFonts w:hint="eastAsia" w:asciiTheme="minorEastAsia" w:hAnsiTheme="minorEastAsia" w:eastAsiaTheme="minorEastAsia"/>
          <w:color w:val="auto"/>
          <w:szCs w:val="21"/>
        </w:rPr>
        <w:tab/>
      </w:r>
      <w:r>
        <w:rPr>
          <w:rFonts w:hint="eastAsia" w:asciiTheme="minorEastAsia" w:hAnsiTheme="minorEastAsia" w:eastAsiaTheme="minorEastAsia"/>
          <w:color w:val="auto"/>
          <w:szCs w:val="21"/>
        </w:rPr>
        <w:t>-15°-90°(自动翻转)</w:t>
      </w:r>
      <w:r>
        <w:rPr>
          <w:rFonts w:hint="eastAsia" w:asciiTheme="minorEastAsia" w:hAnsiTheme="minorEastAsia" w:eastAsiaTheme="minorEastAsia"/>
          <w:color w:val="auto"/>
          <w:szCs w:val="21"/>
        </w:rPr>
        <w:cr/>
      </w:r>
      <w:r>
        <w:rPr>
          <w:rFonts w:hint="eastAsia" w:asciiTheme="minorEastAsia" w:hAnsiTheme="minorEastAsia" w:eastAsiaTheme="minorEastAsia"/>
          <w:color w:val="auto"/>
          <w:szCs w:val="21"/>
        </w:rPr>
        <w:t>水平速度:</w:t>
      </w:r>
      <w:r>
        <w:rPr>
          <w:rFonts w:hint="eastAsia" w:asciiTheme="minorEastAsia" w:hAnsiTheme="minorEastAsia" w:eastAsiaTheme="minorEastAsia"/>
          <w:color w:val="auto"/>
          <w:szCs w:val="21"/>
        </w:rPr>
        <w:tab/>
      </w:r>
      <w:r>
        <w:rPr>
          <w:rFonts w:hint="eastAsia" w:asciiTheme="minorEastAsia" w:hAnsiTheme="minorEastAsia" w:eastAsiaTheme="minorEastAsia"/>
          <w:color w:val="auto"/>
          <w:szCs w:val="21"/>
        </w:rPr>
        <w:t>水平键控速度：0.1°~160°/s，速度可设；水平预置点速度：240°/s</w:t>
      </w:r>
      <w:r>
        <w:rPr>
          <w:rFonts w:hint="eastAsia" w:asciiTheme="minorEastAsia" w:hAnsiTheme="minorEastAsia" w:eastAsiaTheme="minorEastAsia"/>
          <w:color w:val="auto"/>
          <w:szCs w:val="21"/>
        </w:rPr>
        <w:cr/>
      </w:r>
      <w:r>
        <w:rPr>
          <w:rFonts w:hint="eastAsia" w:asciiTheme="minorEastAsia" w:hAnsiTheme="minorEastAsia" w:eastAsiaTheme="minorEastAsia"/>
          <w:color w:val="auto"/>
          <w:szCs w:val="21"/>
        </w:rPr>
        <w:t>垂直速度:</w:t>
      </w:r>
      <w:r>
        <w:rPr>
          <w:rFonts w:hint="eastAsia" w:asciiTheme="minorEastAsia" w:hAnsiTheme="minorEastAsia" w:eastAsiaTheme="minorEastAsia"/>
          <w:color w:val="auto"/>
          <w:szCs w:val="21"/>
        </w:rPr>
        <w:tab/>
      </w:r>
      <w:r>
        <w:rPr>
          <w:rFonts w:hint="eastAsia" w:asciiTheme="minorEastAsia" w:hAnsiTheme="minorEastAsia" w:eastAsiaTheme="minorEastAsia"/>
          <w:color w:val="auto"/>
          <w:szCs w:val="21"/>
        </w:rPr>
        <w:t>垂直键控速度：0.1°~120°/s，速度可设；垂直预置点速度：200°/s</w:t>
      </w:r>
      <w:r>
        <w:rPr>
          <w:rFonts w:hint="eastAsia" w:asciiTheme="minorEastAsia" w:hAnsiTheme="minorEastAsia" w:eastAsiaTheme="minorEastAsia"/>
          <w:color w:val="auto"/>
          <w:szCs w:val="21"/>
        </w:rPr>
        <w:cr/>
      </w:r>
      <w:r>
        <w:rPr>
          <w:rFonts w:hint="eastAsia" w:asciiTheme="minorEastAsia" w:hAnsiTheme="minorEastAsia" w:eastAsiaTheme="minorEastAsia"/>
          <w:color w:val="auto"/>
          <w:szCs w:val="21"/>
        </w:rPr>
        <w:t xml:space="preserve">主码流帧率分辨率: </w:t>
      </w:r>
      <w:r>
        <w:rPr>
          <w:rFonts w:hint="eastAsia" w:asciiTheme="minorEastAsia" w:hAnsiTheme="minorEastAsia" w:eastAsiaTheme="minorEastAsia"/>
          <w:color w:val="auto"/>
          <w:szCs w:val="21"/>
        </w:rPr>
        <w:cr/>
      </w:r>
      <w:r>
        <w:rPr>
          <w:rFonts w:hint="eastAsia" w:asciiTheme="minorEastAsia" w:hAnsiTheme="minorEastAsia" w:eastAsiaTheme="minorEastAsia"/>
          <w:color w:val="auto"/>
          <w:szCs w:val="21"/>
        </w:rPr>
        <w:t>【全景】50 Hz: 25 fps (2560 × 1440); 60 Hz: 30 fps (2560 × 1440)</w:t>
      </w:r>
      <w:r>
        <w:rPr>
          <w:rFonts w:hint="eastAsia" w:asciiTheme="minorEastAsia" w:hAnsiTheme="minorEastAsia" w:eastAsiaTheme="minorEastAsia"/>
          <w:color w:val="auto"/>
          <w:szCs w:val="21"/>
        </w:rPr>
        <w:cr/>
      </w:r>
      <w:r>
        <w:rPr>
          <w:rFonts w:hint="eastAsia" w:asciiTheme="minorEastAsia" w:hAnsiTheme="minorEastAsia" w:eastAsiaTheme="minorEastAsia"/>
          <w:color w:val="auto"/>
          <w:szCs w:val="21"/>
        </w:rPr>
        <w:t>【细节】50 Hz: 25 fps (2560 × 1440); 60 Hz: 30 fps (2560 × 1440)</w:t>
      </w:r>
      <w:r>
        <w:rPr>
          <w:rFonts w:hint="eastAsia" w:asciiTheme="minorEastAsia" w:hAnsiTheme="minorEastAsia" w:eastAsiaTheme="minorEastAsia"/>
          <w:color w:val="auto"/>
          <w:szCs w:val="21"/>
        </w:rPr>
        <w:cr/>
      </w:r>
      <w:r>
        <w:rPr>
          <w:rFonts w:hint="eastAsia" w:asciiTheme="minorEastAsia" w:hAnsiTheme="minorEastAsia" w:eastAsiaTheme="minorEastAsia"/>
          <w:color w:val="auto"/>
          <w:szCs w:val="21"/>
        </w:rPr>
        <w:t>视频压缩标准: H.265,H.264,MJPEG</w:t>
      </w:r>
      <w:r>
        <w:rPr>
          <w:rFonts w:hint="eastAsia" w:asciiTheme="minorEastAsia" w:hAnsiTheme="minorEastAsia" w:eastAsiaTheme="minorEastAsia"/>
          <w:color w:val="auto"/>
          <w:szCs w:val="21"/>
        </w:rPr>
        <w:cr/>
      </w:r>
      <w:r>
        <w:rPr>
          <w:rFonts w:hint="eastAsia" w:asciiTheme="minorEastAsia" w:hAnsiTheme="minorEastAsia" w:eastAsiaTheme="minorEastAsia"/>
          <w:color w:val="auto"/>
          <w:szCs w:val="21"/>
        </w:rPr>
        <w:t>网络存储: NAS (NFS，SMB/ CIFS), ANR</w:t>
      </w:r>
      <w:r>
        <w:rPr>
          <w:rFonts w:hint="eastAsia" w:asciiTheme="minorEastAsia" w:hAnsiTheme="minorEastAsia" w:eastAsiaTheme="minorEastAsia"/>
          <w:color w:val="auto"/>
          <w:szCs w:val="21"/>
        </w:rPr>
        <w:cr/>
      </w:r>
      <w:r>
        <w:rPr>
          <w:rFonts w:hint="eastAsia" w:asciiTheme="minorEastAsia" w:hAnsiTheme="minorEastAsia" w:eastAsiaTheme="minorEastAsia"/>
          <w:color w:val="auto"/>
          <w:szCs w:val="21"/>
        </w:rPr>
        <w:t>支持萤石接入</w:t>
      </w:r>
      <w:r>
        <w:rPr>
          <w:rFonts w:hint="eastAsia" w:asciiTheme="minorEastAsia" w:hAnsiTheme="minorEastAsia" w:eastAsiaTheme="minorEastAsia"/>
          <w:color w:val="auto"/>
          <w:szCs w:val="21"/>
        </w:rPr>
        <w:cr/>
      </w:r>
      <w:r>
        <w:rPr>
          <w:rFonts w:hint="eastAsia" w:asciiTheme="minorEastAsia" w:hAnsiTheme="minorEastAsia" w:eastAsiaTheme="minorEastAsia"/>
          <w:color w:val="auto"/>
          <w:szCs w:val="21"/>
        </w:rPr>
        <w:t>网络接口: RJ45网口,自适应10M/100M网络数据</w:t>
      </w:r>
      <w:r>
        <w:rPr>
          <w:rFonts w:hint="eastAsia" w:asciiTheme="minorEastAsia" w:hAnsiTheme="minorEastAsia" w:eastAsiaTheme="minorEastAsia"/>
          <w:color w:val="auto"/>
          <w:szCs w:val="21"/>
        </w:rPr>
        <w:cr/>
      </w:r>
      <w:r>
        <w:rPr>
          <w:rFonts w:hint="eastAsia" w:asciiTheme="minorEastAsia" w:hAnsiTheme="minorEastAsia" w:eastAsiaTheme="minorEastAsia"/>
          <w:color w:val="auto"/>
          <w:szCs w:val="21"/>
        </w:rPr>
        <w:t>SD卡扩展: 内置Micro SD卡插槽,支持Micro SD(即TF卡)/Micro SDHC/Micro SDXC卡,最大支持256G</w:t>
      </w:r>
      <w:r>
        <w:rPr>
          <w:rFonts w:hint="eastAsia" w:asciiTheme="minorEastAsia" w:hAnsiTheme="minorEastAsia" w:eastAsiaTheme="minorEastAsia"/>
          <w:color w:val="auto"/>
          <w:szCs w:val="21"/>
        </w:rPr>
        <w:cr/>
      </w:r>
      <w:r>
        <w:rPr>
          <w:rFonts w:hint="eastAsia" w:asciiTheme="minorEastAsia" w:hAnsiTheme="minorEastAsia" w:eastAsiaTheme="minorEastAsia"/>
          <w:color w:val="auto"/>
          <w:szCs w:val="21"/>
        </w:rPr>
        <w:t>报警输入: 2路报警输入</w:t>
      </w:r>
      <w:r>
        <w:rPr>
          <w:rFonts w:hint="eastAsia" w:asciiTheme="minorEastAsia" w:hAnsiTheme="minorEastAsia" w:eastAsiaTheme="minorEastAsia"/>
          <w:color w:val="auto"/>
          <w:szCs w:val="21"/>
        </w:rPr>
        <w:cr/>
      </w:r>
      <w:r>
        <w:rPr>
          <w:rFonts w:hint="eastAsia" w:asciiTheme="minorEastAsia" w:hAnsiTheme="minorEastAsia" w:eastAsiaTheme="minorEastAsia"/>
          <w:color w:val="auto"/>
          <w:szCs w:val="21"/>
        </w:rPr>
        <w:t>报警输出:</w:t>
      </w:r>
      <w:r>
        <w:rPr>
          <w:rFonts w:hint="eastAsia" w:asciiTheme="minorEastAsia" w:hAnsiTheme="minorEastAsia" w:eastAsiaTheme="minorEastAsia"/>
          <w:color w:val="auto"/>
          <w:szCs w:val="21"/>
        </w:rPr>
        <w:tab/>
      </w:r>
      <w:r>
        <w:rPr>
          <w:rFonts w:hint="eastAsia" w:asciiTheme="minorEastAsia" w:hAnsiTheme="minorEastAsia" w:eastAsiaTheme="minorEastAsia"/>
          <w:color w:val="auto"/>
          <w:szCs w:val="21"/>
        </w:rPr>
        <w:t>1路报警输出</w:t>
      </w:r>
      <w:r>
        <w:rPr>
          <w:rFonts w:hint="eastAsia" w:asciiTheme="minorEastAsia" w:hAnsiTheme="minorEastAsia" w:eastAsiaTheme="minorEastAsia"/>
          <w:color w:val="auto"/>
          <w:szCs w:val="21"/>
        </w:rPr>
        <w:cr/>
      </w:r>
      <w:r>
        <w:rPr>
          <w:rFonts w:hint="eastAsia" w:asciiTheme="minorEastAsia" w:hAnsiTheme="minorEastAsia" w:eastAsiaTheme="minorEastAsia"/>
          <w:color w:val="auto"/>
          <w:szCs w:val="21"/>
        </w:rPr>
        <w:t>音频输入:</w:t>
      </w:r>
      <w:r>
        <w:rPr>
          <w:rFonts w:hint="eastAsia" w:asciiTheme="minorEastAsia" w:hAnsiTheme="minorEastAsia" w:eastAsiaTheme="minorEastAsia"/>
          <w:color w:val="auto"/>
          <w:szCs w:val="21"/>
        </w:rPr>
        <w:tab/>
      </w:r>
      <w:r>
        <w:rPr>
          <w:rFonts w:hint="eastAsia" w:asciiTheme="minorEastAsia" w:hAnsiTheme="minorEastAsia" w:eastAsiaTheme="minorEastAsia"/>
          <w:color w:val="auto"/>
          <w:szCs w:val="21"/>
        </w:rPr>
        <w:t>1路音频输入</w:t>
      </w:r>
      <w:r>
        <w:rPr>
          <w:rFonts w:hint="eastAsia" w:asciiTheme="minorEastAsia" w:hAnsiTheme="minorEastAsia" w:eastAsiaTheme="minorEastAsia"/>
          <w:color w:val="auto"/>
          <w:szCs w:val="21"/>
        </w:rPr>
        <w:cr/>
      </w:r>
      <w:r>
        <w:rPr>
          <w:rFonts w:hint="eastAsia" w:asciiTheme="minorEastAsia" w:hAnsiTheme="minorEastAsia" w:eastAsiaTheme="minorEastAsia"/>
          <w:color w:val="auto"/>
          <w:szCs w:val="21"/>
        </w:rPr>
        <w:t>音频输出:</w:t>
      </w:r>
      <w:r>
        <w:rPr>
          <w:rFonts w:hint="eastAsia" w:asciiTheme="minorEastAsia" w:hAnsiTheme="minorEastAsia" w:eastAsiaTheme="minorEastAsia"/>
          <w:color w:val="auto"/>
          <w:szCs w:val="21"/>
        </w:rPr>
        <w:tab/>
      </w:r>
      <w:r>
        <w:rPr>
          <w:rFonts w:hint="eastAsia" w:asciiTheme="minorEastAsia" w:hAnsiTheme="minorEastAsia" w:eastAsiaTheme="minorEastAsia"/>
          <w:color w:val="auto"/>
          <w:szCs w:val="21"/>
        </w:rPr>
        <w:t>1路音频输出</w:t>
      </w:r>
      <w:r>
        <w:rPr>
          <w:rFonts w:hint="eastAsia" w:asciiTheme="minorEastAsia" w:hAnsiTheme="minorEastAsia" w:eastAsiaTheme="minorEastAsia"/>
          <w:color w:val="auto"/>
          <w:szCs w:val="21"/>
        </w:rPr>
        <w:cr/>
      </w:r>
      <w:r>
        <w:rPr>
          <w:rFonts w:hint="eastAsia" w:asciiTheme="minorEastAsia" w:hAnsiTheme="minorEastAsia" w:eastAsiaTheme="minorEastAsia"/>
          <w:color w:val="auto"/>
          <w:szCs w:val="21"/>
        </w:rPr>
        <w:t>红外照射距离:</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【全景】30 m，</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【细节】150 m</w:t>
      </w:r>
      <w:r>
        <w:rPr>
          <w:rFonts w:hint="eastAsia" w:asciiTheme="minorEastAsia" w:hAnsiTheme="minorEastAsia" w:eastAsiaTheme="minorEastAsia"/>
          <w:color w:val="auto"/>
          <w:szCs w:val="21"/>
        </w:rPr>
        <w:cr/>
      </w:r>
      <w:r>
        <w:rPr>
          <w:rFonts w:hint="eastAsia" w:asciiTheme="minorEastAsia" w:hAnsiTheme="minorEastAsia" w:eastAsiaTheme="minorEastAsia"/>
          <w:color w:val="auto"/>
          <w:szCs w:val="21"/>
        </w:rPr>
        <w:t>报警灯: 30 m</w:t>
      </w:r>
      <w:r>
        <w:rPr>
          <w:rFonts w:hint="eastAsia" w:asciiTheme="minorEastAsia" w:hAnsiTheme="minorEastAsia" w:eastAsiaTheme="minorEastAsia"/>
          <w:color w:val="auto"/>
          <w:szCs w:val="21"/>
        </w:rPr>
        <w:cr/>
      </w:r>
      <w:r>
        <w:rPr>
          <w:rFonts w:hint="eastAsia" w:asciiTheme="minorEastAsia" w:hAnsiTheme="minorEastAsia" w:eastAsiaTheme="minorEastAsia"/>
          <w:color w:val="auto"/>
          <w:szCs w:val="21"/>
        </w:rPr>
        <w:t>供电方式: DC36V±25%</w:t>
      </w:r>
      <w:r>
        <w:rPr>
          <w:rFonts w:hint="eastAsia" w:asciiTheme="minorEastAsia" w:hAnsiTheme="minorEastAsia" w:eastAsiaTheme="minorEastAsia"/>
          <w:color w:val="auto"/>
          <w:szCs w:val="21"/>
        </w:rPr>
        <w:cr/>
      </w:r>
      <w:r>
        <w:rPr>
          <w:rFonts w:hint="eastAsia" w:asciiTheme="minorEastAsia" w:hAnsiTheme="minorEastAsia" w:eastAsiaTheme="minorEastAsia"/>
          <w:color w:val="auto"/>
          <w:szCs w:val="21"/>
        </w:rPr>
        <w:t>设备功耗: 最大功耗：60 W</w:t>
      </w:r>
      <w:r>
        <w:rPr>
          <w:rFonts w:hint="eastAsia" w:asciiTheme="minorEastAsia" w:hAnsiTheme="minorEastAsia" w:eastAsiaTheme="minorEastAsia"/>
          <w:color w:val="auto"/>
          <w:szCs w:val="21"/>
        </w:rPr>
        <w:cr/>
      </w:r>
      <w:r>
        <w:rPr>
          <w:rFonts w:hint="eastAsia" w:asciiTheme="minorEastAsia" w:hAnsiTheme="minorEastAsia" w:eastAsiaTheme="minorEastAsia"/>
          <w:color w:val="auto"/>
          <w:szCs w:val="21"/>
        </w:rPr>
        <w:t>工作温湿度: -30℃-65℃；湿度小于90%</w:t>
      </w:r>
      <w:r>
        <w:rPr>
          <w:rFonts w:hint="eastAsia" w:asciiTheme="minorEastAsia" w:hAnsiTheme="minorEastAsia" w:eastAsiaTheme="minorEastAsia"/>
          <w:color w:val="auto"/>
          <w:szCs w:val="21"/>
        </w:rPr>
        <w:cr/>
      </w:r>
      <w:r>
        <w:rPr>
          <w:rFonts w:hint="eastAsia" w:asciiTheme="minorEastAsia" w:hAnsiTheme="minorEastAsia" w:eastAsiaTheme="minorEastAsia"/>
          <w:color w:val="auto"/>
          <w:szCs w:val="21"/>
        </w:rPr>
        <w:t>除雾: 加热玻璃除雾</w:t>
      </w:r>
      <w:r>
        <w:rPr>
          <w:rFonts w:hint="eastAsia" w:asciiTheme="minorEastAsia" w:hAnsiTheme="minorEastAsia" w:eastAsiaTheme="minorEastAsia"/>
          <w:color w:val="auto"/>
          <w:szCs w:val="21"/>
        </w:rPr>
        <w:cr/>
      </w:r>
      <w:r>
        <w:rPr>
          <w:rFonts w:hint="eastAsia" w:asciiTheme="minorEastAsia" w:hAnsiTheme="minorEastAsia" w:eastAsiaTheme="minorEastAsia"/>
          <w:color w:val="auto"/>
          <w:szCs w:val="21"/>
        </w:rPr>
        <w:t xml:space="preserve">尺寸: Ø220 × 382.1 mm </w:t>
      </w:r>
      <w:r>
        <w:rPr>
          <w:rFonts w:hint="eastAsia" w:asciiTheme="minorEastAsia" w:hAnsiTheme="minorEastAsia" w:eastAsiaTheme="minorEastAsia"/>
          <w:color w:val="auto"/>
          <w:szCs w:val="21"/>
        </w:rPr>
        <w:cr/>
      </w:r>
      <w:r>
        <w:rPr>
          <w:rFonts w:hint="eastAsia" w:asciiTheme="minorEastAsia" w:hAnsiTheme="minorEastAsia" w:eastAsiaTheme="minorEastAsia"/>
          <w:color w:val="auto"/>
          <w:szCs w:val="21"/>
        </w:rPr>
        <w:t>重量: 6Kg</w:t>
      </w:r>
      <w:r>
        <w:rPr>
          <w:rFonts w:hint="eastAsia" w:asciiTheme="minorEastAsia" w:hAnsiTheme="minorEastAsia" w:eastAsiaTheme="minorEastAsia"/>
          <w:color w:val="auto"/>
          <w:szCs w:val="21"/>
        </w:rPr>
        <w:cr/>
      </w:r>
      <w:r>
        <w:rPr>
          <w:rFonts w:hint="eastAsia" w:asciiTheme="minorEastAsia" w:hAnsiTheme="minorEastAsia" w:eastAsiaTheme="minorEastAsia"/>
          <w:color w:val="auto"/>
          <w:szCs w:val="21"/>
        </w:rPr>
        <w:t>防护: IP66</w:t>
      </w:r>
    </w:p>
    <w:p>
      <w:pPr>
        <w:pStyle w:val="5"/>
        <w:numPr>
          <w:ilvl w:val="0"/>
          <w:numId w:val="0"/>
        </w:numPr>
        <w:rPr>
          <w:rFonts w:asciiTheme="minorEastAsia" w:hAnsiTheme="minorEastAsia" w:eastAsiaTheme="minorEastAsia"/>
          <w:b/>
          <w:bCs/>
          <w:color w:val="auto"/>
          <w:szCs w:val="21"/>
        </w:rPr>
      </w:pPr>
    </w:p>
    <w:p>
      <w:pPr>
        <w:numPr>
          <w:ilvl w:val="0"/>
          <w:numId w:val="3"/>
        </w:numPr>
        <w:rPr>
          <w:rFonts w:asciiTheme="minorEastAsia" w:hAnsiTheme="minorEastAsia" w:eastAsiaTheme="minorEastAsia"/>
          <w:b/>
          <w:bCs/>
          <w:color w:val="auto"/>
          <w:szCs w:val="21"/>
        </w:rPr>
      </w:pPr>
      <w:r>
        <w:rPr>
          <w:rFonts w:hint="eastAsia" w:asciiTheme="minorEastAsia" w:hAnsiTheme="minorEastAsia" w:eastAsiaTheme="minorEastAsia"/>
          <w:b/>
          <w:bCs/>
          <w:color w:val="auto"/>
          <w:szCs w:val="21"/>
        </w:rPr>
        <w:t>、热成像筒型摄像机</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支持1路音频输入，1路音频输出</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支持2路报警输入，2路报警输出</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支持1路音频输入，1路音频输出</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★外壳防护等级：IP67</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★电源电压在DC12V±20%范围内变化时，能正常工作</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★支持SD卡热拔插，最大支持512GBSD卡</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具有双向语音对讲和单向语音广播功能</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最低可用照度，0.01lx（彩色）；0.001lx（黑白）</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热成像图像尺寸（1920×1080、1280×720、704×576、640×512、384×288、352×288、320×240、256×192、160×120、120×90）</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主码流及子码流帧率：支持50帧/秒</w:t>
      </w:r>
      <w:r>
        <w:rPr>
          <w:rFonts w:hint="eastAsia" w:asciiTheme="minorEastAsia" w:hAnsiTheme="minorEastAsia" w:eastAsiaTheme="minorEastAsia"/>
          <w:color w:val="auto"/>
          <w:szCs w:val="21"/>
        </w:rPr>
        <w:cr/>
      </w:r>
      <w:r>
        <w:rPr>
          <w:rFonts w:hint="eastAsia" w:asciiTheme="minorEastAsia" w:hAnsiTheme="minorEastAsia" w:eastAsiaTheme="minorEastAsia"/>
          <w:color w:val="auto"/>
          <w:szCs w:val="21"/>
        </w:rPr>
        <w:t>在IE浏览器下，可通过单IP同时浏览可见光和热成像视频</w:t>
      </w:r>
      <w:r>
        <w:rPr>
          <w:rFonts w:hint="eastAsia" w:asciiTheme="minorEastAsia" w:hAnsiTheme="minorEastAsia" w:eastAsiaTheme="minorEastAsia"/>
          <w:color w:val="auto"/>
          <w:szCs w:val="21"/>
        </w:rPr>
        <w:cr/>
      </w:r>
      <w:r>
        <w:rPr>
          <w:rFonts w:hint="eastAsia" w:asciiTheme="minorEastAsia" w:hAnsiTheme="minorEastAsia" w:eastAsiaTheme="minorEastAsia"/>
          <w:color w:val="auto"/>
          <w:szCs w:val="21"/>
        </w:rPr>
        <w:t>★在35%的网络丢包环境中,可正常显示监视画面</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能进行黑白名单设置控制访问的IP地址和MAC地址</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★CPU、GPU占用超过预设值或内存可用容量低于预设值时,可通过客户端软件或IE浏览器给出报警信息</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在IE浏览器下，具有数字降噪设置</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具有支持图像细节增强功能、强光抑制</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★热成像视频图像支持白热、黑热、融合1、彩虹、融合2、铁红1、铁红2、深褐色、色彩1、色彩2、冰火、雨、红热、绿热、深蓝、聚变、琥珀、春夏秋冬18种模式</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在IE浏览器下，具有SVC设置选项</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点测温、线测温、区域测温中存在高于或者低于报警或预报警温度时，可在客户端显示不同的报警颜色进行报警提示，联动报警输出并发送邮件，联动录像及联动抓拍</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可对热成像视频图像监视画面上最高探测温度和最低探测温度的目标进行跟踪和标注</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可将热成像视频图像和可见光视频图像进行融合预览，并在可见光视频图像上相同比例位置处叠加热成像测温信息</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可通过IE浏览器设置温度信息的字体大小、及点、线、区域的颜色</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★噪声等效温差(NETD)在10mk及以下</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★最小可分辨温差≤200mk</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★具备热成像监控设备系统软件自主知识产权，提供软件著作权证书</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支持测温屏蔽区域设置功能，对设置的区域不进行测温</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★支持同时检测最多20张人脸并同步测温，框出人脸叠加实时人体测温数据</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★测温35℃的目标，在画面的中心及4个角落区域的测温一致性不超过±0.1℃</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★测温28.0℃～42.0℃的目标时，不搭配黑体使用误差不大于±0.5℃，搭配黑体使用时测温误差不大于±0.3℃</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设备支持高温报警功能，当监控画面中目标温度超过设定阈值时，人脸框及温度示数呈现红色、并给出语音提示，可设置报警白光闪烁，报警温度阈值可设置</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★设备的测温响应时间不大于120ms</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当监控场景中有目标触发高温报警时，可联动抓图并上传至客户端软件，抓拍图片应包括可见光图片和热成像图片，并叠加人脸框及对应数据信息</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专业型智能人体测温双光筒机</w:t>
      </w:r>
      <w:r>
        <w:rPr>
          <w:rFonts w:hint="eastAsia" w:asciiTheme="minorEastAsia" w:hAnsiTheme="minorEastAsia" w:eastAsiaTheme="minorEastAsia"/>
          <w:color w:val="auto"/>
          <w:szCs w:val="21"/>
        </w:rPr>
        <w:cr/>
      </w:r>
      <w:r>
        <w:rPr>
          <w:rFonts w:hint="eastAsia" w:asciiTheme="minorEastAsia" w:hAnsiTheme="minorEastAsia" w:eastAsiaTheme="minorEastAsia"/>
          <w:color w:val="auto"/>
          <w:szCs w:val="21"/>
        </w:rPr>
        <w:t>热成像：分辨率160 × 120；</w:t>
      </w:r>
      <w:r>
        <w:rPr>
          <w:rFonts w:hint="eastAsia" w:asciiTheme="minorEastAsia" w:hAnsiTheme="minorEastAsia" w:eastAsiaTheme="minorEastAsia"/>
          <w:color w:val="auto"/>
          <w:szCs w:val="21"/>
        </w:rPr>
        <w:cr/>
      </w:r>
      <w:r>
        <w:rPr>
          <w:rFonts w:asciiTheme="minorEastAsia" w:hAnsiTheme="minorEastAsia" w:eastAsiaTheme="minorEastAsia"/>
          <w:color w:val="auto"/>
          <w:szCs w:val="21"/>
        </w:rPr>
        <w:t>焦距6mm；</w:t>
      </w:r>
    </w:p>
    <w:p>
      <w:pPr>
        <w:rPr>
          <w:rFonts w:asciiTheme="minorEastAsia" w:hAnsiTheme="minorEastAsia" w:eastAsiaTheme="minorEastAsia"/>
          <w:color w:val="auto"/>
          <w:szCs w:val="21"/>
        </w:rPr>
      </w:pPr>
      <w:r>
        <w:rPr>
          <w:rFonts w:asciiTheme="minorEastAsia" w:hAnsiTheme="minorEastAsia" w:eastAsiaTheme="minorEastAsia"/>
          <w:color w:val="auto"/>
          <w:szCs w:val="21"/>
        </w:rPr>
        <w:t>视场角：25°×18.7°;</w:t>
      </w:r>
    </w:p>
    <w:p>
      <w:pPr>
        <w:rPr>
          <w:rFonts w:asciiTheme="minorEastAsia" w:hAnsiTheme="minorEastAsia" w:eastAsiaTheme="minorEastAsia"/>
          <w:color w:val="auto"/>
          <w:szCs w:val="21"/>
        </w:rPr>
      </w:pPr>
      <w:r>
        <w:rPr>
          <w:rFonts w:asciiTheme="minorEastAsia" w:hAnsiTheme="minorEastAsia" w:eastAsiaTheme="minorEastAsia"/>
          <w:color w:val="auto"/>
          <w:szCs w:val="21"/>
        </w:rPr>
        <w:t>可见光：分辨率2688*1520；</w:t>
      </w:r>
    </w:p>
    <w:p>
      <w:pPr>
        <w:rPr>
          <w:rFonts w:asciiTheme="minorEastAsia" w:hAnsiTheme="minorEastAsia" w:eastAsiaTheme="minorEastAsia"/>
          <w:color w:val="auto"/>
          <w:szCs w:val="21"/>
        </w:rPr>
      </w:pPr>
      <w:r>
        <w:rPr>
          <w:rFonts w:asciiTheme="minorEastAsia" w:hAnsiTheme="minorEastAsia" w:eastAsiaTheme="minorEastAsia"/>
          <w:color w:val="auto"/>
          <w:szCs w:val="21"/>
        </w:rPr>
        <w:t>焦距8mm；</w:t>
      </w:r>
    </w:p>
    <w:p>
      <w:pPr>
        <w:rPr>
          <w:rFonts w:asciiTheme="minorEastAsia" w:hAnsiTheme="minorEastAsia" w:eastAsiaTheme="minorEastAsia"/>
          <w:color w:val="auto"/>
          <w:szCs w:val="21"/>
        </w:rPr>
      </w:pPr>
      <w:r>
        <w:rPr>
          <w:rFonts w:asciiTheme="minorEastAsia" w:hAnsiTheme="minorEastAsia" w:eastAsiaTheme="minorEastAsia"/>
          <w:color w:val="auto"/>
          <w:szCs w:val="21"/>
        </w:rPr>
        <w:t>视频模式：双光融合</w:t>
      </w:r>
    </w:p>
    <w:p>
      <w:pPr>
        <w:rPr>
          <w:rFonts w:asciiTheme="minorEastAsia" w:hAnsiTheme="minorEastAsia" w:eastAsiaTheme="minorEastAsia"/>
          <w:color w:val="auto"/>
          <w:szCs w:val="21"/>
        </w:rPr>
      </w:pPr>
      <w:r>
        <w:rPr>
          <w:rFonts w:asciiTheme="minorEastAsia" w:hAnsiTheme="minorEastAsia" w:eastAsiaTheme="minorEastAsia"/>
          <w:color w:val="auto"/>
          <w:szCs w:val="21"/>
        </w:rPr>
        <w:t>联动报警：支持联动白光报警、支持联动声音报警</w:t>
      </w:r>
    </w:p>
    <w:p>
      <w:pPr>
        <w:rPr>
          <w:rFonts w:asciiTheme="minorEastAsia" w:hAnsiTheme="minorEastAsia" w:eastAsiaTheme="minorEastAsia"/>
          <w:color w:val="auto"/>
          <w:szCs w:val="21"/>
        </w:rPr>
      </w:pPr>
      <w:r>
        <w:rPr>
          <w:rFonts w:asciiTheme="minorEastAsia" w:hAnsiTheme="minorEastAsia" w:eastAsiaTheme="minorEastAsia"/>
          <w:color w:val="auto"/>
          <w:szCs w:val="21"/>
        </w:rPr>
        <w:t>最佳人体测温距离：2米；宽度：0.89米</w:t>
      </w:r>
    </w:p>
    <w:p>
      <w:pPr>
        <w:rPr>
          <w:rFonts w:asciiTheme="minorEastAsia" w:hAnsiTheme="minorEastAsia" w:eastAsiaTheme="minorEastAsia"/>
          <w:color w:val="auto"/>
          <w:szCs w:val="21"/>
        </w:rPr>
      </w:pPr>
      <w:r>
        <w:rPr>
          <w:rFonts w:asciiTheme="minorEastAsia" w:hAnsiTheme="minorEastAsia" w:eastAsiaTheme="minorEastAsia"/>
          <w:color w:val="auto"/>
          <w:szCs w:val="21"/>
        </w:rPr>
        <w:t>保证测温精度人体测温有效距离范围：1.5米-3.0米</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支持人脸抓拍，支持最多20人同时检测体温 </w:t>
      </w:r>
      <w:r>
        <w:rPr>
          <w:rFonts w:hint="eastAsia" w:asciiTheme="minorEastAsia" w:hAnsiTheme="minorEastAsia" w:eastAsiaTheme="minorEastAsia"/>
          <w:color w:val="auto"/>
          <w:szCs w:val="21"/>
        </w:rPr>
        <w:cr/>
      </w:r>
      <w:r>
        <w:rPr>
          <w:rFonts w:hint="eastAsia" w:asciiTheme="minorEastAsia" w:hAnsiTheme="minorEastAsia" w:eastAsiaTheme="minorEastAsia"/>
          <w:color w:val="auto"/>
          <w:szCs w:val="21"/>
        </w:rPr>
        <w:t>设备支持口罩识别</w:t>
      </w:r>
      <w:r>
        <w:rPr>
          <w:rFonts w:hint="eastAsia" w:asciiTheme="minorEastAsia" w:hAnsiTheme="minorEastAsia" w:eastAsiaTheme="minorEastAsia"/>
          <w:color w:val="auto"/>
          <w:szCs w:val="21"/>
        </w:rPr>
        <w:cr/>
      </w:r>
      <w:r>
        <w:rPr>
          <w:rFonts w:hint="eastAsia" w:asciiTheme="minorEastAsia" w:hAnsiTheme="minorEastAsia" w:eastAsiaTheme="minorEastAsia"/>
          <w:color w:val="auto"/>
          <w:szCs w:val="21"/>
        </w:rPr>
        <w:t>测温精度:（方案可选）：无黑体方案精度±0.5℃；加黑体方案精度±0.3℃</w:t>
      </w:r>
      <w:r>
        <w:rPr>
          <w:rFonts w:hint="eastAsia" w:asciiTheme="minorEastAsia" w:hAnsiTheme="minorEastAsia" w:eastAsiaTheme="minorEastAsia"/>
          <w:color w:val="auto"/>
          <w:szCs w:val="21"/>
        </w:rPr>
        <w:cr/>
      </w:r>
      <w:r>
        <w:rPr>
          <w:rFonts w:hint="eastAsia" w:asciiTheme="minorEastAsia" w:hAnsiTheme="minorEastAsia" w:eastAsiaTheme="minorEastAsia"/>
          <w:color w:val="auto"/>
          <w:szCs w:val="21"/>
        </w:rPr>
        <w:t>测温范围：30-45℃</w:t>
      </w:r>
      <w:r>
        <w:rPr>
          <w:rFonts w:hint="eastAsia" w:asciiTheme="minorEastAsia" w:hAnsiTheme="minorEastAsia" w:eastAsiaTheme="minorEastAsia"/>
          <w:color w:val="auto"/>
          <w:szCs w:val="21"/>
        </w:rPr>
        <w:cr/>
      </w:r>
      <w:r>
        <w:rPr>
          <w:rFonts w:hint="eastAsia" w:asciiTheme="minorEastAsia" w:hAnsiTheme="minorEastAsia" w:eastAsiaTheme="minorEastAsia"/>
          <w:color w:val="auto"/>
          <w:szCs w:val="21"/>
        </w:rPr>
        <w:t>平台接入：萤石云（2.0 向下兼容）、4200客户端和ehome（5.0 向下兼容）平台均支持预览、报警上传、回放；</w:t>
      </w:r>
      <w:r>
        <w:rPr>
          <w:rFonts w:hint="eastAsia" w:asciiTheme="minorEastAsia" w:hAnsiTheme="minorEastAsia" w:eastAsiaTheme="minorEastAsia"/>
          <w:color w:val="auto"/>
          <w:szCs w:val="21"/>
        </w:rPr>
        <w:cr/>
      </w:r>
      <w:r>
        <w:rPr>
          <w:rFonts w:hint="eastAsia" w:asciiTheme="minorEastAsia" w:hAnsiTheme="minorEastAsia" w:eastAsiaTheme="minorEastAsia"/>
          <w:color w:val="auto"/>
          <w:szCs w:val="21"/>
        </w:rPr>
        <w:t>iSC（预览、报警、回放）</w:t>
      </w:r>
      <w:r>
        <w:rPr>
          <w:rFonts w:hint="eastAsia" w:asciiTheme="minorEastAsia" w:hAnsiTheme="minorEastAsia" w:eastAsiaTheme="minorEastAsia"/>
          <w:color w:val="auto"/>
          <w:szCs w:val="21"/>
        </w:rPr>
        <w:cr/>
      </w:r>
      <w:r>
        <w:rPr>
          <w:rFonts w:hint="eastAsia" w:asciiTheme="minorEastAsia" w:hAnsiTheme="minorEastAsia" w:eastAsiaTheme="minorEastAsia"/>
          <w:color w:val="auto"/>
          <w:szCs w:val="21"/>
        </w:rPr>
        <w:t>工作温度：15℃-35℃，＜95% RH</w:t>
      </w:r>
      <w:r>
        <w:rPr>
          <w:rFonts w:hint="eastAsia" w:asciiTheme="minorEastAsia" w:hAnsiTheme="minorEastAsia" w:eastAsiaTheme="minorEastAsia"/>
          <w:color w:val="auto"/>
          <w:szCs w:val="21"/>
        </w:rPr>
        <w:cr/>
      </w:r>
      <w:r>
        <w:rPr>
          <w:rFonts w:hint="eastAsia" w:asciiTheme="minorEastAsia" w:hAnsiTheme="minorEastAsia" w:eastAsiaTheme="minorEastAsia"/>
          <w:color w:val="auto"/>
          <w:szCs w:val="21"/>
        </w:rPr>
        <w:t xml:space="preserve">防护等级：IP67 </w:t>
      </w:r>
      <w:r>
        <w:rPr>
          <w:rFonts w:hint="eastAsia" w:asciiTheme="minorEastAsia" w:hAnsiTheme="minorEastAsia" w:eastAsiaTheme="minorEastAsia"/>
          <w:color w:val="auto"/>
          <w:szCs w:val="21"/>
        </w:rPr>
        <w:cr/>
      </w:r>
      <w:r>
        <w:rPr>
          <w:rFonts w:hint="eastAsia" w:asciiTheme="minorEastAsia" w:hAnsiTheme="minorEastAsia" w:eastAsiaTheme="minorEastAsia"/>
          <w:color w:val="auto"/>
          <w:szCs w:val="21"/>
        </w:rPr>
        <w:t>推荐安装高度：1.7米</w:t>
      </w:r>
      <w:r>
        <w:rPr>
          <w:rFonts w:hint="eastAsia" w:asciiTheme="minorEastAsia" w:hAnsiTheme="minorEastAsia" w:eastAsiaTheme="minorEastAsia"/>
          <w:color w:val="auto"/>
          <w:szCs w:val="21"/>
        </w:rPr>
        <w:cr/>
      </w:r>
      <w:r>
        <w:rPr>
          <w:rFonts w:hint="eastAsia" w:asciiTheme="minorEastAsia" w:hAnsiTheme="minorEastAsia" w:eastAsiaTheme="minorEastAsia"/>
          <w:color w:val="auto"/>
          <w:szCs w:val="21"/>
        </w:rPr>
        <w:t>电源输入（出厂自带）：DC 12 V（±20%）或PoE (802.3af, class 3)（标配DC 12V电源适配器）</w:t>
      </w:r>
    </w:p>
    <w:p>
      <w:pPr>
        <w:rPr>
          <w:rFonts w:asciiTheme="minorEastAsia" w:hAnsiTheme="minorEastAsia" w:eastAsiaTheme="minorEastAsia"/>
          <w:color w:val="auto"/>
          <w:szCs w:val="21"/>
        </w:rPr>
      </w:pPr>
    </w:p>
    <w:p>
      <w:pPr>
        <w:pStyle w:val="5"/>
        <w:numPr>
          <w:ilvl w:val="0"/>
          <w:numId w:val="3"/>
        </w:numPr>
        <w:ind w:left="0" w:firstLine="0"/>
        <w:rPr>
          <w:rFonts w:asciiTheme="minorEastAsia" w:hAnsiTheme="minorEastAsia" w:eastAsiaTheme="minorEastAsia"/>
          <w:b/>
          <w:bCs/>
          <w:color w:val="auto"/>
          <w:szCs w:val="21"/>
        </w:rPr>
      </w:pPr>
      <w:r>
        <w:rPr>
          <w:rFonts w:hint="eastAsia" w:asciiTheme="minorEastAsia" w:hAnsiTheme="minorEastAsia" w:eastAsiaTheme="minorEastAsia"/>
          <w:b/>
          <w:bCs/>
          <w:color w:val="auto"/>
          <w:szCs w:val="21"/>
        </w:rPr>
        <w:t>、人证核验终端设备</w:t>
      </w:r>
    </w:p>
    <w:p>
      <w:pPr>
        <w:rPr>
          <w:rFonts w:asciiTheme="minorEastAsia" w:hAnsiTheme="minorEastAsia" w:eastAsiaTheme="minorEastAsia"/>
          <w:color w:val="auto"/>
          <w:szCs w:val="21"/>
        </w:rPr>
      </w:pPr>
      <w:r>
        <w:rPr>
          <w:rFonts w:asciiTheme="minorEastAsia" w:hAnsiTheme="minorEastAsia" w:eastAsiaTheme="minorEastAsia"/>
          <w:color w:val="auto"/>
          <w:szCs w:val="21"/>
        </w:rPr>
        <w:t>1、设备外观：采用10.1英寸触摸屏（单屏），200万像素双目摄像头，面部识别距离0.5m-1.5m，人证比对时间≤1s/人；</w:t>
      </w:r>
    </w:p>
    <w:p>
      <w:pPr>
        <w:rPr>
          <w:rFonts w:asciiTheme="minorEastAsia" w:hAnsiTheme="minorEastAsia" w:eastAsiaTheme="minorEastAsia"/>
          <w:color w:val="auto"/>
          <w:szCs w:val="21"/>
        </w:rPr>
      </w:pPr>
      <w:r>
        <w:rPr>
          <w:rFonts w:asciiTheme="minorEastAsia" w:hAnsiTheme="minorEastAsia" w:eastAsiaTheme="minorEastAsia"/>
          <w:color w:val="auto"/>
          <w:szCs w:val="21"/>
        </w:rPr>
        <w:t>2、操作系统：设备采用Android7.1.2操作系统；</w:t>
      </w:r>
    </w:p>
    <w:p>
      <w:pPr>
        <w:rPr>
          <w:rFonts w:asciiTheme="minorEastAsia" w:hAnsiTheme="minorEastAsia" w:eastAsiaTheme="minorEastAsia"/>
          <w:color w:val="auto"/>
          <w:szCs w:val="21"/>
        </w:rPr>
      </w:pPr>
      <w:r>
        <w:rPr>
          <w:rFonts w:asciiTheme="minorEastAsia" w:hAnsiTheme="minorEastAsia" w:eastAsiaTheme="minorEastAsia"/>
          <w:color w:val="auto"/>
          <w:szCs w:val="21"/>
        </w:rPr>
        <w:t>3、设备容量：内存2G,存储16G；</w:t>
      </w:r>
    </w:p>
    <w:p>
      <w:pPr>
        <w:rPr>
          <w:rFonts w:asciiTheme="minorEastAsia" w:hAnsiTheme="minorEastAsia" w:eastAsiaTheme="minorEastAsia"/>
          <w:color w:val="auto"/>
          <w:szCs w:val="21"/>
        </w:rPr>
      </w:pPr>
      <w:r>
        <w:rPr>
          <w:rFonts w:asciiTheme="minorEastAsia" w:hAnsiTheme="minorEastAsia" w:eastAsiaTheme="minorEastAsia"/>
          <w:color w:val="auto"/>
          <w:szCs w:val="21"/>
        </w:rPr>
        <w:t>4、访客登记：</w:t>
      </w:r>
    </w:p>
    <w:p>
      <w:pPr>
        <w:rPr>
          <w:rFonts w:asciiTheme="minorEastAsia" w:hAnsiTheme="minorEastAsia" w:eastAsiaTheme="minorEastAsia"/>
          <w:color w:val="auto"/>
          <w:szCs w:val="21"/>
        </w:rPr>
      </w:pPr>
      <w:r>
        <w:rPr>
          <w:rFonts w:asciiTheme="minorEastAsia" w:hAnsiTheme="minorEastAsia" w:eastAsiaTheme="minorEastAsia"/>
          <w:color w:val="auto"/>
          <w:szCs w:val="21"/>
        </w:rPr>
        <w:t xml:space="preserve">     1）搭配ISC V1.5平台访客模块使用；</w:t>
      </w:r>
    </w:p>
    <w:p>
      <w:pPr>
        <w:rPr>
          <w:rFonts w:asciiTheme="minorEastAsia" w:hAnsiTheme="minorEastAsia" w:eastAsiaTheme="minorEastAsia"/>
          <w:color w:val="auto"/>
          <w:szCs w:val="21"/>
        </w:rPr>
      </w:pPr>
      <w:r>
        <w:rPr>
          <w:rFonts w:asciiTheme="minorEastAsia" w:hAnsiTheme="minorEastAsia" w:eastAsiaTheme="minorEastAsia"/>
          <w:color w:val="auto"/>
          <w:szCs w:val="21"/>
        </w:rPr>
        <w:t xml:space="preserve">     2）人证比对登记（人证比对通过后完成身份信息填充登记）；</w:t>
      </w:r>
    </w:p>
    <w:p>
      <w:pPr>
        <w:rPr>
          <w:rFonts w:asciiTheme="minorEastAsia" w:hAnsiTheme="minorEastAsia" w:eastAsiaTheme="minorEastAsia"/>
          <w:color w:val="auto"/>
          <w:szCs w:val="21"/>
        </w:rPr>
      </w:pPr>
      <w:r>
        <w:rPr>
          <w:rFonts w:asciiTheme="minorEastAsia" w:hAnsiTheme="minorEastAsia" w:eastAsiaTheme="minorEastAsia"/>
          <w:color w:val="auto"/>
          <w:szCs w:val="21"/>
        </w:rPr>
        <w:t xml:space="preserve">     3）移动端H5访客二维码登记（通过底部摄像头扫描ISC访客移动端H5页面访客预约二维码后完成访客信息手动登记）；</w:t>
      </w:r>
    </w:p>
    <w:p>
      <w:pPr>
        <w:rPr>
          <w:rFonts w:asciiTheme="minorEastAsia" w:hAnsiTheme="minorEastAsia" w:eastAsiaTheme="minorEastAsia"/>
          <w:color w:val="auto"/>
          <w:szCs w:val="21"/>
        </w:rPr>
      </w:pPr>
      <w:r>
        <w:rPr>
          <w:rFonts w:asciiTheme="minorEastAsia" w:hAnsiTheme="minorEastAsia" w:eastAsiaTheme="minorEastAsia"/>
          <w:color w:val="auto"/>
          <w:szCs w:val="21"/>
        </w:rPr>
        <w:t>5、通讯方式：有线网络、WiFi；</w:t>
      </w:r>
    </w:p>
    <w:p>
      <w:pPr>
        <w:rPr>
          <w:rFonts w:asciiTheme="minorEastAsia" w:hAnsiTheme="minorEastAsia" w:eastAsiaTheme="minorEastAsia"/>
          <w:color w:val="auto"/>
          <w:szCs w:val="21"/>
        </w:rPr>
      </w:pPr>
      <w:r>
        <w:rPr>
          <w:rFonts w:asciiTheme="minorEastAsia" w:hAnsiTheme="minorEastAsia" w:eastAsiaTheme="minorEastAsia"/>
          <w:color w:val="auto"/>
          <w:szCs w:val="21"/>
        </w:rPr>
        <w:t>6、设备接口：LAN*1、RS485*1、RS232*1、USB*2、I/O*2（预留）；</w:t>
      </w:r>
    </w:p>
    <w:p>
      <w:pPr>
        <w:rPr>
          <w:rFonts w:asciiTheme="minorEastAsia" w:hAnsiTheme="minorEastAsia" w:eastAsiaTheme="minorEastAsia"/>
          <w:color w:val="auto"/>
          <w:szCs w:val="21"/>
        </w:rPr>
      </w:pPr>
      <w:r>
        <w:rPr>
          <w:rFonts w:asciiTheme="minorEastAsia" w:hAnsiTheme="minorEastAsia" w:eastAsiaTheme="minorEastAsia"/>
          <w:color w:val="auto"/>
          <w:szCs w:val="21"/>
        </w:rPr>
        <w:t>7、工作电压：DC12V/3A (标配电源适配器）；</w:t>
      </w:r>
    </w:p>
    <w:p>
      <w:pPr>
        <w:rPr>
          <w:rFonts w:asciiTheme="minorEastAsia" w:hAnsiTheme="minorEastAsia" w:eastAsiaTheme="minorEastAsia"/>
          <w:color w:val="auto"/>
          <w:szCs w:val="21"/>
        </w:rPr>
      </w:pPr>
      <w:r>
        <w:rPr>
          <w:rFonts w:asciiTheme="minorEastAsia" w:hAnsiTheme="minorEastAsia" w:eastAsiaTheme="minorEastAsia"/>
          <w:color w:val="auto"/>
          <w:szCs w:val="21"/>
        </w:rPr>
        <w:t>8、使用环境：室内；</w:t>
      </w:r>
    </w:p>
    <w:p>
      <w:pPr>
        <w:rPr>
          <w:rFonts w:asciiTheme="minorEastAsia" w:hAnsiTheme="minorEastAsia" w:eastAsiaTheme="minorEastAsia"/>
          <w:color w:val="auto"/>
          <w:szCs w:val="21"/>
        </w:rPr>
      </w:pPr>
      <w:r>
        <w:rPr>
          <w:rFonts w:asciiTheme="minorEastAsia" w:hAnsiTheme="minorEastAsia" w:eastAsiaTheme="minorEastAsia"/>
          <w:color w:val="auto"/>
          <w:szCs w:val="21"/>
        </w:rPr>
        <w:t>9、安装方式：桌面安装；</w:t>
      </w:r>
    </w:p>
    <w:p>
      <w:pPr>
        <w:rPr>
          <w:rFonts w:asciiTheme="minorEastAsia" w:hAnsiTheme="minorEastAsia" w:eastAsiaTheme="minorEastAsia"/>
          <w:color w:val="auto"/>
          <w:szCs w:val="21"/>
        </w:rPr>
      </w:pPr>
      <w:r>
        <w:rPr>
          <w:rFonts w:asciiTheme="minorEastAsia" w:hAnsiTheme="minorEastAsia" w:eastAsiaTheme="minorEastAsia"/>
          <w:color w:val="auto"/>
          <w:szCs w:val="21"/>
        </w:rPr>
        <w:t>10、产品尺寸：270mm*185mm*291mm；</w:t>
      </w:r>
    </w:p>
    <w:p>
      <w:pPr>
        <w:rPr>
          <w:rFonts w:asciiTheme="minorEastAsia" w:hAnsiTheme="minorEastAsia" w:eastAsiaTheme="minorEastAsia"/>
          <w:color w:val="auto"/>
          <w:szCs w:val="21"/>
        </w:rPr>
      </w:pPr>
      <w:r>
        <w:rPr>
          <w:rFonts w:asciiTheme="minorEastAsia" w:hAnsiTheme="minorEastAsia" w:eastAsiaTheme="minorEastAsia"/>
          <w:color w:val="auto"/>
          <w:szCs w:val="21"/>
        </w:rPr>
        <w:t>11、工作温度：-10~50℃。</w:t>
      </w:r>
    </w:p>
    <w:p>
      <w:pPr>
        <w:pStyle w:val="5"/>
        <w:numPr>
          <w:ilvl w:val="0"/>
          <w:numId w:val="0"/>
        </w:numPr>
        <w:rPr>
          <w:rFonts w:asciiTheme="minorEastAsia" w:hAnsiTheme="minorEastAsia" w:eastAsiaTheme="minorEastAsia"/>
          <w:b/>
          <w:bCs/>
          <w:color w:val="auto"/>
          <w:szCs w:val="21"/>
        </w:rPr>
      </w:pPr>
    </w:p>
    <w:p>
      <w:pPr>
        <w:pStyle w:val="5"/>
        <w:numPr>
          <w:ilvl w:val="0"/>
          <w:numId w:val="3"/>
        </w:numPr>
        <w:ind w:left="0" w:firstLine="0"/>
        <w:rPr>
          <w:rFonts w:asciiTheme="minorEastAsia" w:hAnsiTheme="minorEastAsia" w:eastAsiaTheme="minorEastAsia"/>
          <w:b/>
          <w:bCs/>
          <w:color w:val="auto"/>
          <w:szCs w:val="21"/>
        </w:rPr>
      </w:pPr>
      <w:r>
        <w:rPr>
          <w:rFonts w:hint="eastAsia" w:asciiTheme="minorEastAsia" w:hAnsiTheme="minorEastAsia" w:eastAsiaTheme="minorEastAsia"/>
          <w:b/>
          <w:bCs/>
          <w:color w:val="auto"/>
          <w:szCs w:val="21"/>
        </w:rPr>
        <w:t>、</w:t>
      </w:r>
      <w:r>
        <w:rPr>
          <w:rFonts w:asciiTheme="minorEastAsia" w:hAnsiTheme="minorEastAsia" w:eastAsiaTheme="minorEastAsia"/>
          <w:b/>
          <w:bCs/>
          <w:color w:val="auto"/>
          <w:szCs w:val="21"/>
        </w:rPr>
        <w:t>网络存储设备</w:t>
      </w:r>
      <w:r>
        <w:rPr>
          <w:rFonts w:hint="eastAsia" w:asciiTheme="minorEastAsia" w:hAnsiTheme="minorEastAsia" w:eastAsiaTheme="minorEastAsia"/>
          <w:b/>
          <w:bCs/>
          <w:color w:val="auto"/>
          <w:szCs w:val="21"/>
        </w:rPr>
        <w:t>：</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★服务器配置：≥1颗64位多核处理器，≥4GB内存，内存支持扩展到≥256GB，内置128GSSD固态硬盘（可以扩展到2个SSD作为缓存盘），支持热插拔冗余温控调速风扇。</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★支持热插拔2+1AC220V 或 2+1 直流冗余金牌电源供电（照片证明）</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★可接入2T/3T/4T/6T/8T/10T/12T/14T/16T/18T/20T SATA/SAS硬盘；★支持NL-SAS 硬盘、SSD硬盘、氦气硬盘、空气硬盘；★支持硬盘交错/分时启动，节省功耗。（以公安部检测报告为准）</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★标配≥2个千兆网口，可增扩≥6个千兆网口，或可增扩≥4个万兆网口或≥6个HDMI接口或≥4个SAS3.0接口（以公安部检测报告为准）</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★可接入硬盘≥48块，支持SATA和SAS混插，支持不同品牌（希捷、西数、东芝、海康威视）的硬盘混插；并支持≥12级扩展柜级联扩展；可支持12GBSAS扩展口</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配备独立元数据系统、支持元数据系统组成RAID和网络RAID（N+M配置，且M≥8）</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支持流媒体协议直存储机制；应能对视音频、图片及智能行为分析录像和文件的混合直存，节省存储服务器和图片服务器；★支持文件存储采用非NAS方式，上传到样机中的文件进行存储，通用的NAS协议将无法访问。★支持本地文件存储，本地文件可上传和下载；</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网络中断后重新恢复，可续存断网期间存储在前端设备中的录像文件，并可通过IE浏览器设置自动回传和手动回传；支持256路4Mbps的录像回传。</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★单台存储设备组建网络RAID,允许每组RAID中任意10个磁盘发生故障，数据不丢失，存储服务不中断。支持块级重构，全盘参与重构速度不小于4TB/10min。（以公安部检测报告为准）</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应能接入并存储2048Mbps视频图像，同时转发2048Mbps的视频图像，同时下载2048Mbps的视频图像；同时回放600Mbps的视频图像；在转发模式下，可进行4096路2Mbps视频码流转发；在总带宽不变的情况下，接入、转发、回放间的性能值可自由调整。（以公安部检测报告为准）</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可在视频画面上绘制区域或界线，检索指定范围内的报警录像；可输入车牌号码可查证出相关图片和视频；可按照报警事件进行检索；持浓缩播放，有报警事件的可按正常倍速播放，无报警事件的录像可快速播放；支持视频摘要回放。</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支持对同一前端不同时刻，以及不同前端同一时刻，或者不同前端不同时刻的多段录像合并下载。</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支持不低于700Mbps图片并发输入，同时不低于700Mbps图片并发输出（以公安部检测报告为准）</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★支持磁盘冷启动，设备可自动判断磁盘异常，可通过磁盘冷启动进行恢复操作，业务不中断；</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★单设备支持虚拟化成5台具有同等软件能力的设备；（以公安部检测报告为准）</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支持图形用户界面（GUI/Web）、串口、U盘、光盘、网络等多种升级方式（以公安部检测报告为准）</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★对2台样机配置Active- Active模式后，2台样机可同时工作，1台样机发生故障时，不影响数据的读写。（以公安部检测报告为准）</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★录像报表生成功能检验，可生成EXCEL录像报表文件，文件信息包括录像读/写状态，起始、结束时间。（以公安部检测报告为准）</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★当开启智能录像时，样机可根据前端接入路数、存储周期、码率等参数，自动选择N+M冗余级别较高的数据保护方式。（以公安部检测报告为准）</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★可将损坏RAID按照RAID损坏等级进行重构。（以公安部检测报告为准）</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★支持大于4个容器，可在不同容器里存放不同业务模块，业务可做到故障隔离，一个业务模块故障时，不影响其它业务模块。系统可自动重启业务模块并恢复原有业务。（以公安部检测报告为准）</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★可在操作界面查看数据重构状态，样机的磁盘或节点离线并重新插回后，可在界面显示离线磁盘或节点的数据重构过程，离线前数据不丢失（以公安部检测报告为准）</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★支持HLS协议，客户端可以进行全帧索引回放，并支持客户端下载视频文件。（以公安部检测报告为准）</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★最大可支持1024路抓拍机。支持对抓拍机进行添加、修改、删除、 布防、撤防，支持对抓拍机实时预览。</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★支持人脸、人体和车辆识别算法的融合应用，并能够以手动方式进行切换</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支持对黄色、白色、黑色、棕色等不同人种的人脸图片进行上传</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支持检出面部过曝、面部欠曝、阴阳脸、逆光等不同光照条件下人脸</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支持对图片中的行人是/否为少数民族进行识别</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可支持对一张图片中的多个目标（行人或车辆）进行检测识别</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当侦测到人脸时，可进行人脸大图、小图抓拍、视频录像，并触发报警联动录像、抓拍图片、弹出报警画面、发送语音提示、上传中心、蜂鸣报警以及日志</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当侦测到人体时，可进行人体抠图和人脸抓拍图，并触发报警联动录像、抓拍图片、弹出报警画面、发送语音提示、上传中心、蜂鸣报警以及日志</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支持车牌类型识别与无车牌车识别。支持包括92式民用车、警用、上下军用、左右军车、武警、黄色尾牌、新军军车、使馆车、一行结构的新式警车、两行行结构的新式警车、黄色农用车、绿色农用车、黄色1325结构农用车、摩托车的车牌号码识别。</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★支持对视频中的车辆、行人及非机动车进行分析，生成机动车、行人及二轮车、三轮车图片；</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★支持将视频分析生成的机动车、行人图片与抓拍库中的图片进行相似度比对，可将相似的图片进行排序。</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可扩展支持将前端一路视频流同时存入两台存储；支持双机间编码器和录像同步，故障时可进行互相接管</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要求提供5个（含）以上2PB（2000TB）容量或50台以上网络存储设备案例合同复印件；提供单项目20PB以上存储容量案例合同复印件的可加分；提供５个（含）以上用户使用反馈证明文件复印件。</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★提供3C、公安部检验报告、公安部GB/T28181检测报告、GB 35114-2017 公共安全视频监控联网信息安全技术要求检查报告；</w:t>
      </w:r>
    </w:p>
    <w:p>
      <w:pPr>
        <w:pStyle w:val="5"/>
        <w:numPr>
          <w:ilvl w:val="0"/>
          <w:numId w:val="0"/>
        </w:numPr>
        <w:rPr>
          <w:rFonts w:asciiTheme="minorEastAsia" w:hAnsiTheme="minorEastAsia" w:eastAsiaTheme="minorEastAsia"/>
          <w:b/>
          <w:bCs/>
          <w:color w:val="auto"/>
          <w:szCs w:val="21"/>
        </w:rPr>
      </w:pPr>
    </w:p>
    <w:p>
      <w:pPr>
        <w:pStyle w:val="5"/>
        <w:numPr>
          <w:ilvl w:val="0"/>
          <w:numId w:val="3"/>
        </w:numPr>
        <w:ind w:left="0" w:firstLine="0"/>
        <w:rPr>
          <w:rFonts w:asciiTheme="minorEastAsia" w:hAnsiTheme="minorEastAsia" w:eastAsiaTheme="minorEastAsia"/>
          <w:b/>
          <w:bCs/>
          <w:color w:val="auto"/>
          <w:szCs w:val="21"/>
        </w:rPr>
      </w:pPr>
      <w:r>
        <w:rPr>
          <w:rFonts w:hint="eastAsia" w:asciiTheme="minorEastAsia" w:hAnsiTheme="minorEastAsia" w:eastAsiaTheme="minorEastAsia"/>
          <w:b/>
          <w:bCs/>
          <w:color w:val="auto"/>
          <w:szCs w:val="21"/>
        </w:rPr>
        <w:t>、intel双路通用服务器：</w:t>
      </w:r>
    </w:p>
    <w:p>
      <w:pPr>
        <w:rPr>
          <w:rFonts w:asciiTheme="minorEastAsia" w:hAnsiTheme="minorEastAsia" w:eastAsiaTheme="minorEastAsia"/>
          <w:color w:val="auto"/>
          <w:szCs w:val="21"/>
        </w:rPr>
      </w:pPr>
      <w:r>
        <w:rPr>
          <w:rFonts w:asciiTheme="minorEastAsia" w:hAnsiTheme="minorEastAsia" w:eastAsiaTheme="minorEastAsia"/>
          <w:color w:val="auto"/>
          <w:szCs w:val="21"/>
        </w:rPr>
        <w:t>4210×2/64G DR4/600G 10K  SAS×4(RAID_1)/SAS_HBA/1GbE×2+10GbE×2/550W(1+1)/2U/16DIMM</w:t>
      </w:r>
    </w:p>
    <w:p>
      <w:pPr>
        <w:rPr>
          <w:rFonts w:asciiTheme="minorEastAsia" w:hAnsiTheme="minorEastAsia" w:eastAsiaTheme="minorEastAsia"/>
          <w:color w:val="auto"/>
          <w:szCs w:val="21"/>
        </w:rPr>
      </w:pPr>
      <w:r>
        <w:rPr>
          <w:rFonts w:asciiTheme="minorEastAsia" w:hAnsiTheme="minorEastAsia" w:eastAsiaTheme="minorEastAsia"/>
          <w:color w:val="auto"/>
          <w:szCs w:val="21"/>
        </w:rPr>
        <w:t>2U双路标准机架式服务器</w:t>
      </w:r>
    </w:p>
    <w:p>
      <w:pPr>
        <w:rPr>
          <w:rFonts w:asciiTheme="minorEastAsia" w:hAnsiTheme="minorEastAsia" w:eastAsiaTheme="minorEastAsia"/>
          <w:color w:val="auto"/>
          <w:szCs w:val="21"/>
        </w:rPr>
      </w:pPr>
      <w:r>
        <w:rPr>
          <w:rFonts w:asciiTheme="minorEastAsia" w:hAnsiTheme="minorEastAsia" w:eastAsiaTheme="minorEastAsia"/>
          <w:color w:val="auto"/>
          <w:szCs w:val="21"/>
        </w:rPr>
        <w:t>CPU：2颗intel至强系列处理器，核数≥10核，主频≥2.2GHz</w:t>
      </w:r>
    </w:p>
    <w:p>
      <w:pPr>
        <w:rPr>
          <w:rFonts w:asciiTheme="minorEastAsia" w:hAnsiTheme="minorEastAsia" w:eastAsiaTheme="minorEastAsia"/>
          <w:color w:val="auto"/>
          <w:szCs w:val="21"/>
        </w:rPr>
      </w:pPr>
      <w:r>
        <w:rPr>
          <w:rFonts w:asciiTheme="minorEastAsia" w:hAnsiTheme="minorEastAsia" w:eastAsiaTheme="minorEastAsia"/>
          <w:color w:val="auto"/>
          <w:szCs w:val="21"/>
        </w:rPr>
        <w:t>内存：16G*4 DDR4，16根内存插槽，最大支持扩展至2TB内存</w:t>
      </w:r>
    </w:p>
    <w:p>
      <w:pPr>
        <w:rPr>
          <w:rFonts w:asciiTheme="minorEastAsia" w:hAnsiTheme="minorEastAsia" w:eastAsiaTheme="minorEastAsia"/>
          <w:color w:val="auto"/>
          <w:szCs w:val="21"/>
        </w:rPr>
      </w:pPr>
      <w:r>
        <w:rPr>
          <w:rFonts w:asciiTheme="minorEastAsia" w:hAnsiTheme="minorEastAsia" w:eastAsiaTheme="minorEastAsia"/>
          <w:color w:val="auto"/>
          <w:szCs w:val="21"/>
        </w:rPr>
        <w:t>硬盘：4块600G 10K 2.5寸 SAS硬盘</w:t>
      </w:r>
    </w:p>
    <w:p>
      <w:pPr>
        <w:rPr>
          <w:rFonts w:asciiTheme="minorEastAsia" w:hAnsiTheme="minorEastAsia" w:eastAsiaTheme="minorEastAsia"/>
          <w:color w:val="auto"/>
          <w:szCs w:val="21"/>
        </w:rPr>
      </w:pPr>
      <w:r>
        <w:rPr>
          <w:rFonts w:asciiTheme="minorEastAsia" w:hAnsiTheme="minorEastAsia" w:eastAsiaTheme="minorEastAsia"/>
          <w:color w:val="auto"/>
          <w:szCs w:val="21"/>
        </w:rPr>
        <w:t>阵列卡：SAS_HBA卡, 支持RAID 0/1/10</w:t>
      </w:r>
    </w:p>
    <w:p>
      <w:pPr>
        <w:rPr>
          <w:rFonts w:asciiTheme="minorEastAsia" w:hAnsiTheme="minorEastAsia" w:eastAsiaTheme="minorEastAsia"/>
          <w:color w:val="auto"/>
          <w:szCs w:val="21"/>
        </w:rPr>
      </w:pPr>
      <w:r>
        <w:rPr>
          <w:rFonts w:asciiTheme="minorEastAsia" w:hAnsiTheme="minorEastAsia" w:eastAsiaTheme="minorEastAsia"/>
          <w:color w:val="auto"/>
          <w:szCs w:val="21"/>
        </w:rPr>
        <w:t>PCIE扩展：最大可支持6个PCIE扩展插槽</w:t>
      </w:r>
    </w:p>
    <w:p>
      <w:pPr>
        <w:rPr>
          <w:rFonts w:asciiTheme="minorEastAsia" w:hAnsiTheme="minorEastAsia" w:eastAsiaTheme="minorEastAsia"/>
          <w:color w:val="auto"/>
          <w:szCs w:val="21"/>
        </w:rPr>
      </w:pPr>
      <w:r>
        <w:rPr>
          <w:rFonts w:asciiTheme="minorEastAsia" w:hAnsiTheme="minorEastAsia" w:eastAsiaTheme="minorEastAsia"/>
          <w:color w:val="auto"/>
          <w:szCs w:val="21"/>
        </w:rPr>
        <w:t>网口：2个千兆电口，2个万兆光口</w:t>
      </w:r>
    </w:p>
    <w:p>
      <w:pPr>
        <w:rPr>
          <w:rFonts w:asciiTheme="minorEastAsia" w:hAnsiTheme="minorEastAsia" w:eastAsiaTheme="minorEastAsia"/>
          <w:color w:val="auto"/>
          <w:szCs w:val="21"/>
        </w:rPr>
      </w:pPr>
      <w:r>
        <w:rPr>
          <w:rFonts w:asciiTheme="minorEastAsia" w:hAnsiTheme="minorEastAsia" w:eastAsiaTheme="minorEastAsia"/>
          <w:color w:val="auto"/>
          <w:szCs w:val="21"/>
        </w:rPr>
        <w:t>其他接口：1个RJ45管理接口，后置2个USB 3.0接口，前置2个USB2.0接口，1个VGA接口</w:t>
      </w:r>
    </w:p>
    <w:p>
      <w:pPr>
        <w:rPr>
          <w:rFonts w:asciiTheme="minorEastAsia" w:hAnsiTheme="minorEastAsia" w:eastAsiaTheme="minorEastAsia"/>
          <w:color w:val="auto"/>
          <w:szCs w:val="21"/>
        </w:rPr>
      </w:pPr>
      <w:r>
        <w:rPr>
          <w:rFonts w:asciiTheme="minorEastAsia" w:hAnsiTheme="minorEastAsia" w:eastAsiaTheme="minorEastAsia"/>
          <w:color w:val="auto"/>
          <w:szCs w:val="21"/>
        </w:rPr>
        <w:t xml:space="preserve">电源：标配550W（1+1）高效铂金CRPS冗余电源 </w:t>
      </w:r>
    </w:p>
    <w:p>
      <w:pPr>
        <w:rPr>
          <w:rFonts w:asciiTheme="minorEastAsia" w:hAnsiTheme="minorEastAsia" w:eastAsiaTheme="minorEastAsia"/>
          <w:color w:val="auto"/>
          <w:szCs w:val="21"/>
        </w:rPr>
      </w:pPr>
      <w:r>
        <w:rPr>
          <w:rFonts w:asciiTheme="minorEastAsia" w:hAnsiTheme="minorEastAsia" w:eastAsiaTheme="minorEastAsia"/>
          <w:color w:val="auto"/>
          <w:szCs w:val="21"/>
        </w:rPr>
        <w:t>机箱规格：87.8mm(高)x 448mm(宽)x729.8mm(深)</w:t>
      </w:r>
    </w:p>
    <w:p>
      <w:pPr>
        <w:rPr>
          <w:rFonts w:asciiTheme="minorEastAsia" w:hAnsiTheme="minorEastAsia" w:eastAsiaTheme="minorEastAsia"/>
          <w:color w:val="auto"/>
          <w:szCs w:val="21"/>
        </w:rPr>
      </w:pPr>
      <w:r>
        <w:rPr>
          <w:rFonts w:asciiTheme="minorEastAsia" w:hAnsiTheme="minorEastAsia" w:eastAsiaTheme="minorEastAsia"/>
          <w:color w:val="auto"/>
          <w:szCs w:val="21"/>
        </w:rPr>
        <w:t>设备重量：约26KG（含导轨）</w:t>
      </w:r>
    </w:p>
    <w:p>
      <w:pPr>
        <w:rPr>
          <w:rFonts w:asciiTheme="minorEastAsia" w:hAnsiTheme="minorEastAsia" w:eastAsiaTheme="minorEastAsia"/>
          <w:color w:val="auto"/>
          <w:szCs w:val="21"/>
        </w:rPr>
      </w:pPr>
      <w:r>
        <w:rPr>
          <w:rFonts w:asciiTheme="minorEastAsia" w:hAnsiTheme="minorEastAsia" w:eastAsiaTheme="minorEastAsia"/>
          <w:color w:val="auto"/>
          <w:szCs w:val="21"/>
        </w:rPr>
        <w:t>操作系统：HIK OS</w:t>
      </w:r>
    </w:p>
    <w:p>
      <w:pPr>
        <w:pStyle w:val="5"/>
        <w:numPr>
          <w:ilvl w:val="0"/>
          <w:numId w:val="0"/>
        </w:numPr>
        <w:rPr>
          <w:b/>
          <w:bCs/>
          <w:color w:val="auto"/>
          <w:sz w:val="18"/>
          <w:szCs w:val="18"/>
        </w:rPr>
      </w:pPr>
    </w:p>
    <w:p>
      <w:pPr>
        <w:widowControl/>
        <w:shd w:val="clear" w:color="auto" w:fill="FFFFFF"/>
        <w:spacing w:line="360" w:lineRule="auto"/>
        <w:rPr>
          <w:rFonts w:hint="eastAsia" w:eastAsia="宋体"/>
          <w:bCs/>
          <w:color w:val="auto"/>
          <w:szCs w:val="21"/>
          <w:lang w:eastAsia="zh-CN"/>
        </w:rPr>
      </w:pPr>
      <w:r>
        <w:rPr>
          <w:rFonts w:hint="eastAsia"/>
          <w:bCs/>
          <w:color w:val="auto"/>
          <w:szCs w:val="21"/>
        </w:rPr>
        <w:t>2、投标单位应对设备材料表各单项分别报价并结合税金（</w:t>
      </w:r>
      <w:r>
        <w:rPr>
          <w:rFonts w:hint="eastAsia"/>
          <w:bCs/>
          <w:color w:val="auto"/>
          <w:szCs w:val="21"/>
          <w:lang w:val="en-US" w:eastAsia="zh-CN"/>
        </w:rPr>
        <w:t>开具13</w:t>
      </w:r>
      <w:r>
        <w:rPr>
          <w:rFonts w:hint="eastAsia"/>
          <w:bCs/>
          <w:color w:val="auto"/>
          <w:szCs w:val="21"/>
        </w:rPr>
        <w:t>%增值税专票）报投标总价</w:t>
      </w:r>
      <w:r>
        <w:rPr>
          <w:rFonts w:hint="eastAsia"/>
          <w:bCs/>
          <w:color w:val="auto"/>
          <w:szCs w:val="21"/>
          <w:lang w:eastAsia="zh-CN"/>
        </w:rPr>
        <w:t>。</w:t>
      </w:r>
    </w:p>
    <w:p>
      <w:pPr>
        <w:autoSpaceDE w:val="0"/>
        <w:autoSpaceDN w:val="0"/>
        <w:adjustRightInd w:val="0"/>
        <w:snapToGrid w:val="0"/>
        <w:spacing w:line="480" w:lineRule="exact"/>
        <w:rPr>
          <w:color w:val="auto"/>
          <w:szCs w:val="21"/>
        </w:rPr>
      </w:pPr>
      <w:r>
        <w:rPr>
          <w:rFonts w:hint="eastAsia"/>
          <w:color w:val="auto"/>
          <w:szCs w:val="21"/>
        </w:rPr>
        <w:t>3、本次招标的合格投标人应同时满足下列资格要求：</w:t>
      </w:r>
    </w:p>
    <w:p>
      <w:pPr>
        <w:autoSpaceDE w:val="0"/>
        <w:autoSpaceDN w:val="0"/>
        <w:adjustRightInd w:val="0"/>
        <w:snapToGrid w:val="0"/>
        <w:spacing w:line="480" w:lineRule="exact"/>
        <w:ind w:firstLine="561"/>
        <w:rPr>
          <w:color w:val="auto"/>
          <w:szCs w:val="21"/>
        </w:rPr>
      </w:pPr>
      <w:r>
        <w:rPr>
          <w:rFonts w:hint="eastAsia"/>
          <w:color w:val="auto"/>
          <w:szCs w:val="21"/>
        </w:rPr>
        <w:t>（1）投标人必须具备独立法人资格 （ 提供企业营业执照、税务登记证、组织机构代码证，如营业执照、组织机构代码证税务登记证，三证合一，则只提供营业执照；提供复印件加盖公章）。</w:t>
      </w:r>
    </w:p>
    <w:p>
      <w:pPr>
        <w:spacing w:line="480" w:lineRule="exact"/>
        <w:ind w:firstLine="514" w:firstLineChars="245"/>
        <w:rPr>
          <w:rFonts w:ascii="宋体" w:hAnsi="宋体"/>
          <w:color w:val="auto"/>
          <w:szCs w:val="21"/>
        </w:rPr>
      </w:pPr>
      <w:r>
        <w:rPr>
          <w:rFonts w:hint="eastAsia" w:ascii="宋体" w:hAnsi="宋体"/>
          <w:color w:val="auto"/>
          <w:szCs w:val="21"/>
        </w:rPr>
        <w:t xml:space="preserve">（2）所投标设备需符合行业标准及执行标准。 </w:t>
      </w:r>
    </w:p>
    <w:p>
      <w:pPr>
        <w:autoSpaceDE w:val="0"/>
        <w:autoSpaceDN w:val="0"/>
        <w:adjustRightInd w:val="0"/>
        <w:snapToGrid w:val="0"/>
        <w:spacing w:line="480" w:lineRule="exact"/>
        <w:ind w:firstLine="561"/>
        <w:rPr>
          <w:color w:val="auto"/>
          <w:szCs w:val="21"/>
        </w:rPr>
      </w:pPr>
      <w:r>
        <w:rPr>
          <w:rFonts w:hint="eastAsia"/>
          <w:color w:val="auto"/>
          <w:szCs w:val="21"/>
        </w:rPr>
        <w:t>（3）本项目不接受联合体投标。</w:t>
      </w:r>
    </w:p>
    <w:p>
      <w:pPr>
        <w:autoSpaceDE w:val="0"/>
        <w:autoSpaceDN w:val="0"/>
        <w:adjustRightInd w:val="0"/>
        <w:snapToGrid w:val="0"/>
        <w:spacing w:line="480" w:lineRule="exact"/>
        <w:ind w:firstLine="561"/>
        <w:rPr>
          <w:rFonts w:ascii="宋体" w:hAnsi="宋体"/>
          <w:color w:val="auto"/>
          <w:szCs w:val="21"/>
        </w:rPr>
      </w:pPr>
      <w:r>
        <w:rPr>
          <w:rFonts w:hint="eastAsia"/>
          <w:color w:val="auto"/>
          <w:szCs w:val="21"/>
        </w:rPr>
        <w:t>（4）</w:t>
      </w:r>
      <w:r>
        <w:rPr>
          <w:rFonts w:hint="eastAsia" w:ascii="宋体" w:hAnsi="宋体"/>
          <w:color w:val="auto"/>
          <w:szCs w:val="21"/>
        </w:rPr>
        <w:t>所投标报价均包含税务局规定税率的增值税专用发票。</w:t>
      </w:r>
    </w:p>
    <w:p>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（5）所有提供设备均需为原厂正品，且为市场通用或主流产品。</w:t>
      </w:r>
    </w:p>
    <w:p>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3、投标文件正本</w:t>
      </w:r>
      <w:r>
        <w:rPr>
          <w:rFonts w:hint="eastAsia" w:ascii="宋体" w:hAnsi="宋体"/>
          <w:color w:val="auto"/>
          <w:szCs w:val="21"/>
          <w:lang w:val="en-US" w:eastAsia="zh-CN"/>
        </w:rPr>
        <w:t>一份</w:t>
      </w:r>
      <w:r>
        <w:rPr>
          <w:rFonts w:hint="eastAsia" w:ascii="宋体" w:hAnsi="宋体"/>
          <w:color w:val="auto"/>
          <w:szCs w:val="21"/>
        </w:rPr>
        <w:t>、副本</w:t>
      </w:r>
      <w:r>
        <w:rPr>
          <w:rFonts w:hint="eastAsia" w:ascii="宋体" w:hAnsi="宋体"/>
          <w:color w:val="auto"/>
          <w:szCs w:val="21"/>
          <w:lang w:val="en-US" w:eastAsia="zh-CN"/>
        </w:rPr>
        <w:t>四</w:t>
      </w:r>
      <w:r>
        <w:rPr>
          <w:rFonts w:hint="eastAsia" w:ascii="宋体" w:hAnsi="宋体"/>
          <w:color w:val="auto"/>
          <w:szCs w:val="21"/>
        </w:rPr>
        <w:t>份，正本必须用不能擦去的墨水书写或打印，副本可以复印。正本、副本都应装订成册，并在封面上正确标明“正本”、“副本”字样，正、副本不一致时，以正本为准。</w:t>
      </w:r>
    </w:p>
    <w:p>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4、具有独立法人资格的生产企业或代理商，此报价为材料送达招标方指定地点（安装调试好）的价格。</w:t>
      </w:r>
    </w:p>
    <w:p>
      <w:pPr>
        <w:autoSpaceDE w:val="0"/>
        <w:autoSpaceDN w:val="0"/>
        <w:adjustRightInd w:val="0"/>
        <w:snapToGrid w:val="0"/>
        <w:spacing w:line="480" w:lineRule="exact"/>
        <w:ind w:firstLine="561"/>
        <w:rPr>
          <w:rFonts w:hint="eastAsia" w:ascii="宋体" w:hAnsi="宋体" w:eastAsia="宋体"/>
          <w:color w:val="auto"/>
          <w:szCs w:val="21"/>
          <w:lang w:eastAsia="zh-CN"/>
        </w:rPr>
      </w:pPr>
      <w:r>
        <w:rPr>
          <w:rFonts w:hint="eastAsia"/>
          <w:color w:val="auto"/>
        </w:rPr>
        <w:t>5、本</w:t>
      </w:r>
      <w:r>
        <w:rPr>
          <w:rFonts w:hint="eastAsia" w:ascii="宋体" w:hAnsi="宋体"/>
          <w:color w:val="auto"/>
          <w:szCs w:val="21"/>
        </w:rPr>
        <w:t>次招标工作内容</w:t>
      </w:r>
      <w:r>
        <w:rPr>
          <w:rFonts w:hint="eastAsia" w:ascii="宋体" w:hAnsi="宋体"/>
          <w:color w:val="auto"/>
          <w:szCs w:val="21"/>
          <w:lang w:eastAsia="zh-CN"/>
        </w:rPr>
        <w:t>及要求：</w:t>
      </w:r>
    </w:p>
    <w:p>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5.1对原旧的设备系统的拆除。</w:t>
      </w:r>
    </w:p>
    <w:p>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5.2新系统的设备供货、安装、调试。</w:t>
      </w:r>
    </w:p>
    <w:p>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5.3线缆的敷设、接线</w:t>
      </w:r>
      <w:r>
        <w:rPr>
          <w:rFonts w:hint="eastAsia" w:ascii="宋体" w:hAnsi="宋体"/>
          <w:color w:val="auto"/>
          <w:szCs w:val="21"/>
          <w:lang w:eastAsia="zh-CN"/>
        </w:rPr>
        <w:t>、</w:t>
      </w:r>
      <w:r>
        <w:rPr>
          <w:rFonts w:hint="eastAsia" w:ascii="宋体" w:hAnsi="宋体"/>
          <w:color w:val="auto"/>
          <w:szCs w:val="21"/>
        </w:rPr>
        <w:t>穿管、预埋</w:t>
      </w:r>
      <w:r>
        <w:rPr>
          <w:rFonts w:hint="eastAsia" w:ascii="宋体" w:hAnsi="宋体"/>
          <w:color w:val="auto"/>
          <w:szCs w:val="21"/>
          <w:lang w:eastAsia="zh-CN"/>
        </w:rPr>
        <w:t>等</w:t>
      </w:r>
      <w:r>
        <w:rPr>
          <w:rFonts w:hint="eastAsia" w:ascii="宋体" w:hAnsi="宋体"/>
          <w:color w:val="auto"/>
          <w:szCs w:val="21"/>
        </w:rPr>
        <w:t>。</w:t>
      </w:r>
    </w:p>
    <w:p>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5.4整个系统的技术培训。</w:t>
      </w:r>
    </w:p>
    <w:p>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5.5整个系统应符合公安部门的技术要求。</w:t>
      </w:r>
    </w:p>
    <w:p>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5.6原室外立杆、线缆等如能</w:t>
      </w:r>
      <w:r>
        <w:rPr>
          <w:rFonts w:hint="eastAsia" w:ascii="宋体" w:hAnsi="宋体"/>
          <w:color w:val="auto"/>
          <w:szCs w:val="21"/>
          <w:lang w:eastAsia="zh-CN"/>
        </w:rPr>
        <w:t>继续</w:t>
      </w:r>
      <w:r>
        <w:rPr>
          <w:rFonts w:hint="eastAsia" w:ascii="宋体" w:hAnsi="宋体"/>
          <w:color w:val="auto"/>
          <w:szCs w:val="21"/>
        </w:rPr>
        <w:t>使用</w:t>
      </w:r>
      <w:r>
        <w:rPr>
          <w:rFonts w:hint="eastAsia" w:ascii="宋体" w:hAnsi="宋体"/>
          <w:color w:val="auto"/>
          <w:szCs w:val="21"/>
          <w:lang w:eastAsia="zh-CN"/>
        </w:rPr>
        <w:t>则</w:t>
      </w:r>
      <w:r>
        <w:rPr>
          <w:rFonts w:hint="eastAsia" w:ascii="宋体" w:hAnsi="宋体"/>
          <w:color w:val="auto"/>
          <w:szCs w:val="21"/>
        </w:rPr>
        <w:t>应</w:t>
      </w:r>
      <w:r>
        <w:rPr>
          <w:rFonts w:hint="eastAsia" w:ascii="宋体" w:hAnsi="宋体"/>
          <w:color w:val="auto"/>
          <w:szCs w:val="21"/>
          <w:lang w:eastAsia="zh-CN"/>
        </w:rPr>
        <w:t>予以留</w:t>
      </w:r>
      <w:r>
        <w:rPr>
          <w:rFonts w:hint="eastAsia" w:ascii="宋体" w:hAnsi="宋体"/>
          <w:color w:val="auto"/>
          <w:szCs w:val="21"/>
        </w:rPr>
        <w:t>用以降低工程造价，在设备清单上需注明，所有旧的材料和设备的使用必须得到招标方的认可。</w:t>
      </w:r>
    </w:p>
    <w:p>
      <w:pPr>
        <w:autoSpaceDE w:val="0"/>
        <w:autoSpaceDN w:val="0"/>
        <w:adjustRightInd w:val="0"/>
        <w:snapToGrid w:val="0"/>
        <w:spacing w:line="480" w:lineRule="exact"/>
        <w:ind w:firstLine="561"/>
        <w:rPr>
          <w:rFonts w:ascii="宋体" w:hAnsi="宋体"/>
          <w:b/>
          <w:bCs/>
          <w:color w:val="auto"/>
          <w:szCs w:val="21"/>
        </w:rPr>
      </w:pPr>
      <w:r>
        <w:rPr>
          <w:rFonts w:hint="eastAsia" w:ascii="宋体" w:hAnsi="宋体"/>
          <w:b/>
          <w:bCs/>
          <w:color w:val="auto"/>
          <w:szCs w:val="21"/>
        </w:rPr>
        <w:t>三、投标文件的密封与递交</w:t>
      </w:r>
    </w:p>
    <w:p>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1、投标文件的份数和签署</w:t>
      </w:r>
    </w:p>
    <w:p>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投标文件应使用不能擦去的墨水书写或打印，由投标人加盖法人公章和法定代表人或法定代表人委托的代理人印鉴或签字。</w:t>
      </w:r>
    </w:p>
    <w:p>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2、投标文件的密封与标志</w:t>
      </w:r>
    </w:p>
    <w:p>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所有封袋上都应写明招标人名称、项目名称、投标人名称、卷别；</w:t>
      </w:r>
    </w:p>
    <w:p>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所有投标文件都必须在封袋上加盖投标单位法人公章及其法定代表人或授权委托人的印鉴。</w:t>
      </w:r>
    </w:p>
    <w:p>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3、投标截止期</w:t>
      </w:r>
    </w:p>
    <w:p>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3.1投标人应在投标须知中规定的时间之前将投标文件递交到招标文件前附表指定地点。</w:t>
      </w:r>
    </w:p>
    <w:p>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3.2招标人可以按本文件规定以修改通知的方式，延长递交投标文件的截止日期。在上述情况下，招标人与投标人以前的在投标截止期方面的全部权力、责任和义务，将适用于延长后新的投标截止期。</w:t>
      </w:r>
    </w:p>
    <w:p>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4、投标文件的修改与撤回</w:t>
      </w:r>
    </w:p>
    <w:p>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4.1投标人可以在递交投标文件以后，在规定的投标截止期之前，以书面形式向招标人递交修改或撤回其投标文件的通知。在投标截止期以后，不得更改、撤回投标文件。</w:t>
      </w:r>
    </w:p>
    <w:p>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4.2投标文件的修改应按本文件相关条款规定的要求编制、密封、标志和递交（密封袋上应标明“修改”字样）。</w:t>
      </w:r>
    </w:p>
    <w:p>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4.3投标截止以后,在投标有效期内，未确定中标人前，投标人不得撤回投标文件。</w:t>
      </w:r>
      <w:bookmarkStart w:id="0" w:name="EB66450c37613b4d8bb5d2ef34d49a190f"/>
      <w:r>
        <w:rPr>
          <w:rFonts w:ascii="宋体" w:hAnsi="宋体"/>
          <w:color w:val="auto"/>
          <w:szCs w:val="21"/>
        </w:rPr>
        <w:t xml:space="preserve"> </w:t>
      </w:r>
      <w:bookmarkEnd w:id="0"/>
      <w:bookmarkStart w:id="1" w:name="EB0f01764a82a04f44abcb858eaf46c6a5"/>
      <w:r>
        <w:rPr>
          <w:rFonts w:ascii="宋体" w:hAnsi="宋体"/>
          <w:color w:val="auto"/>
          <w:szCs w:val="21"/>
        </w:rPr>
        <w:t xml:space="preserve"> </w:t>
      </w:r>
      <w:bookmarkEnd w:id="1"/>
    </w:p>
    <w:p>
      <w:pPr>
        <w:pStyle w:val="2"/>
        <w:rPr>
          <w:color w:val="auto"/>
        </w:rPr>
      </w:pPr>
    </w:p>
    <w:p>
      <w:pPr>
        <w:autoSpaceDE w:val="0"/>
        <w:autoSpaceDN w:val="0"/>
        <w:adjustRightInd w:val="0"/>
        <w:snapToGrid w:val="0"/>
        <w:spacing w:line="480" w:lineRule="exact"/>
        <w:ind w:firstLine="561"/>
        <w:rPr>
          <w:rFonts w:ascii="宋体" w:hAnsi="宋体"/>
          <w:b/>
          <w:bCs/>
          <w:color w:val="auto"/>
          <w:szCs w:val="21"/>
        </w:rPr>
      </w:pPr>
      <w:r>
        <w:rPr>
          <w:rFonts w:hint="eastAsia" w:ascii="宋体" w:hAnsi="宋体"/>
          <w:b/>
          <w:bCs/>
          <w:color w:val="auto"/>
          <w:szCs w:val="21"/>
        </w:rPr>
        <w:t>四、评标</w:t>
      </w:r>
    </w:p>
    <w:p>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投标文件的评审工作在评标监督小组的监督下，由评标委员会负责进行。评标委员会的成员必须符合法律法规有关规定。评标委员会成员应认真阅读投标文件，严格依据国家和省市招标投标的法律法规精神和本招标文件规定的评标标准和方法进行评审、依法独立评标不得带有任何倾向性。评标活动遵循公平、公正、科学和择优的原则。</w:t>
      </w:r>
    </w:p>
    <w:p>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1.1评标委员会</w:t>
      </w:r>
    </w:p>
    <w:p>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评标由招标人依法组建的评标委员会负责。评标委员会由有关技术、经济等方面的专家组成。</w:t>
      </w:r>
    </w:p>
    <w:p>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1.2评审程序</w:t>
      </w:r>
    </w:p>
    <w:p>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评标按照下列程序进行：1）评标准备；2）初步评审；3）详细评审；4）推荐中标候选人，撰写评标报告。</w:t>
      </w:r>
    </w:p>
    <w:p>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1.3评标准备</w:t>
      </w:r>
    </w:p>
    <w:p>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1.3.1评标委员会成员签到</w:t>
      </w:r>
    </w:p>
    <w:p>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评标委员会成员到达评标现场时应在签到表上签到以证明出席。</w:t>
      </w:r>
    </w:p>
    <w:p>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1.3.2 评标委员会的分工</w:t>
      </w:r>
    </w:p>
    <w:p>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评标委员会首先推选一名评标委员会负责人。评标委员会负责人负责评标活动的组织领导工作。评标委员会负责人在与其他评标委员会成员商议的基础上可以将评标委员会划分为技术组和商务组。</w:t>
      </w:r>
    </w:p>
    <w:p>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1.3.3 熟悉文件资料</w:t>
      </w:r>
    </w:p>
    <w:p>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评标委员会成员应认真研究招标文件，了解和熟悉招标目的、招标范围、主要合同条件、技术标准和要求、质量标准和工期要求，掌握评标标准和方法，熟悉本章及附件中包括的评标表格的使用，如果本章及附件所附的表格不能满足评标所需时，评标委员会应补充编制评标所需的表格，尤其是用于详细分析计算的表格。未在招标文件中规定的标准和方法不得作为评标的依据。</w:t>
      </w:r>
    </w:p>
    <w:p>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1.4初步评审</w:t>
      </w:r>
    </w:p>
    <w:p>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1.4.1响应性评审</w:t>
      </w:r>
    </w:p>
    <w:p>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1.4.2算术错误修正</w:t>
      </w:r>
    </w:p>
    <w:p>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1.4.3澄清、说明或补正</w:t>
      </w:r>
    </w:p>
    <w:p>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在初步评审过程中，评标委员会应当就投标文件中不明确的内容要求投标人进行澄清．</w:t>
      </w:r>
    </w:p>
    <w:p>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1.5投标过程中出现下列情况之一的将作为无效投标处理：</w:t>
      </w:r>
    </w:p>
    <w:p>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1、投标书未加盖单位法人章，无法定代表人或其授权委托人的签字；</w:t>
      </w:r>
    </w:p>
    <w:p>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2、投标文件载明的货物包装方式、检验标准和方法等不符合招标文件的要求；</w:t>
      </w:r>
    </w:p>
    <w:p>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3、投标文件提出了不能满足招标文件要求或招标人不能接受的工程验收、计量、价款结算支付办法；</w:t>
      </w:r>
    </w:p>
    <w:p>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4、经评标委员会认定投标人的投标报价低于成本价的；</w:t>
      </w:r>
    </w:p>
    <w:p>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5、投标人未按照招标文件的要求提供必须提交的相关资料的；</w:t>
      </w:r>
    </w:p>
    <w:p>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6、投标文件附有招标人不能接受的条件；</w:t>
      </w:r>
    </w:p>
    <w:p>
      <w:pPr>
        <w:autoSpaceDE w:val="0"/>
        <w:autoSpaceDN w:val="0"/>
        <w:adjustRightInd w:val="0"/>
        <w:snapToGrid w:val="0"/>
        <w:spacing w:line="480" w:lineRule="exact"/>
        <w:ind w:firstLine="561"/>
        <w:rPr>
          <w:rFonts w:ascii="宋体" w:hAnsi="宋体"/>
          <w:b/>
          <w:color w:val="auto"/>
          <w:szCs w:val="21"/>
        </w:rPr>
      </w:pPr>
      <w:r>
        <w:rPr>
          <w:rFonts w:hint="eastAsia" w:ascii="宋体" w:hAnsi="宋体"/>
          <w:b/>
          <w:color w:val="auto"/>
          <w:szCs w:val="21"/>
        </w:rPr>
        <w:t>五、评标细则（满分100分）</w:t>
      </w:r>
    </w:p>
    <w:p>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本次评标采用综合评分法，评标委员会通过对商务、技术等因素的综合评审进行打分，综合得分最高的投标人排名第一，依此类推确定排名顺序，按排名顺序先后推荐为中标候选人。</w:t>
      </w:r>
    </w:p>
    <w:p>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本次评标按百分制评分，其中商务评审为</w:t>
      </w:r>
      <w:r>
        <w:rPr>
          <w:rFonts w:ascii="宋体" w:hAnsi="宋体"/>
          <w:color w:val="auto"/>
          <w:szCs w:val="21"/>
        </w:rPr>
        <w:t>74</w:t>
      </w:r>
      <w:r>
        <w:rPr>
          <w:rFonts w:hint="eastAsia" w:ascii="宋体" w:hAnsi="宋体"/>
          <w:color w:val="auto"/>
          <w:szCs w:val="21"/>
        </w:rPr>
        <w:t>分，技术评审为</w:t>
      </w:r>
      <w:r>
        <w:rPr>
          <w:rFonts w:ascii="宋体" w:hAnsi="宋体"/>
          <w:color w:val="auto"/>
          <w:szCs w:val="21"/>
        </w:rPr>
        <w:t>26</w:t>
      </w:r>
      <w:r>
        <w:rPr>
          <w:rFonts w:hint="eastAsia" w:ascii="宋体" w:hAnsi="宋体"/>
          <w:color w:val="auto"/>
          <w:szCs w:val="21"/>
        </w:rPr>
        <w:t>分。具体评分细则如下：</w:t>
      </w:r>
    </w:p>
    <w:p>
      <w:pPr>
        <w:autoSpaceDE w:val="0"/>
        <w:autoSpaceDN w:val="0"/>
        <w:adjustRightInd w:val="0"/>
        <w:snapToGrid w:val="0"/>
        <w:spacing w:line="480" w:lineRule="exact"/>
        <w:ind w:firstLine="561"/>
        <w:rPr>
          <w:rFonts w:ascii="宋体" w:hAnsi="宋体"/>
          <w:color w:val="auto"/>
          <w:szCs w:val="21"/>
        </w:rPr>
      </w:pPr>
    </w:p>
    <w:p>
      <w:pPr>
        <w:autoSpaceDE w:val="0"/>
        <w:autoSpaceDN w:val="0"/>
        <w:adjustRightInd w:val="0"/>
        <w:snapToGrid w:val="0"/>
        <w:spacing w:line="480" w:lineRule="exact"/>
        <w:rPr>
          <w:rFonts w:ascii="宋体" w:hAnsi="宋体"/>
          <w:b/>
          <w:color w:val="auto"/>
          <w:szCs w:val="21"/>
        </w:rPr>
      </w:pPr>
      <w:r>
        <w:rPr>
          <w:rFonts w:hint="eastAsia" w:ascii="宋体" w:hAnsi="宋体"/>
          <w:b/>
          <w:color w:val="auto"/>
          <w:szCs w:val="21"/>
        </w:rPr>
        <w:t>总则</w:t>
      </w:r>
    </w:p>
    <w:p>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评委会成员应严格按下列具体评审内容及相应分值客观、公正地进行评分。计算每个投标人的得分时，对所有评委的评分计算算术平均值作为该投标人的最终得分。</w:t>
      </w:r>
    </w:p>
    <w:p>
      <w:pPr>
        <w:autoSpaceDE w:val="0"/>
        <w:autoSpaceDN w:val="0"/>
        <w:adjustRightInd w:val="0"/>
        <w:snapToGrid w:val="0"/>
        <w:spacing w:line="480" w:lineRule="exact"/>
        <w:rPr>
          <w:rFonts w:ascii="宋体" w:hAnsi="宋体"/>
          <w:b/>
          <w:color w:val="auto"/>
          <w:szCs w:val="21"/>
        </w:rPr>
      </w:pPr>
      <w:r>
        <w:rPr>
          <w:rFonts w:hint="eastAsia" w:ascii="宋体" w:hAnsi="宋体"/>
          <w:b/>
          <w:color w:val="auto"/>
          <w:szCs w:val="21"/>
        </w:rPr>
        <w:t>&lt;一&gt;、商务评审得分（满分74分）</w:t>
      </w:r>
    </w:p>
    <w:p>
      <w:pPr>
        <w:autoSpaceDE w:val="0"/>
        <w:autoSpaceDN w:val="0"/>
        <w:adjustRightInd w:val="0"/>
        <w:snapToGrid w:val="0"/>
        <w:spacing w:line="480" w:lineRule="exact"/>
        <w:rPr>
          <w:rFonts w:ascii="宋体" w:hAnsi="宋体"/>
          <w:b/>
          <w:bCs/>
          <w:color w:val="auto"/>
          <w:szCs w:val="21"/>
        </w:rPr>
      </w:pPr>
      <w:r>
        <w:rPr>
          <w:rFonts w:hint="eastAsia" w:ascii="宋体" w:hAnsi="宋体"/>
          <w:b/>
          <w:bCs/>
          <w:color w:val="auto"/>
          <w:szCs w:val="21"/>
        </w:rPr>
        <w:t>1、报价评审得分（满分50分）</w:t>
      </w:r>
    </w:p>
    <w:p>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报价得分（满分50分）：以所有有效投标人评标价的算术平均值（如投标人超过5家（含5家），则去掉一个最高价和一个最低价后计算算术平均值）下浮2%作为基准价得满分50分，其余投标人的评标价与基准价相比，投标人评标价每高基准价1%扣</w:t>
      </w:r>
      <w:r>
        <w:rPr>
          <w:rFonts w:hint="eastAsia" w:ascii="宋体" w:hAnsi="宋体"/>
          <w:color w:val="auto"/>
          <w:szCs w:val="21"/>
          <w:lang w:val="en-US" w:eastAsia="zh-CN"/>
        </w:rPr>
        <w:t>1</w:t>
      </w:r>
      <w:r>
        <w:rPr>
          <w:rFonts w:hint="eastAsia" w:ascii="宋体" w:hAnsi="宋体"/>
          <w:color w:val="auto"/>
          <w:szCs w:val="21"/>
        </w:rPr>
        <w:t>分，每低基准价1%的扣</w:t>
      </w:r>
      <w:r>
        <w:rPr>
          <w:rFonts w:hint="eastAsia" w:ascii="宋体" w:hAnsi="宋体"/>
          <w:color w:val="auto"/>
          <w:szCs w:val="21"/>
          <w:lang w:val="en-US" w:eastAsia="zh-CN"/>
        </w:rPr>
        <w:t>0.5</w:t>
      </w:r>
      <w:r>
        <w:rPr>
          <w:rFonts w:hint="eastAsia" w:ascii="宋体" w:hAnsi="宋体"/>
          <w:color w:val="auto"/>
          <w:szCs w:val="21"/>
        </w:rPr>
        <w:t>分，不足1%的，按</w:t>
      </w:r>
      <w:r>
        <w:rPr>
          <w:rFonts w:hint="eastAsia" w:ascii="宋体" w:hAnsi="宋体"/>
          <w:color w:val="auto"/>
          <w:szCs w:val="21"/>
          <w:lang w:val="en-US" w:eastAsia="zh-CN"/>
        </w:rPr>
        <w:t>插入法计</w:t>
      </w:r>
      <w:r>
        <w:rPr>
          <w:rFonts w:hint="eastAsia" w:ascii="宋体" w:hAnsi="宋体"/>
          <w:color w:val="auto"/>
          <w:szCs w:val="21"/>
        </w:rPr>
        <w:t xml:space="preserve">算。（保留两位小数）。                                    </w:t>
      </w:r>
    </w:p>
    <w:p>
      <w:pPr>
        <w:keepNext w:val="0"/>
        <w:keepLines w:val="0"/>
        <w:pageBreakBefore w:val="0"/>
        <w:kinsoku/>
        <w:wordWrap/>
        <w:overflowPunct/>
        <w:topLinePunct w:val="0"/>
        <w:autoSpaceDE w:val="0"/>
        <w:autoSpaceDN w:val="0"/>
        <w:bidi w:val="0"/>
        <w:adjustRightInd w:val="0"/>
        <w:snapToGrid w:val="0"/>
        <w:spacing w:line="480" w:lineRule="exact"/>
        <w:textAlignment w:val="auto"/>
        <w:rPr>
          <w:rFonts w:ascii="宋体" w:hAnsi="宋体"/>
          <w:b/>
          <w:color w:val="auto"/>
          <w:szCs w:val="21"/>
        </w:rPr>
      </w:pPr>
      <w:r>
        <w:rPr>
          <w:rFonts w:hint="eastAsia" w:ascii="宋体" w:hAnsi="宋体"/>
          <w:b/>
          <w:color w:val="auto"/>
          <w:szCs w:val="21"/>
        </w:rPr>
        <w:t>2、综合实力评审得分（满分1</w:t>
      </w:r>
      <w:r>
        <w:rPr>
          <w:rFonts w:hint="eastAsia" w:ascii="宋体" w:hAnsi="宋体"/>
          <w:b/>
          <w:color w:val="auto"/>
          <w:szCs w:val="21"/>
          <w:lang w:val="en-US" w:eastAsia="zh-CN"/>
        </w:rPr>
        <w:t>0</w:t>
      </w:r>
      <w:r>
        <w:rPr>
          <w:rFonts w:hint="eastAsia" w:ascii="宋体" w:hAnsi="宋体"/>
          <w:b/>
          <w:color w:val="auto"/>
          <w:szCs w:val="21"/>
        </w:rPr>
        <w:t>分）</w:t>
      </w:r>
    </w:p>
    <w:p>
      <w:pPr>
        <w:keepNext w:val="0"/>
        <w:keepLines w:val="0"/>
        <w:pageBreakBefore w:val="0"/>
        <w:widowControl/>
        <w:kinsoku/>
        <w:wordWrap/>
        <w:overflowPunct/>
        <w:topLinePunct w:val="0"/>
        <w:bidi w:val="0"/>
        <w:spacing w:line="480" w:lineRule="exact"/>
        <w:textAlignment w:val="auto"/>
        <w:rPr>
          <w:rFonts w:ascii="宋体" w:hAnsi="宋体" w:cs="宋体"/>
          <w:color w:val="auto"/>
          <w:kern w:val="0"/>
          <w:szCs w:val="21"/>
        </w:rPr>
      </w:pPr>
      <w:r>
        <w:rPr>
          <w:rFonts w:hint="eastAsia" w:ascii="宋体" w:hAnsi="宋体" w:cs="宋体"/>
          <w:color w:val="auto"/>
          <w:kern w:val="0"/>
          <w:szCs w:val="21"/>
        </w:rPr>
        <w:t>1、投标人具有资信评估机构认证的企业信用等级AAA证书的得</w:t>
      </w:r>
      <w:r>
        <w:rPr>
          <w:rFonts w:hint="eastAsia" w:ascii="宋体" w:hAnsi="宋体" w:cs="宋体"/>
          <w:color w:val="auto"/>
          <w:kern w:val="0"/>
          <w:szCs w:val="21"/>
          <w:lang w:val="en-US" w:eastAsia="zh-CN"/>
        </w:rPr>
        <w:t>1</w:t>
      </w:r>
      <w:r>
        <w:rPr>
          <w:rFonts w:hint="eastAsia" w:ascii="宋体" w:hAnsi="宋体" w:cs="宋体"/>
          <w:color w:val="auto"/>
          <w:kern w:val="0"/>
          <w:szCs w:val="21"/>
        </w:rPr>
        <w:t>分。（提供复印件加盖公章，原件或公证件备查）；</w:t>
      </w:r>
    </w:p>
    <w:p>
      <w:pPr>
        <w:keepNext w:val="0"/>
        <w:keepLines w:val="0"/>
        <w:pageBreakBefore w:val="0"/>
        <w:widowControl/>
        <w:kinsoku/>
        <w:wordWrap/>
        <w:overflowPunct/>
        <w:topLinePunct w:val="0"/>
        <w:bidi w:val="0"/>
        <w:spacing w:line="480" w:lineRule="exact"/>
        <w:textAlignment w:val="auto"/>
        <w:rPr>
          <w:rFonts w:ascii="宋体" w:hAnsi="宋体" w:cs="宋体"/>
          <w:color w:val="auto"/>
          <w:kern w:val="0"/>
          <w:szCs w:val="21"/>
        </w:rPr>
      </w:pPr>
      <w:r>
        <w:rPr>
          <w:rFonts w:ascii="宋体" w:hAnsi="宋体" w:cs="宋体"/>
          <w:color w:val="auto"/>
          <w:kern w:val="0"/>
          <w:szCs w:val="21"/>
        </w:rPr>
        <w:t>2</w:t>
      </w:r>
      <w:r>
        <w:rPr>
          <w:rFonts w:hint="eastAsia" w:ascii="宋体" w:hAnsi="宋体" w:cs="宋体"/>
          <w:color w:val="auto"/>
          <w:kern w:val="0"/>
          <w:szCs w:val="21"/>
        </w:rPr>
        <w:t>、投标人具有资信评估机构认证的重合同守信用企业等级AAA证书的得</w:t>
      </w:r>
      <w:r>
        <w:rPr>
          <w:rFonts w:hint="eastAsia" w:ascii="宋体" w:hAnsi="宋体" w:cs="宋体"/>
          <w:color w:val="auto"/>
          <w:kern w:val="0"/>
          <w:szCs w:val="21"/>
          <w:lang w:val="en-US" w:eastAsia="zh-CN"/>
        </w:rPr>
        <w:t>1</w:t>
      </w:r>
      <w:r>
        <w:rPr>
          <w:rFonts w:hint="eastAsia" w:ascii="宋体" w:hAnsi="宋体" w:cs="宋体"/>
          <w:color w:val="auto"/>
          <w:kern w:val="0"/>
          <w:szCs w:val="21"/>
        </w:rPr>
        <w:t>分。（提供复印件加盖公章，原件或公证件备查）；</w:t>
      </w:r>
    </w:p>
    <w:p>
      <w:pPr>
        <w:keepNext w:val="0"/>
        <w:keepLines w:val="0"/>
        <w:pageBreakBefore w:val="0"/>
        <w:widowControl/>
        <w:kinsoku/>
        <w:wordWrap/>
        <w:overflowPunct/>
        <w:topLinePunct w:val="0"/>
        <w:bidi w:val="0"/>
        <w:spacing w:line="480" w:lineRule="exact"/>
        <w:textAlignment w:val="auto"/>
        <w:rPr>
          <w:rFonts w:ascii="宋体" w:hAnsi="宋体" w:cs="宋体"/>
          <w:color w:val="auto"/>
          <w:kern w:val="0"/>
          <w:szCs w:val="21"/>
        </w:rPr>
      </w:pPr>
      <w:r>
        <w:rPr>
          <w:rFonts w:ascii="宋体" w:hAnsi="宋体" w:cs="宋体"/>
          <w:color w:val="auto"/>
          <w:kern w:val="0"/>
          <w:szCs w:val="21"/>
        </w:rPr>
        <w:t>3</w:t>
      </w:r>
      <w:r>
        <w:rPr>
          <w:rFonts w:hint="eastAsia" w:ascii="宋体" w:hAnsi="宋体" w:cs="宋体"/>
          <w:color w:val="auto"/>
          <w:kern w:val="0"/>
          <w:szCs w:val="21"/>
        </w:rPr>
        <w:t>、投标人具有质量管理体系（ISO9001）认证证书、环境管理体系（ISO14001）认证证书、职业健康安全管理体系（ISO45001）认证证书，每提供一项得</w:t>
      </w:r>
      <w:r>
        <w:rPr>
          <w:rFonts w:hint="eastAsia" w:ascii="宋体" w:hAnsi="宋体" w:cs="宋体"/>
          <w:color w:val="auto"/>
          <w:kern w:val="0"/>
          <w:szCs w:val="21"/>
          <w:lang w:val="en-US" w:eastAsia="zh-CN"/>
        </w:rPr>
        <w:t>1</w:t>
      </w:r>
      <w:r>
        <w:rPr>
          <w:rFonts w:hint="eastAsia" w:ascii="宋体" w:hAnsi="宋体" w:cs="宋体"/>
          <w:color w:val="auto"/>
          <w:kern w:val="0"/>
          <w:szCs w:val="21"/>
        </w:rPr>
        <w:t>分，最多得</w:t>
      </w:r>
      <w:r>
        <w:rPr>
          <w:rFonts w:hint="eastAsia" w:ascii="宋体" w:hAnsi="宋体" w:cs="宋体"/>
          <w:color w:val="auto"/>
          <w:kern w:val="0"/>
          <w:szCs w:val="21"/>
          <w:lang w:val="en-US" w:eastAsia="zh-CN"/>
        </w:rPr>
        <w:t>4</w:t>
      </w:r>
      <w:r>
        <w:rPr>
          <w:rFonts w:hint="eastAsia" w:ascii="宋体" w:hAnsi="宋体" w:cs="宋体"/>
          <w:color w:val="auto"/>
          <w:kern w:val="0"/>
          <w:szCs w:val="21"/>
        </w:rPr>
        <w:t xml:space="preserve">分。（提供复印件加盖公章，原件或公证件备查）； </w:t>
      </w:r>
    </w:p>
    <w:p>
      <w:pPr>
        <w:keepNext w:val="0"/>
        <w:keepLines w:val="0"/>
        <w:pageBreakBefore w:val="0"/>
        <w:widowControl/>
        <w:kinsoku/>
        <w:wordWrap/>
        <w:overflowPunct/>
        <w:topLinePunct w:val="0"/>
        <w:bidi w:val="0"/>
        <w:spacing w:line="480" w:lineRule="exact"/>
        <w:textAlignment w:val="auto"/>
        <w:rPr>
          <w:rFonts w:ascii="宋体" w:hAnsi="宋体" w:cs="宋体"/>
          <w:color w:val="auto"/>
          <w:kern w:val="0"/>
          <w:szCs w:val="21"/>
        </w:rPr>
      </w:pPr>
      <w:r>
        <w:rPr>
          <w:rFonts w:ascii="宋体" w:hAnsi="宋体" w:cs="宋体"/>
          <w:color w:val="auto"/>
          <w:kern w:val="0"/>
          <w:szCs w:val="21"/>
        </w:rPr>
        <w:t>4</w:t>
      </w:r>
      <w:r>
        <w:rPr>
          <w:rFonts w:hint="eastAsia" w:ascii="宋体" w:hAnsi="宋体" w:cs="宋体"/>
          <w:color w:val="auto"/>
          <w:kern w:val="0"/>
          <w:szCs w:val="21"/>
        </w:rPr>
        <w:t>、投标人具有“电子与智能化工程专业承包二级”及</w:t>
      </w:r>
      <w:r>
        <w:rPr>
          <w:rFonts w:ascii="宋体" w:hAnsi="宋体" w:cs="宋体"/>
          <w:color w:val="auto"/>
          <w:kern w:val="0"/>
          <w:szCs w:val="21"/>
        </w:rPr>
        <w:t>以上</w:t>
      </w:r>
      <w:r>
        <w:rPr>
          <w:rFonts w:hint="eastAsia" w:ascii="宋体" w:hAnsi="宋体" w:cs="宋体"/>
          <w:color w:val="auto"/>
          <w:kern w:val="0"/>
          <w:szCs w:val="21"/>
        </w:rPr>
        <w:t>资质得2分，没有则不得分。（提供复印件加盖公司公章，原件备查）</w:t>
      </w:r>
    </w:p>
    <w:p>
      <w:pPr>
        <w:keepNext w:val="0"/>
        <w:keepLines w:val="0"/>
        <w:pageBreakBefore w:val="0"/>
        <w:widowControl/>
        <w:kinsoku/>
        <w:wordWrap/>
        <w:overflowPunct/>
        <w:topLinePunct w:val="0"/>
        <w:bidi w:val="0"/>
        <w:spacing w:line="480" w:lineRule="exact"/>
        <w:textAlignment w:val="auto"/>
        <w:rPr>
          <w:rFonts w:ascii="宋体" w:hAnsi="宋体" w:cs="宋体"/>
          <w:color w:val="auto"/>
          <w:kern w:val="0"/>
          <w:szCs w:val="21"/>
        </w:rPr>
      </w:pPr>
      <w:r>
        <w:rPr>
          <w:rFonts w:ascii="宋体" w:hAnsi="宋体" w:cs="宋体"/>
          <w:color w:val="auto"/>
          <w:kern w:val="0"/>
          <w:szCs w:val="21"/>
        </w:rPr>
        <w:t>5</w:t>
      </w:r>
      <w:r>
        <w:rPr>
          <w:rFonts w:hint="eastAsia" w:ascii="宋体" w:hAnsi="宋体" w:cs="宋体"/>
          <w:color w:val="auto"/>
          <w:kern w:val="0"/>
          <w:szCs w:val="21"/>
        </w:rPr>
        <w:t>、投标人具有“安全生产许可证”得2分，没有则不得分。（提供复印件加盖公司公章，原件备查）</w:t>
      </w:r>
    </w:p>
    <w:p>
      <w:pPr>
        <w:keepNext w:val="0"/>
        <w:keepLines w:val="0"/>
        <w:pageBreakBefore w:val="0"/>
        <w:kinsoku/>
        <w:wordWrap/>
        <w:overflowPunct/>
        <w:topLinePunct w:val="0"/>
        <w:autoSpaceDE w:val="0"/>
        <w:autoSpaceDN w:val="0"/>
        <w:bidi w:val="0"/>
        <w:adjustRightInd w:val="0"/>
        <w:snapToGrid w:val="0"/>
        <w:spacing w:line="480" w:lineRule="exact"/>
        <w:textAlignment w:val="auto"/>
        <w:rPr>
          <w:rFonts w:ascii="宋体" w:hAnsi="宋体"/>
          <w:b/>
          <w:bCs/>
          <w:color w:val="auto"/>
          <w:szCs w:val="21"/>
        </w:rPr>
      </w:pPr>
      <w:r>
        <w:rPr>
          <w:rFonts w:hint="eastAsia" w:ascii="宋体" w:hAnsi="宋体"/>
          <w:b/>
          <w:bCs/>
          <w:color w:val="auto"/>
          <w:szCs w:val="21"/>
        </w:rPr>
        <w:t>3、售后服务得分（满分</w:t>
      </w:r>
      <w:r>
        <w:rPr>
          <w:rFonts w:hint="eastAsia" w:ascii="宋体" w:hAnsi="宋体"/>
          <w:b/>
          <w:bCs/>
          <w:color w:val="auto"/>
          <w:szCs w:val="21"/>
          <w:lang w:val="en-US" w:eastAsia="zh-CN"/>
        </w:rPr>
        <w:t>10</w:t>
      </w:r>
      <w:r>
        <w:rPr>
          <w:rFonts w:hint="eastAsia" w:ascii="宋体" w:hAnsi="宋体"/>
          <w:b/>
          <w:bCs/>
          <w:color w:val="auto"/>
          <w:szCs w:val="21"/>
        </w:rPr>
        <w:t>分）</w:t>
      </w:r>
    </w:p>
    <w:p>
      <w:pPr>
        <w:keepNext w:val="0"/>
        <w:keepLines w:val="0"/>
        <w:pageBreakBefore w:val="0"/>
        <w:widowControl/>
        <w:kinsoku/>
        <w:wordWrap/>
        <w:overflowPunct/>
        <w:topLinePunct w:val="0"/>
        <w:bidi w:val="0"/>
        <w:spacing w:line="480" w:lineRule="exact"/>
        <w:ind w:firstLine="420" w:firstLineChars="200"/>
        <w:jc w:val="left"/>
        <w:textAlignment w:val="auto"/>
        <w:rPr>
          <w:rFonts w:ascii="宋体" w:hAnsi="宋体" w:cs="宋体"/>
          <w:color w:val="auto"/>
          <w:kern w:val="0"/>
          <w:szCs w:val="21"/>
        </w:rPr>
      </w:pPr>
      <w:r>
        <w:rPr>
          <w:rFonts w:hint="eastAsia" w:ascii="宋体" w:hAnsi="宋体" w:cs="宋体"/>
          <w:color w:val="auto"/>
          <w:kern w:val="0"/>
          <w:szCs w:val="21"/>
        </w:rPr>
        <w:t>1、投标人在扬州设有分公司、分支机构、办事处，或授权售后服务单位的得</w:t>
      </w:r>
      <w:r>
        <w:rPr>
          <w:rFonts w:hint="eastAsia" w:ascii="宋体" w:hAnsi="宋体" w:cs="宋体"/>
          <w:color w:val="auto"/>
          <w:kern w:val="0"/>
          <w:szCs w:val="21"/>
          <w:lang w:val="en-US" w:eastAsia="zh-CN"/>
        </w:rPr>
        <w:t>3</w:t>
      </w:r>
      <w:r>
        <w:rPr>
          <w:rFonts w:hint="eastAsia" w:ascii="宋体" w:hAnsi="宋体" w:cs="宋体"/>
          <w:color w:val="auto"/>
          <w:kern w:val="0"/>
          <w:szCs w:val="21"/>
        </w:rPr>
        <w:t>分，其他不得分（提供营业执照或其他证明材料复印件加盖投标人公章）；</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textAlignment w:val="auto"/>
        <w:rPr>
          <w:rFonts w:hint="eastAsia" w:ascii="宋体" w:hAnsi="宋体"/>
          <w:color w:val="auto"/>
          <w:szCs w:val="21"/>
          <w:lang w:val="zh-CN"/>
        </w:rPr>
      </w:pPr>
      <w:r>
        <w:rPr>
          <w:rFonts w:hint="eastAsia" w:ascii="宋体" w:hAnsi="宋体" w:cs="宋体"/>
          <w:color w:val="auto"/>
          <w:kern w:val="0"/>
          <w:szCs w:val="21"/>
        </w:rPr>
        <w:t>2、投标人提供</w:t>
      </w:r>
      <w:r>
        <w:rPr>
          <w:rFonts w:hint="eastAsia" w:ascii="宋体" w:hAnsi="宋体"/>
          <w:color w:val="auto"/>
          <w:szCs w:val="21"/>
          <w:lang w:val="zh-CN"/>
        </w:rPr>
        <w:t>服务响应承诺：</w:t>
      </w:r>
      <w:r>
        <w:rPr>
          <w:rFonts w:hint="eastAsia" w:ascii="宋体" w:hAnsi="宋体" w:cs="宋体"/>
          <w:color w:val="auto"/>
          <w:sz w:val="21"/>
          <w:szCs w:val="21"/>
        </w:rPr>
        <w:t>出现故障承诺在半小时内响应，2小时内现场处理，</w:t>
      </w:r>
      <w:r>
        <w:rPr>
          <w:rFonts w:hint="eastAsia" w:ascii="宋体" w:hAnsi="宋体" w:cs="宋体"/>
          <w:color w:val="auto"/>
          <w:sz w:val="21"/>
          <w:szCs w:val="21"/>
          <w:lang w:val="en-US" w:eastAsia="zh-CN"/>
        </w:rPr>
        <w:t>12</w:t>
      </w:r>
      <w:r>
        <w:rPr>
          <w:rFonts w:hint="eastAsia" w:ascii="宋体" w:hAnsi="宋体" w:cs="宋体"/>
          <w:color w:val="auto"/>
          <w:sz w:val="21"/>
          <w:szCs w:val="21"/>
        </w:rPr>
        <w:t>小时内故障处理完毕的得</w:t>
      </w:r>
      <w:r>
        <w:rPr>
          <w:rFonts w:hint="eastAsia" w:ascii="宋体" w:hAnsi="宋体" w:cs="宋体"/>
          <w:color w:val="auto"/>
          <w:sz w:val="21"/>
          <w:szCs w:val="21"/>
          <w:lang w:val="en-US" w:eastAsia="zh-CN"/>
        </w:rPr>
        <w:t>3</w:t>
      </w:r>
      <w:r>
        <w:rPr>
          <w:rFonts w:hint="eastAsia" w:ascii="宋体" w:hAnsi="宋体" w:cs="宋体"/>
          <w:color w:val="auto"/>
          <w:sz w:val="21"/>
          <w:szCs w:val="21"/>
        </w:rPr>
        <w:t>分；4小时内现场处理，</w:t>
      </w:r>
      <w:r>
        <w:rPr>
          <w:rFonts w:hint="eastAsia" w:ascii="宋体" w:hAnsi="宋体" w:cs="宋体"/>
          <w:color w:val="auto"/>
          <w:sz w:val="21"/>
          <w:szCs w:val="21"/>
          <w:lang w:val="en-US" w:eastAsia="zh-CN"/>
        </w:rPr>
        <w:t>24</w:t>
      </w:r>
      <w:r>
        <w:rPr>
          <w:rFonts w:hint="eastAsia" w:ascii="宋体" w:hAnsi="宋体" w:cs="宋体"/>
          <w:color w:val="auto"/>
          <w:sz w:val="21"/>
          <w:szCs w:val="21"/>
        </w:rPr>
        <w:t>小时内故障处理完毕的得</w:t>
      </w:r>
      <w:r>
        <w:rPr>
          <w:rFonts w:hint="eastAsia" w:ascii="宋体" w:hAnsi="宋体" w:cs="宋体"/>
          <w:color w:val="auto"/>
          <w:sz w:val="21"/>
          <w:szCs w:val="21"/>
          <w:lang w:val="en-US" w:eastAsia="zh-CN"/>
        </w:rPr>
        <w:t>2</w:t>
      </w:r>
      <w:r>
        <w:rPr>
          <w:rFonts w:hint="eastAsia" w:ascii="宋体" w:hAnsi="宋体" w:cs="宋体"/>
          <w:color w:val="auto"/>
          <w:sz w:val="21"/>
          <w:szCs w:val="21"/>
        </w:rPr>
        <w:t>分，其他不得分。</w:t>
      </w:r>
      <w:r>
        <w:rPr>
          <w:rFonts w:hint="eastAsia" w:ascii="宋体" w:hAnsi="宋体"/>
          <w:color w:val="auto"/>
          <w:szCs w:val="21"/>
          <w:lang w:val="zh-CN"/>
        </w:rPr>
        <w:t>（提供售后服务承诺书加盖投标人公章）。</w:t>
      </w:r>
    </w:p>
    <w:p>
      <w:pPr>
        <w:pStyle w:val="5"/>
        <w:keepNext w:val="0"/>
        <w:keepLines w:val="0"/>
        <w:pageBreakBefore w:val="0"/>
        <w:widowControl w:val="0"/>
        <w:numPr>
          <w:ilvl w:val="0"/>
          <w:numId w:val="0"/>
        </w:numPr>
        <w:kinsoku/>
        <w:wordWrap/>
        <w:overflowPunct/>
        <w:topLinePunct w:val="0"/>
        <w:bidi w:val="0"/>
        <w:spacing w:line="480" w:lineRule="exact"/>
        <w:ind w:firstLine="420" w:firstLineChars="200"/>
        <w:textAlignment w:val="auto"/>
        <w:rPr>
          <w:rFonts w:hint="default" w:ascii="宋体" w:hAnsi="宋体" w:eastAsia="宋体"/>
          <w:color w:val="auto"/>
          <w:szCs w:val="21"/>
          <w:lang w:val="en-US" w:eastAsia="zh-CN"/>
        </w:rPr>
      </w:pPr>
      <w:r>
        <w:rPr>
          <w:rFonts w:hint="eastAsia" w:ascii="宋体" w:hAnsi="宋体"/>
          <w:color w:val="auto"/>
          <w:szCs w:val="21"/>
          <w:lang w:val="en-US" w:eastAsia="zh-CN"/>
        </w:rPr>
        <w:t>3、根据投标人提供的技术培训方案酌情打分，基本分1分，最多得4分，没有不得分。</w:t>
      </w:r>
    </w:p>
    <w:p>
      <w:pPr>
        <w:autoSpaceDE w:val="0"/>
        <w:autoSpaceDN w:val="0"/>
        <w:adjustRightInd w:val="0"/>
        <w:snapToGrid w:val="0"/>
        <w:spacing w:line="480" w:lineRule="exact"/>
        <w:rPr>
          <w:rFonts w:ascii="宋体" w:hAnsi="宋体"/>
          <w:b/>
          <w:bCs/>
          <w:color w:val="auto"/>
          <w:szCs w:val="21"/>
        </w:rPr>
      </w:pPr>
      <w:r>
        <w:rPr>
          <w:rFonts w:hint="eastAsia" w:ascii="宋体" w:hAnsi="宋体"/>
          <w:b/>
          <w:bCs/>
          <w:color w:val="auto"/>
          <w:szCs w:val="21"/>
        </w:rPr>
        <w:t xml:space="preserve">4、业绩得分  （满分 </w:t>
      </w:r>
      <w:r>
        <w:rPr>
          <w:rFonts w:ascii="宋体" w:hAnsi="宋体"/>
          <w:b/>
          <w:bCs/>
          <w:color w:val="auto"/>
          <w:szCs w:val="21"/>
        </w:rPr>
        <w:t>4</w:t>
      </w:r>
      <w:r>
        <w:rPr>
          <w:rFonts w:hint="eastAsia" w:ascii="宋体" w:hAnsi="宋体"/>
          <w:b/>
          <w:bCs/>
          <w:color w:val="auto"/>
          <w:szCs w:val="21"/>
        </w:rPr>
        <w:t>分）</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561"/>
        <w:textAlignment w:val="auto"/>
        <w:rPr>
          <w:rFonts w:hint="eastAsia" w:ascii="宋体" w:hAnsi="宋体" w:cs="宋体"/>
          <w:color w:val="auto"/>
          <w:kern w:val="0"/>
          <w:szCs w:val="21"/>
        </w:rPr>
      </w:pPr>
      <w:r>
        <w:rPr>
          <w:rFonts w:hint="eastAsia" w:ascii="宋体" w:hAnsi="宋体" w:cs="宋体"/>
          <w:color w:val="auto"/>
          <w:kern w:val="0"/>
          <w:szCs w:val="21"/>
        </w:rPr>
        <w:t>1、投标人提供自2018年1月1日（以合同书签订时间为准）至今已完工的30万以上类似项目案例，案例有1个得2分，满分4分。</w:t>
      </w:r>
    </w:p>
    <w:p>
      <w:pPr>
        <w:keepNext w:val="0"/>
        <w:keepLines w:val="0"/>
        <w:pageBreakBefore w:val="0"/>
        <w:kinsoku/>
        <w:wordWrap/>
        <w:overflowPunct/>
        <w:topLinePunct w:val="0"/>
        <w:autoSpaceDE w:val="0"/>
        <w:autoSpaceDN w:val="0"/>
        <w:bidi w:val="0"/>
        <w:adjustRightInd w:val="0"/>
        <w:snapToGrid w:val="0"/>
        <w:spacing w:line="480" w:lineRule="exact"/>
        <w:textAlignment w:val="auto"/>
        <w:rPr>
          <w:rFonts w:ascii="宋体" w:hAnsi="宋体"/>
          <w:b/>
          <w:color w:val="auto"/>
          <w:szCs w:val="21"/>
        </w:rPr>
      </w:pPr>
      <w:r>
        <w:rPr>
          <w:rFonts w:hint="eastAsia" w:ascii="宋体" w:hAnsi="宋体"/>
          <w:b/>
          <w:color w:val="auto"/>
          <w:szCs w:val="21"/>
        </w:rPr>
        <w:t>&lt;二&gt;、技术评审得分（满分26分）</w:t>
      </w:r>
    </w:p>
    <w:p>
      <w:pPr>
        <w:pStyle w:val="5"/>
        <w:keepNext w:val="0"/>
        <w:keepLines w:val="0"/>
        <w:pageBreakBefore w:val="0"/>
        <w:numPr>
          <w:ilvl w:val="0"/>
          <w:numId w:val="0"/>
        </w:numPr>
        <w:kinsoku/>
        <w:wordWrap/>
        <w:overflowPunct/>
        <w:topLinePunct w:val="0"/>
        <w:bidi w:val="0"/>
        <w:spacing w:line="480" w:lineRule="exact"/>
        <w:ind w:left="780" w:hanging="360"/>
        <w:textAlignment w:val="auto"/>
        <w:rPr>
          <w:rFonts w:ascii="宋体" w:hAnsi="宋体" w:cs="宋体"/>
          <w:color w:val="auto"/>
          <w:kern w:val="0"/>
          <w:szCs w:val="21"/>
        </w:rPr>
      </w:pPr>
      <w:r>
        <w:rPr>
          <w:rFonts w:hint="eastAsia" w:ascii="宋体" w:hAnsi="宋体" w:cs="宋体"/>
          <w:color w:val="auto"/>
          <w:kern w:val="0"/>
          <w:szCs w:val="21"/>
        </w:rPr>
        <w:t>1、技术性能（满分10分）</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420"/>
        <w:textAlignment w:val="auto"/>
        <w:rPr>
          <w:color w:val="auto"/>
        </w:rPr>
      </w:pPr>
      <w:r>
        <w:rPr>
          <w:rFonts w:hint="eastAsia" w:ascii="宋体" w:hAnsi="宋体" w:cs="宋体"/>
          <w:color w:val="auto"/>
          <w:kern w:val="0"/>
          <w:szCs w:val="21"/>
        </w:rPr>
        <w:t>根据投标人所投主产品技术参数与招标文件要求比较，技术参数标★参数，以提供权威检测机构出具的检测报告 (提供检验报告复印件加盖厂家公章或投标专用章) 或厂家盖章证明材料为准。系统和设备标★参数低于招标文件要求的或无权威机构检测报告或厂家盖章证明材料，每一项扣1分，非打“★”参数低于招标文件要求的，每一项扣0.5分，扣完为止（满分10分）。</w:t>
      </w:r>
    </w:p>
    <w:p>
      <w:pPr>
        <w:pStyle w:val="18"/>
        <w:keepNext w:val="0"/>
        <w:keepLines w:val="0"/>
        <w:pageBreakBefore w:val="0"/>
        <w:numPr>
          <w:ilvl w:val="0"/>
          <w:numId w:val="4"/>
        </w:numPr>
        <w:kinsoku/>
        <w:wordWrap/>
        <w:overflowPunct/>
        <w:topLinePunct w:val="0"/>
        <w:autoSpaceDE w:val="0"/>
        <w:autoSpaceDN w:val="0"/>
        <w:bidi w:val="0"/>
        <w:adjustRightInd w:val="0"/>
        <w:snapToGrid w:val="0"/>
        <w:spacing w:line="480" w:lineRule="exact"/>
        <w:ind w:firstLineChars="0"/>
        <w:textAlignment w:val="auto"/>
        <w:rPr>
          <w:rFonts w:ascii="宋体" w:hAnsi="宋体" w:cs="宋体"/>
          <w:color w:val="auto"/>
          <w:kern w:val="0"/>
          <w:szCs w:val="21"/>
        </w:rPr>
      </w:pPr>
      <w:r>
        <w:rPr>
          <w:rFonts w:hint="eastAsia" w:ascii="宋体" w:hAnsi="宋体" w:cs="宋体"/>
          <w:color w:val="auto"/>
          <w:kern w:val="0"/>
          <w:szCs w:val="21"/>
        </w:rPr>
        <w:t>技术和实施方案（</w:t>
      </w:r>
      <w:r>
        <w:rPr>
          <w:rFonts w:ascii="宋体" w:hAnsi="宋体" w:cs="宋体"/>
          <w:color w:val="auto"/>
          <w:kern w:val="0"/>
          <w:szCs w:val="21"/>
        </w:rPr>
        <w:t>6</w:t>
      </w:r>
      <w:r>
        <w:rPr>
          <w:rFonts w:hint="eastAsia" w:ascii="宋体" w:hAnsi="宋体" w:cs="宋体"/>
          <w:color w:val="auto"/>
          <w:kern w:val="0"/>
          <w:szCs w:val="21"/>
        </w:rPr>
        <w:t>分）</w:t>
      </w:r>
    </w:p>
    <w:p>
      <w:pPr>
        <w:pStyle w:val="18"/>
        <w:keepNext w:val="0"/>
        <w:keepLines w:val="0"/>
        <w:pageBreakBefore w:val="0"/>
        <w:kinsoku/>
        <w:wordWrap/>
        <w:overflowPunct/>
        <w:topLinePunct w:val="0"/>
        <w:bidi w:val="0"/>
        <w:spacing w:line="480" w:lineRule="exact"/>
        <w:ind w:left="360" w:firstLine="0" w:firstLineChars="0"/>
        <w:textAlignment w:val="auto"/>
        <w:rPr>
          <w:rFonts w:ascii="宋体" w:hAnsi="宋体"/>
          <w:color w:val="auto"/>
          <w:szCs w:val="21"/>
        </w:rPr>
      </w:pPr>
      <w:r>
        <w:rPr>
          <w:rFonts w:hint="eastAsia" w:ascii="宋体" w:hAnsi="宋体"/>
          <w:color w:val="auto"/>
          <w:szCs w:val="21"/>
        </w:rPr>
        <w:t>1）、投标人提供结构清晰、规范全面的技术方案，深入理解建设目标，明确建设内容等。</w:t>
      </w:r>
    </w:p>
    <w:p>
      <w:pPr>
        <w:pStyle w:val="18"/>
        <w:keepNext w:val="0"/>
        <w:keepLines w:val="0"/>
        <w:pageBreakBefore w:val="0"/>
        <w:kinsoku/>
        <w:wordWrap/>
        <w:overflowPunct/>
        <w:topLinePunct w:val="0"/>
        <w:bidi w:val="0"/>
        <w:spacing w:line="480" w:lineRule="exact"/>
        <w:ind w:left="720" w:firstLine="0" w:firstLineChars="0"/>
        <w:textAlignment w:val="auto"/>
        <w:rPr>
          <w:rFonts w:ascii="宋体" w:hAnsi="宋体"/>
          <w:color w:val="auto"/>
          <w:szCs w:val="21"/>
        </w:rPr>
      </w:pPr>
      <w:r>
        <w:rPr>
          <w:rFonts w:hint="eastAsia" w:ascii="宋体" w:hAnsi="宋体"/>
          <w:color w:val="auto"/>
          <w:szCs w:val="21"/>
        </w:rPr>
        <w:t>方案结构清晰，规范全面，提供资料完整，得</w:t>
      </w:r>
      <w:r>
        <w:rPr>
          <w:rFonts w:ascii="宋体" w:hAnsi="宋体"/>
          <w:color w:val="auto"/>
          <w:szCs w:val="21"/>
        </w:rPr>
        <w:t>3</w:t>
      </w:r>
      <w:r>
        <w:rPr>
          <w:rFonts w:hint="eastAsia" w:ascii="宋体" w:hAnsi="宋体"/>
          <w:color w:val="auto"/>
          <w:szCs w:val="21"/>
        </w:rPr>
        <w:t>分</w:t>
      </w:r>
    </w:p>
    <w:p>
      <w:pPr>
        <w:pStyle w:val="18"/>
        <w:keepNext w:val="0"/>
        <w:keepLines w:val="0"/>
        <w:pageBreakBefore w:val="0"/>
        <w:kinsoku/>
        <w:wordWrap/>
        <w:overflowPunct/>
        <w:topLinePunct w:val="0"/>
        <w:bidi w:val="0"/>
        <w:spacing w:line="480" w:lineRule="exact"/>
        <w:ind w:left="720" w:firstLine="0" w:firstLineChars="0"/>
        <w:textAlignment w:val="auto"/>
        <w:rPr>
          <w:rFonts w:ascii="宋体" w:hAnsi="宋体"/>
          <w:color w:val="auto"/>
          <w:szCs w:val="21"/>
        </w:rPr>
      </w:pPr>
      <w:r>
        <w:rPr>
          <w:rFonts w:hint="eastAsia" w:ascii="宋体" w:hAnsi="宋体"/>
          <w:color w:val="auto"/>
          <w:szCs w:val="21"/>
        </w:rPr>
        <w:t>方案比较结构清晰，比较规范全面，提供资料较完整，得</w:t>
      </w:r>
      <w:r>
        <w:rPr>
          <w:rFonts w:ascii="宋体" w:hAnsi="宋体"/>
          <w:color w:val="auto"/>
          <w:szCs w:val="21"/>
        </w:rPr>
        <w:t>2</w:t>
      </w:r>
      <w:r>
        <w:rPr>
          <w:rFonts w:hint="eastAsia" w:ascii="宋体" w:hAnsi="宋体"/>
          <w:color w:val="auto"/>
          <w:szCs w:val="21"/>
        </w:rPr>
        <w:t>分</w:t>
      </w:r>
    </w:p>
    <w:p>
      <w:pPr>
        <w:pStyle w:val="18"/>
        <w:keepNext w:val="0"/>
        <w:keepLines w:val="0"/>
        <w:pageBreakBefore w:val="0"/>
        <w:widowControl/>
        <w:kinsoku/>
        <w:wordWrap/>
        <w:overflowPunct/>
        <w:topLinePunct w:val="0"/>
        <w:bidi w:val="0"/>
        <w:spacing w:line="480" w:lineRule="exact"/>
        <w:ind w:left="720" w:firstLine="0" w:firstLineChars="0"/>
        <w:textAlignment w:val="auto"/>
        <w:rPr>
          <w:rFonts w:ascii="宋体" w:hAnsi="宋体"/>
          <w:color w:val="auto"/>
          <w:szCs w:val="21"/>
        </w:rPr>
      </w:pPr>
      <w:r>
        <w:rPr>
          <w:rFonts w:hint="eastAsia" w:ascii="宋体" w:hAnsi="宋体"/>
          <w:color w:val="auto"/>
          <w:szCs w:val="21"/>
        </w:rPr>
        <w:t>方案整体设计一般，得1分</w:t>
      </w:r>
    </w:p>
    <w:p>
      <w:pPr>
        <w:keepNext w:val="0"/>
        <w:keepLines w:val="0"/>
        <w:pageBreakBefore w:val="0"/>
        <w:widowControl/>
        <w:kinsoku/>
        <w:wordWrap/>
        <w:overflowPunct/>
        <w:topLinePunct w:val="0"/>
        <w:bidi w:val="0"/>
        <w:spacing w:line="480" w:lineRule="exact"/>
        <w:ind w:left="315" w:leftChars="150"/>
        <w:textAlignment w:val="auto"/>
        <w:rPr>
          <w:rFonts w:ascii="宋体" w:hAnsi="宋体" w:cs="宋体"/>
          <w:color w:val="auto"/>
          <w:kern w:val="0"/>
          <w:szCs w:val="21"/>
        </w:rPr>
      </w:pPr>
      <w:r>
        <w:rPr>
          <w:rFonts w:hint="eastAsia" w:ascii="宋体" w:hAnsi="宋体" w:cs="宋体"/>
          <w:color w:val="auto"/>
          <w:kern w:val="0"/>
          <w:szCs w:val="21"/>
        </w:rPr>
        <w:t>2）、投标人施工总体部署合理，对本工程特点有针对性措施，主要分项工程的施工方法切实可行、质量安全保证措施完善、施工进度计划及工期保证措施恰当。</w:t>
      </w:r>
    </w:p>
    <w:p>
      <w:pPr>
        <w:pStyle w:val="18"/>
        <w:keepNext w:val="0"/>
        <w:keepLines w:val="0"/>
        <w:pageBreakBefore w:val="0"/>
        <w:widowControl/>
        <w:kinsoku/>
        <w:wordWrap/>
        <w:overflowPunct/>
        <w:topLinePunct w:val="0"/>
        <w:bidi w:val="0"/>
        <w:spacing w:line="480" w:lineRule="exact"/>
        <w:ind w:left="720" w:firstLine="0" w:firstLineChars="0"/>
        <w:textAlignment w:val="auto"/>
        <w:rPr>
          <w:rFonts w:ascii="宋体" w:hAnsi="宋体" w:cs="宋体"/>
          <w:color w:val="auto"/>
          <w:kern w:val="0"/>
          <w:szCs w:val="21"/>
        </w:rPr>
      </w:pPr>
      <w:r>
        <w:rPr>
          <w:rFonts w:hint="eastAsia" w:ascii="宋体" w:hAnsi="宋体" w:cs="宋体"/>
          <w:color w:val="auto"/>
          <w:kern w:val="0"/>
          <w:szCs w:val="21"/>
        </w:rPr>
        <w:t>方案结构清晰，规范全面，提供资料完整，得</w:t>
      </w:r>
      <w:r>
        <w:rPr>
          <w:rFonts w:ascii="宋体" w:hAnsi="宋体" w:cs="宋体"/>
          <w:color w:val="auto"/>
          <w:kern w:val="0"/>
          <w:szCs w:val="21"/>
        </w:rPr>
        <w:t>3</w:t>
      </w:r>
      <w:r>
        <w:rPr>
          <w:rFonts w:hint="eastAsia" w:ascii="宋体" w:hAnsi="宋体" w:cs="宋体"/>
          <w:color w:val="auto"/>
          <w:kern w:val="0"/>
          <w:szCs w:val="21"/>
        </w:rPr>
        <w:t>分</w:t>
      </w:r>
    </w:p>
    <w:p>
      <w:pPr>
        <w:pStyle w:val="18"/>
        <w:keepNext w:val="0"/>
        <w:keepLines w:val="0"/>
        <w:pageBreakBefore w:val="0"/>
        <w:widowControl/>
        <w:kinsoku/>
        <w:wordWrap/>
        <w:overflowPunct/>
        <w:topLinePunct w:val="0"/>
        <w:bidi w:val="0"/>
        <w:spacing w:line="480" w:lineRule="exact"/>
        <w:ind w:left="720" w:firstLine="0" w:firstLineChars="0"/>
        <w:textAlignment w:val="auto"/>
        <w:rPr>
          <w:rFonts w:ascii="宋体" w:hAnsi="宋体" w:cs="宋体"/>
          <w:color w:val="auto"/>
          <w:kern w:val="0"/>
          <w:szCs w:val="21"/>
        </w:rPr>
      </w:pPr>
      <w:r>
        <w:rPr>
          <w:rFonts w:hint="eastAsia" w:ascii="宋体" w:hAnsi="宋体" w:cs="宋体"/>
          <w:color w:val="auto"/>
          <w:kern w:val="0"/>
          <w:szCs w:val="21"/>
        </w:rPr>
        <w:t>方案比较结构清晰，比较规范全面，提供资料较完整，得</w:t>
      </w:r>
      <w:r>
        <w:rPr>
          <w:rFonts w:ascii="宋体" w:hAnsi="宋体" w:cs="宋体"/>
          <w:color w:val="auto"/>
          <w:kern w:val="0"/>
          <w:szCs w:val="21"/>
        </w:rPr>
        <w:t>2</w:t>
      </w:r>
      <w:r>
        <w:rPr>
          <w:rFonts w:hint="eastAsia" w:ascii="宋体" w:hAnsi="宋体" w:cs="宋体"/>
          <w:color w:val="auto"/>
          <w:kern w:val="0"/>
          <w:szCs w:val="21"/>
        </w:rPr>
        <w:t>分</w:t>
      </w:r>
    </w:p>
    <w:p>
      <w:pPr>
        <w:pStyle w:val="5"/>
        <w:keepNext w:val="0"/>
        <w:keepLines w:val="0"/>
        <w:pageBreakBefore w:val="0"/>
        <w:numPr>
          <w:ilvl w:val="0"/>
          <w:numId w:val="0"/>
        </w:numPr>
        <w:kinsoku/>
        <w:wordWrap/>
        <w:overflowPunct/>
        <w:topLinePunct w:val="0"/>
        <w:bidi w:val="0"/>
        <w:spacing w:line="480" w:lineRule="exact"/>
        <w:ind w:left="720"/>
        <w:textAlignment w:val="auto"/>
        <w:rPr>
          <w:rFonts w:ascii="宋体" w:hAnsi="宋体" w:cs="宋体"/>
          <w:color w:val="auto"/>
          <w:kern w:val="0"/>
          <w:szCs w:val="21"/>
        </w:rPr>
      </w:pPr>
      <w:r>
        <w:rPr>
          <w:rFonts w:hint="eastAsia" w:ascii="宋体" w:hAnsi="宋体" w:cs="宋体"/>
          <w:color w:val="auto"/>
          <w:kern w:val="0"/>
          <w:szCs w:val="21"/>
        </w:rPr>
        <w:t>方案整体设计一般，得1分</w:t>
      </w:r>
    </w:p>
    <w:p>
      <w:pPr>
        <w:pStyle w:val="5"/>
        <w:keepNext w:val="0"/>
        <w:keepLines w:val="0"/>
        <w:pageBreakBefore w:val="0"/>
        <w:numPr>
          <w:ilvl w:val="0"/>
          <w:numId w:val="4"/>
        </w:numPr>
        <w:kinsoku/>
        <w:wordWrap/>
        <w:overflowPunct/>
        <w:topLinePunct w:val="0"/>
        <w:bidi w:val="0"/>
        <w:spacing w:line="480" w:lineRule="exact"/>
        <w:textAlignment w:val="auto"/>
        <w:rPr>
          <w:rFonts w:ascii="宋体" w:hAnsi="宋体" w:cs="宋体"/>
          <w:color w:val="auto"/>
          <w:kern w:val="0"/>
          <w:szCs w:val="21"/>
        </w:rPr>
      </w:pPr>
      <w:r>
        <w:rPr>
          <w:rFonts w:hint="eastAsia" w:ascii="宋体" w:hAnsi="宋体" w:cs="宋体"/>
          <w:color w:val="auto"/>
          <w:kern w:val="0"/>
          <w:szCs w:val="21"/>
        </w:rPr>
        <w:t>实施能力（</w:t>
      </w:r>
      <w:r>
        <w:rPr>
          <w:rFonts w:ascii="宋体" w:hAnsi="宋体" w:cs="宋体"/>
          <w:color w:val="auto"/>
          <w:kern w:val="0"/>
          <w:szCs w:val="21"/>
        </w:rPr>
        <w:t>10</w:t>
      </w:r>
      <w:r>
        <w:rPr>
          <w:rFonts w:hint="eastAsia" w:ascii="宋体" w:hAnsi="宋体" w:cs="宋体"/>
          <w:color w:val="auto"/>
          <w:kern w:val="0"/>
          <w:szCs w:val="21"/>
        </w:rPr>
        <w:t>分）</w:t>
      </w:r>
    </w:p>
    <w:p>
      <w:pPr>
        <w:pStyle w:val="18"/>
        <w:keepNext w:val="0"/>
        <w:keepLines w:val="0"/>
        <w:pageBreakBefore w:val="0"/>
        <w:kinsoku/>
        <w:wordWrap/>
        <w:overflowPunct/>
        <w:topLinePunct w:val="0"/>
        <w:bidi w:val="0"/>
        <w:spacing w:line="480" w:lineRule="exact"/>
        <w:ind w:left="720" w:firstLine="0" w:firstLineChars="0"/>
        <w:textAlignment w:val="auto"/>
        <w:rPr>
          <w:rFonts w:ascii="宋体" w:hAnsi="宋体"/>
          <w:color w:val="auto"/>
          <w:szCs w:val="21"/>
        </w:rPr>
      </w:pPr>
      <w:r>
        <w:rPr>
          <w:rFonts w:hint="eastAsia" w:ascii="宋体" w:hAnsi="宋体"/>
          <w:color w:val="auto"/>
          <w:szCs w:val="21"/>
        </w:rPr>
        <w:t>本项目团队人员具有注册一级建造师（机电或通信专业）2人及以上得</w:t>
      </w:r>
      <w:r>
        <w:rPr>
          <w:rFonts w:ascii="宋体" w:hAnsi="宋体"/>
          <w:color w:val="auto"/>
          <w:szCs w:val="21"/>
        </w:rPr>
        <w:t>2</w:t>
      </w:r>
      <w:r>
        <w:rPr>
          <w:rFonts w:hint="eastAsia" w:ascii="宋体" w:hAnsi="宋体"/>
          <w:color w:val="auto"/>
          <w:szCs w:val="21"/>
        </w:rPr>
        <w:t>分，其他不得分；</w:t>
      </w:r>
    </w:p>
    <w:p>
      <w:pPr>
        <w:pStyle w:val="18"/>
        <w:keepNext w:val="0"/>
        <w:keepLines w:val="0"/>
        <w:pageBreakBefore w:val="0"/>
        <w:kinsoku/>
        <w:wordWrap/>
        <w:overflowPunct/>
        <w:topLinePunct w:val="0"/>
        <w:bidi w:val="0"/>
        <w:spacing w:line="480" w:lineRule="exact"/>
        <w:ind w:left="720" w:firstLine="0" w:firstLineChars="0"/>
        <w:textAlignment w:val="auto"/>
        <w:rPr>
          <w:rFonts w:ascii="宋体" w:hAnsi="宋体"/>
          <w:color w:val="auto"/>
          <w:szCs w:val="21"/>
        </w:rPr>
      </w:pPr>
      <w:r>
        <w:rPr>
          <w:rFonts w:hint="eastAsia" w:ascii="宋体" w:hAnsi="宋体"/>
          <w:color w:val="auto"/>
          <w:szCs w:val="21"/>
        </w:rPr>
        <w:t>本项目团队人员具备电工作业证书，2人及以上得</w:t>
      </w:r>
      <w:r>
        <w:rPr>
          <w:rFonts w:ascii="宋体" w:hAnsi="宋体"/>
          <w:color w:val="auto"/>
          <w:szCs w:val="21"/>
        </w:rPr>
        <w:t>2</w:t>
      </w:r>
      <w:r>
        <w:rPr>
          <w:rFonts w:hint="eastAsia" w:ascii="宋体" w:hAnsi="宋体"/>
          <w:color w:val="auto"/>
          <w:szCs w:val="21"/>
        </w:rPr>
        <w:t>分，其他不得分；</w:t>
      </w:r>
    </w:p>
    <w:p>
      <w:pPr>
        <w:pStyle w:val="18"/>
        <w:keepNext w:val="0"/>
        <w:keepLines w:val="0"/>
        <w:pageBreakBefore w:val="0"/>
        <w:kinsoku/>
        <w:wordWrap/>
        <w:overflowPunct/>
        <w:topLinePunct w:val="0"/>
        <w:bidi w:val="0"/>
        <w:spacing w:line="480" w:lineRule="exact"/>
        <w:ind w:left="720" w:firstLine="0" w:firstLineChars="0"/>
        <w:textAlignment w:val="auto"/>
        <w:rPr>
          <w:rFonts w:ascii="宋体" w:hAnsi="宋体"/>
          <w:color w:val="auto"/>
          <w:szCs w:val="21"/>
        </w:rPr>
      </w:pPr>
      <w:r>
        <w:rPr>
          <w:rFonts w:hint="eastAsia" w:ascii="宋体" w:hAnsi="宋体"/>
          <w:color w:val="auto"/>
          <w:szCs w:val="21"/>
        </w:rPr>
        <w:t>本项目团队人员具备焊工作业证书，2人及以上得</w:t>
      </w:r>
      <w:r>
        <w:rPr>
          <w:rFonts w:ascii="宋体" w:hAnsi="宋体"/>
          <w:color w:val="auto"/>
          <w:szCs w:val="21"/>
        </w:rPr>
        <w:t>2</w:t>
      </w:r>
      <w:r>
        <w:rPr>
          <w:rFonts w:hint="eastAsia" w:ascii="宋体" w:hAnsi="宋体"/>
          <w:color w:val="auto"/>
          <w:szCs w:val="21"/>
        </w:rPr>
        <w:t>分，其他不得分；</w:t>
      </w:r>
    </w:p>
    <w:p>
      <w:pPr>
        <w:pStyle w:val="18"/>
        <w:keepNext w:val="0"/>
        <w:keepLines w:val="0"/>
        <w:pageBreakBefore w:val="0"/>
        <w:kinsoku/>
        <w:wordWrap/>
        <w:overflowPunct/>
        <w:topLinePunct w:val="0"/>
        <w:bidi w:val="0"/>
        <w:spacing w:line="480" w:lineRule="exact"/>
        <w:ind w:left="720" w:firstLine="0" w:firstLineChars="0"/>
        <w:textAlignment w:val="auto"/>
        <w:rPr>
          <w:rFonts w:ascii="宋体" w:hAnsi="宋体"/>
          <w:color w:val="auto"/>
          <w:szCs w:val="21"/>
        </w:rPr>
      </w:pPr>
      <w:r>
        <w:rPr>
          <w:rFonts w:hint="eastAsia" w:ascii="宋体" w:hAnsi="宋体"/>
          <w:color w:val="auto"/>
          <w:szCs w:val="21"/>
        </w:rPr>
        <w:t>本项目团队人员具备设备安装</w:t>
      </w:r>
      <w:r>
        <w:rPr>
          <w:rFonts w:ascii="宋体" w:hAnsi="宋体"/>
          <w:color w:val="auto"/>
          <w:szCs w:val="21"/>
        </w:rPr>
        <w:t>质量员</w:t>
      </w:r>
      <w:r>
        <w:rPr>
          <w:rFonts w:hint="eastAsia" w:ascii="宋体" w:hAnsi="宋体"/>
          <w:color w:val="auto"/>
          <w:szCs w:val="21"/>
        </w:rPr>
        <w:t>证书，2人及以上得</w:t>
      </w:r>
      <w:r>
        <w:rPr>
          <w:rFonts w:ascii="宋体" w:hAnsi="宋体"/>
          <w:color w:val="auto"/>
          <w:szCs w:val="21"/>
        </w:rPr>
        <w:t>2</w:t>
      </w:r>
      <w:r>
        <w:rPr>
          <w:rFonts w:hint="eastAsia" w:ascii="宋体" w:hAnsi="宋体"/>
          <w:color w:val="auto"/>
          <w:szCs w:val="21"/>
        </w:rPr>
        <w:t>分，其他不得分；</w:t>
      </w:r>
    </w:p>
    <w:p>
      <w:pPr>
        <w:pStyle w:val="18"/>
        <w:keepNext w:val="0"/>
        <w:keepLines w:val="0"/>
        <w:pageBreakBefore w:val="0"/>
        <w:kinsoku/>
        <w:wordWrap/>
        <w:overflowPunct/>
        <w:topLinePunct w:val="0"/>
        <w:bidi w:val="0"/>
        <w:spacing w:line="480" w:lineRule="exact"/>
        <w:ind w:left="720" w:firstLine="0" w:firstLineChars="0"/>
        <w:textAlignment w:val="auto"/>
        <w:rPr>
          <w:rFonts w:ascii="宋体" w:hAnsi="宋体"/>
          <w:color w:val="auto"/>
          <w:szCs w:val="21"/>
        </w:rPr>
      </w:pPr>
      <w:r>
        <w:rPr>
          <w:rFonts w:hint="eastAsia" w:ascii="宋体" w:hAnsi="宋体"/>
          <w:color w:val="auto"/>
          <w:szCs w:val="21"/>
        </w:rPr>
        <w:t>本项目团队人员具备安全生产知识考核合格证书，2人及以上得</w:t>
      </w:r>
      <w:r>
        <w:rPr>
          <w:rFonts w:ascii="宋体" w:hAnsi="宋体"/>
          <w:color w:val="auto"/>
          <w:szCs w:val="21"/>
        </w:rPr>
        <w:t>2</w:t>
      </w:r>
      <w:r>
        <w:rPr>
          <w:rFonts w:hint="eastAsia" w:ascii="宋体" w:hAnsi="宋体"/>
          <w:color w:val="auto"/>
          <w:szCs w:val="21"/>
        </w:rPr>
        <w:t>分，其他不得分；</w:t>
      </w:r>
    </w:p>
    <w:p>
      <w:pPr>
        <w:pStyle w:val="5"/>
        <w:keepNext w:val="0"/>
        <w:keepLines w:val="0"/>
        <w:pageBreakBefore w:val="0"/>
        <w:numPr>
          <w:ilvl w:val="0"/>
          <w:numId w:val="0"/>
        </w:numPr>
        <w:kinsoku/>
        <w:wordWrap/>
        <w:overflowPunct/>
        <w:topLinePunct w:val="0"/>
        <w:bidi w:val="0"/>
        <w:spacing w:line="480" w:lineRule="exact"/>
        <w:ind w:left="720"/>
        <w:textAlignment w:val="auto"/>
        <w:rPr>
          <w:color w:val="auto"/>
        </w:rPr>
      </w:pPr>
      <w:r>
        <w:rPr>
          <w:rFonts w:hint="eastAsia" w:ascii="宋体" w:hAnsi="宋体" w:cs="宋体"/>
          <w:color w:val="auto"/>
          <w:szCs w:val="21"/>
        </w:rPr>
        <w:t>以上人员证书须提供证书复印件加盖投标人公章以及投标人近</w:t>
      </w:r>
      <w:r>
        <w:rPr>
          <w:rFonts w:ascii="宋体" w:hAnsi="宋体" w:cs="宋体"/>
          <w:color w:val="auto"/>
          <w:szCs w:val="21"/>
        </w:rPr>
        <w:t>6</w:t>
      </w:r>
      <w:r>
        <w:rPr>
          <w:rFonts w:hint="eastAsia" w:ascii="宋体" w:hAnsi="宋体" w:cs="宋体"/>
          <w:color w:val="auto"/>
          <w:szCs w:val="21"/>
        </w:rPr>
        <w:t>个月连续为其缴纳社保的证明材料。</w:t>
      </w:r>
    </w:p>
    <w:p>
      <w:pPr>
        <w:autoSpaceDE w:val="0"/>
        <w:autoSpaceDN w:val="0"/>
        <w:adjustRightInd w:val="0"/>
        <w:snapToGrid w:val="0"/>
        <w:spacing w:line="480" w:lineRule="exact"/>
        <w:rPr>
          <w:rFonts w:ascii="宋体" w:hAnsi="宋体"/>
          <w:color w:val="auto"/>
          <w:szCs w:val="21"/>
        </w:rPr>
      </w:pPr>
      <w:r>
        <w:rPr>
          <w:rFonts w:hint="eastAsia" w:ascii="宋体" w:hAnsi="宋体"/>
          <w:b/>
          <w:bCs/>
          <w:color w:val="auto"/>
          <w:szCs w:val="21"/>
        </w:rPr>
        <w:t>六、定标</w:t>
      </w:r>
    </w:p>
    <w:p>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1、评标委员会完成评标后，应当向招标人提出书面评标报告，阐明评标委员会对各投标文件的评审和比较意见，并按照招标文件中规定的评标方法，推荐3名有排序的合格中标候选人。</w:t>
      </w:r>
    </w:p>
    <w:p>
      <w:pPr>
        <w:autoSpaceDE w:val="0"/>
        <w:autoSpaceDN w:val="0"/>
        <w:adjustRightInd w:val="0"/>
        <w:snapToGrid w:val="0"/>
        <w:spacing w:line="480" w:lineRule="exact"/>
        <w:ind w:firstLine="561"/>
        <w:rPr>
          <w:rFonts w:ascii="宋体" w:hAnsi="宋体"/>
          <w:color w:val="auto"/>
          <w:szCs w:val="21"/>
        </w:rPr>
      </w:pPr>
      <w:r>
        <w:rPr>
          <w:rFonts w:hint="eastAsia" w:ascii="宋体" w:hAnsi="宋体"/>
          <w:color w:val="auto"/>
          <w:szCs w:val="21"/>
        </w:rPr>
        <w:t>2、排序原则：本次评标采用综合评分法，评标委员会通过对商务、技术等因素的综合评审进行打分，综合得分最高的投标人排名第一，依此类推确定排名顺序，按排名顺序先后推荐为中标候选人。</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561"/>
        <w:textAlignment w:val="auto"/>
        <w:rPr>
          <w:rFonts w:ascii="宋体" w:hAnsi="宋体"/>
          <w:color w:val="auto"/>
          <w:szCs w:val="21"/>
        </w:rPr>
      </w:pPr>
      <w:r>
        <w:rPr>
          <w:rFonts w:hint="eastAsia" w:ascii="宋体" w:hAnsi="宋体"/>
          <w:color w:val="auto"/>
          <w:szCs w:val="21"/>
        </w:rPr>
        <w:t>3、确定中标人的原则：招标人按照评委会的书面评标报告中的中标候选人排序，确定排名第一的为中标人。当排名第一的中标候选人放弃中标、因不可抗力提出不能履行合同，招标人可以确定排名第二的中标候选人为中标人；排名第二的中标候选人因同样的原因不能签订合同的，招标人可以确定排名第三的中标候选人为中标人。</w:t>
      </w:r>
    </w:p>
    <w:p>
      <w:pPr>
        <w:keepNext w:val="0"/>
        <w:keepLines w:val="0"/>
        <w:pageBreakBefore w:val="0"/>
        <w:widowControl w:val="0"/>
        <w:kinsoku/>
        <w:wordWrap/>
        <w:overflowPunct/>
        <w:topLinePunct w:val="0"/>
        <w:bidi w:val="0"/>
        <w:snapToGrid w:val="0"/>
        <w:spacing w:line="480" w:lineRule="exact"/>
        <w:textAlignment w:val="auto"/>
        <w:rPr>
          <w:rFonts w:ascii="宋体" w:hAnsi="宋体" w:cs="宋体"/>
          <w:color w:val="auto"/>
          <w:kern w:val="0"/>
        </w:rPr>
      </w:pPr>
      <w:r>
        <w:rPr>
          <w:rFonts w:hint="eastAsia" w:ascii="宋体" w:hAnsi="宋体"/>
          <w:color w:val="auto"/>
          <w:szCs w:val="21"/>
          <w:lang w:val="en-US" w:eastAsia="zh-CN"/>
        </w:rPr>
        <w:t xml:space="preserve">    4、</w:t>
      </w:r>
      <w:r>
        <w:rPr>
          <w:rFonts w:ascii="宋体" w:hAnsi="宋体" w:cs="宋体"/>
          <w:color w:val="auto"/>
          <w:kern w:val="0"/>
        </w:rPr>
        <w:t>在合同签订</w:t>
      </w:r>
      <w:r>
        <w:rPr>
          <w:rFonts w:hint="eastAsia" w:ascii="宋体" w:hAnsi="宋体" w:cs="宋体"/>
          <w:color w:val="auto"/>
          <w:kern w:val="0"/>
        </w:rPr>
        <w:t>前，</w:t>
      </w:r>
      <w:r>
        <w:rPr>
          <w:rFonts w:hint="eastAsia" w:ascii="宋体" w:hAnsi="宋体" w:cs="宋体"/>
          <w:b/>
          <w:bCs/>
          <w:color w:val="auto"/>
          <w:kern w:val="0"/>
        </w:rPr>
        <w:t>中标人应</w:t>
      </w:r>
      <w:r>
        <w:rPr>
          <w:rFonts w:hint="eastAsia" w:ascii="宋体" w:hAnsi="宋体" w:cs="宋体"/>
          <w:b/>
          <w:bCs/>
          <w:color w:val="auto"/>
          <w:kern w:val="0"/>
          <w:lang w:eastAsia="zh-CN"/>
        </w:rPr>
        <w:t>在收到中标通知书后七个工作日内</w:t>
      </w:r>
      <w:r>
        <w:rPr>
          <w:rFonts w:hint="eastAsia" w:ascii="宋体" w:hAnsi="宋体" w:cs="宋体"/>
          <w:b/>
          <w:bCs/>
          <w:color w:val="auto"/>
          <w:kern w:val="0"/>
        </w:rPr>
        <w:t>向招标人提交</w:t>
      </w:r>
      <w:r>
        <w:rPr>
          <w:rFonts w:hint="eastAsia" w:ascii="宋体" w:hAnsi="宋体" w:cs="宋体"/>
          <w:b/>
          <w:bCs/>
          <w:color w:val="auto"/>
          <w:kern w:val="0"/>
          <w:lang w:eastAsia="zh-CN"/>
        </w:rPr>
        <w:t>中标</w:t>
      </w:r>
      <w:r>
        <w:rPr>
          <w:rFonts w:hint="eastAsia" w:ascii="宋体" w:hAnsi="宋体" w:cs="宋体"/>
          <w:b/>
          <w:bCs/>
          <w:color w:val="auto"/>
          <w:kern w:val="0"/>
        </w:rPr>
        <w:t>价</w:t>
      </w:r>
      <w:r>
        <w:rPr>
          <w:rFonts w:ascii="宋体" w:hAnsi="宋体" w:cs="宋体"/>
          <w:b/>
          <w:bCs/>
          <w:color w:val="auto"/>
          <w:kern w:val="0"/>
        </w:rPr>
        <w:t>10%的履约保</w:t>
      </w:r>
      <w:r>
        <w:rPr>
          <w:rFonts w:hint="eastAsia" w:ascii="宋体" w:hAnsi="宋体" w:cs="宋体"/>
          <w:b/>
          <w:bCs/>
          <w:color w:val="auto"/>
          <w:kern w:val="0"/>
          <w:lang w:eastAsia="zh-CN"/>
        </w:rPr>
        <w:t>证金</w:t>
      </w:r>
      <w:r>
        <w:rPr>
          <w:rFonts w:hint="eastAsia" w:ascii="宋体" w:hAnsi="宋体" w:cs="宋体"/>
          <w:color w:val="auto"/>
          <w:kern w:val="0"/>
          <w:lang w:eastAsia="zh-CN"/>
        </w:rPr>
        <w:t>（履约保证金的方式可以</w:t>
      </w:r>
      <w:r>
        <w:rPr>
          <w:rFonts w:hint="eastAsia" w:ascii="宋体" w:hAnsi="宋体"/>
          <w:color w:val="auto"/>
          <w:sz w:val="21"/>
          <w:szCs w:val="21"/>
          <w:highlight w:val="none"/>
          <w:lang w:eastAsia="zh-CN"/>
        </w:rPr>
        <w:t>是</w:t>
      </w:r>
      <w:r>
        <w:rPr>
          <w:rFonts w:hint="eastAsia" w:ascii="宋体" w:hAnsi="宋体"/>
          <w:color w:val="auto"/>
          <w:sz w:val="21"/>
          <w:szCs w:val="21"/>
          <w:highlight w:val="none"/>
        </w:rPr>
        <w:t>：银行汇票、银行保函或现金支票</w:t>
      </w:r>
      <w:r>
        <w:rPr>
          <w:rFonts w:hint="eastAsia" w:ascii="宋体" w:hAnsi="宋体"/>
          <w:color w:val="auto"/>
          <w:sz w:val="21"/>
          <w:szCs w:val="21"/>
          <w:highlight w:val="none"/>
          <w:lang w:eastAsia="zh-CN"/>
        </w:rPr>
        <w:t>）</w:t>
      </w:r>
      <w:r>
        <w:rPr>
          <w:rFonts w:ascii="宋体" w:hAnsi="宋体" w:cs="宋体"/>
          <w:color w:val="auto"/>
          <w:kern w:val="0"/>
          <w:sz w:val="21"/>
          <w:szCs w:val="21"/>
        </w:rPr>
        <w:t>；</w:t>
      </w:r>
      <w:r>
        <w:rPr>
          <w:rFonts w:ascii="宋体" w:hAnsi="宋体" w:cs="宋体"/>
          <w:color w:val="auto"/>
          <w:kern w:val="0"/>
        </w:rPr>
        <w:t>如果中标人7日内未按规定办理</w:t>
      </w:r>
      <w:r>
        <w:rPr>
          <w:rFonts w:hint="eastAsia" w:ascii="宋体" w:hAnsi="宋体" w:cs="宋体"/>
          <w:color w:val="auto"/>
          <w:kern w:val="0"/>
          <w:lang w:eastAsia="zh-CN"/>
        </w:rPr>
        <w:t>履约保证金手续</w:t>
      </w:r>
      <w:r>
        <w:rPr>
          <w:rFonts w:ascii="宋体" w:hAnsi="宋体" w:cs="宋体"/>
          <w:color w:val="auto"/>
          <w:kern w:val="0"/>
        </w:rPr>
        <w:t>的，招标人即认为中标单位无能力提供履约保</w:t>
      </w:r>
      <w:r>
        <w:rPr>
          <w:rFonts w:hint="eastAsia" w:ascii="宋体" w:hAnsi="宋体" w:cs="宋体"/>
          <w:color w:val="auto"/>
          <w:kern w:val="0"/>
          <w:lang w:eastAsia="zh-CN"/>
        </w:rPr>
        <w:t>证金</w:t>
      </w:r>
      <w:r>
        <w:rPr>
          <w:rFonts w:ascii="宋体" w:hAnsi="宋体" w:cs="宋体"/>
          <w:color w:val="auto"/>
          <w:kern w:val="0"/>
        </w:rPr>
        <w:t>而取消其中标资格；招标人可以确定排名第二的中标候选人为中标人。</w:t>
      </w:r>
    </w:p>
    <w:p>
      <w:pPr>
        <w:autoSpaceDE w:val="0"/>
        <w:autoSpaceDN w:val="0"/>
        <w:adjustRightInd w:val="0"/>
        <w:snapToGrid w:val="0"/>
        <w:spacing w:line="480" w:lineRule="exact"/>
        <w:rPr>
          <w:rFonts w:hint="eastAsia" w:ascii="宋体" w:hAnsi="宋体" w:eastAsia="宋体"/>
          <w:color w:val="auto"/>
          <w:szCs w:val="21"/>
          <w:lang w:val="en-US" w:eastAsia="zh-CN"/>
        </w:rPr>
      </w:pPr>
    </w:p>
    <w:p>
      <w:pPr>
        <w:autoSpaceDE w:val="0"/>
        <w:autoSpaceDN w:val="0"/>
        <w:adjustRightInd w:val="0"/>
        <w:snapToGrid w:val="0"/>
        <w:spacing w:line="480" w:lineRule="exact"/>
        <w:rPr>
          <w:rFonts w:ascii="宋体" w:hAnsi="宋体"/>
          <w:color w:val="auto"/>
          <w:szCs w:val="21"/>
        </w:rPr>
      </w:pPr>
      <w:r>
        <w:rPr>
          <w:rFonts w:hint="eastAsia" w:ascii="宋体" w:hAnsi="宋体"/>
          <w:color w:val="auto"/>
          <w:szCs w:val="21"/>
        </w:rPr>
        <w:t>七、</w:t>
      </w:r>
      <w:r>
        <w:rPr>
          <w:rFonts w:hint="eastAsia" w:ascii="宋体" w:hAnsi="宋体"/>
          <w:color w:val="auto"/>
          <w:szCs w:val="21"/>
          <w:lang w:eastAsia="zh-CN"/>
        </w:rPr>
        <w:t>通用</w:t>
      </w:r>
      <w:r>
        <w:rPr>
          <w:rFonts w:hint="eastAsia" w:ascii="宋体" w:hAnsi="宋体"/>
          <w:color w:val="auto"/>
          <w:szCs w:val="21"/>
        </w:rPr>
        <w:t>合同条款：</w:t>
      </w:r>
    </w:p>
    <w:p>
      <w:pPr>
        <w:jc w:val="center"/>
        <w:rPr>
          <w:rFonts w:hint="eastAsia" w:ascii="黑体" w:eastAsia="黑体"/>
          <w:b/>
          <w:color w:val="auto"/>
          <w:sz w:val="36"/>
          <w:szCs w:val="36"/>
        </w:rPr>
      </w:pPr>
      <w:r>
        <w:rPr>
          <w:rFonts w:hint="eastAsia" w:ascii="黑体" w:eastAsia="黑体"/>
          <w:b/>
          <w:color w:val="auto"/>
          <w:sz w:val="36"/>
          <w:szCs w:val="36"/>
        </w:rPr>
        <w:t>合  同</w:t>
      </w:r>
    </w:p>
    <w:p>
      <w:pPr>
        <w:jc w:val="center"/>
        <w:rPr>
          <w:rFonts w:hint="eastAsia" w:ascii="黑体" w:hAnsi="宋体" w:eastAsia="黑体"/>
          <w:color w:val="auto"/>
          <w:sz w:val="28"/>
          <w:szCs w:val="28"/>
        </w:rPr>
      </w:pPr>
    </w:p>
    <w:p>
      <w:pPr>
        <w:spacing w:line="440" w:lineRule="exact"/>
        <w:ind w:left="420"/>
        <w:rPr>
          <w:rFonts w:hint="eastAsia" w:ascii="宋体" w:hAnsi="宋体"/>
          <w:color w:val="auto"/>
          <w:sz w:val="24"/>
        </w:rPr>
      </w:pPr>
      <w:r>
        <w:rPr>
          <w:rFonts w:hint="eastAsia" w:ascii="宋体" w:hAnsi="宋体"/>
          <w:color w:val="auto"/>
          <w:sz w:val="24"/>
        </w:rPr>
        <w:t>买方：江苏长江水务股份有限公司</w:t>
      </w:r>
    </w:p>
    <w:p>
      <w:pPr>
        <w:spacing w:line="440" w:lineRule="exact"/>
        <w:ind w:left="420"/>
        <w:rPr>
          <w:rFonts w:hint="eastAsia" w:ascii="宋体" w:hAnsi="宋体"/>
          <w:color w:val="auto"/>
          <w:sz w:val="24"/>
        </w:rPr>
      </w:pPr>
      <w:r>
        <w:rPr>
          <w:rFonts w:hint="eastAsia" w:ascii="宋体" w:hAnsi="宋体"/>
          <w:color w:val="auto"/>
          <w:sz w:val="24"/>
        </w:rPr>
        <w:t>卖方：</w:t>
      </w:r>
    </w:p>
    <w:p>
      <w:pPr>
        <w:spacing w:line="440" w:lineRule="exact"/>
        <w:ind w:right="-290" w:rightChars="-138"/>
        <w:rPr>
          <w:rFonts w:hint="eastAsia" w:ascii="宋体" w:hAnsi="宋体"/>
          <w:color w:val="auto"/>
          <w:sz w:val="24"/>
        </w:rPr>
      </w:pPr>
    </w:p>
    <w:p>
      <w:pPr>
        <w:spacing w:line="440" w:lineRule="exact"/>
        <w:ind w:right="-290" w:rightChars="-138"/>
        <w:rPr>
          <w:rFonts w:hint="eastAsia" w:ascii="宋体" w:hAnsi="宋体"/>
          <w:color w:val="auto"/>
          <w:sz w:val="24"/>
        </w:rPr>
      </w:pPr>
      <w:r>
        <w:rPr>
          <w:rFonts w:hint="eastAsia" w:ascii="宋体" w:hAnsi="宋体"/>
          <w:color w:val="auto"/>
          <w:sz w:val="24"/>
        </w:rPr>
        <w:t xml:space="preserve">    江苏长江水务股份有限公司（以下简称“买方”）通过</w:t>
      </w:r>
      <w:r>
        <w:rPr>
          <w:rFonts w:hint="eastAsia" w:ascii="宋体" w:hAnsi="宋体"/>
          <w:color w:val="auto"/>
          <w:sz w:val="24"/>
          <w:lang w:eastAsia="zh-CN"/>
        </w:rPr>
        <w:t>公开</w:t>
      </w:r>
      <w:r>
        <w:rPr>
          <w:rFonts w:hint="eastAsia" w:ascii="宋体" w:hAnsi="宋体"/>
          <w:color w:val="auto"/>
          <w:sz w:val="24"/>
        </w:rPr>
        <w:t>招标</w:t>
      </w:r>
      <w:r>
        <w:rPr>
          <w:rFonts w:hint="eastAsia" w:ascii="宋体" w:hAnsi="宋体"/>
          <w:color w:val="auto"/>
          <w:sz w:val="24"/>
          <w:lang w:eastAsia="zh-CN"/>
        </w:rPr>
        <w:t>方式</w:t>
      </w:r>
      <w:r>
        <w:rPr>
          <w:rFonts w:hint="eastAsia" w:ascii="宋体" w:hAnsi="宋体"/>
          <w:color w:val="auto"/>
          <w:sz w:val="24"/>
        </w:rPr>
        <w:t xml:space="preserve">，确定 </w:t>
      </w:r>
      <w:r>
        <w:rPr>
          <w:rFonts w:hint="eastAsia" w:ascii="宋体" w:hAnsi="宋体"/>
          <w:color w:val="auto"/>
          <w:sz w:val="24"/>
          <w:u w:val="single"/>
        </w:rPr>
        <w:t xml:space="preserve">        </w:t>
      </w:r>
      <w:r>
        <w:rPr>
          <w:rFonts w:hint="eastAsia" w:ascii="宋体" w:hAnsi="宋体"/>
          <w:color w:val="auto"/>
          <w:sz w:val="24"/>
        </w:rPr>
        <w:t>公司（以下简称“卖方”）为</w:t>
      </w:r>
      <w:r>
        <w:rPr>
          <w:rFonts w:hint="eastAsia" w:ascii="宋体" w:hAnsi="宋体"/>
          <w:color w:val="auto"/>
          <w:sz w:val="24"/>
          <w:lang w:eastAsia="zh-CN"/>
        </w:rPr>
        <w:t>江苏长江水务股份有限公司</w:t>
      </w:r>
      <w:r>
        <w:rPr>
          <w:rFonts w:hint="eastAsia" w:ascii="宋体" w:hAnsi="宋体"/>
          <w:color w:val="auto"/>
          <w:sz w:val="24"/>
          <w:lang w:val="en-US" w:eastAsia="zh-CN"/>
        </w:rPr>
        <w:t>一水厂“智慧安防”升级改造项目</w:t>
      </w:r>
      <w:r>
        <w:rPr>
          <w:rFonts w:hint="eastAsia" w:ascii="宋体" w:hAnsi="宋体"/>
          <w:color w:val="auto"/>
          <w:sz w:val="24"/>
        </w:rPr>
        <w:t>的供应方，经买卖双方协商一致，签订本合同。</w:t>
      </w:r>
    </w:p>
    <w:p>
      <w:pPr>
        <w:spacing w:line="440" w:lineRule="exact"/>
        <w:ind w:firstLine="570"/>
        <w:rPr>
          <w:rFonts w:hint="eastAsia" w:ascii="宋体" w:hAnsi="宋体"/>
          <w:b/>
          <w:color w:val="auto"/>
          <w:sz w:val="24"/>
        </w:rPr>
      </w:pPr>
      <w:r>
        <w:rPr>
          <w:rFonts w:hint="eastAsia" w:ascii="宋体" w:hAnsi="宋体"/>
          <w:b/>
          <w:color w:val="auto"/>
          <w:sz w:val="24"/>
        </w:rPr>
        <w:t>第一条　名词和用语</w:t>
      </w:r>
    </w:p>
    <w:p>
      <w:pPr>
        <w:spacing w:line="440" w:lineRule="exact"/>
        <w:ind w:firstLine="570"/>
        <w:rPr>
          <w:rFonts w:hint="eastAsia" w:ascii="宋体" w:hAnsi="宋体"/>
          <w:color w:val="auto"/>
          <w:sz w:val="24"/>
        </w:rPr>
      </w:pPr>
      <w:r>
        <w:rPr>
          <w:rFonts w:hint="eastAsia" w:ascii="宋体" w:hAnsi="宋体"/>
          <w:color w:val="auto"/>
          <w:sz w:val="24"/>
        </w:rPr>
        <w:t>下列名词和用语， 除上下文另有规定外，有如下含义：</w:t>
      </w:r>
    </w:p>
    <w:p>
      <w:pPr>
        <w:numPr>
          <w:ilvl w:val="0"/>
          <w:numId w:val="5"/>
        </w:numPr>
        <w:spacing w:line="440" w:lineRule="exact"/>
        <w:ind w:hanging="600"/>
        <w:rPr>
          <w:rFonts w:hint="eastAsia" w:ascii="宋体" w:hAnsi="宋体"/>
          <w:color w:val="auto"/>
          <w:sz w:val="24"/>
        </w:rPr>
      </w:pPr>
      <w:r>
        <w:rPr>
          <w:rFonts w:hint="eastAsia" w:ascii="宋体" w:hAnsi="宋体"/>
          <w:color w:val="auto"/>
          <w:sz w:val="24"/>
        </w:rPr>
        <w:t>“工程”是指</w:t>
      </w:r>
      <w:r>
        <w:rPr>
          <w:rFonts w:hint="eastAsia" w:ascii="宋体" w:hAnsi="宋体"/>
          <w:color w:val="auto"/>
          <w:sz w:val="24"/>
          <w:lang w:eastAsia="zh-CN"/>
        </w:rPr>
        <w:t>江苏长江水务股份有限公司</w:t>
      </w:r>
      <w:r>
        <w:rPr>
          <w:rFonts w:hint="eastAsia" w:ascii="宋体" w:hAnsi="宋体"/>
          <w:color w:val="auto"/>
          <w:sz w:val="24"/>
          <w:lang w:val="en-US" w:eastAsia="zh-CN"/>
        </w:rPr>
        <w:t>一水厂“智慧安防”升级改造项目设备安装</w:t>
      </w:r>
      <w:r>
        <w:rPr>
          <w:rFonts w:hint="eastAsia" w:ascii="宋体" w:hAnsi="宋体"/>
          <w:color w:val="auto"/>
          <w:sz w:val="24"/>
        </w:rPr>
        <w:t>采购。</w:t>
      </w:r>
    </w:p>
    <w:p>
      <w:pPr>
        <w:numPr>
          <w:ilvl w:val="0"/>
          <w:numId w:val="5"/>
        </w:numPr>
        <w:spacing w:line="440" w:lineRule="exact"/>
        <w:ind w:hanging="600"/>
        <w:rPr>
          <w:rFonts w:hint="eastAsia" w:ascii="宋体" w:hAnsi="宋体"/>
          <w:color w:val="auto"/>
          <w:sz w:val="24"/>
        </w:rPr>
      </w:pPr>
      <w:r>
        <w:rPr>
          <w:rFonts w:hint="eastAsia" w:ascii="宋体" w:hAnsi="宋体"/>
          <w:color w:val="auto"/>
          <w:sz w:val="24"/>
        </w:rPr>
        <w:t>“买方”指江苏长江水务股份有限公司或其合法承继者。</w:t>
      </w:r>
    </w:p>
    <w:p>
      <w:pPr>
        <w:numPr>
          <w:ilvl w:val="0"/>
          <w:numId w:val="5"/>
        </w:numPr>
        <w:spacing w:line="440" w:lineRule="exact"/>
        <w:ind w:hanging="600"/>
        <w:rPr>
          <w:rFonts w:hint="eastAsia" w:ascii="宋体" w:hAnsi="宋体"/>
          <w:color w:val="auto"/>
          <w:sz w:val="24"/>
        </w:rPr>
      </w:pPr>
      <w:r>
        <w:rPr>
          <w:rFonts w:hint="eastAsia" w:ascii="宋体" w:hAnsi="宋体"/>
          <w:color w:val="auto"/>
          <w:sz w:val="24"/>
        </w:rPr>
        <w:t>“卖方”是指</w:t>
      </w:r>
      <w:r>
        <w:rPr>
          <w:rFonts w:hint="eastAsia" w:ascii="宋体" w:hAnsi="宋体"/>
          <w:color w:val="auto"/>
          <w:sz w:val="24"/>
          <w:u w:val="single"/>
        </w:rPr>
        <w:t xml:space="preserve">             </w:t>
      </w:r>
      <w:r>
        <w:rPr>
          <w:rFonts w:hint="eastAsia" w:ascii="宋体" w:hAnsi="宋体"/>
          <w:color w:val="auto"/>
          <w:sz w:val="24"/>
        </w:rPr>
        <w:t>公司以及其合法承继者。</w:t>
      </w:r>
    </w:p>
    <w:p>
      <w:pPr>
        <w:numPr>
          <w:ilvl w:val="0"/>
          <w:numId w:val="5"/>
        </w:numPr>
        <w:spacing w:line="440" w:lineRule="exact"/>
        <w:ind w:hanging="600"/>
        <w:rPr>
          <w:rFonts w:hint="eastAsia" w:ascii="宋体" w:hAnsi="宋体"/>
          <w:color w:val="auto"/>
          <w:sz w:val="24"/>
        </w:rPr>
      </w:pPr>
      <w:r>
        <w:rPr>
          <w:rFonts w:hint="eastAsia" w:ascii="宋体" w:hAnsi="宋体"/>
          <w:color w:val="auto"/>
          <w:sz w:val="24"/>
        </w:rPr>
        <w:t>“中标通知书”：指买方正式接受卖方投标的接受信。</w:t>
      </w:r>
    </w:p>
    <w:p>
      <w:pPr>
        <w:numPr>
          <w:ilvl w:val="0"/>
          <w:numId w:val="5"/>
        </w:numPr>
        <w:tabs>
          <w:tab w:val="left" w:pos="540"/>
        </w:tabs>
        <w:spacing w:line="440" w:lineRule="exact"/>
        <w:ind w:left="540" w:firstLine="0"/>
        <w:rPr>
          <w:rFonts w:hint="eastAsia" w:ascii="宋体" w:hAnsi="宋体"/>
          <w:color w:val="auto"/>
          <w:sz w:val="24"/>
        </w:rPr>
      </w:pPr>
      <w:r>
        <w:rPr>
          <w:rFonts w:hint="eastAsia" w:ascii="宋体" w:hAnsi="宋体"/>
          <w:color w:val="auto"/>
          <w:sz w:val="24"/>
        </w:rPr>
        <w:t>“不可抗力”：任何一方都不能预见、对其发生及后果不能避免并且超过合理控制范围、且不能克服的自然事件和社会事件。</w:t>
      </w:r>
    </w:p>
    <w:p>
      <w:pPr>
        <w:numPr>
          <w:ilvl w:val="0"/>
          <w:numId w:val="5"/>
        </w:numPr>
        <w:tabs>
          <w:tab w:val="left" w:pos="540"/>
        </w:tabs>
        <w:spacing w:line="440" w:lineRule="exact"/>
        <w:ind w:left="540" w:firstLine="0"/>
        <w:rPr>
          <w:rFonts w:hint="eastAsia" w:ascii="宋体" w:hAnsi="宋体"/>
          <w:color w:val="auto"/>
          <w:sz w:val="24"/>
        </w:rPr>
      </w:pPr>
      <w:r>
        <w:rPr>
          <w:rFonts w:hint="eastAsia" w:ascii="宋体" w:hAnsi="宋体"/>
          <w:color w:val="auto"/>
          <w:sz w:val="24"/>
        </w:rPr>
        <w:t>“合同价款”：指根据合同条款，用以支付卖方在全面正确地履行合同义务后卖方所应得的金额。</w:t>
      </w:r>
    </w:p>
    <w:p>
      <w:pPr>
        <w:numPr>
          <w:ilvl w:val="0"/>
          <w:numId w:val="5"/>
        </w:numPr>
        <w:spacing w:line="440" w:lineRule="exact"/>
        <w:ind w:hanging="600"/>
        <w:rPr>
          <w:rFonts w:hint="eastAsia" w:ascii="宋体" w:hAnsi="宋体"/>
          <w:color w:val="auto"/>
          <w:sz w:val="24"/>
        </w:rPr>
      </w:pPr>
      <w:r>
        <w:rPr>
          <w:rFonts w:hint="eastAsia" w:ascii="宋体" w:hAnsi="宋体"/>
          <w:color w:val="auto"/>
          <w:sz w:val="24"/>
        </w:rPr>
        <w:t>“一方”：指买方或卖方的任何一方。</w:t>
      </w:r>
    </w:p>
    <w:p>
      <w:pPr>
        <w:numPr>
          <w:ilvl w:val="0"/>
          <w:numId w:val="5"/>
        </w:numPr>
        <w:tabs>
          <w:tab w:val="left" w:pos="540"/>
        </w:tabs>
        <w:spacing w:line="440" w:lineRule="exact"/>
        <w:ind w:left="540" w:firstLine="0"/>
        <w:rPr>
          <w:rFonts w:hint="eastAsia" w:ascii="宋体" w:hAnsi="宋体"/>
          <w:color w:val="auto"/>
          <w:sz w:val="24"/>
        </w:rPr>
      </w:pPr>
      <w:r>
        <w:rPr>
          <w:rFonts w:hint="eastAsia" w:ascii="宋体" w:hAnsi="宋体"/>
          <w:color w:val="auto"/>
          <w:sz w:val="24"/>
        </w:rPr>
        <w:t>“服务”：系指合同规定卖方需承担的检验、运输、保险、交接验收、技术援助与保障、培训以及其它类似的在合同中所提到的卖方的义务。</w:t>
      </w:r>
    </w:p>
    <w:p>
      <w:pPr>
        <w:numPr>
          <w:ilvl w:val="0"/>
          <w:numId w:val="5"/>
        </w:numPr>
        <w:spacing w:line="440" w:lineRule="exact"/>
        <w:ind w:hanging="600"/>
        <w:rPr>
          <w:rFonts w:hint="eastAsia" w:ascii="宋体" w:hAnsi="宋体"/>
          <w:color w:val="auto"/>
          <w:sz w:val="24"/>
        </w:rPr>
      </w:pPr>
      <w:r>
        <w:rPr>
          <w:rFonts w:hint="eastAsia" w:ascii="宋体" w:hAnsi="宋体"/>
          <w:color w:val="auto"/>
          <w:sz w:val="24"/>
        </w:rPr>
        <w:t>“现场”系指将要进行加工或货物使用的地点。</w:t>
      </w:r>
    </w:p>
    <w:p>
      <w:pPr>
        <w:numPr>
          <w:ilvl w:val="0"/>
          <w:numId w:val="5"/>
        </w:numPr>
        <w:tabs>
          <w:tab w:val="left" w:pos="540"/>
        </w:tabs>
        <w:spacing w:line="440" w:lineRule="exact"/>
        <w:ind w:left="540" w:firstLine="0"/>
        <w:rPr>
          <w:rFonts w:hint="eastAsia" w:ascii="宋体" w:hAnsi="宋体"/>
          <w:color w:val="auto"/>
          <w:sz w:val="24"/>
        </w:rPr>
      </w:pPr>
      <w:r>
        <w:rPr>
          <w:rFonts w:hint="eastAsia" w:ascii="宋体" w:hAnsi="宋体"/>
          <w:color w:val="auto"/>
          <w:sz w:val="24"/>
        </w:rPr>
        <w:t>“技术资料”是指卖方提供的与合同设备及相关的设计、制造、监造、检验、指导安装、调试、验收、性能验收试验和技术指导等文件(包括图纸、各种文字说明、标准、各种软件)。</w:t>
      </w:r>
    </w:p>
    <w:p>
      <w:pPr>
        <w:numPr>
          <w:ilvl w:val="0"/>
          <w:numId w:val="5"/>
        </w:numPr>
        <w:tabs>
          <w:tab w:val="left" w:pos="540"/>
        </w:tabs>
        <w:spacing w:line="440" w:lineRule="exact"/>
        <w:ind w:left="540" w:firstLine="0"/>
        <w:rPr>
          <w:rFonts w:hint="eastAsia" w:ascii="宋体" w:hAnsi="宋体"/>
          <w:color w:val="auto"/>
          <w:sz w:val="24"/>
        </w:rPr>
      </w:pPr>
      <w:r>
        <w:rPr>
          <w:rFonts w:hint="eastAsia" w:ascii="宋体" w:hAnsi="宋体"/>
          <w:color w:val="auto"/>
          <w:sz w:val="24"/>
        </w:rPr>
        <w:t>“合同设备”是指卖方根据合同所供应的机器、装置、材料、物品、专用工具、备品备件等。</w:t>
      </w:r>
    </w:p>
    <w:p>
      <w:pPr>
        <w:numPr>
          <w:ilvl w:val="0"/>
          <w:numId w:val="5"/>
        </w:numPr>
        <w:tabs>
          <w:tab w:val="left" w:pos="540"/>
        </w:tabs>
        <w:spacing w:line="440" w:lineRule="exact"/>
        <w:ind w:left="540" w:firstLine="0"/>
        <w:rPr>
          <w:rFonts w:hint="eastAsia" w:ascii="宋体" w:hAnsi="宋体"/>
          <w:color w:val="auto"/>
          <w:sz w:val="24"/>
        </w:rPr>
      </w:pPr>
      <w:r>
        <w:rPr>
          <w:rFonts w:hint="eastAsia" w:ascii="宋体" w:hAnsi="宋体"/>
          <w:color w:val="auto"/>
          <w:sz w:val="24"/>
        </w:rPr>
        <w:t>“技术服务”是指由卖方提供的与本合同设备有关的工程设计、设备监造、检验、土建、指导安装、调试、验收、性能验收试验、运行、检修时相应的技术指导、技术配合、技术培训等全过程的服务。</w:t>
      </w:r>
    </w:p>
    <w:p>
      <w:pPr>
        <w:numPr>
          <w:ilvl w:val="0"/>
          <w:numId w:val="5"/>
        </w:numPr>
        <w:tabs>
          <w:tab w:val="left" w:pos="540"/>
        </w:tabs>
        <w:spacing w:line="440" w:lineRule="exact"/>
        <w:ind w:left="540" w:firstLine="0"/>
        <w:rPr>
          <w:rFonts w:hint="eastAsia" w:ascii="宋体" w:hAnsi="宋体"/>
          <w:color w:val="auto"/>
          <w:sz w:val="24"/>
        </w:rPr>
      </w:pPr>
      <w:r>
        <w:rPr>
          <w:rFonts w:hint="eastAsia" w:ascii="宋体" w:hAnsi="宋体"/>
          <w:color w:val="auto"/>
          <w:sz w:val="24"/>
        </w:rPr>
        <w:t>“验收”系指买方依据技术规格书规定接受所供货物应依据的程序和检验。</w:t>
      </w:r>
    </w:p>
    <w:p>
      <w:pPr>
        <w:numPr>
          <w:ilvl w:val="0"/>
          <w:numId w:val="5"/>
        </w:numPr>
        <w:tabs>
          <w:tab w:val="left" w:pos="540"/>
        </w:tabs>
        <w:spacing w:line="440" w:lineRule="exact"/>
        <w:ind w:left="540" w:firstLine="0"/>
        <w:rPr>
          <w:rFonts w:hint="eastAsia" w:ascii="宋体" w:hAnsi="宋体"/>
          <w:color w:val="auto"/>
          <w:sz w:val="24"/>
        </w:rPr>
      </w:pPr>
      <w:r>
        <w:rPr>
          <w:rFonts w:hint="eastAsia" w:ascii="宋体" w:hAnsi="宋体"/>
          <w:color w:val="auto"/>
          <w:sz w:val="24"/>
        </w:rPr>
        <w:t>“日、月、年”是指公历的日、月、年；“天”是指24小时；“周”是指7天。</w:t>
      </w:r>
    </w:p>
    <w:p>
      <w:pPr>
        <w:numPr>
          <w:ilvl w:val="0"/>
          <w:numId w:val="5"/>
        </w:numPr>
        <w:tabs>
          <w:tab w:val="left" w:pos="540"/>
        </w:tabs>
        <w:spacing w:line="440" w:lineRule="exact"/>
        <w:ind w:left="540" w:firstLine="0"/>
        <w:rPr>
          <w:rFonts w:hint="eastAsia" w:ascii="宋体" w:hAnsi="宋体"/>
          <w:color w:val="auto"/>
          <w:sz w:val="24"/>
        </w:rPr>
      </w:pPr>
      <w:r>
        <w:rPr>
          <w:rFonts w:hint="eastAsia" w:ascii="宋体" w:hAnsi="宋体"/>
          <w:color w:val="auto"/>
          <w:sz w:val="24"/>
        </w:rPr>
        <w:t>“备品备件”是指根据本合同提供的随机备用部件。</w:t>
      </w:r>
    </w:p>
    <w:p>
      <w:pPr>
        <w:numPr>
          <w:ilvl w:val="0"/>
          <w:numId w:val="5"/>
        </w:numPr>
        <w:tabs>
          <w:tab w:val="left" w:pos="540"/>
        </w:tabs>
        <w:spacing w:line="440" w:lineRule="exact"/>
        <w:ind w:left="540" w:firstLine="0"/>
        <w:rPr>
          <w:rFonts w:hint="eastAsia" w:ascii="宋体" w:hAnsi="宋体"/>
          <w:color w:val="auto"/>
          <w:sz w:val="24"/>
        </w:rPr>
      </w:pPr>
      <w:r>
        <w:rPr>
          <w:rFonts w:hint="eastAsia" w:ascii="宋体" w:hAnsi="宋体"/>
          <w:color w:val="auto"/>
          <w:sz w:val="24"/>
        </w:rPr>
        <w:t>“设备缺陷”是指卖方因设计、制造错误或疏忽所引起的本合同设备（包括部件、原材料、铸锻件、原器件等）达不到本合同及技术附件规定的性能、质量标准要求的情形。</w:t>
      </w:r>
    </w:p>
    <w:p>
      <w:pPr>
        <w:numPr>
          <w:ilvl w:val="0"/>
          <w:numId w:val="5"/>
        </w:numPr>
        <w:tabs>
          <w:tab w:val="left" w:pos="540"/>
        </w:tabs>
        <w:spacing w:line="440" w:lineRule="exact"/>
        <w:ind w:left="540" w:firstLine="0"/>
        <w:rPr>
          <w:rFonts w:hint="eastAsia" w:ascii="宋体" w:hAnsi="宋体"/>
          <w:color w:val="auto"/>
          <w:sz w:val="24"/>
        </w:rPr>
      </w:pPr>
      <w:r>
        <w:rPr>
          <w:rFonts w:hint="eastAsia" w:ascii="宋体" w:hAnsi="宋体"/>
          <w:color w:val="auto"/>
          <w:sz w:val="24"/>
        </w:rPr>
        <w:t>“初步性能验收”是指当性能验收试验的结果表明已达到了合同附件技术规格书规定的保证值后，买方对合同设备的验收。</w:t>
      </w:r>
    </w:p>
    <w:p>
      <w:pPr>
        <w:numPr>
          <w:ilvl w:val="0"/>
          <w:numId w:val="5"/>
        </w:numPr>
        <w:spacing w:line="440" w:lineRule="exact"/>
        <w:ind w:hanging="600"/>
        <w:rPr>
          <w:rFonts w:hint="eastAsia" w:ascii="宋体" w:hAnsi="宋体"/>
          <w:color w:val="auto"/>
          <w:sz w:val="24"/>
        </w:rPr>
      </w:pPr>
      <w:r>
        <w:rPr>
          <w:rFonts w:hint="eastAsia" w:ascii="宋体" w:hAnsi="宋体"/>
          <w:color w:val="auto"/>
          <w:sz w:val="24"/>
        </w:rPr>
        <w:t>“最终性能验收”是指买方对每一合同设备质量保证期满后的验收。</w:t>
      </w:r>
    </w:p>
    <w:p>
      <w:pPr>
        <w:spacing w:line="440" w:lineRule="exact"/>
        <w:ind w:firstLine="570"/>
        <w:rPr>
          <w:rFonts w:ascii="宋体" w:hAnsi="宋体"/>
          <w:color w:val="auto"/>
          <w:sz w:val="24"/>
        </w:rPr>
      </w:pPr>
    </w:p>
    <w:p>
      <w:pPr>
        <w:spacing w:line="440" w:lineRule="exact"/>
        <w:ind w:firstLine="570"/>
        <w:rPr>
          <w:rFonts w:hint="eastAsia" w:ascii="宋体" w:hAnsi="宋体"/>
          <w:b/>
          <w:color w:val="auto"/>
          <w:sz w:val="24"/>
        </w:rPr>
      </w:pPr>
      <w:r>
        <w:rPr>
          <w:rFonts w:hint="eastAsia" w:ascii="宋体" w:hAnsi="宋体"/>
          <w:b/>
          <w:color w:val="auto"/>
          <w:sz w:val="24"/>
        </w:rPr>
        <w:t>第二条　合同条件的构成及解释顺序</w:t>
      </w:r>
    </w:p>
    <w:p>
      <w:pPr>
        <w:spacing w:line="440" w:lineRule="exact"/>
        <w:ind w:firstLine="570"/>
        <w:rPr>
          <w:rFonts w:hint="eastAsia" w:ascii="宋体" w:hAnsi="宋体"/>
          <w:color w:val="auto"/>
          <w:sz w:val="24"/>
        </w:rPr>
      </w:pPr>
      <w:r>
        <w:rPr>
          <w:rFonts w:hint="eastAsia" w:ascii="宋体" w:hAnsi="宋体"/>
          <w:color w:val="auto"/>
          <w:sz w:val="24"/>
        </w:rPr>
        <w:t>合同文件应能互相解释，互为说明。除合同另有约定外，其组成和解释顺序如下：</w:t>
      </w:r>
    </w:p>
    <w:p>
      <w:pPr>
        <w:numPr>
          <w:ilvl w:val="0"/>
          <w:numId w:val="6"/>
        </w:numPr>
        <w:tabs>
          <w:tab w:val="left" w:pos="1440"/>
        </w:tabs>
        <w:spacing w:line="440" w:lineRule="exact"/>
        <w:rPr>
          <w:rFonts w:hint="eastAsia" w:ascii="宋体" w:hAnsi="宋体"/>
          <w:color w:val="auto"/>
          <w:sz w:val="24"/>
        </w:rPr>
      </w:pPr>
      <w:r>
        <w:rPr>
          <w:rFonts w:hint="eastAsia" w:ascii="宋体" w:hAnsi="宋体"/>
          <w:color w:val="auto"/>
          <w:sz w:val="24"/>
        </w:rPr>
        <w:t>双方协商同意的对本合同的变更、补充协议等正式书面文件；</w:t>
      </w:r>
    </w:p>
    <w:p>
      <w:pPr>
        <w:numPr>
          <w:ilvl w:val="0"/>
          <w:numId w:val="6"/>
        </w:numPr>
        <w:tabs>
          <w:tab w:val="left" w:pos="1440"/>
        </w:tabs>
        <w:spacing w:line="440" w:lineRule="exact"/>
        <w:rPr>
          <w:rFonts w:hint="eastAsia" w:ascii="宋体" w:hAnsi="宋体"/>
          <w:color w:val="auto"/>
          <w:sz w:val="24"/>
        </w:rPr>
      </w:pPr>
      <w:r>
        <w:rPr>
          <w:rFonts w:hint="eastAsia" w:ascii="宋体" w:hAnsi="宋体"/>
          <w:color w:val="auto"/>
          <w:sz w:val="24"/>
        </w:rPr>
        <w:t>本合同；</w:t>
      </w:r>
    </w:p>
    <w:p>
      <w:pPr>
        <w:numPr>
          <w:ilvl w:val="0"/>
          <w:numId w:val="6"/>
        </w:numPr>
        <w:tabs>
          <w:tab w:val="left" w:pos="1440"/>
        </w:tabs>
        <w:spacing w:line="440" w:lineRule="exact"/>
        <w:rPr>
          <w:rFonts w:hint="eastAsia" w:ascii="宋体" w:hAnsi="宋体"/>
          <w:color w:val="auto"/>
          <w:sz w:val="24"/>
        </w:rPr>
      </w:pPr>
      <w:r>
        <w:rPr>
          <w:rFonts w:hint="eastAsia" w:ascii="宋体" w:hAnsi="宋体"/>
          <w:color w:val="auto"/>
          <w:sz w:val="24"/>
        </w:rPr>
        <w:t>中标通知书；</w:t>
      </w:r>
    </w:p>
    <w:p>
      <w:pPr>
        <w:numPr>
          <w:ilvl w:val="0"/>
          <w:numId w:val="6"/>
        </w:numPr>
        <w:tabs>
          <w:tab w:val="left" w:pos="1440"/>
        </w:tabs>
        <w:spacing w:line="440" w:lineRule="exact"/>
        <w:rPr>
          <w:rFonts w:hint="eastAsia" w:ascii="宋体" w:hAnsi="宋体"/>
          <w:color w:val="auto"/>
          <w:sz w:val="24"/>
        </w:rPr>
      </w:pPr>
      <w:r>
        <w:rPr>
          <w:rFonts w:hint="eastAsia" w:ascii="宋体" w:hAnsi="宋体"/>
          <w:color w:val="auto"/>
          <w:sz w:val="24"/>
        </w:rPr>
        <w:t>投标文件；</w:t>
      </w:r>
    </w:p>
    <w:p>
      <w:pPr>
        <w:numPr>
          <w:ilvl w:val="0"/>
          <w:numId w:val="6"/>
        </w:numPr>
        <w:tabs>
          <w:tab w:val="left" w:pos="1440"/>
        </w:tabs>
        <w:spacing w:line="440" w:lineRule="exact"/>
        <w:rPr>
          <w:rFonts w:hint="eastAsia" w:ascii="宋体" w:hAnsi="宋体"/>
          <w:color w:val="auto"/>
          <w:sz w:val="24"/>
        </w:rPr>
      </w:pPr>
      <w:r>
        <w:rPr>
          <w:rFonts w:hint="eastAsia" w:ascii="宋体" w:hAnsi="宋体"/>
          <w:color w:val="auto"/>
          <w:sz w:val="24"/>
        </w:rPr>
        <w:t>买方提供的工程技术资料和技术要求；</w:t>
      </w:r>
    </w:p>
    <w:p>
      <w:pPr>
        <w:numPr>
          <w:ilvl w:val="0"/>
          <w:numId w:val="6"/>
        </w:numPr>
        <w:tabs>
          <w:tab w:val="left" w:pos="1440"/>
        </w:tabs>
        <w:spacing w:line="440" w:lineRule="exact"/>
        <w:rPr>
          <w:rFonts w:hint="eastAsia" w:ascii="宋体" w:hAnsi="宋体"/>
          <w:color w:val="auto"/>
          <w:sz w:val="24"/>
        </w:rPr>
      </w:pPr>
      <w:r>
        <w:rPr>
          <w:rFonts w:hint="eastAsia" w:ascii="宋体" w:hAnsi="宋体"/>
          <w:color w:val="auto"/>
          <w:sz w:val="24"/>
        </w:rPr>
        <w:t>卖方提供的技术资料；</w:t>
      </w:r>
    </w:p>
    <w:p>
      <w:pPr>
        <w:numPr>
          <w:ilvl w:val="0"/>
          <w:numId w:val="6"/>
        </w:numPr>
        <w:tabs>
          <w:tab w:val="left" w:pos="1440"/>
        </w:tabs>
        <w:spacing w:line="440" w:lineRule="exact"/>
        <w:rPr>
          <w:rFonts w:hint="eastAsia" w:ascii="宋体" w:hAnsi="宋体"/>
          <w:color w:val="auto"/>
          <w:sz w:val="24"/>
        </w:rPr>
      </w:pPr>
      <w:r>
        <w:rPr>
          <w:rFonts w:hint="eastAsia" w:ascii="宋体" w:hAnsi="宋体"/>
          <w:color w:val="auto"/>
          <w:sz w:val="24"/>
        </w:rPr>
        <w:t>招标文件；</w:t>
      </w:r>
    </w:p>
    <w:p>
      <w:pPr>
        <w:spacing w:line="440" w:lineRule="exact"/>
        <w:ind w:left="540" w:leftChars="257" w:firstLine="508" w:firstLineChars="212"/>
        <w:rPr>
          <w:rFonts w:hint="eastAsia" w:ascii="宋体" w:hAnsi="宋体"/>
          <w:color w:val="auto"/>
          <w:sz w:val="24"/>
        </w:rPr>
      </w:pPr>
      <w:r>
        <w:rPr>
          <w:rFonts w:hint="eastAsia" w:ascii="宋体" w:hAnsi="宋体"/>
          <w:color w:val="auto"/>
          <w:sz w:val="24"/>
        </w:rPr>
        <w:t>当合同文件出现含糊不清或不相一致，并按上述规定不能解决时，由双方协商解决；双方经协商不能达成一致的，按本合同第二十六条约定的办法解决。</w:t>
      </w:r>
    </w:p>
    <w:p>
      <w:pPr>
        <w:spacing w:line="440" w:lineRule="exact"/>
        <w:ind w:firstLine="570"/>
        <w:rPr>
          <w:rFonts w:ascii="宋体" w:hAnsi="宋体"/>
          <w:color w:val="auto"/>
          <w:sz w:val="24"/>
        </w:rPr>
      </w:pPr>
    </w:p>
    <w:p>
      <w:pPr>
        <w:spacing w:line="440" w:lineRule="exact"/>
        <w:ind w:left="540" w:leftChars="257" w:firstLine="30"/>
        <w:rPr>
          <w:rFonts w:hint="eastAsia" w:ascii="宋体" w:hAnsi="宋体"/>
          <w:b/>
          <w:color w:val="auto"/>
          <w:sz w:val="24"/>
        </w:rPr>
      </w:pPr>
      <w:r>
        <w:rPr>
          <w:rFonts w:hint="eastAsia" w:ascii="宋体" w:hAnsi="宋体"/>
          <w:b/>
          <w:color w:val="auto"/>
          <w:sz w:val="24"/>
        </w:rPr>
        <w:t>第三条 适用的法律</w:t>
      </w:r>
    </w:p>
    <w:p>
      <w:pPr>
        <w:spacing w:line="440" w:lineRule="exact"/>
        <w:ind w:left="540" w:leftChars="257" w:firstLine="508" w:firstLineChars="212"/>
        <w:rPr>
          <w:rFonts w:hint="eastAsia" w:ascii="宋体" w:hAnsi="宋体"/>
          <w:color w:val="auto"/>
          <w:sz w:val="24"/>
        </w:rPr>
      </w:pPr>
      <w:r>
        <w:rPr>
          <w:rFonts w:hint="eastAsia" w:ascii="宋体" w:hAnsi="宋体"/>
          <w:color w:val="auto"/>
          <w:sz w:val="24"/>
        </w:rPr>
        <w:t>本合同适用的法律是指中华人民共和国的法律、行政法规，以及双方议定的部门规章或工程所在地的地方法规、地方规章。</w:t>
      </w:r>
    </w:p>
    <w:p>
      <w:pPr>
        <w:spacing w:line="440" w:lineRule="exact"/>
        <w:ind w:left="540" w:leftChars="257" w:firstLine="508" w:firstLineChars="212"/>
        <w:rPr>
          <w:rFonts w:hint="eastAsia" w:ascii="宋体" w:hAnsi="宋体"/>
          <w:color w:val="auto"/>
          <w:sz w:val="24"/>
        </w:rPr>
      </w:pPr>
      <w:r>
        <w:rPr>
          <w:rFonts w:hint="eastAsia" w:ascii="宋体" w:hAnsi="宋体"/>
          <w:color w:val="auto"/>
          <w:sz w:val="24"/>
        </w:rPr>
        <w:t>本合同文件使用中文书写、解释和说明。除技术规格书中另有规定外，计量单位均使用国际单位制。</w:t>
      </w:r>
    </w:p>
    <w:p>
      <w:pPr>
        <w:spacing w:line="440" w:lineRule="exact"/>
        <w:ind w:firstLine="570"/>
        <w:rPr>
          <w:rFonts w:ascii="宋体" w:hAnsi="宋体"/>
          <w:color w:val="auto"/>
          <w:sz w:val="24"/>
        </w:rPr>
      </w:pPr>
    </w:p>
    <w:p>
      <w:pPr>
        <w:spacing w:line="440" w:lineRule="exact"/>
        <w:ind w:firstLine="570"/>
        <w:rPr>
          <w:rFonts w:hint="eastAsia" w:ascii="宋体" w:hAnsi="宋体"/>
          <w:b/>
          <w:color w:val="auto"/>
          <w:sz w:val="24"/>
        </w:rPr>
      </w:pPr>
      <w:r>
        <w:rPr>
          <w:rFonts w:hint="eastAsia" w:ascii="宋体" w:hAnsi="宋体"/>
          <w:b/>
          <w:color w:val="auto"/>
          <w:sz w:val="24"/>
        </w:rPr>
        <w:t>第四条 合同标的</w:t>
      </w:r>
    </w:p>
    <w:p>
      <w:pPr>
        <w:numPr>
          <w:ilvl w:val="0"/>
          <w:numId w:val="7"/>
        </w:numPr>
        <w:tabs>
          <w:tab w:val="left" w:pos="900"/>
          <w:tab w:val="left" w:pos="1440"/>
          <w:tab w:val="clear" w:pos="1080"/>
        </w:tabs>
        <w:spacing w:line="440" w:lineRule="exact"/>
        <w:ind w:hanging="540"/>
        <w:rPr>
          <w:rFonts w:hint="eastAsia" w:ascii="宋体" w:hAnsi="宋体"/>
          <w:color w:val="auto"/>
          <w:sz w:val="24"/>
        </w:rPr>
      </w:pPr>
      <w:r>
        <w:rPr>
          <w:rFonts w:hint="eastAsia" w:ascii="宋体" w:hAnsi="宋体"/>
          <w:color w:val="auto"/>
          <w:sz w:val="24"/>
        </w:rPr>
        <w:t>设备名称、规格(型号)、数量</w:t>
      </w:r>
    </w:p>
    <w:p>
      <w:pPr>
        <w:tabs>
          <w:tab w:val="left" w:pos="900"/>
        </w:tabs>
        <w:spacing w:line="440" w:lineRule="exact"/>
        <w:ind w:left="2485" w:leftChars="429" w:hanging="1584" w:hangingChars="660"/>
        <w:rPr>
          <w:rFonts w:hint="eastAsia" w:ascii="宋体" w:hAnsi="宋体"/>
          <w:color w:val="auto"/>
          <w:sz w:val="24"/>
        </w:rPr>
      </w:pPr>
      <w:r>
        <w:rPr>
          <w:rFonts w:hint="eastAsia" w:ascii="宋体" w:hAnsi="宋体"/>
          <w:color w:val="auto"/>
          <w:sz w:val="24"/>
        </w:rPr>
        <w:t xml:space="preserve">设备名称：                        </w:t>
      </w:r>
    </w:p>
    <w:p>
      <w:pPr>
        <w:tabs>
          <w:tab w:val="left" w:pos="900"/>
        </w:tabs>
        <w:spacing w:line="440" w:lineRule="exact"/>
        <w:ind w:left="2485" w:leftChars="429" w:hanging="1584" w:hangingChars="660"/>
        <w:rPr>
          <w:rFonts w:hint="eastAsia" w:ascii="宋体" w:hAnsi="宋体"/>
          <w:color w:val="auto"/>
          <w:sz w:val="24"/>
        </w:rPr>
      </w:pPr>
      <w:r>
        <w:rPr>
          <w:rFonts w:hint="eastAsia" w:ascii="宋体" w:hAnsi="宋体"/>
          <w:color w:val="auto"/>
          <w:sz w:val="24"/>
        </w:rPr>
        <w:t>设备规格(型号)及数量：。</w:t>
      </w:r>
    </w:p>
    <w:p>
      <w:pPr>
        <w:numPr>
          <w:ilvl w:val="0"/>
          <w:numId w:val="7"/>
        </w:numPr>
        <w:tabs>
          <w:tab w:val="left" w:pos="900"/>
          <w:tab w:val="left" w:pos="1440"/>
          <w:tab w:val="clear" w:pos="1080"/>
        </w:tabs>
        <w:spacing w:line="440" w:lineRule="exact"/>
        <w:ind w:left="900"/>
        <w:rPr>
          <w:rFonts w:hint="eastAsia" w:ascii="宋体" w:hAnsi="宋体"/>
          <w:color w:val="auto"/>
          <w:sz w:val="24"/>
        </w:rPr>
      </w:pPr>
      <w:r>
        <w:rPr>
          <w:rFonts w:hint="eastAsia" w:ascii="宋体" w:hAnsi="宋体"/>
          <w:color w:val="auto"/>
          <w:sz w:val="24"/>
        </w:rPr>
        <w:t>凡卖方供应的设备应是</w:t>
      </w:r>
      <w:r>
        <w:rPr>
          <w:rFonts w:hint="eastAsia" w:ascii="宋体" w:hAnsi="宋体"/>
          <w:color w:val="auto"/>
          <w:sz w:val="24"/>
          <w:lang w:eastAsia="zh-CN"/>
        </w:rPr>
        <w:t>与投标文件中列出的品牌、型号相符合的</w:t>
      </w:r>
      <w:r>
        <w:rPr>
          <w:rFonts w:hint="eastAsia" w:ascii="宋体" w:hAnsi="宋体"/>
          <w:color w:val="auto"/>
          <w:sz w:val="24"/>
        </w:rPr>
        <w:t>全新的、</w:t>
      </w:r>
      <w:r>
        <w:rPr>
          <w:rFonts w:hint="eastAsia" w:ascii="宋体" w:hAnsi="宋体"/>
          <w:color w:val="auto"/>
          <w:sz w:val="24"/>
          <w:lang w:eastAsia="zh-CN"/>
        </w:rPr>
        <w:t>质量完好</w:t>
      </w:r>
      <w:r>
        <w:rPr>
          <w:rFonts w:hint="eastAsia" w:ascii="宋体" w:hAnsi="宋体"/>
          <w:color w:val="auto"/>
          <w:sz w:val="24"/>
        </w:rPr>
        <w:t>的</w:t>
      </w:r>
      <w:r>
        <w:rPr>
          <w:rFonts w:hint="eastAsia" w:ascii="宋体" w:hAnsi="宋体"/>
          <w:color w:val="auto"/>
          <w:sz w:val="24"/>
          <w:lang w:eastAsia="zh-CN"/>
        </w:rPr>
        <w:t>货物</w:t>
      </w:r>
      <w:r>
        <w:rPr>
          <w:rFonts w:hint="eastAsia" w:ascii="宋体" w:hAnsi="宋体"/>
          <w:color w:val="auto"/>
          <w:sz w:val="24"/>
        </w:rPr>
        <w:t>。</w:t>
      </w:r>
    </w:p>
    <w:p>
      <w:pPr>
        <w:numPr>
          <w:ilvl w:val="0"/>
          <w:numId w:val="7"/>
        </w:numPr>
        <w:tabs>
          <w:tab w:val="left" w:pos="900"/>
          <w:tab w:val="left" w:pos="1440"/>
          <w:tab w:val="clear" w:pos="1080"/>
        </w:tabs>
        <w:spacing w:line="440" w:lineRule="exact"/>
        <w:ind w:left="900"/>
        <w:rPr>
          <w:rFonts w:hint="eastAsia" w:ascii="宋体" w:hAnsi="宋体"/>
          <w:color w:val="auto"/>
          <w:sz w:val="24"/>
        </w:rPr>
      </w:pPr>
      <w:r>
        <w:rPr>
          <w:rFonts w:hint="eastAsia" w:ascii="宋体" w:hAnsi="宋体"/>
          <w:color w:val="auto"/>
          <w:sz w:val="24"/>
        </w:rPr>
        <w:t>设备的技术规范、技术经济指标和性能、合同设备的供货范围、卖方提供的技术资料和技术服务。</w:t>
      </w:r>
    </w:p>
    <w:p>
      <w:pPr>
        <w:spacing w:line="440" w:lineRule="exact"/>
        <w:ind w:left="540" w:leftChars="257" w:firstLine="30"/>
        <w:rPr>
          <w:rFonts w:hint="eastAsia" w:ascii="宋体" w:hAnsi="宋体"/>
          <w:color w:val="auto"/>
          <w:sz w:val="24"/>
        </w:rPr>
      </w:pPr>
      <w:r>
        <w:rPr>
          <w:rFonts w:hint="eastAsia" w:ascii="宋体" w:hAnsi="宋体"/>
          <w:b/>
          <w:color w:val="auto"/>
          <w:sz w:val="24"/>
        </w:rPr>
        <w:t>第五条 供货范围</w:t>
      </w:r>
    </w:p>
    <w:p>
      <w:pPr>
        <w:spacing w:line="440" w:lineRule="exact"/>
        <w:ind w:left="540" w:leftChars="257" w:firstLine="508" w:firstLineChars="212"/>
        <w:rPr>
          <w:rFonts w:hint="eastAsia" w:ascii="宋体" w:hAnsi="宋体"/>
          <w:color w:val="auto"/>
          <w:sz w:val="24"/>
        </w:rPr>
      </w:pPr>
      <w:r>
        <w:rPr>
          <w:rFonts w:hint="eastAsia" w:ascii="宋体" w:hAnsi="宋体"/>
          <w:color w:val="auto"/>
          <w:sz w:val="24"/>
        </w:rPr>
        <w:t>本合同的供货范围包括了所有设备、技术资料、专用工具、备品备件、人员培训及技术协调、技术服务及安装技术指导，但在执行合同过程中如发现有任何漏项和短缺，在发货清单中并未列入而且确实是卖方供货范围中应该有的，并且是满足技术规格书对合同设备的性能保证值要求所必须的，均应由卖方负责将所缺的设备、技术资料、专用工具、备品备件、人员培训及技术协调、技术服务及技术指导等补上，发生的费用由卖方承担。</w:t>
      </w:r>
    </w:p>
    <w:p>
      <w:pPr>
        <w:spacing w:line="440" w:lineRule="exact"/>
        <w:ind w:left="540" w:leftChars="257" w:firstLine="30"/>
        <w:rPr>
          <w:rFonts w:hint="eastAsia" w:ascii="宋体" w:hAnsi="宋体"/>
          <w:color w:val="auto"/>
          <w:sz w:val="24"/>
        </w:rPr>
      </w:pPr>
    </w:p>
    <w:p>
      <w:pPr>
        <w:spacing w:line="440" w:lineRule="exact"/>
        <w:ind w:firstLine="570"/>
        <w:rPr>
          <w:rFonts w:hint="eastAsia" w:ascii="宋体" w:hAnsi="宋体"/>
          <w:b/>
          <w:color w:val="auto"/>
          <w:sz w:val="24"/>
        </w:rPr>
      </w:pPr>
      <w:r>
        <w:rPr>
          <w:rFonts w:hint="eastAsia" w:ascii="宋体" w:hAnsi="宋体"/>
          <w:b/>
          <w:color w:val="auto"/>
          <w:sz w:val="24"/>
        </w:rPr>
        <w:t>第六条  包装</w:t>
      </w:r>
    </w:p>
    <w:p>
      <w:pPr>
        <w:numPr>
          <w:ilvl w:val="0"/>
          <w:numId w:val="8"/>
        </w:numPr>
        <w:tabs>
          <w:tab w:val="left" w:pos="1440"/>
        </w:tabs>
        <w:spacing w:line="440" w:lineRule="exact"/>
        <w:rPr>
          <w:rFonts w:hint="eastAsia" w:ascii="宋体" w:hAnsi="宋体"/>
          <w:color w:val="auto"/>
          <w:sz w:val="24"/>
        </w:rPr>
      </w:pPr>
      <w:r>
        <w:rPr>
          <w:rFonts w:hint="eastAsia" w:ascii="宋体" w:hAnsi="宋体"/>
          <w:color w:val="auto"/>
          <w:sz w:val="24"/>
        </w:rPr>
        <w:t>除非本合同另有规定外，卖方提供所有货物的包装应符合技术规格书及货物承运部门的有关规定，采用良好的防湿、防潮、防震和防野蛮装卸等保护措施，以确保货物安全运抵现场而不使货物受损。如果由于包装不妥或不合理而引起货物损坏和丢失的责任，卖方应按本合同第十五条的规定承担更换或赔偿的责任。如果因此造成整个工程损失的，卖方应此类损失承担赔偿责任。</w:t>
      </w:r>
    </w:p>
    <w:p>
      <w:pPr>
        <w:numPr>
          <w:ilvl w:val="0"/>
          <w:numId w:val="8"/>
        </w:numPr>
        <w:tabs>
          <w:tab w:val="left" w:pos="1440"/>
        </w:tabs>
        <w:spacing w:line="440" w:lineRule="exact"/>
        <w:rPr>
          <w:rFonts w:hint="eastAsia" w:ascii="宋体" w:hAnsi="宋体"/>
          <w:color w:val="auto"/>
          <w:sz w:val="24"/>
        </w:rPr>
      </w:pPr>
      <w:r>
        <w:rPr>
          <w:rFonts w:hint="eastAsia" w:ascii="宋体" w:hAnsi="宋体"/>
          <w:color w:val="auto"/>
          <w:sz w:val="24"/>
        </w:rPr>
        <w:t>卖方应提供</w:t>
      </w:r>
      <w:r>
        <w:rPr>
          <w:rFonts w:hint="eastAsia" w:ascii="宋体" w:hAnsi="宋体"/>
          <w:color w:val="auto"/>
          <w:sz w:val="24"/>
          <w:lang w:eastAsia="zh-CN"/>
        </w:rPr>
        <w:t>完整的发货清单、</w:t>
      </w:r>
      <w:r>
        <w:rPr>
          <w:rFonts w:hint="eastAsia" w:ascii="宋体" w:hAnsi="宋体"/>
          <w:color w:val="auto"/>
          <w:sz w:val="24"/>
        </w:rPr>
        <w:t>质量证书</w:t>
      </w:r>
      <w:r>
        <w:rPr>
          <w:rFonts w:hint="eastAsia" w:ascii="宋体" w:hAnsi="宋体"/>
          <w:color w:val="auto"/>
          <w:sz w:val="24"/>
          <w:lang w:eastAsia="zh-CN"/>
        </w:rPr>
        <w:t>及相关产品合格证。</w:t>
      </w:r>
    </w:p>
    <w:p>
      <w:pPr>
        <w:numPr>
          <w:ilvl w:val="0"/>
          <w:numId w:val="8"/>
        </w:numPr>
        <w:tabs>
          <w:tab w:val="left" w:pos="1440"/>
        </w:tabs>
        <w:spacing w:line="440" w:lineRule="exact"/>
        <w:rPr>
          <w:rFonts w:hint="eastAsia" w:ascii="宋体" w:hAnsi="宋体"/>
          <w:color w:val="auto"/>
          <w:sz w:val="24"/>
        </w:rPr>
      </w:pPr>
      <w:r>
        <w:rPr>
          <w:rFonts w:hint="eastAsia" w:ascii="宋体" w:hAnsi="宋体"/>
          <w:color w:val="auto"/>
          <w:sz w:val="24"/>
        </w:rPr>
        <w:t>对裸装货物应以金属标签(金属铭牌)或在设备本身上注明内容上述有关内容。大件货物应带有足够的货物支架或包装垫木。</w:t>
      </w:r>
    </w:p>
    <w:p>
      <w:pPr>
        <w:numPr>
          <w:ilvl w:val="0"/>
          <w:numId w:val="8"/>
        </w:numPr>
        <w:tabs>
          <w:tab w:val="left" w:pos="1440"/>
        </w:tabs>
        <w:spacing w:line="440" w:lineRule="exact"/>
        <w:rPr>
          <w:rFonts w:hint="eastAsia" w:ascii="宋体" w:hAnsi="宋体"/>
          <w:color w:val="auto"/>
          <w:sz w:val="24"/>
        </w:rPr>
      </w:pPr>
      <w:r>
        <w:rPr>
          <w:rFonts w:hint="eastAsia" w:ascii="宋体" w:hAnsi="宋体"/>
          <w:color w:val="auto"/>
          <w:sz w:val="24"/>
        </w:rPr>
        <w:t>备品备件、专用工具应按设备分别包装，并在包装箱外按7.2条注明内容，并标明“备品配件”或“专用工具”的字样，一次性发货。</w:t>
      </w:r>
    </w:p>
    <w:p>
      <w:pPr>
        <w:numPr>
          <w:ilvl w:val="0"/>
          <w:numId w:val="8"/>
        </w:numPr>
        <w:tabs>
          <w:tab w:val="left" w:pos="1440"/>
        </w:tabs>
        <w:spacing w:line="440" w:lineRule="exact"/>
        <w:rPr>
          <w:rFonts w:hint="eastAsia" w:ascii="宋体" w:hAnsi="宋体"/>
          <w:color w:val="auto"/>
          <w:sz w:val="24"/>
        </w:rPr>
      </w:pPr>
      <w:r>
        <w:rPr>
          <w:rFonts w:hint="eastAsia" w:ascii="宋体" w:hAnsi="宋体"/>
          <w:color w:val="auto"/>
          <w:sz w:val="24"/>
        </w:rPr>
        <w:t>所有设备的端口必须用保护盖或其它方式妥善防护。</w:t>
      </w:r>
    </w:p>
    <w:p>
      <w:pPr>
        <w:numPr>
          <w:ilvl w:val="0"/>
          <w:numId w:val="8"/>
        </w:numPr>
        <w:tabs>
          <w:tab w:val="left" w:pos="1440"/>
        </w:tabs>
        <w:spacing w:line="440" w:lineRule="exact"/>
        <w:rPr>
          <w:rFonts w:hint="eastAsia" w:ascii="宋体" w:hAnsi="宋体"/>
          <w:color w:val="auto"/>
          <w:sz w:val="24"/>
        </w:rPr>
      </w:pPr>
      <w:r>
        <w:rPr>
          <w:rFonts w:hint="eastAsia" w:ascii="宋体" w:hAnsi="宋体"/>
          <w:color w:val="auto"/>
          <w:sz w:val="24"/>
        </w:rPr>
        <w:t>卖方不得用同一箱号标明任何两个箱件，包装箱应连续编号，而且在全部装运的过程中，装箱编号的顺序始终是连贯的。</w:t>
      </w:r>
    </w:p>
    <w:p>
      <w:pPr>
        <w:numPr>
          <w:ilvl w:val="0"/>
          <w:numId w:val="8"/>
        </w:numPr>
        <w:tabs>
          <w:tab w:val="left" w:pos="1440"/>
        </w:tabs>
        <w:spacing w:line="440" w:lineRule="exact"/>
        <w:rPr>
          <w:rFonts w:hint="eastAsia" w:ascii="宋体" w:hAnsi="宋体"/>
          <w:color w:val="auto"/>
          <w:sz w:val="24"/>
        </w:rPr>
      </w:pPr>
      <w:r>
        <w:rPr>
          <w:rFonts w:hint="eastAsia" w:ascii="宋体" w:hAnsi="宋体"/>
          <w:color w:val="auto"/>
          <w:sz w:val="24"/>
        </w:rPr>
        <w:t>对于需要保证精确装配的明亮洁净加工面的货物，加工面应采用优良，耐久的保护层(不得用油漆)以防止在安装前发生锈蚀和损坏。</w:t>
      </w:r>
    </w:p>
    <w:p>
      <w:pPr>
        <w:numPr>
          <w:ilvl w:val="0"/>
          <w:numId w:val="8"/>
        </w:numPr>
        <w:tabs>
          <w:tab w:val="left" w:pos="1440"/>
        </w:tabs>
        <w:spacing w:line="440" w:lineRule="exact"/>
        <w:rPr>
          <w:rFonts w:hint="eastAsia" w:ascii="宋体" w:hAnsi="宋体"/>
          <w:color w:val="auto"/>
          <w:sz w:val="24"/>
        </w:rPr>
      </w:pPr>
      <w:r>
        <w:rPr>
          <w:rFonts w:hint="eastAsia" w:ascii="宋体" w:hAnsi="宋体"/>
          <w:color w:val="auto"/>
          <w:sz w:val="24"/>
        </w:rPr>
        <w:t>卖方交付的技术资料应使用适合于长途运输、多次搬运、防雨和防潮的包装，并应防止潮气和海水的侵蚀。每包技术资料的封面上应注明下述内容：</w:t>
      </w:r>
    </w:p>
    <w:p>
      <w:pPr>
        <w:numPr>
          <w:ilvl w:val="0"/>
          <w:numId w:val="9"/>
        </w:numPr>
        <w:tabs>
          <w:tab w:val="left" w:pos="1440"/>
        </w:tabs>
        <w:spacing w:line="440" w:lineRule="exact"/>
        <w:rPr>
          <w:rFonts w:hint="eastAsia" w:ascii="宋体" w:hAnsi="宋体"/>
          <w:color w:val="auto"/>
          <w:sz w:val="24"/>
        </w:rPr>
      </w:pPr>
      <w:r>
        <w:rPr>
          <w:rFonts w:hint="eastAsia" w:ascii="宋体" w:hAnsi="宋体"/>
          <w:color w:val="auto"/>
          <w:sz w:val="24"/>
        </w:rPr>
        <w:t>合同号；</w:t>
      </w:r>
    </w:p>
    <w:p>
      <w:pPr>
        <w:numPr>
          <w:ilvl w:val="0"/>
          <w:numId w:val="9"/>
        </w:numPr>
        <w:tabs>
          <w:tab w:val="left" w:pos="1440"/>
        </w:tabs>
        <w:spacing w:line="440" w:lineRule="exact"/>
        <w:rPr>
          <w:rFonts w:hint="eastAsia" w:ascii="宋体" w:hAnsi="宋体"/>
          <w:color w:val="auto"/>
          <w:sz w:val="24"/>
        </w:rPr>
      </w:pPr>
      <w:r>
        <w:rPr>
          <w:rFonts w:hint="eastAsia" w:ascii="宋体" w:hAnsi="宋体"/>
          <w:color w:val="auto"/>
          <w:sz w:val="24"/>
        </w:rPr>
        <w:t>供货、收货单位名称；</w:t>
      </w:r>
    </w:p>
    <w:p>
      <w:pPr>
        <w:numPr>
          <w:ilvl w:val="0"/>
          <w:numId w:val="9"/>
        </w:numPr>
        <w:tabs>
          <w:tab w:val="left" w:pos="1440"/>
        </w:tabs>
        <w:spacing w:line="440" w:lineRule="exact"/>
        <w:rPr>
          <w:rFonts w:hint="eastAsia" w:ascii="宋体" w:hAnsi="宋体"/>
          <w:color w:val="auto"/>
          <w:sz w:val="24"/>
        </w:rPr>
      </w:pPr>
      <w:r>
        <w:rPr>
          <w:rFonts w:hint="eastAsia" w:ascii="宋体" w:hAnsi="宋体"/>
          <w:color w:val="auto"/>
          <w:sz w:val="24"/>
        </w:rPr>
        <w:t>目的地；</w:t>
      </w:r>
    </w:p>
    <w:p>
      <w:pPr>
        <w:numPr>
          <w:ilvl w:val="0"/>
          <w:numId w:val="9"/>
        </w:numPr>
        <w:tabs>
          <w:tab w:val="left" w:pos="1440"/>
        </w:tabs>
        <w:spacing w:line="440" w:lineRule="exact"/>
        <w:rPr>
          <w:rFonts w:hint="eastAsia" w:ascii="宋体" w:hAnsi="宋体"/>
          <w:color w:val="auto"/>
          <w:sz w:val="24"/>
        </w:rPr>
      </w:pPr>
      <w:r>
        <w:rPr>
          <w:rFonts w:hint="eastAsia" w:ascii="宋体" w:hAnsi="宋体"/>
          <w:color w:val="auto"/>
          <w:sz w:val="24"/>
        </w:rPr>
        <w:t>毛重；</w:t>
      </w:r>
    </w:p>
    <w:p>
      <w:pPr>
        <w:numPr>
          <w:ilvl w:val="0"/>
          <w:numId w:val="9"/>
        </w:numPr>
        <w:tabs>
          <w:tab w:val="left" w:pos="1440"/>
        </w:tabs>
        <w:spacing w:line="440" w:lineRule="exact"/>
        <w:rPr>
          <w:rFonts w:hint="eastAsia" w:ascii="宋体" w:hAnsi="宋体"/>
          <w:color w:val="auto"/>
          <w:sz w:val="24"/>
        </w:rPr>
      </w:pPr>
      <w:r>
        <w:rPr>
          <w:rFonts w:hint="eastAsia" w:ascii="宋体" w:hAnsi="宋体"/>
          <w:color w:val="auto"/>
          <w:sz w:val="24"/>
        </w:rPr>
        <w:t>箱号/件号。</w:t>
      </w:r>
    </w:p>
    <w:p>
      <w:pPr>
        <w:spacing w:line="440" w:lineRule="exact"/>
        <w:ind w:firstLine="570"/>
        <w:rPr>
          <w:rFonts w:hint="eastAsia" w:ascii="宋体" w:hAnsi="宋体"/>
          <w:color w:val="auto"/>
          <w:sz w:val="24"/>
        </w:rPr>
      </w:pPr>
      <w:r>
        <w:rPr>
          <w:rFonts w:hint="eastAsia" w:ascii="宋体" w:hAnsi="宋体"/>
          <w:color w:val="auto"/>
          <w:sz w:val="24"/>
        </w:rPr>
        <w:t>每一包资料内应附有技术资料的详细清单一式二份，标明技术资料的序号、文件项号、名称和页数。</w:t>
      </w:r>
    </w:p>
    <w:p>
      <w:pPr>
        <w:spacing w:line="440" w:lineRule="exact"/>
        <w:ind w:firstLine="570"/>
        <w:rPr>
          <w:rFonts w:ascii="宋体" w:hAnsi="宋体"/>
          <w:color w:val="auto"/>
          <w:sz w:val="24"/>
        </w:rPr>
      </w:pPr>
    </w:p>
    <w:p>
      <w:pPr>
        <w:spacing w:line="440" w:lineRule="exact"/>
        <w:ind w:firstLine="570"/>
        <w:rPr>
          <w:rFonts w:hint="eastAsia" w:ascii="宋体" w:hAnsi="宋体"/>
          <w:b/>
          <w:color w:val="auto"/>
          <w:sz w:val="24"/>
        </w:rPr>
      </w:pPr>
      <w:r>
        <w:rPr>
          <w:rFonts w:hint="eastAsia" w:ascii="宋体" w:hAnsi="宋体"/>
          <w:b/>
          <w:color w:val="auto"/>
          <w:sz w:val="24"/>
        </w:rPr>
        <w:t>第七条  标记</w:t>
      </w:r>
    </w:p>
    <w:p>
      <w:pPr>
        <w:numPr>
          <w:ilvl w:val="0"/>
          <w:numId w:val="10"/>
        </w:numPr>
        <w:tabs>
          <w:tab w:val="left" w:pos="900"/>
          <w:tab w:val="left" w:pos="1440"/>
          <w:tab w:val="clear" w:pos="1080"/>
        </w:tabs>
        <w:spacing w:line="440" w:lineRule="exact"/>
        <w:ind w:left="900"/>
        <w:rPr>
          <w:rFonts w:hint="eastAsia" w:ascii="宋体" w:hAnsi="宋体"/>
          <w:color w:val="auto"/>
          <w:sz w:val="24"/>
        </w:rPr>
      </w:pPr>
      <w:r>
        <w:rPr>
          <w:rFonts w:hint="eastAsia" w:ascii="宋体" w:hAnsi="宋体"/>
          <w:color w:val="auto"/>
          <w:sz w:val="24"/>
        </w:rPr>
        <w:t>合同设备的喷漆、标识、验收文件和运输应符合本合同附件技术规范书所列的各项要求。</w:t>
      </w:r>
    </w:p>
    <w:p>
      <w:pPr>
        <w:numPr>
          <w:ilvl w:val="0"/>
          <w:numId w:val="10"/>
        </w:numPr>
        <w:tabs>
          <w:tab w:val="left" w:pos="900"/>
          <w:tab w:val="left" w:pos="1440"/>
          <w:tab w:val="clear" w:pos="1080"/>
        </w:tabs>
        <w:spacing w:line="440" w:lineRule="exact"/>
        <w:ind w:left="900"/>
        <w:rPr>
          <w:rFonts w:hint="eastAsia" w:ascii="宋体" w:hAnsi="宋体"/>
          <w:color w:val="auto"/>
          <w:sz w:val="24"/>
        </w:rPr>
      </w:pPr>
      <w:r>
        <w:rPr>
          <w:rFonts w:hint="eastAsia" w:ascii="宋体" w:hAnsi="宋体"/>
          <w:color w:val="auto"/>
          <w:sz w:val="24"/>
        </w:rPr>
        <w:t>合同设备若有外包装，卖方应在每件外包装上以醒目的方式用中文印刷字样标明以下各项：</w:t>
      </w:r>
    </w:p>
    <w:p>
      <w:pPr>
        <w:numPr>
          <w:ilvl w:val="1"/>
          <w:numId w:val="11"/>
        </w:numPr>
        <w:spacing w:line="440" w:lineRule="exact"/>
        <w:rPr>
          <w:rFonts w:hint="eastAsia" w:ascii="宋体" w:hAnsi="宋体"/>
          <w:color w:val="auto"/>
          <w:sz w:val="24"/>
        </w:rPr>
      </w:pPr>
      <w:r>
        <w:rPr>
          <w:rFonts w:hint="eastAsia" w:ascii="宋体" w:hAnsi="宋体"/>
          <w:color w:val="auto"/>
          <w:sz w:val="24"/>
        </w:rPr>
        <w:t>制造厂名称和产品商标，设备名称；</w:t>
      </w:r>
    </w:p>
    <w:p>
      <w:pPr>
        <w:numPr>
          <w:ilvl w:val="1"/>
          <w:numId w:val="11"/>
        </w:numPr>
        <w:spacing w:line="440" w:lineRule="exact"/>
        <w:rPr>
          <w:rFonts w:hint="eastAsia" w:ascii="宋体" w:hAnsi="宋体"/>
          <w:color w:val="auto"/>
          <w:sz w:val="24"/>
        </w:rPr>
      </w:pPr>
      <w:r>
        <w:rPr>
          <w:rFonts w:hint="eastAsia" w:ascii="宋体" w:hAnsi="宋体"/>
          <w:color w:val="auto"/>
          <w:sz w:val="24"/>
        </w:rPr>
        <w:t>毛重／净重（Kg）；体积(长×宽×高，以毫米表示)；</w:t>
      </w:r>
    </w:p>
    <w:p>
      <w:pPr>
        <w:numPr>
          <w:ilvl w:val="1"/>
          <w:numId w:val="11"/>
        </w:numPr>
        <w:spacing w:line="440" w:lineRule="exact"/>
        <w:rPr>
          <w:rFonts w:hint="eastAsia" w:ascii="宋体" w:hAnsi="宋体"/>
          <w:color w:val="auto"/>
          <w:sz w:val="24"/>
        </w:rPr>
      </w:pPr>
      <w:r>
        <w:rPr>
          <w:rFonts w:hint="eastAsia" w:ascii="宋体" w:hAnsi="宋体"/>
          <w:color w:val="auto"/>
          <w:sz w:val="24"/>
        </w:rPr>
        <w:t>制造时间</w:t>
      </w:r>
    </w:p>
    <w:p>
      <w:pPr>
        <w:numPr>
          <w:ilvl w:val="1"/>
          <w:numId w:val="11"/>
        </w:numPr>
        <w:spacing w:line="440" w:lineRule="exact"/>
        <w:rPr>
          <w:rFonts w:hint="eastAsia" w:ascii="宋体" w:hAnsi="宋体"/>
          <w:color w:val="auto"/>
          <w:sz w:val="24"/>
        </w:rPr>
      </w:pPr>
      <w:r>
        <w:rPr>
          <w:rFonts w:hint="eastAsia" w:ascii="宋体" w:hAnsi="宋体"/>
          <w:color w:val="auto"/>
          <w:sz w:val="24"/>
        </w:rPr>
        <w:t>出厂检验合格标志</w:t>
      </w:r>
    </w:p>
    <w:p>
      <w:pPr>
        <w:numPr>
          <w:ilvl w:val="1"/>
          <w:numId w:val="11"/>
        </w:numPr>
        <w:spacing w:line="440" w:lineRule="exact"/>
        <w:rPr>
          <w:rFonts w:hint="eastAsia" w:ascii="宋体" w:hAnsi="宋体"/>
          <w:color w:val="auto"/>
          <w:sz w:val="24"/>
        </w:rPr>
      </w:pPr>
      <w:r>
        <w:rPr>
          <w:rFonts w:hint="eastAsia" w:ascii="宋体" w:hAnsi="宋体"/>
          <w:color w:val="auto"/>
          <w:sz w:val="24"/>
        </w:rPr>
        <w:t>表示储运安全的其它标志</w:t>
      </w:r>
    </w:p>
    <w:p>
      <w:pPr>
        <w:numPr>
          <w:ilvl w:val="1"/>
          <w:numId w:val="11"/>
        </w:numPr>
        <w:spacing w:line="440" w:lineRule="exact"/>
        <w:rPr>
          <w:rFonts w:hint="eastAsia" w:ascii="宋体" w:hAnsi="宋体"/>
          <w:color w:val="auto"/>
          <w:sz w:val="24"/>
        </w:rPr>
      </w:pPr>
      <w:r>
        <w:rPr>
          <w:rFonts w:hint="eastAsia" w:ascii="宋体" w:hAnsi="宋体"/>
          <w:color w:val="auto"/>
          <w:sz w:val="24"/>
        </w:rPr>
        <w:t>项目名称</w:t>
      </w:r>
    </w:p>
    <w:p>
      <w:pPr>
        <w:numPr>
          <w:ilvl w:val="1"/>
          <w:numId w:val="11"/>
        </w:numPr>
        <w:spacing w:line="440" w:lineRule="exact"/>
        <w:rPr>
          <w:rFonts w:hint="eastAsia" w:ascii="宋体" w:hAnsi="宋体"/>
          <w:color w:val="auto"/>
          <w:sz w:val="24"/>
        </w:rPr>
      </w:pPr>
      <w:r>
        <w:rPr>
          <w:rFonts w:hint="eastAsia" w:ascii="宋体" w:hAnsi="宋体"/>
          <w:color w:val="auto"/>
          <w:sz w:val="24"/>
        </w:rPr>
        <w:t>联系方式</w:t>
      </w:r>
    </w:p>
    <w:p>
      <w:pPr>
        <w:numPr>
          <w:ilvl w:val="1"/>
          <w:numId w:val="11"/>
        </w:numPr>
        <w:spacing w:line="440" w:lineRule="exact"/>
        <w:rPr>
          <w:rFonts w:hint="eastAsia" w:ascii="宋体" w:hAnsi="宋体"/>
          <w:color w:val="auto"/>
          <w:sz w:val="24"/>
        </w:rPr>
      </w:pPr>
      <w:r>
        <w:rPr>
          <w:rFonts w:hint="eastAsia" w:ascii="宋体" w:hAnsi="宋体"/>
          <w:color w:val="auto"/>
          <w:sz w:val="24"/>
        </w:rPr>
        <w:t>箱号/件号；</w:t>
      </w:r>
    </w:p>
    <w:p>
      <w:pPr>
        <w:spacing w:line="440" w:lineRule="exact"/>
        <w:ind w:left="540" w:leftChars="257" w:firstLine="508" w:firstLineChars="212"/>
        <w:rPr>
          <w:rFonts w:hint="eastAsia" w:ascii="宋体" w:hAnsi="宋体"/>
          <w:color w:val="auto"/>
          <w:sz w:val="24"/>
        </w:rPr>
      </w:pPr>
      <w:r>
        <w:rPr>
          <w:rFonts w:hint="eastAsia" w:ascii="宋体" w:hAnsi="宋体"/>
          <w:color w:val="auto"/>
          <w:sz w:val="24"/>
        </w:rPr>
        <w:t>凡重量为二吨或超过二吨的货物，应在包装箱的侧面以运输常用的标记和图案标明重心位置及起吊点，以便于装卸和搬运。</w:t>
      </w:r>
    </w:p>
    <w:p>
      <w:pPr>
        <w:spacing w:line="440" w:lineRule="exact"/>
        <w:ind w:left="540" w:leftChars="257" w:firstLine="508" w:firstLineChars="212"/>
        <w:rPr>
          <w:rFonts w:hint="eastAsia" w:ascii="宋体" w:hAnsi="宋体"/>
          <w:color w:val="auto"/>
          <w:sz w:val="24"/>
        </w:rPr>
      </w:pPr>
      <w:r>
        <w:rPr>
          <w:rFonts w:hint="eastAsia" w:ascii="宋体" w:hAnsi="宋体"/>
          <w:color w:val="auto"/>
          <w:sz w:val="24"/>
        </w:rPr>
        <w:t>应按照设备各特性和不同的运输及装卸要求，在箱上明显位置标上“小心”“向上”、“防潮”、“勿倒”、“怕热”、“远离放射源及热源”、“由此起吊”、“重心点”、“堆码重量极限”、“堆码层数极限”、“温度极限”等通用标志。</w:t>
      </w:r>
    </w:p>
    <w:p>
      <w:pPr>
        <w:spacing w:line="440" w:lineRule="exact"/>
        <w:ind w:firstLine="570"/>
        <w:rPr>
          <w:rFonts w:ascii="宋体" w:hAnsi="宋体"/>
          <w:color w:val="auto"/>
          <w:sz w:val="24"/>
        </w:rPr>
      </w:pPr>
    </w:p>
    <w:p>
      <w:pPr>
        <w:spacing w:line="440" w:lineRule="exact"/>
        <w:ind w:firstLine="570"/>
        <w:rPr>
          <w:rFonts w:hint="eastAsia" w:ascii="宋体" w:hAnsi="宋体"/>
          <w:b/>
          <w:color w:val="auto"/>
          <w:sz w:val="24"/>
        </w:rPr>
      </w:pPr>
      <w:r>
        <w:rPr>
          <w:rFonts w:hint="eastAsia" w:ascii="宋体" w:hAnsi="宋体"/>
          <w:b/>
          <w:color w:val="auto"/>
          <w:sz w:val="24"/>
        </w:rPr>
        <w:t>第八条  交货和运输</w:t>
      </w:r>
    </w:p>
    <w:p>
      <w:pPr>
        <w:numPr>
          <w:ilvl w:val="0"/>
          <w:numId w:val="12"/>
        </w:numPr>
        <w:tabs>
          <w:tab w:val="left" w:pos="1440"/>
        </w:tabs>
        <w:spacing w:line="440" w:lineRule="exact"/>
        <w:rPr>
          <w:rFonts w:hint="eastAsia" w:ascii="宋体" w:hAnsi="宋体"/>
          <w:color w:val="auto"/>
          <w:sz w:val="24"/>
        </w:rPr>
      </w:pPr>
      <w:r>
        <w:rPr>
          <w:rFonts w:hint="eastAsia" w:ascii="宋体" w:hAnsi="宋体"/>
          <w:color w:val="auto"/>
          <w:sz w:val="24"/>
        </w:rPr>
        <w:t xml:space="preserve"> </w:t>
      </w:r>
      <w:r>
        <w:rPr>
          <w:rFonts w:hint="eastAsia" w:ascii="宋体" w:hAnsi="宋体"/>
          <w:b/>
          <w:color w:val="auto"/>
          <w:sz w:val="24"/>
        </w:rPr>
        <w:t>交货期</w:t>
      </w:r>
      <w:r>
        <w:rPr>
          <w:rFonts w:hint="eastAsia" w:ascii="宋体" w:hAnsi="宋体"/>
          <w:b/>
          <w:color w:val="auto"/>
          <w:sz w:val="24"/>
          <w:lang w:eastAsia="zh-CN"/>
        </w:rPr>
        <w:t>（峻工期）</w:t>
      </w:r>
      <w:r>
        <w:rPr>
          <w:rFonts w:hint="eastAsia" w:ascii="宋体" w:hAnsi="宋体"/>
          <w:b/>
          <w:color w:val="auto"/>
          <w:sz w:val="24"/>
        </w:rPr>
        <w:t>：</w:t>
      </w:r>
      <w:r>
        <w:rPr>
          <w:rFonts w:hint="eastAsia" w:ascii="宋体" w:hAnsi="宋体"/>
          <w:b/>
          <w:color w:val="auto"/>
          <w:sz w:val="24"/>
          <w:highlight w:val="none"/>
        </w:rPr>
        <w:t>合同签订后4</w:t>
      </w:r>
      <w:r>
        <w:rPr>
          <w:rFonts w:hint="eastAsia" w:ascii="宋体" w:hAnsi="宋体"/>
          <w:b/>
          <w:color w:val="auto"/>
          <w:sz w:val="24"/>
          <w:highlight w:val="none"/>
          <w:lang w:val="en-US" w:eastAsia="zh-CN"/>
        </w:rPr>
        <w:t>0天内</w:t>
      </w:r>
      <w:r>
        <w:rPr>
          <w:rFonts w:hint="eastAsia" w:ascii="宋体" w:hAnsi="宋体"/>
          <w:b/>
          <w:color w:val="auto"/>
          <w:sz w:val="24"/>
          <w:highlight w:val="none"/>
        </w:rPr>
        <w:t>货到用户指定地点</w:t>
      </w:r>
      <w:r>
        <w:rPr>
          <w:rFonts w:hint="eastAsia" w:ascii="宋体" w:hAnsi="宋体"/>
          <w:b/>
          <w:color w:val="auto"/>
          <w:sz w:val="24"/>
          <w:highlight w:val="none"/>
          <w:lang w:eastAsia="zh-CN"/>
        </w:rPr>
        <w:t>并安装调试完毕；每批货物送达买方指定地点后须经买方指定人员对货物按照合同内容进行品牌、质量、数量的初步验收并签字确认。</w:t>
      </w:r>
    </w:p>
    <w:p>
      <w:pPr>
        <w:numPr>
          <w:ilvl w:val="0"/>
          <w:numId w:val="12"/>
        </w:numPr>
        <w:tabs>
          <w:tab w:val="left" w:pos="1440"/>
        </w:tabs>
        <w:spacing w:line="440" w:lineRule="exact"/>
        <w:rPr>
          <w:rFonts w:hint="eastAsia" w:ascii="宋体" w:hAnsi="宋体"/>
          <w:color w:val="auto"/>
          <w:szCs w:val="21"/>
        </w:rPr>
      </w:pPr>
      <w:r>
        <w:rPr>
          <w:rFonts w:hint="eastAsia" w:ascii="宋体" w:hAnsi="宋体"/>
          <w:color w:val="auto"/>
          <w:sz w:val="24"/>
        </w:rPr>
        <w:t>本合同项下货物的交货地点为买方指定位置地面，卖方负责将货物运抵交货地点并负责卸车并搬运到指定地点。</w:t>
      </w:r>
    </w:p>
    <w:p>
      <w:pPr>
        <w:tabs>
          <w:tab w:val="left" w:pos="1440"/>
        </w:tabs>
        <w:spacing w:line="440" w:lineRule="exact"/>
        <w:ind w:left="540" w:leftChars="257" w:firstLine="360"/>
        <w:rPr>
          <w:rFonts w:hint="eastAsia" w:ascii="宋体" w:hAnsi="宋体"/>
          <w:color w:val="auto"/>
          <w:szCs w:val="21"/>
        </w:rPr>
      </w:pPr>
      <w:r>
        <w:rPr>
          <w:rFonts w:hint="eastAsia" w:ascii="宋体" w:hAnsi="宋体"/>
          <w:color w:val="auto"/>
          <w:sz w:val="24"/>
        </w:rPr>
        <w:t>合同设备所有权自</w:t>
      </w:r>
      <w:r>
        <w:rPr>
          <w:rFonts w:hint="eastAsia" w:ascii="宋体" w:hAnsi="宋体"/>
          <w:color w:val="auto"/>
          <w:sz w:val="24"/>
          <w:szCs w:val="24"/>
        </w:rPr>
        <w:t>合同设备交付时起由卖方转移给买方。合同设备毁损、灭失的风险，在合同设备交付之前由卖方承担，交付之后由买方承担。货物到达目的地后，当场可清点验收的设备，经</w:t>
      </w:r>
      <w:r>
        <w:rPr>
          <w:rFonts w:hint="eastAsia" w:ascii="宋体" w:hAnsi="宋体"/>
          <w:color w:val="auto"/>
          <w:sz w:val="24"/>
          <w:szCs w:val="24"/>
          <w:lang w:eastAsia="zh-CN"/>
        </w:rPr>
        <w:t>买卖</w:t>
      </w:r>
      <w:r>
        <w:rPr>
          <w:rFonts w:hint="eastAsia" w:ascii="宋体" w:hAnsi="宋体"/>
          <w:color w:val="auto"/>
          <w:sz w:val="24"/>
          <w:szCs w:val="24"/>
        </w:rPr>
        <w:t>双方</w:t>
      </w:r>
      <w:r>
        <w:rPr>
          <w:rFonts w:hint="eastAsia" w:ascii="宋体" w:hAnsi="宋体"/>
          <w:color w:val="auto"/>
          <w:sz w:val="24"/>
          <w:szCs w:val="24"/>
          <w:lang w:eastAsia="zh-CN"/>
        </w:rPr>
        <w:t>组织人员</w:t>
      </w:r>
      <w:r>
        <w:rPr>
          <w:rFonts w:hint="eastAsia" w:ascii="宋体" w:hAnsi="宋体"/>
          <w:color w:val="auto"/>
          <w:sz w:val="24"/>
          <w:szCs w:val="24"/>
        </w:rPr>
        <w:t>进行现场验收，由</w:t>
      </w:r>
      <w:r>
        <w:rPr>
          <w:rFonts w:hint="eastAsia" w:ascii="宋体" w:hAnsi="宋体"/>
          <w:color w:val="auto"/>
          <w:sz w:val="24"/>
          <w:szCs w:val="24"/>
          <w:lang w:eastAsia="zh-CN"/>
        </w:rPr>
        <w:t>卖方</w:t>
      </w:r>
      <w:r>
        <w:rPr>
          <w:rFonts w:hint="eastAsia" w:ascii="宋体" w:hAnsi="宋体"/>
          <w:color w:val="auto"/>
          <w:sz w:val="24"/>
          <w:szCs w:val="24"/>
        </w:rPr>
        <w:t>安装</w:t>
      </w:r>
      <w:r>
        <w:rPr>
          <w:rFonts w:hint="eastAsia" w:ascii="宋体" w:hAnsi="宋体"/>
          <w:color w:val="auto"/>
          <w:sz w:val="24"/>
          <w:szCs w:val="24"/>
          <w:lang w:eastAsia="zh-CN"/>
        </w:rPr>
        <w:t>人员</w:t>
      </w:r>
      <w:r>
        <w:rPr>
          <w:rFonts w:hint="eastAsia" w:ascii="宋体" w:hAnsi="宋体"/>
          <w:color w:val="auto"/>
          <w:sz w:val="24"/>
          <w:szCs w:val="24"/>
        </w:rPr>
        <w:t>负责</w:t>
      </w:r>
      <w:r>
        <w:rPr>
          <w:rFonts w:hint="eastAsia" w:ascii="宋体" w:hAnsi="宋体"/>
          <w:color w:val="auto"/>
          <w:sz w:val="24"/>
          <w:szCs w:val="24"/>
          <w:lang w:val="en-US" w:eastAsia="zh-CN"/>
        </w:rPr>
        <w:t>开箱</w:t>
      </w:r>
      <w:r>
        <w:rPr>
          <w:rFonts w:hint="eastAsia" w:ascii="宋体" w:hAnsi="宋体"/>
          <w:color w:val="auto"/>
          <w:sz w:val="24"/>
          <w:szCs w:val="24"/>
        </w:rPr>
        <w:t>验收后设备的保管、仓</w:t>
      </w:r>
      <w:r>
        <w:rPr>
          <w:rFonts w:hint="eastAsia" w:ascii="宋体" w:hAnsi="宋体"/>
          <w:color w:val="auto"/>
          <w:sz w:val="24"/>
          <w:szCs w:val="24"/>
          <w:lang w:eastAsia="zh-CN"/>
        </w:rPr>
        <w:t>储</w:t>
      </w:r>
      <w:r>
        <w:rPr>
          <w:rFonts w:hint="eastAsia" w:ascii="宋体" w:hAnsi="宋体"/>
          <w:color w:val="auto"/>
          <w:sz w:val="24"/>
          <w:szCs w:val="24"/>
        </w:rPr>
        <w:t>（供方应提出对设备的存放要求）。对未开箱的设备（指需在安装时开箱的设备），经</w:t>
      </w:r>
      <w:r>
        <w:rPr>
          <w:rFonts w:hint="eastAsia" w:ascii="宋体" w:hAnsi="宋体"/>
          <w:color w:val="auto"/>
          <w:sz w:val="24"/>
          <w:szCs w:val="24"/>
          <w:lang w:eastAsia="zh-CN"/>
        </w:rPr>
        <w:t>双</w:t>
      </w:r>
      <w:r>
        <w:rPr>
          <w:rFonts w:hint="eastAsia" w:ascii="宋体" w:hAnsi="宋体"/>
          <w:color w:val="auto"/>
          <w:sz w:val="24"/>
          <w:szCs w:val="24"/>
        </w:rPr>
        <w:t>方清点数量后由供方负责安全保管、仓贮</w:t>
      </w:r>
      <w:r>
        <w:rPr>
          <w:rFonts w:hint="eastAsia" w:ascii="宋体" w:hAnsi="宋体"/>
          <w:color w:val="auto"/>
          <w:sz w:val="24"/>
          <w:szCs w:val="24"/>
          <w:lang w:eastAsia="zh-CN"/>
        </w:rPr>
        <w:t>。</w:t>
      </w:r>
      <w:r>
        <w:rPr>
          <w:rFonts w:hint="eastAsia" w:ascii="宋体" w:hAnsi="宋体"/>
          <w:color w:val="auto"/>
          <w:sz w:val="24"/>
          <w:szCs w:val="24"/>
        </w:rPr>
        <w:t>确定安装时开箱验收的，由</w:t>
      </w:r>
      <w:r>
        <w:rPr>
          <w:rFonts w:hint="eastAsia" w:ascii="宋体" w:hAnsi="宋体"/>
          <w:color w:val="auto"/>
          <w:sz w:val="24"/>
          <w:szCs w:val="24"/>
          <w:lang w:eastAsia="zh-CN"/>
        </w:rPr>
        <w:t>双方</w:t>
      </w:r>
      <w:r>
        <w:rPr>
          <w:rFonts w:hint="eastAsia" w:ascii="宋体" w:hAnsi="宋体"/>
          <w:color w:val="auto"/>
          <w:sz w:val="24"/>
          <w:szCs w:val="24"/>
        </w:rPr>
        <w:t>共同参与对货物进行检验，按开箱清单现场清点核对，并签发字确认。如果货物被证明有缺陷，包括潜在缺陷或使用了不适当的材料不符合合同约定的，需方将保留拒收货物和对供方索赔的权力；</w:t>
      </w:r>
    </w:p>
    <w:p>
      <w:pPr>
        <w:numPr>
          <w:ilvl w:val="0"/>
          <w:numId w:val="12"/>
        </w:numPr>
        <w:tabs>
          <w:tab w:val="left" w:pos="1440"/>
        </w:tabs>
        <w:spacing w:line="440" w:lineRule="exact"/>
        <w:rPr>
          <w:rFonts w:hint="eastAsia" w:ascii="宋体" w:hAnsi="宋体"/>
          <w:color w:val="auto"/>
          <w:sz w:val="24"/>
        </w:rPr>
      </w:pPr>
      <w:r>
        <w:rPr>
          <w:rFonts w:hint="eastAsia" w:ascii="宋体" w:hAnsi="宋体"/>
          <w:color w:val="auto"/>
          <w:sz w:val="24"/>
        </w:rPr>
        <w:t>在</w:t>
      </w:r>
      <w:r>
        <w:rPr>
          <w:rFonts w:hint="eastAsia" w:ascii="宋体" w:hAnsi="宋体"/>
          <w:color w:val="auto"/>
          <w:sz w:val="24"/>
          <w:lang w:eastAsia="zh-CN"/>
        </w:rPr>
        <w:t>质量</w:t>
      </w:r>
      <w:r>
        <w:rPr>
          <w:rFonts w:hint="eastAsia" w:ascii="宋体" w:hAnsi="宋体"/>
          <w:color w:val="auto"/>
          <w:sz w:val="24"/>
        </w:rPr>
        <w:t>保证期内由于卖方的过失或疏忽造成的供应设备（或部件）的损坏或潜在缺陷，而动用了买方库存中的备品备件以调换损坏的设备或部件，则卖方应负责免费将动用的备品备件补齐，最迟不得超过买方通知后1个月运到指定交付点，并且通知买方。</w:t>
      </w:r>
    </w:p>
    <w:p>
      <w:pPr>
        <w:numPr>
          <w:ilvl w:val="0"/>
          <w:numId w:val="12"/>
        </w:numPr>
        <w:tabs>
          <w:tab w:val="left" w:pos="1440"/>
        </w:tabs>
        <w:spacing w:line="440" w:lineRule="exact"/>
        <w:rPr>
          <w:rFonts w:hint="eastAsia" w:ascii="宋体" w:hAnsi="宋体"/>
          <w:color w:val="auto"/>
          <w:sz w:val="24"/>
        </w:rPr>
      </w:pPr>
      <w:r>
        <w:rPr>
          <w:rFonts w:hint="eastAsia" w:ascii="宋体" w:hAnsi="宋体"/>
          <w:color w:val="auto"/>
          <w:sz w:val="24"/>
        </w:rPr>
        <w:t>卖方应按技术规格书规定，向买方提供满足调试、试验、检验、培训、运行和维修所需的技术资料。技术资料的交付时间按买方要求的时间及时提供。</w:t>
      </w:r>
    </w:p>
    <w:p>
      <w:pPr>
        <w:numPr>
          <w:ilvl w:val="0"/>
          <w:numId w:val="12"/>
        </w:numPr>
        <w:tabs>
          <w:tab w:val="left" w:pos="1440"/>
        </w:tabs>
        <w:spacing w:line="440" w:lineRule="exact"/>
        <w:rPr>
          <w:rFonts w:hint="eastAsia" w:ascii="宋体" w:hAnsi="宋体"/>
          <w:color w:val="auto"/>
          <w:sz w:val="24"/>
        </w:rPr>
      </w:pPr>
      <w:r>
        <w:rPr>
          <w:rFonts w:hint="eastAsia" w:ascii="宋体" w:hAnsi="宋体"/>
          <w:color w:val="auto"/>
          <w:sz w:val="24"/>
        </w:rPr>
        <w:t>技术资料以快递邮寄</w:t>
      </w:r>
      <w:r>
        <w:rPr>
          <w:rFonts w:hint="eastAsia" w:ascii="宋体" w:hAnsi="宋体"/>
          <w:color w:val="auto"/>
          <w:sz w:val="24"/>
          <w:lang w:eastAsia="zh-CN"/>
        </w:rPr>
        <w:t>（可直送）</w:t>
      </w:r>
      <w:r>
        <w:rPr>
          <w:rFonts w:hint="eastAsia" w:ascii="宋体" w:hAnsi="宋体"/>
          <w:color w:val="auto"/>
          <w:sz w:val="24"/>
        </w:rPr>
        <w:t>方式递交,每批技术资料交邮后，卖方应在24小时内将技术资料的交邮日期、邮单号、技术资料的详细清单、件数及重量、合同号等以传真通知买方。</w:t>
      </w:r>
    </w:p>
    <w:p>
      <w:pPr>
        <w:numPr>
          <w:ilvl w:val="0"/>
          <w:numId w:val="12"/>
        </w:numPr>
        <w:tabs>
          <w:tab w:val="left" w:pos="1440"/>
        </w:tabs>
        <w:spacing w:line="440" w:lineRule="exact"/>
        <w:rPr>
          <w:rFonts w:hint="eastAsia" w:ascii="宋体" w:hAnsi="宋体"/>
          <w:color w:val="auto"/>
          <w:sz w:val="24"/>
        </w:rPr>
      </w:pPr>
      <w:r>
        <w:rPr>
          <w:rFonts w:hint="eastAsia" w:ascii="宋体" w:hAnsi="宋体"/>
          <w:color w:val="auto"/>
          <w:sz w:val="24"/>
        </w:rPr>
        <w:t>技术资料可以邮寄方式或专人送达方式递交，如以邮寄方式递交，则以邮政部门提货通知单时间戳记为技术资料的实际交付日期，如以专人送达方式递交，则以买方代表签收日期为技术资料的实际交付日期。此日期将作为按合同第十五条对任何延期交付资料进行延期违约金计算的依据。</w:t>
      </w:r>
    </w:p>
    <w:p>
      <w:pPr>
        <w:spacing w:line="440" w:lineRule="exact"/>
        <w:ind w:left="540" w:leftChars="257" w:firstLine="388" w:firstLineChars="162"/>
        <w:rPr>
          <w:rFonts w:hint="eastAsia" w:ascii="宋体" w:hAnsi="宋体"/>
          <w:color w:val="auto"/>
          <w:sz w:val="24"/>
        </w:rPr>
      </w:pPr>
      <w:r>
        <w:rPr>
          <w:rFonts w:hint="eastAsia" w:ascii="宋体" w:hAnsi="宋体"/>
          <w:color w:val="auto"/>
          <w:sz w:val="24"/>
        </w:rPr>
        <w:t>如果技术资料经买方或买方代表检查后发现有缺少、丢失或损坏，且非买方原因，卖方应在收到买方通知后14天内(对急用者应在3天内)免费向现场补充提供缺少、丢失或损坏的部分。</w:t>
      </w:r>
    </w:p>
    <w:p>
      <w:pPr>
        <w:spacing w:line="440" w:lineRule="exact"/>
        <w:ind w:left="540" w:leftChars="257" w:firstLine="388" w:firstLineChars="162"/>
        <w:rPr>
          <w:rFonts w:hint="eastAsia" w:ascii="宋体" w:hAnsi="宋体"/>
          <w:color w:val="auto"/>
          <w:sz w:val="24"/>
        </w:rPr>
      </w:pPr>
      <w:r>
        <w:rPr>
          <w:rFonts w:hint="eastAsia" w:ascii="宋体" w:hAnsi="宋体"/>
          <w:color w:val="auto"/>
          <w:sz w:val="24"/>
        </w:rPr>
        <w:t>如因买方原因发生缺少、丢失或损坏，卖方应在接到买方通知后14天内(对急用者应在3天内)，向现场补充提供缺少、丢失或损坏部分，费用由买方承担。</w:t>
      </w:r>
    </w:p>
    <w:p>
      <w:pPr>
        <w:numPr>
          <w:ilvl w:val="0"/>
          <w:numId w:val="12"/>
        </w:numPr>
        <w:tabs>
          <w:tab w:val="left" w:pos="1440"/>
        </w:tabs>
        <w:spacing w:line="440" w:lineRule="exact"/>
        <w:rPr>
          <w:rFonts w:hint="eastAsia" w:ascii="宋体" w:hAnsi="宋体"/>
          <w:color w:val="auto"/>
          <w:sz w:val="24"/>
        </w:rPr>
      </w:pPr>
      <w:r>
        <w:rPr>
          <w:rFonts w:hint="eastAsia" w:ascii="宋体" w:hAnsi="宋体"/>
          <w:color w:val="auto"/>
          <w:sz w:val="24"/>
        </w:rPr>
        <w:t>买方可派遣代表到卖方工厂及装货车站/码头/机场检查包装质量和监督装车情况。卖方应提前15天通知买方交运日期。买方代表的检查与监督不能免除卖方应负的责任。</w:t>
      </w:r>
    </w:p>
    <w:p>
      <w:pPr>
        <w:numPr>
          <w:ilvl w:val="0"/>
          <w:numId w:val="12"/>
        </w:numPr>
        <w:spacing w:line="440" w:lineRule="exact"/>
        <w:rPr>
          <w:rFonts w:hint="eastAsia" w:ascii="宋体" w:hAnsi="宋体"/>
          <w:color w:val="auto"/>
          <w:sz w:val="24"/>
        </w:rPr>
      </w:pPr>
      <w:r>
        <w:rPr>
          <w:rFonts w:hint="eastAsia" w:ascii="宋体" w:hAnsi="宋体"/>
          <w:color w:val="auto"/>
          <w:sz w:val="24"/>
        </w:rPr>
        <w:t>技术资料收件单位：江苏长江水务股份有限公司（注明技术资料）</w:t>
      </w:r>
    </w:p>
    <w:p>
      <w:pPr>
        <w:spacing w:line="440" w:lineRule="exact"/>
        <w:ind w:firstLine="570"/>
        <w:rPr>
          <w:rFonts w:hint="eastAsia" w:ascii="宋体" w:hAnsi="宋体"/>
          <w:color w:val="auto"/>
          <w:sz w:val="24"/>
        </w:rPr>
      </w:pPr>
    </w:p>
    <w:p>
      <w:pPr>
        <w:spacing w:line="440" w:lineRule="exact"/>
        <w:ind w:firstLine="570"/>
        <w:rPr>
          <w:rFonts w:hint="eastAsia" w:ascii="宋体" w:hAnsi="宋体"/>
          <w:b/>
          <w:color w:val="auto"/>
          <w:sz w:val="24"/>
        </w:rPr>
      </w:pPr>
      <w:r>
        <w:rPr>
          <w:rFonts w:hint="eastAsia" w:ascii="宋体" w:hAnsi="宋体"/>
          <w:b/>
          <w:color w:val="auto"/>
          <w:sz w:val="24"/>
        </w:rPr>
        <w:t>第九条 保险</w:t>
      </w:r>
    </w:p>
    <w:p>
      <w:pPr>
        <w:spacing w:line="440" w:lineRule="exact"/>
        <w:ind w:left="540" w:leftChars="257" w:firstLine="540" w:firstLineChars="225"/>
        <w:rPr>
          <w:rFonts w:hint="eastAsia" w:ascii="宋体" w:hAnsi="宋体"/>
          <w:color w:val="auto"/>
          <w:sz w:val="24"/>
        </w:rPr>
      </w:pPr>
      <w:r>
        <w:rPr>
          <w:rFonts w:hint="eastAsia" w:ascii="宋体" w:hAnsi="宋体"/>
          <w:color w:val="auto"/>
          <w:sz w:val="24"/>
        </w:rPr>
        <w:t>在货物发运前卖方须对货物，根据水运、陆运和空运等运输方式，向保险公司投保以卖方为受益人，金额为发运货物价格110%的运输一切险(包括卸货至现场地面的最后一吊)，保险区段为卖方仓库到交货地点交货后90天止。</w:t>
      </w:r>
    </w:p>
    <w:p>
      <w:pPr>
        <w:spacing w:line="440" w:lineRule="exact"/>
        <w:ind w:firstLine="570"/>
        <w:rPr>
          <w:rFonts w:ascii="宋体" w:hAnsi="宋体"/>
          <w:color w:val="auto"/>
          <w:sz w:val="24"/>
        </w:rPr>
      </w:pPr>
    </w:p>
    <w:p>
      <w:pPr>
        <w:spacing w:line="440" w:lineRule="exact"/>
        <w:ind w:firstLine="570"/>
        <w:rPr>
          <w:rFonts w:hint="eastAsia" w:ascii="宋体" w:hAnsi="宋体"/>
          <w:b/>
          <w:color w:val="auto"/>
          <w:sz w:val="24"/>
        </w:rPr>
      </w:pPr>
      <w:r>
        <w:rPr>
          <w:rFonts w:hint="eastAsia" w:ascii="宋体" w:hAnsi="宋体"/>
          <w:b/>
          <w:color w:val="auto"/>
          <w:sz w:val="24"/>
        </w:rPr>
        <w:t>第十条  交货</w:t>
      </w:r>
    </w:p>
    <w:p>
      <w:pPr>
        <w:numPr>
          <w:ilvl w:val="0"/>
          <w:numId w:val="13"/>
        </w:numPr>
        <w:tabs>
          <w:tab w:val="left" w:pos="1080"/>
        </w:tabs>
        <w:spacing w:line="440" w:lineRule="exact"/>
        <w:ind w:left="540" w:firstLine="0"/>
        <w:rPr>
          <w:rFonts w:hint="eastAsia" w:ascii="宋体" w:hAnsi="宋体"/>
          <w:color w:val="auto"/>
          <w:sz w:val="24"/>
        </w:rPr>
      </w:pPr>
      <w:r>
        <w:rPr>
          <w:rFonts w:hint="eastAsia" w:ascii="宋体" w:hAnsi="宋体"/>
          <w:color w:val="auto"/>
          <w:sz w:val="24"/>
        </w:rPr>
        <w:t>所有货物在交货之前的所有风险和责任均由卖方承担。如果在交货之前因运输等问题造成货物损失、损害等风险，卖方在本合同项下的义务与责任均不予解除。</w:t>
      </w:r>
    </w:p>
    <w:p>
      <w:pPr>
        <w:spacing w:line="440" w:lineRule="exact"/>
        <w:ind w:firstLine="570"/>
        <w:rPr>
          <w:rFonts w:ascii="宋体" w:hAnsi="宋体"/>
          <w:b/>
          <w:color w:val="auto"/>
          <w:sz w:val="24"/>
        </w:rPr>
      </w:pPr>
      <w:r>
        <w:rPr>
          <w:rFonts w:ascii="宋体" w:hAnsi="宋体"/>
          <w:b/>
          <w:color w:val="auto"/>
          <w:sz w:val="24"/>
        </w:rPr>
        <w:t xml:space="preserve">  </w:t>
      </w:r>
    </w:p>
    <w:p>
      <w:pPr>
        <w:spacing w:line="360" w:lineRule="auto"/>
        <w:ind w:firstLine="570"/>
        <w:rPr>
          <w:rFonts w:hint="eastAsia" w:ascii="宋体" w:hAnsi="宋体"/>
          <w:b/>
          <w:color w:val="auto"/>
          <w:sz w:val="24"/>
        </w:rPr>
      </w:pPr>
      <w:r>
        <w:rPr>
          <w:rFonts w:hint="eastAsia" w:ascii="宋体" w:hAnsi="宋体"/>
          <w:b/>
          <w:color w:val="auto"/>
          <w:sz w:val="24"/>
        </w:rPr>
        <w:t xml:space="preserve">第十一条  合同价款与支付 </w:t>
      </w:r>
    </w:p>
    <w:p>
      <w:pPr>
        <w:numPr>
          <w:ilvl w:val="0"/>
          <w:numId w:val="14"/>
        </w:numPr>
        <w:tabs>
          <w:tab w:val="left" w:pos="540"/>
          <w:tab w:val="left" w:pos="1080"/>
          <w:tab w:val="clear" w:pos="900"/>
        </w:tabs>
        <w:spacing w:line="360" w:lineRule="auto"/>
        <w:ind w:left="540" w:firstLine="0"/>
        <w:rPr>
          <w:rFonts w:hint="eastAsia" w:ascii="宋体" w:hAnsi="宋体"/>
          <w:color w:val="auto"/>
          <w:sz w:val="24"/>
        </w:rPr>
      </w:pPr>
      <w:r>
        <w:rPr>
          <w:rFonts w:hint="eastAsia" w:ascii="宋体" w:hAnsi="宋体"/>
          <w:color w:val="auto"/>
          <w:sz w:val="24"/>
        </w:rPr>
        <w:t>本合同价款即合同总价为人民币总价：     万元(大写：        )。合同总价为固定不变价格，</w:t>
      </w:r>
      <w:r>
        <w:rPr>
          <w:rFonts w:hint="eastAsia" w:ascii="宋体" w:hAnsi="宋体"/>
          <w:color w:val="auto"/>
          <w:sz w:val="24"/>
          <w:lang w:eastAsia="zh-CN"/>
        </w:rPr>
        <w:t>对投标文件中的清单报价作为质保期外维修或更换的结算依据，</w:t>
      </w:r>
      <w:r>
        <w:rPr>
          <w:rFonts w:hint="eastAsia" w:ascii="宋体" w:hAnsi="宋体"/>
          <w:color w:val="auto"/>
          <w:sz w:val="24"/>
        </w:rPr>
        <w:t>除非本合同另有规定，否则在合同期内不因任何原因加以变更或调整。</w:t>
      </w:r>
    </w:p>
    <w:p>
      <w:pPr>
        <w:spacing w:line="360" w:lineRule="auto"/>
        <w:ind w:left="540" w:leftChars="257" w:firstLine="420" w:firstLineChars="175"/>
        <w:rPr>
          <w:rFonts w:hint="eastAsia" w:ascii="宋体" w:hAnsi="宋体"/>
          <w:color w:val="auto"/>
          <w:sz w:val="24"/>
        </w:rPr>
      </w:pPr>
      <w:r>
        <w:rPr>
          <w:rFonts w:hint="eastAsia" w:ascii="宋体" w:hAnsi="宋体"/>
          <w:color w:val="auto"/>
          <w:sz w:val="24"/>
        </w:rPr>
        <w:t>本合同价款包括合同设备(含备品备件、专用工具)、</w:t>
      </w:r>
      <w:r>
        <w:rPr>
          <w:rFonts w:hint="eastAsia" w:ascii="宋体" w:hAnsi="宋体"/>
          <w:color w:val="auto"/>
          <w:sz w:val="24"/>
          <w:lang w:val="en-US" w:eastAsia="zh-CN"/>
        </w:rPr>
        <w:t>安装调试、</w:t>
      </w:r>
      <w:r>
        <w:rPr>
          <w:rFonts w:hint="eastAsia" w:ascii="宋体" w:hAnsi="宋体"/>
          <w:color w:val="auto"/>
          <w:sz w:val="24"/>
        </w:rPr>
        <w:t>技术资料、技术服务和运输及保险费等费用,还包括合同设备的税费等与本合同中卖方应承担的所有义务和所有工作相关的费用。合同设备的技术服务及备品备件由卖方免费提供。</w:t>
      </w:r>
    </w:p>
    <w:p>
      <w:pPr>
        <w:spacing w:line="360" w:lineRule="auto"/>
        <w:ind w:left="540" w:leftChars="257" w:firstLine="420" w:firstLineChars="175"/>
        <w:rPr>
          <w:rFonts w:hint="eastAsia" w:ascii="宋体" w:hAnsi="宋体"/>
          <w:color w:val="auto"/>
          <w:sz w:val="24"/>
        </w:rPr>
      </w:pPr>
      <w:r>
        <w:rPr>
          <w:rFonts w:hint="eastAsia" w:ascii="宋体" w:hAnsi="宋体"/>
          <w:color w:val="auto"/>
          <w:sz w:val="24"/>
        </w:rPr>
        <w:t>合同设备运抵项目现场的运输及保险费等杂费已含在合同价款内。运输及保险费是指合同设备从卖方(包括卖方的分包商)始发站（车上）/码头（船上）到交货地点地面所发生的公路、铁路、水路、航空运费，保险费等运输过程中发生的各种费用。</w:t>
      </w:r>
    </w:p>
    <w:p>
      <w:pPr>
        <w:numPr>
          <w:ilvl w:val="0"/>
          <w:numId w:val="14"/>
        </w:numPr>
        <w:tabs>
          <w:tab w:val="left" w:pos="1080"/>
        </w:tabs>
        <w:spacing w:line="360" w:lineRule="auto"/>
        <w:rPr>
          <w:rFonts w:hint="eastAsia" w:ascii="宋体" w:hAnsi="宋体"/>
          <w:color w:val="auto"/>
          <w:sz w:val="24"/>
        </w:rPr>
      </w:pPr>
      <w:r>
        <w:rPr>
          <w:rFonts w:hint="eastAsia" w:ascii="宋体" w:hAnsi="宋体"/>
          <w:color w:val="auto"/>
          <w:sz w:val="24"/>
        </w:rPr>
        <w:t>支付</w:t>
      </w:r>
    </w:p>
    <w:p>
      <w:pPr>
        <w:spacing w:line="360" w:lineRule="auto"/>
        <w:ind w:left="540" w:leftChars="257" w:firstLine="420" w:firstLineChars="175"/>
        <w:rPr>
          <w:rFonts w:hint="eastAsia" w:ascii="宋体" w:hAnsi="宋体"/>
          <w:color w:val="auto"/>
          <w:sz w:val="24"/>
        </w:rPr>
      </w:pPr>
      <w:r>
        <w:rPr>
          <w:rFonts w:hint="eastAsia" w:ascii="宋体" w:hAnsi="宋体"/>
          <w:color w:val="auto"/>
          <w:sz w:val="24"/>
        </w:rPr>
        <w:t>所有货到工地</w:t>
      </w:r>
      <w:r>
        <w:rPr>
          <w:rFonts w:hint="eastAsia" w:ascii="宋体" w:hAnsi="宋体"/>
          <w:color w:val="auto"/>
          <w:sz w:val="24"/>
          <w:lang w:eastAsia="zh-CN"/>
        </w:rPr>
        <w:t>经</w:t>
      </w:r>
      <w:r>
        <w:rPr>
          <w:rFonts w:hint="eastAsia" w:ascii="宋体" w:hAnsi="宋体"/>
          <w:color w:val="auto"/>
          <w:sz w:val="24"/>
        </w:rPr>
        <w:t>联动调试、验收合格且连续无故障运行30天后支付至合同总价</w:t>
      </w:r>
      <w:r>
        <w:rPr>
          <w:rFonts w:hint="eastAsia" w:ascii="宋体" w:hAnsi="宋体"/>
          <w:color w:val="auto"/>
          <w:sz w:val="24"/>
          <w:lang w:eastAsia="zh-CN"/>
        </w:rPr>
        <w:t>款</w:t>
      </w:r>
      <w:r>
        <w:rPr>
          <w:rFonts w:hint="eastAsia" w:ascii="宋体" w:hAnsi="宋体"/>
          <w:color w:val="auto"/>
          <w:sz w:val="24"/>
        </w:rPr>
        <w:t>的</w:t>
      </w:r>
      <w:r>
        <w:rPr>
          <w:rFonts w:hint="eastAsia" w:ascii="宋体" w:hAnsi="宋体"/>
          <w:color w:val="auto"/>
          <w:sz w:val="24"/>
          <w:highlight w:val="none"/>
        </w:rPr>
        <w:t>9</w:t>
      </w:r>
      <w:r>
        <w:rPr>
          <w:rFonts w:hint="eastAsia" w:ascii="宋体" w:hAnsi="宋体"/>
          <w:color w:val="auto"/>
          <w:sz w:val="24"/>
          <w:highlight w:val="none"/>
          <w:lang w:val="en-US" w:eastAsia="zh-CN"/>
        </w:rPr>
        <w:t>5</w:t>
      </w:r>
      <w:r>
        <w:rPr>
          <w:rFonts w:hint="eastAsia" w:ascii="宋体" w:hAnsi="宋体"/>
          <w:color w:val="auto"/>
          <w:sz w:val="24"/>
          <w:highlight w:val="none"/>
        </w:rPr>
        <w:t>%，</w:t>
      </w:r>
      <w:r>
        <w:rPr>
          <w:rFonts w:hint="eastAsia" w:ascii="宋体" w:hAnsi="宋体"/>
          <w:color w:val="auto"/>
          <w:sz w:val="24"/>
          <w:highlight w:val="none"/>
          <w:lang w:val="en-US" w:eastAsia="zh-CN"/>
        </w:rPr>
        <w:t>同时无息退还履约保证金，</w:t>
      </w:r>
      <w:r>
        <w:rPr>
          <w:rFonts w:hint="eastAsia" w:ascii="宋体" w:hAnsi="宋体"/>
          <w:color w:val="auto"/>
          <w:sz w:val="24"/>
          <w:highlight w:val="none"/>
        </w:rPr>
        <w:t>余款</w:t>
      </w:r>
      <w:r>
        <w:rPr>
          <w:rFonts w:hint="eastAsia" w:ascii="宋体" w:hAnsi="宋体"/>
          <w:color w:val="auto"/>
          <w:sz w:val="24"/>
          <w:highlight w:val="none"/>
          <w:lang w:val="en-US" w:eastAsia="zh-CN"/>
        </w:rPr>
        <w:t>5</w:t>
      </w:r>
      <w:r>
        <w:rPr>
          <w:rFonts w:hint="eastAsia" w:ascii="宋体" w:hAnsi="宋体"/>
          <w:color w:val="auto"/>
          <w:sz w:val="24"/>
          <w:highlight w:val="none"/>
        </w:rPr>
        <w:t>%</w:t>
      </w:r>
      <w:r>
        <w:rPr>
          <w:rFonts w:hint="eastAsia" w:ascii="宋体" w:hAnsi="宋体"/>
          <w:color w:val="auto"/>
          <w:sz w:val="24"/>
        </w:rPr>
        <w:t>作为质保金，在质保期满且无质量问题后</w:t>
      </w:r>
      <w:r>
        <w:rPr>
          <w:rFonts w:hint="eastAsia" w:ascii="宋体" w:hAnsi="宋体"/>
          <w:color w:val="auto"/>
          <w:sz w:val="24"/>
          <w:lang w:eastAsia="zh-CN"/>
        </w:rPr>
        <w:t>一个月内</w:t>
      </w:r>
      <w:r>
        <w:rPr>
          <w:rFonts w:hint="eastAsia" w:ascii="宋体" w:hAnsi="宋体"/>
          <w:color w:val="auto"/>
          <w:sz w:val="24"/>
        </w:rPr>
        <w:t>无息付清。质保期为联动调试合格试运行后</w:t>
      </w:r>
      <w:r>
        <w:rPr>
          <w:rFonts w:hint="eastAsia" w:ascii="宋体" w:hAnsi="宋体"/>
          <w:color w:val="auto"/>
          <w:sz w:val="24"/>
          <w:lang w:val="en-US" w:eastAsia="zh-CN"/>
        </w:rPr>
        <w:t>的</w:t>
      </w:r>
      <w:r>
        <w:rPr>
          <w:rFonts w:hint="eastAsia" w:ascii="宋体" w:hAnsi="宋体"/>
          <w:color w:val="auto"/>
          <w:sz w:val="30"/>
          <w:szCs w:val="30"/>
        </w:rPr>
        <w:t>18</w:t>
      </w:r>
      <w:r>
        <w:rPr>
          <w:rFonts w:hint="eastAsia" w:ascii="宋体" w:hAnsi="宋体"/>
          <w:color w:val="auto"/>
          <w:sz w:val="24"/>
        </w:rPr>
        <w:t>个月。（备注：本项目在结算支付时，票据为税率为</w:t>
      </w:r>
      <w:r>
        <w:rPr>
          <w:rFonts w:hint="eastAsia" w:ascii="宋体" w:hAnsi="宋体"/>
          <w:color w:val="auto"/>
          <w:sz w:val="24"/>
          <w:highlight w:val="none"/>
          <w:lang w:val="en-US" w:eastAsia="zh-CN"/>
        </w:rPr>
        <w:t>13</w:t>
      </w:r>
      <w:r>
        <w:rPr>
          <w:rFonts w:hint="eastAsia" w:ascii="宋体" w:hAnsi="宋体"/>
          <w:color w:val="auto"/>
          <w:sz w:val="24"/>
          <w:highlight w:val="none"/>
        </w:rPr>
        <w:t>%增值税专用发票</w:t>
      </w:r>
      <w:r>
        <w:rPr>
          <w:rFonts w:hint="eastAsia" w:ascii="宋体" w:hAnsi="宋体"/>
          <w:color w:val="auto"/>
          <w:sz w:val="24"/>
        </w:rPr>
        <w:t>（国家政策若发生变化以相关政策执行）。</w:t>
      </w:r>
    </w:p>
    <w:p>
      <w:pPr>
        <w:spacing w:line="360" w:lineRule="auto"/>
        <w:ind w:firstLine="570"/>
        <w:rPr>
          <w:rFonts w:hint="eastAsia" w:ascii="宋体" w:hAnsi="宋体"/>
          <w:color w:val="auto"/>
          <w:sz w:val="24"/>
        </w:rPr>
      </w:pPr>
    </w:p>
    <w:p>
      <w:pPr>
        <w:spacing w:line="360" w:lineRule="auto"/>
        <w:ind w:firstLine="570"/>
        <w:rPr>
          <w:rFonts w:hint="eastAsia" w:ascii="宋体" w:hAnsi="宋体"/>
          <w:b/>
          <w:color w:val="auto"/>
          <w:sz w:val="24"/>
        </w:rPr>
      </w:pPr>
      <w:r>
        <w:rPr>
          <w:rFonts w:hint="eastAsia" w:ascii="宋体" w:hAnsi="宋体"/>
          <w:b/>
          <w:color w:val="auto"/>
          <w:sz w:val="24"/>
        </w:rPr>
        <w:t>第十二条  连带责任</w:t>
      </w:r>
    </w:p>
    <w:p>
      <w:pPr>
        <w:spacing w:line="440" w:lineRule="exact"/>
        <w:ind w:firstLine="480" w:firstLineChars="200"/>
        <w:rPr>
          <w:rFonts w:hint="eastAsia" w:ascii="宋体" w:hAnsi="宋体"/>
          <w:color w:val="auto"/>
          <w:sz w:val="24"/>
        </w:rPr>
      </w:pPr>
      <w:r>
        <w:rPr>
          <w:rFonts w:hint="eastAsia" w:ascii="宋体" w:hAnsi="宋体"/>
          <w:color w:val="auto"/>
          <w:sz w:val="24"/>
          <w:lang w:val="en-US" w:eastAsia="zh-CN"/>
        </w:rPr>
        <w:t>12.1</w:t>
      </w:r>
      <w:r>
        <w:rPr>
          <w:rFonts w:hint="eastAsia" w:ascii="宋体" w:hAnsi="宋体"/>
          <w:color w:val="auto"/>
          <w:sz w:val="24"/>
        </w:rPr>
        <w:t>卖方应对本合同项下设备的制造、运输、装卸、交货</w:t>
      </w:r>
      <w:r>
        <w:rPr>
          <w:rFonts w:hint="eastAsia" w:ascii="宋体" w:hAnsi="宋体"/>
          <w:color w:val="auto"/>
          <w:sz w:val="24"/>
          <w:lang w:eastAsia="zh-CN"/>
        </w:rPr>
        <w:t>、</w:t>
      </w:r>
      <w:r>
        <w:rPr>
          <w:rFonts w:hint="eastAsia" w:ascii="宋体" w:hAnsi="宋体"/>
          <w:color w:val="auto"/>
          <w:sz w:val="24"/>
          <w:lang w:val="en-US" w:eastAsia="zh-CN"/>
        </w:rPr>
        <w:t>安装</w:t>
      </w:r>
      <w:r>
        <w:rPr>
          <w:rFonts w:hint="eastAsia" w:ascii="宋体" w:hAnsi="宋体"/>
          <w:color w:val="auto"/>
          <w:sz w:val="24"/>
        </w:rPr>
        <w:t>等承担全部责任。</w:t>
      </w:r>
    </w:p>
    <w:p>
      <w:pPr>
        <w:spacing w:line="440" w:lineRule="exact"/>
        <w:ind w:firstLine="480" w:firstLineChars="200"/>
        <w:rPr>
          <w:rFonts w:hint="default" w:ascii="宋体" w:hAnsi="宋体"/>
          <w:color w:val="auto"/>
          <w:sz w:val="24"/>
          <w:lang w:val="en-US" w:eastAsia="zh-CN"/>
        </w:rPr>
      </w:pPr>
      <w:r>
        <w:rPr>
          <w:rFonts w:hint="eastAsia" w:ascii="宋体" w:hAnsi="宋体"/>
          <w:color w:val="auto"/>
          <w:sz w:val="24"/>
          <w:lang w:val="en-US" w:eastAsia="zh-CN"/>
        </w:rPr>
        <w:t>12.2 卖方应对本合同项下设备安装过程中影响买方安全生产的任何事宜承担全部责任。</w:t>
      </w:r>
    </w:p>
    <w:p>
      <w:pPr>
        <w:spacing w:line="440" w:lineRule="exact"/>
        <w:ind w:firstLine="570"/>
        <w:rPr>
          <w:rFonts w:ascii="宋体" w:hAnsi="宋体"/>
          <w:color w:val="auto"/>
          <w:sz w:val="24"/>
        </w:rPr>
      </w:pPr>
    </w:p>
    <w:p>
      <w:pPr>
        <w:spacing w:line="440" w:lineRule="exact"/>
        <w:ind w:firstLine="570"/>
        <w:rPr>
          <w:rFonts w:hint="eastAsia" w:ascii="宋体" w:hAnsi="宋体"/>
          <w:b/>
          <w:color w:val="auto"/>
          <w:sz w:val="24"/>
        </w:rPr>
      </w:pPr>
      <w:r>
        <w:rPr>
          <w:rFonts w:hint="eastAsia" w:ascii="宋体" w:hAnsi="宋体"/>
          <w:b/>
          <w:color w:val="auto"/>
          <w:sz w:val="24"/>
        </w:rPr>
        <w:t>第十三条  质量保证</w:t>
      </w:r>
    </w:p>
    <w:p>
      <w:pPr>
        <w:numPr>
          <w:ilvl w:val="0"/>
          <w:numId w:val="15"/>
        </w:numPr>
        <w:tabs>
          <w:tab w:val="left" w:pos="540"/>
          <w:tab w:val="left" w:pos="1080"/>
          <w:tab w:val="clear" w:pos="900"/>
        </w:tabs>
        <w:spacing w:line="440" w:lineRule="exact"/>
        <w:ind w:left="540" w:firstLine="0"/>
        <w:rPr>
          <w:rFonts w:hint="eastAsia" w:ascii="宋体" w:hAnsi="宋体"/>
          <w:color w:val="auto"/>
          <w:sz w:val="24"/>
        </w:rPr>
      </w:pPr>
      <w:r>
        <w:rPr>
          <w:rFonts w:hint="eastAsia" w:ascii="宋体" w:hAnsi="宋体"/>
          <w:color w:val="auto"/>
          <w:sz w:val="24"/>
        </w:rPr>
        <w:t>卖方应保证其提供的货物在各个方面符合技术规格书规定的质量、规格和性能要求。</w:t>
      </w:r>
    </w:p>
    <w:p>
      <w:pPr>
        <w:numPr>
          <w:ilvl w:val="0"/>
          <w:numId w:val="15"/>
        </w:numPr>
        <w:tabs>
          <w:tab w:val="left" w:pos="540"/>
          <w:tab w:val="left" w:pos="1080"/>
          <w:tab w:val="clear" w:pos="900"/>
        </w:tabs>
        <w:spacing w:line="440" w:lineRule="exact"/>
        <w:ind w:left="540" w:firstLine="0"/>
        <w:rPr>
          <w:rFonts w:hint="eastAsia" w:ascii="宋体" w:hAnsi="宋体"/>
          <w:color w:val="auto"/>
          <w:sz w:val="24"/>
        </w:rPr>
      </w:pPr>
      <w:r>
        <w:rPr>
          <w:rFonts w:hint="eastAsia" w:ascii="宋体" w:hAnsi="宋体"/>
          <w:color w:val="auto"/>
          <w:sz w:val="24"/>
        </w:rPr>
        <w:t>合同货物的质量保证期为联动调试合格试运行后的</w:t>
      </w:r>
      <w:r>
        <w:rPr>
          <w:rFonts w:hint="eastAsia" w:ascii="宋体" w:hAnsi="宋体"/>
          <w:color w:val="auto"/>
          <w:sz w:val="30"/>
          <w:szCs w:val="30"/>
        </w:rPr>
        <w:t>18</w:t>
      </w:r>
      <w:r>
        <w:rPr>
          <w:rFonts w:hint="eastAsia" w:ascii="宋体" w:hAnsi="宋体"/>
          <w:color w:val="auto"/>
          <w:sz w:val="24"/>
        </w:rPr>
        <w:t>个月。在质量保证期内，卖方应对由于设计、工艺、生产或运输导致的缺陷负责，出现上述情况，卖方应在7天内对买方提出的要求给予答复并处理。</w:t>
      </w:r>
    </w:p>
    <w:p>
      <w:pPr>
        <w:tabs>
          <w:tab w:val="left" w:pos="1080"/>
        </w:tabs>
        <w:spacing w:line="440" w:lineRule="exact"/>
        <w:ind w:left="540"/>
        <w:rPr>
          <w:rFonts w:hint="eastAsia" w:ascii="宋体" w:hAnsi="宋体"/>
          <w:color w:val="auto"/>
          <w:sz w:val="24"/>
        </w:rPr>
      </w:pPr>
    </w:p>
    <w:p>
      <w:pPr>
        <w:spacing w:line="440" w:lineRule="exact"/>
        <w:ind w:firstLine="570"/>
        <w:rPr>
          <w:rFonts w:hint="eastAsia" w:ascii="宋体" w:hAnsi="宋体"/>
          <w:b/>
          <w:color w:val="auto"/>
          <w:sz w:val="24"/>
        </w:rPr>
      </w:pPr>
      <w:r>
        <w:rPr>
          <w:rFonts w:hint="eastAsia" w:ascii="宋体" w:hAnsi="宋体"/>
          <w:b/>
          <w:color w:val="auto"/>
          <w:sz w:val="24"/>
        </w:rPr>
        <w:t>第十四条  技术服务和检验</w:t>
      </w:r>
    </w:p>
    <w:p>
      <w:pPr>
        <w:numPr>
          <w:ilvl w:val="0"/>
          <w:numId w:val="16"/>
        </w:numPr>
        <w:tabs>
          <w:tab w:val="left" w:pos="540"/>
          <w:tab w:val="clear" w:pos="1080"/>
        </w:tabs>
        <w:spacing w:line="440" w:lineRule="exact"/>
        <w:ind w:left="540" w:firstLine="0"/>
        <w:rPr>
          <w:rFonts w:hint="eastAsia" w:ascii="宋体" w:hAnsi="宋体"/>
          <w:color w:val="auto"/>
          <w:sz w:val="24"/>
        </w:rPr>
      </w:pPr>
      <w:r>
        <w:rPr>
          <w:rFonts w:hint="eastAsia" w:ascii="宋体" w:hAnsi="宋体"/>
          <w:color w:val="auto"/>
          <w:sz w:val="24"/>
        </w:rPr>
        <w:t>卖方应及时提供与本合同设备有关的安装、调试、验收、性能验收试验、运行、检修等相应的技术指导、技术配合、技术培训等全过程的服务。</w:t>
      </w:r>
    </w:p>
    <w:p>
      <w:pPr>
        <w:numPr>
          <w:ilvl w:val="0"/>
          <w:numId w:val="16"/>
        </w:numPr>
        <w:tabs>
          <w:tab w:val="left" w:pos="540"/>
          <w:tab w:val="clear" w:pos="1080"/>
        </w:tabs>
        <w:spacing w:line="440" w:lineRule="exact"/>
        <w:ind w:left="540" w:firstLine="0"/>
        <w:rPr>
          <w:rFonts w:hint="eastAsia" w:ascii="宋体" w:hAnsi="宋体"/>
          <w:color w:val="auto"/>
          <w:sz w:val="24"/>
        </w:rPr>
      </w:pPr>
      <w:r>
        <w:rPr>
          <w:rFonts w:hint="eastAsia" w:ascii="宋体" w:hAnsi="宋体"/>
          <w:color w:val="auto"/>
          <w:sz w:val="24"/>
        </w:rPr>
        <w:t>卖方需派代表到现场进行技术服务，指导买方按卖方的技术资料、图纸进行安装、分部试运、调试、启动和试运行，并负责解决合同设备在安装调试、试运行中发现的制造质量及性能等有关问题。</w:t>
      </w:r>
    </w:p>
    <w:p>
      <w:pPr>
        <w:numPr>
          <w:ilvl w:val="0"/>
          <w:numId w:val="16"/>
        </w:numPr>
        <w:tabs>
          <w:tab w:val="left" w:pos="540"/>
          <w:tab w:val="clear" w:pos="1080"/>
        </w:tabs>
        <w:spacing w:line="440" w:lineRule="exact"/>
        <w:ind w:left="540" w:firstLine="0"/>
        <w:rPr>
          <w:rFonts w:hint="eastAsia" w:ascii="宋体" w:hAnsi="宋体"/>
          <w:color w:val="auto"/>
          <w:sz w:val="24"/>
        </w:rPr>
      </w:pPr>
      <w:r>
        <w:rPr>
          <w:rFonts w:hint="eastAsia" w:ascii="宋体" w:hAnsi="宋体"/>
          <w:color w:val="auto"/>
          <w:sz w:val="24"/>
        </w:rPr>
        <w:t>卖方应在合同生效后1个月内以快递邮寄方式向买方提交执行14.2条规定的服务工作的组织计划一式两份。</w:t>
      </w:r>
    </w:p>
    <w:p>
      <w:pPr>
        <w:numPr>
          <w:ilvl w:val="0"/>
          <w:numId w:val="16"/>
        </w:numPr>
        <w:tabs>
          <w:tab w:val="left" w:pos="540"/>
          <w:tab w:val="clear" w:pos="1080"/>
        </w:tabs>
        <w:spacing w:line="440" w:lineRule="exact"/>
        <w:ind w:left="540" w:firstLine="0"/>
        <w:rPr>
          <w:rFonts w:hint="eastAsia" w:ascii="宋体" w:hAnsi="宋体"/>
          <w:color w:val="auto"/>
          <w:sz w:val="24"/>
        </w:rPr>
      </w:pPr>
      <w:r>
        <w:rPr>
          <w:rFonts w:hint="eastAsia" w:ascii="宋体" w:hAnsi="宋体"/>
          <w:color w:val="auto"/>
          <w:sz w:val="24"/>
        </w:rPr>
        <w:t>如遇有重大问题需要双方立即研究协商时，任何一方均可建议召开会议，在一般情况下，另一方应同意参加。</w:t>
      </w:r>
    </w:p>
    <w:p>
      <w:pPr>
        <w:numPr>
          <w:ilvl w:val="0"/>
          <w:numId w:val="16"/>
        </w:numPr>
        <w:tabs>
          <w:tab w:val="left" w:pos="540"/>
          <w:tab w:val="clear" w:pos="1080"/>
        </w:tabs>
        <w:spacing w:line="440" w:lineRule="exact"/>
        <w:ind w:left="540" w:firstLine="0"/>
        <w:rPr>
          <w:rFonts w:hint="eastAsia" w:ascii="宋体" w:hAnsi="宋体"/>
          <w:color w:val="auto"/>
          <w:sz w:val="24"/>
        </w:rPr>
      </w:pPr>
      <w:r>
        <w:rPr>
          <w:rFonts w:hint="eastAsia" w:ascii="宋体" w:hAnsi="宋体"/>
          <w:color w:val="auto"/>
          <w:sz w:val="24"/>
        </w:rPr>
        <w:t>各次会议及其他联络方式双方均应签订会议或联络纪要，所签纪要双方均应执行。如涉及合同条款有修改时，双方需签订补充或更改合同。</w:t>
      </w:r>
    </w:p>
    <w:p>
      <w:pPr>
        <w:numPr>
          <w:ilvl w:val="0"/>
          <w:numId w:val="16"/>
        </w:numPr>
        <w:tabs>
          <w:tab w:val="left" w:pos="540"/>
          <w:tab w:val="clear" w:pos="1080"/>
        </w:tabs>
        <w:spacing w:line="440" w:lineRule="exact"/>
        <w:ind w:left="540" w:firstLine="0"/>
        <w:rPr>
          <w:rFonts w:hint="eastAsia" w:ascii="宋体" w:hAnsi="宋体"/>
          <w:color w:val="auto"/>
          <w:sz w:val="24"/>
        </w:rPr>
      </w:pPr>
      <w:r>
        <w:rPr>
          <w:rFonts w:hint="eastAsia" w:ascii="宋体" w:hAnsi="宋体"/>
          <w:color w:val="auto"/>
          <w:sz w:val="24"/>
        </w:rPr>
        <w:t>卖方提出并经双方在会议上确定的安装、调试和运行技术服务方案，卖方如有修改，须以书面形式通知买方，经买方确认后方可进行。为适应现场条件的要求，买方有权提出变更或修改意见，并书面通知卖方，卖方应给予充分考虑，应尽量满足买方要求。</w:t>
      </w:r>
    </w:p>
    <w:p>
      <w:pPr>
        <w:numPr>
          <w:ilvl w:val="0"/>
          <w:numId w:val="16"/>
        </w:numPr>
        <w:tabs>
          <w:tab w:val="left" w:pos="540"/>
          <w:tab w:val="clear" w:pos="1080"/>
        </w:tabs>
        <w:spacing w:line="440" w:lineRule="exact"/>
        <w:ind w:left="540" w:firstLine="0"/>
        <w:rPr>
          <w:rFonts w:hint="eastAsia" w:ascii="宋体" w:hAnsi="宋体"/>
          <w:color w:val="auto"/>
          <w:sz w:val="24"/>
        </w:rPr>
      </w:pPr>
      <w:r>
        <w:rPr>
          <w:rFonts w:hint="eastAsia" w:ascii="宋体" w:hAnsi="宋体"/>
          <w:color w:val="auto"/>
          <w:sz w:val="24"/>
        </w:rPr>
        <w:t>买方有权将对方所提供的一切与本合同设备有关的资料分发给与本工程有关的各方，并不由此而构成任何侵权,但不得向任何与本工程无关的第三方提供。</w:t>
      </w:r>
    </w:p>
    <w:p>
      <w:pPr>
        <w:numPr>
          <w:ilvl w:val="0"/>
          <w:numId w:val="16"/>
        </w:numPr>
        <w:tabs>
          <w:tab w:val="left" w:pos="540"/>
          <w:tab w:val="clear" w:pos="1080"/>
        </w:tabs>
        <w:spacing w:line="440" w:lineRule="exact"/>
        <w:ind w:left="540" w:firstLine="0"/>
        <w:rPr>
          <w:rFonts w:hint="eastAsia" w:ascii="宋体" w:hAnsi="宋体"/>
          <w:color w:val="auto"/>
          <w:sz w:val="24"/>
        </w:rPr>
      </w:pPr>
      <w:r>
        <w:rPr>
          <w:rFonts w:hint="eastAsia" w:ascii="宋体" w:hAnsi="宋体"/>
          <w:color w:val="auto"/>
          <w:sz w:val="24"/>
        </w:rPr>
        <w:t>对盖有“密件”印章的卖方、买方的资料，双方都有为其保密的义务。</w:t>
      </w:r>
    </w:p>
    <w:p>
      <w:pPr>
        <w:numPr>
          <w:ilvl w:val="0"/>
          <w:numId w:val="16"/>
        </w:numPr>
        <w:tabs>
          <w:tab w:val="left" w:pos="540"/>
          <w:tab w:val="clear" w:pos="1080"/>
        </w:tabs>
        <w:spacing w:line="440" w:lineRule="exact"/>
        <w:ind w:left="540" w:firstLine="0"/>
        <w:rPr>
          <w:rFonts w:hint="eastAsia" w:ascii="宋体" w:hAnsi="宋体"/>
          <w:color w:val="auto"/>
          <w:sz w:val="24"/>
        </w:rPr>
      </w:pPr>
      <w:r>
        <w:rPr>
          <w:rFonts w:hint="eastAsia" w:ascii="宋体" w:hAnsi="宋体"/>
          <w:color w:val="auto"/>
          <w:sz w:val="24"/>
        </w:rPr>
        <w:t>需要卖方的分包商对合同设备的部分技术服务或去现场工作，应由卖方统一组织并征得买方同意，费用应由卖方负担。</w:t>
      </w:r>
    </w:p>
    <w:p>
      <w:pPr>
        <w:numPr>
          <w:ilvl w:val="0"/>
          <w:numId w:val="16"/>
        </w:numPr>
        <w:tabs>
          <w:tab w:val="left" w:pos="540"/>
          <w:tab w:val="clear" w:pos="1080"/>
        </w:tabs>
        <w:spacing w:line="440" w:lineRule="exact"/>
        <w:ind w:left="540" w:firstLine="0"/>
        <w:rPr>
          <w:rFonts w:hint="eastAsia" w:ascii="宋体" w:hAnsi="宋体"/>
          <w:color w:val="auto"/>
          <w:sz w:val="24"/>
        </w:rPr>
      </w:pPr>
      <w:r>
        <w:rPr>
          <w:rFonts w:hint="eastAsia" w:ascii="宋体" w:hAnsi="宋体"/>
          <w:color w:val="auto"/>
          <w:sz w:val="24"/>
        </w:rPr>
        <w:t>卖方（包括外购）须对一切与本合同有关的供货、设备及技术接口、技术服务等问题负全部责任。</w:t>
      </w:r>
    </w:p>
    <w:p>
      <w:pPr>
        <w:numPr>
          <w:ilvl w:val="0"/>
          <w:numId w:val="16"/>
        </w:numPr>
        <w:tabs>
          <w:tab w:val="left" w:pos="540"/>
          <w:tab w:val="clear" w:pos="1080"/>
        </w:tabs>
        <w:spacing w:line="440" w:lineRule="exact"/>
        <w:ind w:left="540" w:firstLine="0"/>
        <w:rPr>
          <w:rFonts w:hint="eastAsia" w:ascii="宋体" w:hAnsi="宋体"/>
          <w:color w:val="auto"/>
          <w:sz w:val="24"/>
        </w:rPr>
      </w:pPr>
      <w:r>
        <w:rPr>
          <w:rFonts w:hint="eastAsia" w:ascii="宋体" w:hAnsi="宋体"/>
          <w:color w:val="auto"/>
          <w:sz w:val="24"/>
        </w:rPr>
        <w:t>凡与本合同设备相连接的其它设备装置，卖方有提供接口和技术配合的义务，并不由此而发生合同价格以外的任何费用。</w:t>
      </w:r>
    </w:p>
    <w:p>
      <w:pPr>
        <w:numPr>
          <w:ilvl w:val="0"/>
          <w:numId w:val="16"/>
        </w:numPr>
        <w:tabs>
          <w:tab w:val="left" w:pos="540"/>
          <w:tab w:val="clear" w:pos="1080"/>
        </w:tabs>
        <w:spacing w:line="440" w:lineRule="exact"/>
        <w:ind w:left="540" w:firstLine="0"/>
        <w:rPr>
          <w:rFonts w:hint="eastAsia" w:ascii="宋体" w:hAnsi="宋体"/>
          <w:color w:val="auto"/>
          <w:sz w:val="24"/>
        </w:rPr>
      </w:pPr>
      <w:r>
        <w:rPr>
          <w:rFonts w:hint="eastAsia" w:ascii="宋体" w:hAnsi="宋体"/>
          <w:color w:val="auto"/>
          <w:sz w:val="24"/>
        </w:rPr>
        <w:t>卖方派到现场服务的技术人员应是有实践经验、可胜任此项工作的人员。卖方派到现场服务的技术人员名单在本合同生效后1个月内提交买方予以确认。</w:t>
      </w:r>
    </w:p>
    <w:p>
      <w:pPr>
        <w:spacing w:line="440" w:lineRule="exact"/>
        <w:ind w:left="540" w:leftChars="257" w:firstLine="420" w:firstLineChars="175"/>
        <w:rPr>
          <w:rFonts w:hint="eastAsia" w:ascii="宋体" w:hAnsi="宋体"/>
          <w:color w:val="auto"/>
          <w:sz w:val="24"/>
        </w:rPr>
      </w:pPr>
      <w:r>
        <w:rPr>
          <w:rFonts w:hint="eastAsia" w:ascii="宋体" w:hAnsi="宋体"/>
          <w:color w:val="auto"/>
          <w:sz w:val="24"/>
        </w:rPr>
        <w:t>买方有权提出更换不符合要求的卖方现场服务人员，卖方应根据现场需要，重新选派买方认可的服务人员。如果买方在书面提出该项要求10天内卖方没有答复，将按第十五条视为延误工期等同处理。</w:t>
      </w:r>
    </w:p>
    <w:p>
      <w:pPr>
        <w:numPr>
          <w:ilvl w:val="0"/>
          <w:numId w:val="16"/>
        </w:numPr>
        <w:tabs>
          <w:tab w:val="left" w:pos="540"/>
          <w:tab w:val="clear" w:pos="1080"/>
        </w:tabs>
        <w:spacing w:line="440" w:lineRule="exact"/>
        <w:ind w:left="540" w:firstLine="0"/>
        <w:rPr>
          <w:rFonts w:hint="eastAsia" w:ascii="宋体" w:hAnsi="宋体"/>
          <w:color w:val="auto"/>
          <w:sz w:val="24"/>
        </w:rPr>
      </w:pPr>
      <w:r>
        <w:rPr>
          <w:rFonts w:hint="eastAsia" w:ascii="宋体" w:hAnsi="宋体"/>
          <w:color w:val="auto"/>
          <w:sz w:val="24"/>
        </w:rPr>
        <w:t>由于卖方技术服务人员对安装、调试、试运的技术指导的疏忽和错误以及卖方未按要求派人指导而造成的损失应由卖方负责。</w:t>
      </w:r>
    </w:p>
    <w:p>
      <w:pPr>
        <w:numPr>
          <w:ilvl w:val="0"/>
          <w:numId w:val="16"/>
        </w:numPr>
        <w:tabs>
          <w:tab w:val="left" w:pos="540"/>
          <w:tab w:val="clear" w:pos="1080"/>
        </w:tabs>
        <w:spacing w:line="440" w:lineRule="exact"/>
        <w:ind w:left="540" w:firstLine="0"/>
        <w:rPr>
          <w:rFonts w:hint="eastAsia" w:ascii="宋体" w:hAnsi="宋体"/>
          <w:color w:val="auto"/>
          <w:sz w:val="24"/>
        </w:rPr>
      </w:pPr>
      <w:r>
        <w:rPr>
          <w:rFonts w:hint="eastAsia" w:ascii="宋体" w:hAnsi="宋体"/>
          <w:color w:val="auto"/>
          <w:sz w:val="24"/>
        </w:rPr>
        <w:t>卖方应在发货之前对货物的有关质量、规格、性能、数量进行准确的全面的检验，并出具其货物符合规定的质量证明书。该证书将作为提交付款单据的一部分。但不应视为是对质量、规格、性能、数量的定论。质量证书应附有写明制造商的出厂检验结果、细节说明。</w:t>
      </w:r>
    </w:p>
    <w:p>
      <w:pPr>
        <w:spacing w:line="440" w:lineRule="exact"/>
        <w:ind w:left="540" w:leftChars="257" w:firstLine="508" w:firstLineChars="212"/>
        <w:rPr>
          <w:rFonts w:hint="eastAsia" w:ascii="宋体" w:hAnsi="宋体"/>
          <w:color w:val="auto"/>
          <w:sz w:val="24"/>
        </w:rPr>
      </w:pPr>
      <w:r>
        <w:rPr>
          <w:rFonts w:hint="eastAsia" w:ascii="宋体" w:hAnsi="宋体"/>
          <w:color w:val="auto"/>
          <w:sz w:val="24"/>
        </w:rPr>
        <w:t>由卖方供应的所有合同设备/部件(包括分包与外购),在生产过程中都须进行严格的检验和试验,出厂前须进行部套和/或整机总装和试验。所有检验、试验和总装(装配)必须有正式的记录文件。以上工作完成之后,合格者才能出厂发运。</w:t>
      </w:r>
    </w:p>
    <w:p>
      <w:pPr>
        <w:spacing w:line="440" w:lineRule="exact"/>
        <w:ind w:left="540" w:leftChars="257" w:firstLine="508" w:firstLineChars="212"/>
        <w:rPr>
          <w:rFonts w:hint="eastAsia" w:ascii="宋体" w:hAnsi="宋体"/>
          <w:color w:val="auto"/>
          <w:sz w:val="24"/>
        </w:rPr>
      </w:pPr>
      <w:r>
        <w:rPr>
          <w:rFonts w:hint="eastAsia" w:ascii="宋体" w:hAnsi="宋体"/>
          <w:color w:val="auto"/>
          <w:sz w:val="24"/>
        </w:rPr>
        <w:t>所有这些正式的记录文件及合格证作为技术资料的一部分，卖方要以快递方式邮寄给买方存档。此外,卖方还应在随机文件中提供合格证和质量证明文件。</w:t>
      </w:r>
    </w:p>
    <w:p>
      <w:pPr>
        <w:numPr>
          <w:ilvl w:val="0"/>
          <w:numId w:val="16"/>
        </w:numPr>
        <w:tabs>
          <w:tab w:val="left" w:pos="540"/>
          <w:tab w:val="clear" w:pos="1080"/>
        </w:tabs>
        <w:spacing w:line="440" w:lineRule="exact"/>
        <w:ind w:left="540" w:firstLine="0"/>
        <w:rPr>
          <w:rFonts w:hint="eastAsia" w:ascii="宋体" w:hAnsi="宋体"/>
          <w:color w:val="auto"/>
          <w:sz w:val="24"/>
        </w:rPr>
      </w:pPr>
      <w:r>
        <w:rPr>
          <w:rFonts w:hint="eastAsia" w:ascii="宋体" w:hAnsi="宋体"/>
          <w:color w:val="auto"/>
          <w:sz w:val="24"/>
        </w:rPr>
        <w:t>货物运抵现场后，卖方在接到买方通知后应及时到现场，与买方将对货物的有关质量、规格、数量/重量进行检验，并出具检验证书，该检验证书不免除或减轻卖方对货物应承担的任何质量责任。</w:t>
      </w:r>
    </w:p>
    <w:p>
      <w:pPr>
        <w:spacing w:line="440" w:lineRule="exact"/>
        <w:ind w:left="540" w:leftChars="257" w:firstLine="508" w:firstLineChars="212"/>
        <w:rPr>
          <w:rFonts w:hint="eastAsia" w:ascii="宋体" w:hAnsi="宋体"/>
          <w:color w:val="auto"/>
          <w:sz w:val="24"/>
        </w:rPr>
      </w:pPr>
      <w:r>
        <w:rPr>
          <w:rFonts w:hint="eastAsia" w:ascii="宋体" w:hAnsi="宋体"/>
          <w:color w:val="auto"/>
          <w:sz w:val="24"/>
        </w:rPr>
        <w:t>在现场开箱检验时，如果卖方人员未按时赴现场，买方有权自行开箱检验，检验结果和记录对双方同样有效，并作为买方向卖方提出索赔的有效证据。</w:t>
      </w:r>
    </w:p>
    <w:p>
      <w:pPr>
        <w:spacing w:line="440" w:lineRule="exact"/>
        <w:ind w:left="540" w:leftChars="257" w:firstLine="508" w:firstLineChars="212"/>
        <w:rPr>
          <w:rFonts w:hint="eastAsia" w:ascii="宋体" w:hAnsi="宋体"/>
          <w:color w:val="auto"/>
          <w:sz w:val="24"/>
        </w:rPr>
      </w:pPr>
      <w:r>
        <w:rPr>
          <w:rFonts w:hint="eastAsia" w:ascii="宋体" w:hAnsi="宋体"/>
          <w:color w:val="auto"/>
          <w:sz w:val="24"/>
        </w:rPr>
        <w:t>如果经检验发现质量、规格或数量不符合技术规格书的规定时，买方有权在货物运抵现场后90日内向卖方提出索赔。</w:t>
      </w:r>
    </w:p>
    <w:p>
      <w:pPr>
        <w:numPr>
          <w:ilvl w:val="0"/>
          <w:numId w:val="16"/>
        </w:numPr>
        <w:tabs>
          <w:tab w:val="left" w:pos="540"/>
          <w:tab w:val="clear" w:pos="1080"/>
        </w:tabs>
        <w:spacing w:line="440" w:lineRule="exact"/>
        <w:ind w:left="540" w:firstLine="0"/>
        <w:rPr>
          <w:rFonts w:hint="eastAsia" w:ascii="宋体" w:hAnsi="宋体"/>
          <w:color w:val="auto"/>
          <w:sz w:val="24"/>
        </w:rPr>
      </w:pPr>
      <w:r>
        <w:rPr>
          <w:rFonts w:hint="eastAsia" w:ascii="宋体" w:hAnsi="宋体"/>
          <w:color w:val="auto"/>
          <w:sz w:val="24"/>
        </w:rPr>
        <w:t>如果在第十三条规定的质量保证期内，发现货物的质量或规格与合同规定不符，或证明货物有缺陷（包括潜在缺陷），买方有权立即将此情况通知卖方，卖方应负责处理，并对买方因此遭受的损失承担赔偿责任。</w:t>
      </w:r>
    </w:p>
    <w:p>
      <w:pPr>
        <w:spacing w:line="440" w:lineRule="exact"/>
        <w:ind w:firstLine="570"/>
        <w:rPr>
          <w:rFonts w:hint="eastAsia" w:ascii="宋体" w:hAnsi="宋体"/>
          <w:color w:val="auto"/>
          <w:sz w:val="24"/>
        </w:rPr>
      </w:pPr>
      <w:r>
        <w:rPr>
          <w:rFonts w:hint="eastAsia" w:ascii="宋体" w:hAnsi="宋体"/>
          <w:color w:val="auto"/>
          <w:sz w:val="24"/>
        </w:rPr>
        <w:t xml:space="preserve"> </w:t>
      </w:r>
    </w:p>
    <w:p>
      <w:pPr>
        <w:spacing w:line="440" w:lineRule="exact"/>
        <w:ind w:firstLine="570"/>
        <w:rPr>
          <w:rFonts w:hint="eastAsia" w:ascii="宋体" w:hAnsi="宋体"/>
          <w:b/>
          <w:color w:val="auto"/>
          <w:sz w:val="24"/>
        </w:rPr>
      </w:pPr>
      <w:r>
        <w:rPr>
          <w:rFonts w:hint="eastAsia" w:ascii="宋体" w:hAnsi="宋体"/>
          <w:b/>
          <w:color w:val="auto"/>
          <w:sz w:val="24"/>
        </w:rPr>
        <w:t>第十五条  索赔</w:t>
      </w:r>
    </w:p>
    <w:p>
      <w:pPr>
        <w:numPr>
          <w:ilvl w:val="0"/>
          <w:numId w:val="17"/>
        </w:numPr>
        <w:tabs>
          <w:tab w:val="left" w:pos="1260"/>
          <w:tab w:val="clear" w:pos="1080"/>
        </w:tabs>
        <w:spacing w:line="440" w:lineRule="exact"/>
        <w:ind w:left="540" w:firstLine="0"/>
        <w:rPr>
          <w:rFonts w:hint="eastAsia" w:ascii="宋体" w:hAnsi="宋体"/>
          <w:color w:val="auto"/>
          <w:sz w:val="24"/>
        </w:rPr>
      </w:pPr>
      <w:r>
        <w:rPr>
          <w:rFonts w:hint="eastAsia" w:ascii="宋体" w:hAnsi="宋体"/>
          <w:color w:val="auto"/>
          <w:sz w:val="24"/>
        </w:rPr>
        <w:t>如果卖方提供的货物与合同不符，并且买方已于第十三条、第十四条规定的质量保证期内和检验、验收测试期限内提出索赔，卖方应按买方同意的下述一种或多种方法解决索赔事宜。</w:t>
      </w:r>
    </w:p>
    <w:p>
      <w:pPr>
        <w:numPr>
          <w:ilvl w:val="0"/>
          <w:numId w:val="18"/>
        </w:numPr>
        <w:tabs>
          <w:tab w:val="left" w:pos="1260"/>
          <w:tab w:val="clear" w:pos="1080"/>
        </w:tabs>
        <w:spacing w:line="440" w:lineRule="exact"/>
        <w:ind w:left="540" w:firstLine="0"/>
        <w:rPr>
          <w:rFonts w:hint="eastAsia" w:ascii="宋体" w:hAnsi="宋体"/>
          <w:color w:val="auto"/>
          <w:sz w:val="24"/>
        </w:rPr>
      </w:pPr>
      <w:r>
        <w:rPr>
          <w:rFonts w:hint="eastAsia" w:ascii="宋体" w:hAnsi="宋体"/>
          <w:color w:val="auto"/>
          <w:sz w:val="24"/>
        </w:rPr>
        <w:t>卖方应向买方支付与被拒收货物价值等额的款项，并应负担由此发生的一切损失补偿和费用，包括利息、银行费用、运费和保险费、检验费、仓储费、装卸费以及为保管和保护被拒绝货物所需要的其它必要费用等。如果买方选择按本项解决索赔事宜，则在卖方支付前述款项和费用后，卖方将被免除按本合同交付该批货物的义务。</w:t>
      </w:r>
    </w:p>
    <w:p>
      <w:pPr>
        <w:spacing w:line="440" w:lineRule="exact"/>
        <w:ind w:left="540"/>
        <w:rPr>
          <w:rFonts w:hint="eastAsia" w:ascii="宋体" w:hAnsi="宋体"/>
          <w:color w:val="auto"/>
          <w:sz w:val="24"/>
        </w:rPr>
      </w:pPr>
      <w:r>
        <w:rPr>
          <w:rFonts w:hint="eastAsia" w:ascii="宋体" w:hAnsi="宋体"/>
          <w:color w:val="auto"/>
          <w:sz w:val="24"/>
        </w:rPr>
        <w:t>15.1.2 更换不合格的货物，以达到合同规定的规格、质量和性能，卖方承担由此产生的一切费用和风险并负担买方遭受的一切直接费用和损失。同时卖方应根据第十三条规定对更换的货物相应地延长质量保证期。</w:t>
      </w:r>
    </w:p>
    <w:p>
      <w:pPr>
        <w:numPr>
          <w:ilvl w:val="0"/>
          <w:numId w:val="17"/>
        </w:numPr>
        <w:tabs>
          <w:tab w:val="left" w:pos="1260"/>
          <w:tab w:val="clear" w:pos="1080"/>
        </w:tabs>
        <w:spacing w:line="440" w:lineRule="exact"/>
        <w:ind w:left="540" w:firstLine="0"/>
        <w:rPr>
          <w:rFonts w:hint="eastAsia" w:ascii="宋体" w:hAnsi="宋体"/>
          <w:color w:val="auto"/>
          <w:sz w:val="24"/>
        </w:rPr>
      </w:pPr>
      <w:r>
        <w:rPr>
          <w:rFonts w:hint="eastAsia" w:ascii="宋体" w:hAnsi="宋体"/>
          <w:color w:val="auto"/>
          <w:sz w:val="24"/>
        </w:rPr>
        <w:t>由于卖方原因而引起的设备或部件的更换或补齐短少的零部件的时间，以不影响工程建设进度为原则，但最迟不得晚于发现缺陷、损坏或短缺等之后1周或买卖双方商定的更长时间内，否则按延迟交货处理。</w:t>
      </w:r>
    </w:p>
    <w:p>
      <w:pPr>
        <w:numPr>
          <w:ilvl w:val="0"/>
          <w:numId w:val="17"/>
        </w:numPr>
        <w:tabs>
          <w:tab w:val="left" w:pos="1260"/>
          <w:tab w:val="clear" w:pos="1080"/>
        </w:tabs>
        <w:spacing w:line="440" w:lineRule="exact"/>
        <w:ind w:left="540" w:firstLine="0"/>
        <w:rPr>
          <w:rFonts w:hint="eastAsia" w:ascii="宋体" w:hAnsi="宋体"/>
          <w:color w:val="auto"/>
          <w:sz w:val="24"/>
        </w:rPr>
      </w:pPr>
      <w:r>
        <w:rPr>
          <w:rFonts w:hint="eastAsia" w:ascii="宋体" w:hAnsi="宋体"/>
          <w:color w:val="auto"/>
          <w:sz w:val="24"/>
        </w:rPr>
        <w:t xml:space="preserve"> 如果买方提出索赔通知后个20日内卖方未能答复，该索赔应视为已被卖方接受。若卖方未能在买方提出索赔通知的20日内或买方同意的更长一些的时间内，按买方同意的上述任何一种方式处理索赔事宜，买方将从货款或卖方提供的履约保证金或质量保证金中扣回索赔金额，履约保证金或质量保证金金额不足时，买方有权向卖方进行进一步的索赔。</w:t>
      </w:r>
    </w:p>
    <w:p>
      <w:pPr>
        <w:spacing w:line="440" w:lineRule="exact"/>
        <w:ind w:firstLine="570"/>
        <w:rPr>
          <w:rFonts w:ascii="宋体" w:hAnsi="宋体"/>
          <w:color w:val="auto"/>
          <w:sz w:val="24"/>
        </w:rPr>
      </w:pPr>
    </w:p>
    <w:p>
      <w:pPr>
        <w:spacing w:line="440" w:lineRule="exact"/>
        <w:ind w:firstLine="570"/>
        <w:rPr>
          <w:rFonts w:hint="eastAsia" w:ascii="宋体" w:hAnsi="宋体"/>
          <w:b/>
          <w:color w:val="auto"/>
          <w:sz w:val="24"/>
        </w:rPr>
      </w:pPr>
      <w:r>
        <w:rPr>
          <w:rFonts w:hint="eastAsia" w:ascii="宋体" w:hAnsi="宋体"/>
          <w:b/>
          <w:color w:val="auto"/>
          <w:sz w:val="24"/>
        </w:rPr>
        <w:t>第十六条 安装、调试、试运和验收</w:t>
      </w:r>
    </w:p>
    <w:p>
      <w:pPr>
        <w:numPr>
          <w:ilvl w:val="0"/>
          <w:numId w:val="19"/>
        </w:numPr>
        <w:tabs>
          <w:tab w:val="left" w:pos="540"/>
          <w:tab w:val="left" w:pos="1260"/>
          <w:tab w:val="clear" w:pos="1080"/>
        </w:tabs>
        <w:spacing w:line="440" w:lineRule="exact"/>
        <w:ind w:left="540" w:firstLine="0" w:firstLineChars="0"/>
        <w:rPr>
          <w:rFonts w:ascii="宋体" w:hAnsi="宋体"/>
          <w:sz w:val="24"/>
          <w:szCs w:val="24"/>
          <w:highlight w:val="none"/>
        </w:rPr>
      </w:pPr>
      <w:r>
        <w:rPr>
          <w:rFonts w:hint="eastAsia" w:ascii="宋体" w:hAnsi="宋体" w:cs="Times New Roman"/>
          <w:sz w:val="24"/>
          <w:szCs w:val="24"/>
          <w:highlight w:val="none"/>
        </w:rPr>
        <w:t>本合同设备由卖方根据相关设备的技术资料、检验标准、图纸及说明书进行安装、调试、运行和维修。重要工序须经卖方现场技术服务人员签字确认。安装、调试过程中，若卖方未按相关设备的技术资料规定和安装规定而出现问题，卖方自行负责。</w:t>
      </w:r>
    </w:p>
    <w:p>
      <w:pPr>
        <w:numPr>
          <w:ilvl w:val="0"/>
          <w:numId w:val="19"/>
        </w:numPr>
        <w:tabs>
          <w:tab w:val="left" w:pos="540"/>
          <w:tab w:val="left" w:pos="1260"/>
          <w:tab w:val="clear" w:pos="1080"/>
        </w:tabs>
        <w:spacing w:line="440" w:lineRule="exact"/>
        <w:ind w:left="540" w:firstLine="0" w:firstLineChars="0"/>
        <w:rPr>
          <w:rFonts w:ascii="宋体" w:hAnsi="宋体"/>
          <w:sz w:val="24"/>
          <w:szCs w:val="24"/>
          <w:highlight w:val="none"/>
        </w:rPr>
      </w:pPr>
      <w:r>
        <w:rPr>
          <w:rFonts w:hint="eastAsia" w:ascii="宋体" w:hAnsi="宋体"/>
          <w:sz w:val="24"/>
          <w:szCs w:val="24"/>
          <w:highlight w:val="none"/>
        </w:rPr>
        <w:t>在安装之前，卖方技术人员应</w:t>
      </w:r>
      <w:r>
        <w:rPr>
          <w:rFonts w:hint="eastAsia" w:ascii="宋体" w:hAnsi="宋体"/>
          <w:sz w:val="24"/>
          <w:szCs w:val="24"/>
          <w:highlight w:val="none"/>
          <w:lang w:val="en-US" w:eastAsia="zh-CN"/>
        </w:rPr>
        <w:t>说明</w:t>
      </w:r>
      <w:r>
        <w:rPr>
          <w:rFonts w:hint="eastAsia" w:ascii="宋体" w:hAnsi="宋体"/>
          <w:sz w:val="24"/>
          <w:szCs w:val="24"/>
          <w:highlight w:val="none"/>
        </w:rPr>
        <w:t>安装方法和要求。在安装过程中，</w:t>
      </w:r>
      <w:r>
        <w:rPr>
          <w:rFonts w:hint="eastAsia" w:ascii="宋体" w:hAnsi="宋体"/>
          <w:sz w:val="24"/>
          <w:szCs w:val="24"/>
          <w:highlight w:val="none"/>
          <w:lang w:val="en-US" w:eastAsia="zh-CN"/>
        </w:rPr>
        <w:t>买</w:t>
      </w:r>
      <w:r>
        <w:rPr>
          <w:rFonts w:hint="eastAsia" w:ascii="宋体" w:hAnsi="宋体"/>
          <w:sz w:val="24"/>
          <w:szCs w:val="24"/>
          <w:highlight w:val="none"/>
        </w:rPr>
        <w:t>方技术人员</w:t>
      </w:r>
      <w:r>
        <w:rPr>
          <w:rFonts w:hint="eastAsia" w:ascii="宋体" w:hAnsi="宋体"/>
          <w:sz w:val="24"/>
          <w:szCs w:val="24"/>
          <w:highlight w:val="none"/>
          <w:lang w:val="en-US" w:eastAsia="zh-CN"/>
        </w:rPr>
        <w:t>有权对</w:t>
      </w:r>
      <w:r>
        <w:rPr>
          <w:rFonts w:hint="eastAsia" w:ascii="宋体" w:hAnsi="宋体"/>
          <w:sz w:val="24"/>
          <w:szCs w:val="24"/>
          <w:highlight w:val="none"/>
        </w:rPr>
        <w:t>安装工作</w:t>
      </w:r>
      <w:r>
        <w:rPr>
          <w:rFonts w:hint="eastAsia" w:ascii="宋体" w:hAnsi="宋体"/>
          <w:sz w:val="24"/>
          <w:szCs w:val="24"/>
          <w:highlight w:val="none"/>
          <w:lang w:val="en-US" w:eastAsia="zh-CN"/>
        </w:rPr>
        <w:t>进行</w:t>
      </w:r>
      <w:r>
        <w:rPr>
          <w:rFonts w:ascii="宋体" w:hAnsi="宋体"/>
          <w:sz w:val="24"/>
          <w:szCs w:val="24"/>
          <w:highlight w:val="none"/>
        </w:rPr>
        <w:t>监督</w:t>
      </w:r>
      <w:r>
        <w:rPr>
          <w:rFonts w:hint="eastAsia" w:ascii="宋体" w:hAnsi="宋体"/>
          <w:sz w:val="24"/>
          <w:szCs w:val="24"/>
          <w:highlight w:val="none"/>
          <w:lang w:eastAsia="zh-CN"/>
        </w:rPr>
        <w:t>。</w:t>
      </w:r>
      <w:r>
        <w:rPr>
          <w:rFonts w:ascii="宋体" w:hAnsi="宋体"/>
          <w:sz w:val="24"/>
          <w:szCs w:val="24"/>
          <w:highlight w:val="none"/>
        </w:rPr>
        <w:t>在单套合同设备安装完毕后，买卖双方代表将进一步核实、确认安装工作，并共同签署安装完毕证书一式二份，买卖双方各执一份。但此证书不能解除卖方在试运行、性能验收试验和保证期内的责任，以及技术性能和保证与合同规定不相符的责任。本合同设备安装完毕后的验收工作按照技术规格书的要求进行。</w:t>
      </w:r>
    </w:p>
    <w:p>
      <w:pPr>
        <w:numPr>
          <w:ilvl w:val="0"/>
          <w:numId w:val="19"/>
        </w:numPr>
        <w:tabs>
          <w:tab w:val="left" w:pos="540"/>
          <w:tab w:val="left" w:pos="1260"/>
          <w:tab w:val="clear" w:pos="1080"/>
        </w:tabs>
        <w:spacing w:line="440" w:lineRule="exact"/>
        <w:ind w:left="540" w:firstLine="0" w:firstLineChars="0"/>
        <w:rPr>
          <w:rFonts w:ascii="宋体" w:hAnsi="宋体"/>
          <w:sz w:val="24"/>
          <w:szCs w:val="24"/>
          <w:highlight w:val="none"/>
        </w:rPr>
      </w:pPr>
      <w:r>
        <w:rPr>
          <w:rFonts w:hint="eastAsia" w:ascii="宋体" w:hAnsi="宋体"/>
          <w:sz w:val="24"/>
          <w:szCs w:val="24"/>
          <w:highlight w:val="none"/>
        </w:rPr>
        <w:t>合同设备安装完毕后，卖方应派人参加调试进行指导，并应尽快解决调试中出现的因卖方原因引起的设备问题，其所需时间一般不应超过</w:t>
      </w:r>
      <w:r>
        <w:rPr>
          <w:rFonts w:ascii="宋体" w:hAnsi="宋体"/>
          <w:sz w:val="24"/>
          <w:szCs w:val="24"/>
          <w:highlight w:val="none"/>
        </w:rPr>
        <w:t>1周，对于因卖方原因引起的较大的设备问题，卖方应在双方协商确定的合理期间内解决，否则将视为延误工期进行处理。对于非卖方原因引起的设备问题，卖方应尽快协助买方予以处理。</w:t>
      </w:r>
    </w:p>
    <w:p>
      <w:pPr>
        <w:numPr>
          <w:ilvl w:val="0"/>
          <w:numId w:val="19"/>
        </w:numPr>
        <w:tabs>
          <w:tab w:val="left" w:pos="540"/>
          <w:tab w:val="left" w:pos="1260"/>
          <w:tab w:val="clear" w:pos="1080"/>
        </w:tabs>
        <w:spacing w:line="440" w:lineRule="exact"/>
        <w:ind w:left="540" w:firstLine="0"/>
        <w:rPr>
          <w:rFonts w:hint="eastAsia" w:ascii="宋体" w:hAnsi="宋体"/>
          <w:color w:val="auto"/>
          <w:sz w:val="24"/>
        </w:rPr>
      </w:pPr>
      <w:r>
        <w:rPr>
          <w:rFonts w:hint="eastAsia" w:ascii="宋体" w:hAnsi="宋体"/>
          <w:color w:val="auto"/>
          <w:sz w:val="24"/>
        </w:rPr>
        <w:t>性能验收试验的目的是为验证合同设备是否能达到各项技术性能和保证指标。验收试验由买方负责，卖方参加。性能验收试验完毕,每套合同设备达到技术规格书所规定的各项性能保证值指标后，买方应在10天内签署由卖方会签的本合同设备初步性能验收合格证书一式二份，双方各执一份。除合同中另有规定外，各方人员所发生的费用均由该方自行负担。</w:t>
      </w:r>
    </w:p>
    <w:p>
      <w:pPr>
        <w:numPr>
          <w:ilvl w:val="0"/>
          <w:numId w:val="19"/>
        </w:numPr>
        <w:tabs>
          <w:tab w:val="left" w:pos="540"/>
          <w:tab w:val="left" w:pos="1260"/>
          <w:tab w:val="clear" w:pos="1080"/>
        </w:tabs>
        <w:spacing w:line="440" w:lineRule="exact"/>
        <w:ind w:left="540" w:firstLine="0"/>
        <w:rPr>
          <w:rFonts w:hint="eastAsia" w:ascii="宋体" w:hAnsi="宋体"/>
          <w:color w:val="auto"/>
          <w:sz w:val="24"/>
        </w:rPr>
      </w:pPr>
      <w:r>
        <w:rPr>
          <w:rFonts w:hint="eastAsia" w:ascii="宋体" w:hAnsi="宋体"/>
          <w:color w:val="auto"/>
          <w:sz w:val="24"/>
        </w:rPr>
        <w:t>在不影响本合同设备安全、可靠运行的条件下，如有个别微小缺陷，且此缺陷按本合同条款被定为卖方责任,卖方在双方商定的时间内免费修理上述的缺陷，买方则可同意签署初步性能验收合格证书。</w:t>
      </w:r>
    </w:p>
    <w:p>
      <w:pPr>
        <w:numPr>
          <w:ilvl w:val="0"/>
          <w:numId w:val="19"/>
        </w:numPr>
        <w:tabs>
          <w:tab w:val="left" w:pos="540"/>
          <w:tab w:val="left" w:pos="1260"/>
          <w:tab w:val="clear" w:pos="1080"/>
        </w:tabs>
        <w:spacing w:line="440" w:lineRule="exact"/>
        <w:ind w:left="540" w:firstLine="0"/>
        <w:rPr>
          <w:rFonts w:hint="eastAsia" w:ascii="宋体" w:hAnsi="宋体"/>
          <w:color w:val="auto"/>
          <w:sz w:val="24"/>
        </w:rPr>
      </w:pPr>
      <w:r>
        <w:rPr>
          <w:rFonts w:hint="eastAsia" w:ascii="宋体" w:hAnsi="宋体"/>
          <w:color w:val="auto"/>
          <w:sz w:val="24"/>
        </w:rPr>
        <w:t>如果第一次性能验收试验达不到技术规格书所规定的一项或多项性能保证值，则双方应共同分析原因，澄清责任,由责任一方采取措施，并在第一次验收试验结束后1个月内进行第二次验收试验。</w:t>
      </w:r>
    </w:p>
    <w:p>
      <w:pPr>
        <w:numPr>
          <w:ilvl w:val="0"/>
          <w:numId w:val="20"/>
        </w:numPr>
        <w:tabs>
          <w:tab w:val="left" w:pos="540"/>
          <w:tab w:val="left" w:pos="1260"/>
          <w:tab w:val="clear" w:pos="1080"/>
        </w:tabs>
        <w:spacing w:line="440" w:lineRule="exact"/>
        <w:ind w:left="540" w:firstLine="0"/>
        <w:rPr>
          <w:rFonts w:hint="eastAsia" w:ascii="宋体" w:hAnsi="宋体"/>
          <w:color w:val="auto"/>
          <w:sz w:val="24"/>
        </w:rPr>
      </w:pPr>
      <w:r>
        <w:rPr>
          <w:rFonts w:hint="eastAsia" w:ascii="宋体" w:hAnsi="宋体"/>
          <w:color w:val="auto"/>
          <w:sz w:val="24"/>
        </w:rPr>
        <w:t>如属卖方责任，卖方需自费采取有效措施以使第二次性能验收试验能达到技术性能和/或保证指标，卖方将负担所有直接的费用，包括但不仅限于下列费用：</w:t>
      </w:r>
    </w:p>
    <w:p>
      <w:pPr>
        <w:numPr>
          <w:ilvl w:val="1"/>
          <w:numId w:val="21"/>
        </w:numPr>
        <w:tabs>
          <w:tab w:val="left" w:pos="1260"/>
          <w:tab w:val="clear" w:pos="1320"/>
        </w:tabs>
        <w:spacing w:line="440" w:lineRule="exact"/>
        <w:rPr>
          <w:rFonts w:hint="eastAsia" w:ascii="宋体" w:hAnsi="宋体"/>
          <w:color w:val="auto"/>
          <w:sz w:val="24"/>
        </w:rPr>
      </w:pPr>
      <w:r>
        <w:rPr>
          <w:rFonts w:hint="eastAsia" w:ascii="宋体" w:hAnsi="宋体"/>
          <w:color w:val="auto"/>
          <w:sz w:val="24"/>
        </w:rPr>
        <w:t>替换和/或修理的设备和材料的费用；</w:t>
      </w:r>
    </w:p>
    <w:p>
      <w:pPr>
        <w:numPr>
          <w:ilvl w:val="1"/>
          <w:numId w:val="21"/>
        </w:numPr>
        <w:tabs>
          <w:tab w:val="left" w:pos="1260"/>
          <w:tab w:val="clear" w:pos="1320"/>
        </w:tabs>
        <w:spacing w:line="440" w:lineRule="exact"/>
        <w:rPr>
          <w:rFonts w:hint="eastAsia" w:ascii="宋体" w:hAnsi="宋体"/>
          <w:color w:val="auto"/>
          <w:sz w:val="24"/>
        </w:rPr>
      </w:pPr>
      <w:r>
        <w:rPr>
          <w:rFonts w:hint="eastAsia" w:ascii="宋体" w:hAnsi="宋体"/>
          <w:color w:val="auto"/>
          <w:sz w:val="24"/>
        </w:rPr>
        <w:t>参与第二次性能验收试验的卖方技术人员的费用；</w:t>
      </w:r>
    </w:p>
    <w:p>
      <w:pPr>
        <w:numPr>
          <w:ilvl w:val="1"/>
          <w:numId w:val="21"/>
        </w:numPr>
        <w:tabs>
          <w:tab w:val="left" w:pos="1260"/>
          <w:tab w:val="clear" w:pos="1320"/>
        </w:tabs>
        <w:spacing w:line="440" w:lineRule="exact"/>
        <w:rPr>
          <w:rFonts w:hint="eastAsia" w:ascii="宋体" w:hAnsi="宋体"/>
          <w:color w:val="auto"/>
          <w:sz w:val="24"/>
        </w:rPr>
      </w:pPr>
      <w:r>
        <w:rPr>
          <w:rFonts w:hint="eastAsia" w:ascii="宋体" w:hAnsi="宋体"/>
          <w:color w:val="auto"/>
          <w:sz w:val="24"/>
        </w:rPr>
        <w:t>参加修理的买方人员的费用；</w:t>
      </w:r>
    </w:p>
    <w:p>
      <w:pPr>
        <w:numPr>
          <w:ilvl w:val="1"/>
          <w:numId w:val="21"/>
        </w:numPr>
        <w:tabs>
          <w:tab w:val="left" w:pos="1260"/>
          <w:tab w:val="clear" w:pos="1320"/>
        </w:tabs>
        <w:spacing w:line="440" w:lineRule="exact"/>
        <w:rPr>
          <w:rFonts w:hint="eastAsia" w:ascii="宋体" w:hAnsi="宋体"/>
          <w:color w:val="auto"/>
          <w:sz w:val="24"/>
        </w:rPr>
      </w:pPr>
      <w:r>
        <w:rPr>
          <w:rFonts w:hint="eastAsia" w:ascii="宋体" w:hAnsi="宋体"/>
          <w:color w:val="auto"/>
          <w:sz w:val="24"/>
        </w:rPr>
        <w:t>第二次性能验收试验所使用的工具和设备的费用；</w:t>
      </w:r>
    </w:p>
    <w:p>
      <w:pPr>
        <w:numPr>
          <w:ilvl w:val="1"/>
          <w:numId w:val="21"/>
        </w:numPr>
        <w:tabs>
          <w:tab w:val="left" w:pos="1260"/>
          <w:tab w:val="clear" w:pos="1320"/>
        </w:tabs>
        <w:spacing w:line="440" w:lineRule="exact"/>
        <w:rPr>
          <w:rFonts w:hint="eastAsia" w:ascii="宋体" w:hAnsi="宋体"/>
          <w:color w:val="auto"/>
          <w:sz w:val="24"/>
        </w:rPr>
      </w:pPr>
      <w:r>
        <w:rPr>
          <w:rFonts w:hint="eastAsia" w:ascii="宋体" w:hAnsi="宋体"/>
          <w:color w:val="auto"/>
          <w:sz w:val="24"/>
        </w:rPr>
        <w:t>第二次性能验收试验所使用的材料和消耗品的费用；</w:t>
      </w:r>
    </w:p>
    <w:p>
      <w:pPr>
        <w:numPr>
          <w:ilvl w:val="1"/>
          <w:numId w:val="21"/>
        </w:numPr>
        <w:tabs>
          <w:tab w:val="left" w:pos="1080"/>
          <w:tab w:val="clear" w:pos="1320"/>
        </w:tabs>
        <w:spacing w:line="440" w:lineRule="exact"/>
        <w:ind w:left="1620" w:hanging="720"/>
        <w:rPr>
          <w:rFonts w:hint="eastAsia" w:ascii="宋体" w:hAnsi="宋体"/>
          <w:color w:val="auto"/>
          <w:sz w:val="24"/>
        </w:rPr>
      </w:pPr>
      <w:r>
        <w:rPr>
          <w:rFonts w:hint="eastAsia" w:ascii="宋体" w:hAnsi="宋体"/>
          <w:color w:val="auto"/>
          <w:sz w:val="24"/>
        </w:rPr>
        <w:t>所更换和/或修理的设备和材料运离/运抵现场的所有运输和保险费用。</w:t>
      </w:r>
    </w:p>
    <w:p>
      <w:pPr>
        <w:numPr>
          <w:ilvl w:val="0"/>
          <w:numId w:val="19"/>
        </w:numPr>
        <w:tabs>
          <w:tab w:val="left" w:pos="540"/>
          <w:tab w:val="left" w:pos="1260"/>
          <w:tab w:val="clear" w:pos="1080"/>
        </w:tabs>
        <w:spacing w:line="440" w:lineRule="exact"/>
        <w:ind w:left="540" w:firstLine="0"/>
        <w:rPr>
          <w:rFonts w:hint="eastAsia" w:ascii="宋体" w:hAnsi="宋体"/>
          <w:color w:val="auto"/>
          <w:sz w:val="24"/>
        </w:rPr>
      </w:pPr>
      <w:r>
        <w:rPr>
          <w:rFonts w:hint="eastAsia" w:ascii="宋体" w:hAnsi="宋体"/>
          <w:color w:val="auto"/>
          <w:sz w:val="24"/>
        </w:rPr>
        <w:t>第二次性能验收试验后，如仍有一项或多项指标未能达到技术规格书所规定的性能保证值，双方应共同研究，分析原因，澄清责任:</w:t>
      </w:r>
    </w:p>
    <w:p>
      <w:pPr>
        <w:numPr>
          <w:ilvl w:val="1"/>
          <w:numId w:val="22"/>
        </w:numPr>
        <w:spacing w:line="440" w:lineRule="exact"/>
        <w:rPr>
          <w:rFonts w:hint="eastAsia" w:ascii="宋体" w:hAnsi="宋体"/>
          <w:color w:val="auto"/>
          <w:sz w:val="24"/>
        </w:rPr>
      </w:pPr>
      <w:r>
        <w:rPr>
          <w:rFonts w:hint="eastAsia" w:ascii="宋体" w:hAnsi="宋体"/>
          <w:color w:val="auto"/>
          <w:sz w:val="24"/>
        </w:rPr>
        <w:t>如属卖方原因，则应按本合同第十七条执行。</w:t>
      </w:r>
    </w:p>
    <w:p>
      <w:pPr>
        <w:numPr>
          <w:ilvl w:val="1"/>
          <w:numId w:val="22"/>
        </w:numPr>
        <w:tabs>
          <w:tab w:val="left" w:pos="1620"/>
          <w:tab w:val="clear" w:pos="1320"/>
        </w:tabs>
        <w:spacing w:line="440" w:lineRule="exact"/>
        <w:ind w:left="1620" w:hanging="720"/>
        <w:rPr>
          <w:rFonts w:hint="eastAsia" w:ascii="宋体" w:hAnsi="宋体"/>
          <w:color w:val="auto"/>
          <w:sz w:val="24"/>
        </w:rPr>
      </w:pPr>
      <w:r>
        <w:rPr>
          <w:rFonts w:hint="eastAsia" w:ascii="宋体" w:hAnsi="宋体"/>
          <w:color w:val="auto"/>
          <w:sz w:val="24"/>
        </w:rPr>
        <w:t>如属买方原因，本合同设备应被认为初步性能验收通过，此后10天内由买方代表签署由卖方代表会签的本合同设备初步性能验收合格证书一式二份，双方各执一份。此时卖方仍有义务向买方提供技术帮助,与买方一起采取各种措施，使合同设备达到本合同规定的技术性能和保证指标。</w:t>
      </w:r>
    </w:p>
    <w:p>
      <w:pPr>
        <w:numPr>
          <w:ilvl w:val="0"/>
          <w:numId w:val="19"/>
        </w:numPr>
        <w:tabs>
          <w:tab w:val="left" w:pos="540"/>
          <w:tab w:val="left" w:pos="1260"/>
          <w:tab w:val="clear" w:pos="1080"/>
        </w:tabs>
        <w:spacing w:line="440" w:lineRule="exact"/>
        <w:ind w:left="540" w:firstLine="0"/>
        <w:rPr>
          <w:rFonts w:hint="eastAsia" w:ascii="宋体" w:hAnsi="宋体"/>
          <w:color w:val="auto"/>
          <w:sz w:val="24"/>
        </w:rPr>
      </w:pPr>
      <w:r>
        <w:rPr>
          <w:rFonts w:hint="eastAsia" w:ascii="宋体" w:hAnsi="宋体"/>
          <w:color w:val="auto"/>
          <w:sz w:val="24"/>
        </w:rPr>
        <w:t>初步性能验收合格证书只是证明卖方所提供的合同设备性能和参数截至出具初步性能验收证明时可以按合同要求予以接受，但不能视为卖方对合同设备中存在的可能引起合同设备损坏的潜在缺陷所应负的责任解除的证据；同样，最终性能验收合格证书也不能被视为卖方对合同设备中存在可能引起合同设备损坏的潜在缺陷应负责任的解除的证据。</w:t>
      </w:r>
    </w:p>
    <w:p>
      <w:pPr>
        <w:numPr>
          <w:ilvl w:val="0"/>
          <w:numId w:val="19"/>
        </w:numPr>
        <w:tabs>
          <w:tab w:val="left" w:pos="540"/>
          <w:tab w:val="left" w:pos="1260"/>
          <w:tab w:val="clear" w:pos="1080"/>
        </w:tabs>
        <w:spacing w:line="440" w:lineRule="exact"/>
        <w:ind w:left="540" w:firstLine="0"/>
        <w:rPr>
          <w:rFonts w:hint="eastAsia" w:ascii="宋体" w:hAnsi="宋体"/>
          <w:color w:val="auto"/>
          <w:sz w:val="24"/>
        </w:rPr>
      </w:pPr>
      <w:r>
        <w:rPr>
          <w:rFonts w:hint="eastAsia" w:ascii="宋体" w:hAnsi="宋体"/>
          <w:color w:val="auto"/>
          <w:sz w:val="24"/>
        </w:rPr>
        <w:t>在合同执行过程中的任何时候，对由于卖方责任需要进行的检查、试验、再试验、修理或调换，在卖方提出请求时，买方应作好安排进行配合以便进行上述工作。卖方应负担修理或调换及其人员的费用。如果卖方委托买方施工人员进行加工和/或修理、更换设备，或由于卖方设计图纸错误或卖方技术服务人员的指导错误造成返工，卖方应按下列公式向买方支付费用：（所有费用按发生时的费率水平计费）</w:t>
      </w:r>
    </w:p>
    <w:p>
      <w:pPr>
        <w:spacing w:line="440" w:lineRule="exact"/>
        <w:ind w:firstLine="570"/>
        <w:rPr>
          <w:rFonts w:hint="eastAsia" w:ascii="宋体" w:hAnsi="宋体"/>
          <w:color w:val="auto"/>
          <w:sz w:val="24"/>
        </w:rPr>
      </w:pPr>
      <w:r>
        <w:rPr>
          <w:rFonts w:hint="eastAsia" w:ascii="宋体" w:hAnsi="宋体"/>
          <w:color w:val="auto"/>
          <w:sz w:val="24"/>
        </w:rPr>
        <w:t xml:space="preserve">        Ｐ＝ ａh + M + c m</w:t>
      </w:r>
    </w:p>
    <w:p>
      <w:pPr>
        <w:spacing w:line="440" w:lineRule="exact"/>
        <w:ind w:firstLine="570"/>
        <w:rPr>
          <w:rFonts w:hint="eastAsia" w:ascii="宋体" w:hAnsi="宋体"/>
          <w:color w:val="auto"/>
          <w:sz w:val="24"/>
        </w:rPr>
      </w:pPr>
      <w:r>
        <w:rPr>
          <w:rFonts w:hint="eastAsia" w:ascii="宋体" w:hAnsi="宋体"/>
          <w:color w:val="auto"/>
          <w:sz w:val="24"/>
        </w:rPr>
        <w:t xml:space="preserve">        其中：Ｐ＿＿总费用(元)</w:t>
      </w:r>
    </w:p>
    <w:p>
      <w:pPr>
        <w:spacing w:line="440" w:lineRule="exact"/>
        <w:ind w:firstLine="570"/>
        <w:rPr>
          <w:rFonts w:hint="eastAsia" w:ascii="宋体" w:hAnsi="宋体"/>
          <w:color w:val="auto"/>
          <w:sz w:val="24"/>
        </w:rPr>
      </w:pPr>
      <w:r>
        <w:rPr>
          <w:rFonts w:hint="eastAsia" w:ascii="宋体" w:hAnsi="宋体"/>
          <w:color w:val="auto"/>
          <w:sz w:val="24"/>
        </w:rPr>
        <w:t xml:space="preserve">              a ＿＿人工费(元/小时.人)</w:t>
      </w:r>
    </w:p>
    <w:p>
      <w:pPr>
        <w:spacing w:line="440" w:lineRule="exact"/>
        <w:ind w:firstLine="570"/>
        <w:rPr>
          <w:rFonts w:hint="eastAsia" w:ascii="宋体" w:hAnsi="宋体"/>
          <w:color w:val="auto"/>
          <w:sz w:val="24"/>
        </w:rPr>
      </w:pPr>
      <w:r>
        <w:rPr>
          <w:rFonts w:hint="eastAsia" w:ascii="宋体" w:hAnsi="宋体"/>
          <w:color w:val="auto"/>
          <w:sz w:val="24"/>
        </w:rPr>
        <w:t xml:space="preserve">              h ＿＿人时(小时.人)</w:t>
      </w:r>
    </w:p>
    <w:p>
      <w:pPr>
        <w:spacing w:line="440" w:lineRule="exact"/>
        <w:ind w:firstLine="570"/>
        <w:rPr>
          <w:rFonts w:hint="eastAsia" w:ascii="宋体" w:hAnsi="宋体"/>
          <w:color w:val="auto"/>
          <w:sz w:val="24"/>
        </w:rPr>
      </w:pPr>
      <w:r>
        <w:rPr>
          <w:rFonts w:hint="eastAsia" w:ascii="宋体" w:hAnsi="宋体"/>
          <w:color w:val="auto"/>
          <w:sz w:val="24"/>
        </w:rPr>
        <w:t xml:space="preserve">              M ＿＿材料费(元)</w:t>
      </w:r>
    </w:p>
    <w:p>
      <w:pPr>
        <w:spacing w:line="440" w:lineRule="exact"/>
        <w:ind w:firstLine="570"/>
        <w:rPr>
          <w:rFonts w:hint="eastAsia" w:ascii="宋体" w:hAnsi="宋体"/>
          <w:color w:val="auto"/>
          <w:sz w:val="24"/>
        </w:rPr>
      </w:pPr>
      <w:r>
        <w:rPr>
          <w:rFonts w:hint="eastAsia" w:ascii="宋体" w:hAnsi="宋体"/>
          <w:color w:val="auto"/>
          <w:sz w:val="24"/>
        </w:rPr>
        <w:t xml:space="preserve">              c ＿＿台班数(台.班)</w:t>
      </w:r>
    </w:p>
    <w:p>
      <w:pPr>
        <w:spacing w:line="440" w:lineRule="exact"/>
        <w:ind w:firstLine="570"/>
        <w:rPr>
          <w:rFonts w:hint="eastAsia" w:ascii="宋体" w:hAnsi="宋体"/>
          <w:color w:val="auto"/>
          <w:sz w:val="24"/>
        </w:rPr>
      </w:pPr>
      <w:r>
        <w:rPr>
          <w:rFonts w:hint="eastAsia" w:ascii="宋体" w:hAnsi="宋体"/>
          <w:color w:val="auto"/>
          <w:sz w:val="24"/>
        </w:rPr>
        <w:t xml:space="preserve">              m ＿＿每台设备的台班费(元/台.班)</w:t>
      </w:r>
    </w:p>
    <w:p>
      <w:pPr>
        <w:numPr>
          <w:ilvl w:val="0"/>
          <w:numId w:val="19"/>
        </w:numPr>
        <w:tabs>
          <w:tab w:val="left" w:pos="540"/>
          <w:tab w:val="left" w:pos="1260"/>
          <w:tab w:val="clear" w:pos="1080"/>
        </w:tabs>
        <w:spacing w:line="440" w:lineRule="exact"/>
        <w:ind w:left="540" w:firstLine="0"/>
        <w:rPr>
          <w:rFonts w:hint="eastAsia" w:ascii="宋体" w:hAnsi="宋体"/>
          <w:color w:val="auto"/>
          <w:sz w:val="24"/>
        </w:rPr>
      </w:pPr>
      <w:r>
        <w:rPr>
          <w:rFonts w:hint="eastAsia" w:ascii="宋体" w:hAnsi="宋体"/>
          <w:color w:val="auto"/>
          <w:sz w:val="24"/>
        </w:rPr>
        <w:t>在设备寿命内,卖方欲停止或不能制造某些备品备件，卖方有义务提前通知买方，以便买方有足够时间从卖方处对所需的备品备件做最后一批订货，并且卖方有义务免费提供制造这些备品备件的图纸、样板、工具、模具及技术说明等，使买方能够为合同设备制造所需的备品备件，且买方制造这些备品备件不构成对专利及工业设计权的侵权。买方在用毕后适当的时候以合理的方式和状况归还以上各项物品。</w:t>
      </w:r>
    </w:p>
    <w:p>
      <w:pPr>
        <w:numPr>
          <w:ilvl w:val="0"/>
          <w:numId w:val="19"/>
        </w:numPr>
        <w:tabs>
          <w:tab w:val="left" w:pos="540"/>
          <w:tab w:val="left" w:pos="1260"/>
          <w:tab w:val="clear" w:pos="1080"/>
        </w:tabs>
        <w:spacing w:line="440" w:lineRule="exact"/>
        <w:ind w:left="540" w:firstLine="0"/>
        <w:rPr>
          <w:rFonts w:hint="eastAsia" w:ascii="宋体" w:hAnsi="宋体"/>
          <w:color w:val="auto"/>
          <w:sz w:val="24"/>
        </w:rPr>
      </w:pPr>
      <w:r>
        <w:rPr>
          <w:rFonts w:hint="eastAsia" w:ascii="宋体" w:hAnsi="宋体"/>
          <w:color w:val="auto"/>
          <w:sz w:val="24"/>
        </w:rPr>
        <w:t>不论合同设备的损失或损坏的责任在买方或是在卖方，卖方应首先尽快交付更换或补充此损失或损坏的设备，然后确定上述设备的费用由哪一方承担。</w:t>
      </w:r>
    </w:p>
    <w:p>
      <w:pPr>
        <w:spacing w:line="440" w:lineRule="exact"/>
        <w:ind w:firstLine="570"/>
        <w:rPr>
          <w:rFonts w:ascii="宋体" w:hAnsi="宋体"/>
          <w:color w:val="auto"/>
          <w:sz w:val="24"/>
        </w:rPr>
      </w:pPr>
    </w:p>
    <w:p>
      <w:pPr>
        <w:spacing w:line="440" w:lineRule="exact"/>
        <w:ind w:firstLine="570"/>
        <w:rPr>
          <w:rFonts w:hint="eastAsia" w:ascii="宋体" w:hAnsi="宋体"/>
          <w:b/>
          <w:color w:val="auto"/>
          <w:sz w:val="24"/>
        </w:rPr>
      </w:pPr>
      <w:r>
        <w:rPr>
          <w:rFonts w:hint="eastAsia" w:ascii="宋体" w:hAnsi="宋体"/>
          <w:b/>
          <w:color w:val="auto"/>
          <w:sz w:val="24"/>
        </w:rPr>
        <w:t>第十七条  保证与违约金</w:t>
      </w:r>
    </w:p>
    <w:p>
      <w:pPr>
        <w:numPr>
          <w:ilvl w:val="0"/>
          <w:numId w:val="23"/>
        </w:numPr>
        <w:tabs>
          <w:tab w:val="left" w:pos="1260"/>
          <w:tab w:val="left" w:pos="1440"/>
        </w:tabs>
        <w:spacing w:line="440" w:lineRule="exact"/>
        <w:ind w:hanging="540"/>
        <w:rPr>
          <w:rFonts w:hint="eastAsia" w:ascii="宋体" w:hAnsi="宋体"/>
          <w:color w:val="auto"/>
          <w:sz w:val="24"/>
        </w:rPr>
      </w:pPr>
      <w:r>
        <w:rPr>
          <w:rFonts w:hint="eastAsia" w:ascii="宋体" w:hAnsi="宋体"/>
          <w:color w:val="auto"/>
          <w:sz w:val="24"/>
        </w:rPr>
        <w:t>质保期为联动调试合格试运行后的18个月。</w:t>
      </w:r>
    </w:p>
    <w:p>
      <w:pPr>
        <w:numPr>
          <w:ilvl w:val="0"/>
          <w:numId w:val="23"/>
        </w:numPr>
        <w:tabs>
          <w:tab w:val="left" w:pos="540"/>
          <w:tab w:val="left" w:pos="1260"/>
          <w:tab w:val="left" w:pos="1440"/>
          <w:tab w:val="clear" w:pos="1080"/>
        </w:tabs>
        <w:spacing w:line="440" w:lineRule="exact"/>
        <w:ind w:left="540" w:firstLine="0"/>
        <w:rPr>
          <w:rFonts w:hint="eastAsia" w:ascii="宋体" w:hAnsi="宋体"/>
          <w:color w:val="auto"/>
          <w:sz w:val="24"/>
        </w:rPr>
      </w:pPr>
      <w:r>
        <w:rPr>
          <w:rFonts w:hint="eastAsia" w:ascii="宋体" w:hAnsi="宋体"/>
          <w:color w:val="auto"/>
          <w:sz w:val="24"/>
        </w:rPr>
        <w:t>卖方保证其供应的本合同设备是全新的，技术水平是先进的、成熟的、质量是优良的，设备的选型均符合安全可靠、经济运行和易于维护的要求。</w:t>
      </w:r>
    </w:p>
    <w:p>
      <w:pPr>
        <w:spacing w:line="440" w:lineRule="exact"/>
        <w:ind w:left="567" w:leftChars="270" w:firstLine="480" w:firstLineChars="200"/>
        <w:rPr>
          <w:rFonts w:hint="eastAsia" w:ascii="宋体" w:hAnsi="宋体"/>
          <w:color w:val="auto"/>
          <w:sz w:val="24"/>
        </w:rPr>
      </w:pPr>
      <w:r>
        <w:rPr>
          <w:rFonts w:hint="eastAsia" w:ascii="宋体" w:hAnsi="宋体"/>
          <w:color w:val="auto"/>
          <w:sz w:val="24"/>
        </w:rPr>
        <w:t>卖方保证所提交技术资料完整统一和内容正确、准确并能满足合同设备的设计、安装、调试、运行和维修的要求。</w:t>
      </w:r>
    </w:p>
    <w:p>
      <w:pPr>
        <w:numPr>
          <w:ilvl w:val="0"/>
          <w:numId w:val="23"/>
        </w:numPr>
        <w:tabs>
          <w:tab w:val="left" w:pos="540"/>
          <w:tab w:val="left" w:pos="1260"/>
          <w:tab w:val="left" w:pos="1440"/>
          <w:tab w:val="clear" w:pos="1080"/>
        </w:tabs>
        <w:spacing w:line="440" w:lineRule="exact"/>
        <w:ind w:left="540" w:firstLine="0"/>
        <w:rPr>
          <w:rFonts w:hint="eastAsia" w:ascii="宋体" w:hAnsi="宋体"/>
          <w:color w:val="auto"/>
          <w:sz w:val="24"/>
        </w:rPr>
      </w:pPr>
      <w:r>
        <w:rPr>
          <w:rFonts w:hint="eastAsia" w:ascii="宋体" w:hAnsi="宋体"/>
          <w:color w:val="auto"/>
          <w:sz w:val="24"/>
        </w:rPr>
        <w:t>本合同执行期间，如果卖方提供的设备有缺陷和技术资料有错误，或者由于卖方技术人员指导错误和疏忽，造成工程或合同设备的返工或报废，卖方应立即以最快捷的方式无偿予以更换和修理。如需更换，卖方应负担由此产生的到安装现场更换的一切费用，更换或修理期限应不迟于证实属卖方责任之日起的1周或双方商定的更长时间内。由于买方未按卖方所提供的技术资料、图纸、说明书和卖方现场技术服务人员的指导而进行安装、调试造成的设备损坏，由买方负责修理，更换，但卖方有义务尽快提供所需更换的部件，对于买方要求的紧急部件，卖方应安排最快的方式运输，所有费用均由买方负担。</w:t>
      </w:r>
    </w:p>
    <w:p>
      <w:pPr>
        <w:numPr>
          <w:ilvl w:val="0"/>
          <w:numId w:val="23"/>
        </w:numPr>
        <w:tabs>
          <w:tab w:val="left" w:pos="540"/>
          <w:tab w:val="left" w:pos="1260"/>
          <w:tab w:val="left" w:pos="1440"/>
          <w:tab w:val="clear" w:pos="1080"/>
        </w:tabs>
        <w:spacing w:line="440" w:lineRule="exact"/>
        <w:ind w:left="540" w:firstLine="0"/>
        <w:rPr>
          <w:rFonts w:hint="eastAsia" w:ascii="宋体" w:hAnsi="宋体"/>
          <w:color w:val="auto"/>
          <w:sz w:val="24"/>
        </w:rPr>
      </w:pPr>
      <w:r>
        <w:rPr>
          <w:rFonts w:hint="eastAsia" w:ascii="宋体" w:hAnsi="宋体"/>
          <w:color w:val="auto"/>
          <w:sz w:val="24"/>
        </w:rPr>
        <w:t>合同规定的质量保证期满后，由买方在14天内出具合同设备保证期满最终性能验收合格证书交给卖方。条件是：在此期间卖方应完成买方在保证期满前提出的索赔和赔偿。但卖方对非正常维修和误操作以及由于正常磨损造成的损失不负责任。</w:t>
      </w:r>
    </w:p>
    <w:p>
      <w:pPr>
        <w:numPr>
          <w:ilvl w:val="0"/>
          <w:numId w:val="23"/>
        </w:numPr>
        <w:tabs>
          <w:tab w:val="left" w:pos="540"/>
          <w:tab w:val="left" w:pos="1260"/>
          <w:tab w:val="left" w:pos="1440"/>
          <w:tab w:val="clear" w:pos="1080"/>
        </w:tabs>
        <w:spacing w:line="440" w:lineRule="exact"/>
        <w:ind w:left="540" w:firstLine="0"/>
        <w:rPr>
          <w:rFonts w:hint="eastAsia" w:ascii="宋体" w:hAnsi="宋体"/>
          <w:color w:val="auto"/>
          <w:sz w:val="24"/>
        </w:rPr>
      </w:pPr>
      <w:r>
        <w:rPr>
          <w:rFonts w:hint="eastAsia" w:ascii="宋体" w:hAnsi="宋体"/>
          <w:color w:val="auto"/>
          <w:sz w:val="24"/>
        </w:rPr>
        <w:t>在质量保证期内，如发现设备有缺陷，不符合本合同规定时，如属卖方责任，则买方有权向卖方提出索赔。如卖方对此索赔有异议按第十五条办理。否则卖方在接到买方索赔文件后，应立即无偿修理、更换、赔款或委托买方安排大型修理，由此产生的到安装现场的更换费用、运输费及保险费也由卖方承担。</w:t>
      </w:r>
    </w:p>
    <w:p>
      <w:pPr>
        <w:numPr>
          <w:ilvl w:val="0"/>
          <w:numId w:val="23"/>
        </w:numPr>
        <w:tabs>
          <w:tab w:val="left" w:pos="540"/>
          <w:tab w:val="left" w:pos="1260"/>
          <w:tab w:val="left" w:pos="1440"/>
          <w:tab w:val="clear" w:pos="1080"/>
        </w:tabs>
        <w:spacing w:line="440" w:lineRule="exact"/>
        <w:ind w:left="540" w:firstLine="0"/>
        <w:rPr>
          <w:rFonts w:hint="eastAsia" w:ascii="宋体" w:hAnsi="宋体"/>
          <w:color w:val="auto"/>
          <w:sz w:val="24"/>
        </w:rPr>
      </w:pPr>
      <w:r>
        <w:rPr>
          <w:rFonts w:hint="eastAsia" w:ascii="宋体" w:hAnsi="宋体"/>
          <w:color w:val="auto"/>
          <w:sz w:val="24"/>
        </w:rPr>
        <w:t>如由于卖方责任需要更换、修理有缺陷的设备，而使合同设备停运或推迟安装时，则保证期应按实际修理或更换所延误的时间做相应的延长。</w:t>
      </w:r>
    </w:p>
    <w:p>
      <w:pPr>
        <w:numPr>
          <w:ilvl w:val="0"/>
          <w:numId w:val="23"/>
        </w:numPr>
        <w:tabs>
          <w:tab w:val="left" w:pos="540"/>
          <w:tab w:val="left" w:pos="1260"/>
          <w:tab w:val="left" w:pos="1440"/>
          <w:tab w:val="clear" w:pos="1080"/>
        </w:tabs>
        <w:spacing w:line="440" w:lineRule="exact"/>
        <w:ind w:left="540" w:firstLine="0"/>
        <w:rPr>
          <w:rFonts w:hint="eastAsia" w:ascii="宋体" w:hAnsi="宋体"/>
          <w:color w:val="auto"/>
          <w:sz w:val="24"/>
        </w:rPr>
      </w:pPr>
      <w:r>
        <w:rPr>
          <w:rFonts w:hint="eastAsia" w:ascii="宋体" w:hAnsi="宋体"/>
          <w:color w:val="auto"/>
          <w:sz w:val="24"/>
        </w:rPr>
        <w:t xml:space="preserve"> 由于卖方责任，在第十六条规定的性能验收试验后，如经第二次验收试验(由于卖方原因)仍不能达到技术规格书所规定的一项或多项保证指标时，卖方应按下列方式承担违约责任为：卖方应在一周内予以更换设备，同时支付该设备合同价10%的违约金。</w:t>
      </w:r>
    </w:p>
    <w:p>
      <w:pPr>
        <w:numPr>
          <w:ilvl w:val="0"/>
          <w:numId w:val="23"/>
        </w:numPr>
        <w:tabs>
          <w:tab w:val="left" w:pos="540"/>
          <w:tab w:val="left" w:pos="1260"/>
          <w:tab w:val="left" w:pos="1440"/>
          <w:tab w:val="clear" w:pos="1080"/>
        </w:tabs>
        <w:spacing w:line="440" w:lineRule="exact"/>
        <w:ind w:left="540" w:firstLine="0"/>
        <w:rPr>
          <w:rFonts w:hint="eastAsia" w:ascii="宋体" w:hAnsi="宋体"/>
          <w:color w:val="auto"/>
          <w:sz w:val="24"/>
        </w:rPr>
      </w:pPr>
      <w:r>
        <w:rPr>
          <w:rFonts w:hint="eastAsia" w:ascii="宋体" w:hAnsi="宋体"/>
          <w:color w:val="auto"/>
          <w:sz w:val="24"/>
        </w:rPr>
        <w:t>如合同设备在质量保证期内发现属卖方责任的十分严重的缺陷（如设备性能达不到要求等）则其质量保证期将自该缺陷修正后开始重新计算。</w:t>
      </w:r>
    </w:p>
    <w:p>
      <w:pPr>
        <w:numPr>
          <w:ilvl w:val="0"/>
          <w:numId w:val="23"/>
        </w:numPr>
        <w:tabs>
          <w:tab w:val="left" w:pos="540"/>
          <w:tab w:val="left" w:pos="1260"/>
          <w:tab w:val="left" w:pos="1440"/>
          <w:tab w:val="clear" w:pos="1080"/>
        </w:tabs>
        <w:spacing w:line="440" w:lineRule="exact"/>
        <w:ind w:left="540" w:firstLine="0"/>
        <w:rPr>
          <w:rFonts w:hint="eastAsia" w:ascii="宋体" w:hAnsi="宋体"/>
          <w:color w:val="auto"/>
          <w:sz w:val="24"/>
        </w:rPr>
      </w:pPr>
      <w:r>
        <w:rPr>
          <w:rFonts w:hint="eastAsia" w:ascii="宋体" w:hAnsi="宋体"/>
          <w:color w:val="auto"/>
          <w:sz w:val="24"/>
        </w:rPr>
        <w:t>如果不是由于买方原因或买方没有要求推迟交货而卖方未能按本合同规定的交货期交货时（不可抗力除外），买方有权按下列比例向卖方收取违约金(不满一周按比例计算)：</w:t>
      </w:r>
    </w:p>
    <w:p>
      <w:pPr>
        <w:numPr>
          <w:ilvl w:val="1"/>
          <w:numId w:val="24"/>
        </w:numPr>
        <w:spacing w:line="440" w:lineRule="exact"/>
        <w:rPr>
          <w:rFonts w:hint="eastAsia" w:ascii="宋体" w:hAnsi="宋体"/>
          <w:color w:val="auto"/>
          <w:sz w:val="24"/>
        </w:rPr>
      </w:pPr>
      <w:r>
        <w:rPr>
          <w:rFonts w:hint="eastAsia" w:ascii="宋体" w:hAnsi="宋体"/>
          <w:color w:val="auto"/>
          <w:sz w:val="24"/>
        </w:rPr>
        <w:t>迟交1－4周，每周违约金金额为迟交货物金额的0.5％；</w:t>
      </w:r>
    </w:p>
    <w:p>
      <w:pPr>
        <w:numPr>
          <w:ilvl w:val="1"/>
          <w:numId w:val="24"/>
        </w:numPr>
        <w:spacing w:line="440" w:lineRule="exact"/>
        <w:rPr>
          <w:rFonts w:hint="eastAsia" w:ascii="宋体" w:hAnsi="宋体"/>
          <w:color w:val="auto"/>
          <w:sz w:val="24"/>
        </w:rPr>
      </w:pPr>
      <w:r>
        <w:rPr>
          <w:rFonts w:hint="eastAsia" w:ascii="宋体" w:hAnsi="宋体"/>
          <w:color w:val="auto"/>
          <w:sz w:val="24"/>
        </w:rPr>
        <w:t>迟交5－8周，每周违约金金额为迟交货物金额的1％；</w:t>
      </w:r>
    </w:p>
    <w:p>
      <w:pPr>
        <w:numPr>
          <w:ilvl w:val="1"/>
          <w:numId w:val="24"/>
        </w:numPr>
        <w:spacing w:line="440" w:lineRule="exact"/>
        <w:rPr>
          <w:rFonts w:hint="eastAsia" w:ascii="宋体" w:hAnsi="宋体"/>
          <w:color w:val="auto"/>
          <w:sz w:val="24"/>
        </w:rPr>
      </w:pPr>
      <w:r>
        <w:rPr>
          <w:rFonts w:hint="eastAsia" w:ascii="宋体" w:hAnsi="宋体"/>
          <w:color w:val="auto"/>
          <w:sz w:val="24"/>
        </w:rPr>
        <w:t>迟交9周以上，每周违约金金额为迟交货物金额的1.5％；</w:t>
      </w:r>
    </w:p>
    <w:p>
      <w:pPr>
        <w:spacing w:line="440" w:lineRule="exact"/>
        <w:ind w:left="718" w:leftChars="342" w:firstLine="420" w:firstLineChars="175"/>
        <w:rPr>
          <w:rFonts w:hint="eastAsia" w:ascii="宋体" w:hAnsi="宋体"/>
          <w:color w:val="auto"/>
          <w:sz w:val="24"/>
        </w:rPr>
      </w:pPr>
      <w:r>
        <w:rPr>
          <w:rFonts w:hint="eastAsia" w:ascii="宋体" w:hAnsi="宋体"/>
          <w:color w:val="auto"/>
          <w:sz w:val="24"/>
        </w:rPr>
        <w:t>每套合同设备迟交货物的违约金总金额不超过每套合同设备价格的10％。卖方支付迟交违约金，并不解除卖方按照合同继续交货的义务。</w:t>
      </w:r>
    </w:p>
    <w:p>
      <w:pPr>
        <w:spacing w:line="440" w:lineRule="exact"/>
        <w:ind w:left="718" w:leftChars="342" w:firstLine="420" w:firstLineChars="175"/>
        <w:rPr>
          <w:rFonts w:hint="eastAsia" w:ascii="宋体" w:hAnsi="宋体"/>
          <w:color w:val="auto"/>
          <w:sz w:val="24"/>
        </w:rPr>
      </w:pPr>
      <w:r>
        <w:rPr>
          <w:rFonts w:hint="eastAsia" w:ascii="宋体" w:hAnsi="宋体"/>
          <w:color w:val="auto"/>
          <w:sz w:val="24"/>
        </w:rPr>
        <w:t>对安装、运行有重大影响的设备迟交超过3个月时，卖方除应向买方支付合同价款10%的迟交货违约金外，还应向买方赔偿因此而遭受的损失, 此损失在履约保证金中扣除，履约保证金金额不足时，买方有权向卖方进行进一步的索赔。与此同时,买方有权终止部分或全部合同。</w:t>
      </w:r>
    </w:p>
    <w:p>
      <w:pPr>
        <w:numPr>
          <w:ilvl w:val="0"/>
          <w:numId w:val="23"/>
        </w:numPr>
        <w:tabs>
          <w:tab w:val="left" w:pos="540"/>
          <w:tab w:val="left" w:pos="1260"/>
          <w:tab w:val="left" w:pos="1440"/>
          <w:tab w:val="clear" w:pos="1080"/>
        </w:tabs>
        <w:spacing w:line="440" w:lineRule="exact"/>
        <w:ind w:left="540" w:firstLine="0"/>
        <w:rPr>
          <w:rFonts w:hint="eastAsia" w:ascii="宋体" w:hAnsi="宋体"/>
          <w:color w:val="auto"/>
          <w:sz w:val="24"/>
        </w:rPr>
      </w:pPr>
      <w:r>
        <w:rPr>
          <w:rFonts w:hint="eastAsia" w:ascii="宋体" w:hAnsi="宋体"/>
          <w:color w:val="auto"/>
          <w:sz w:val="24"/>
        </w:rPr>
        <w:t>如由于确属卖方责任未能按本合同规定按时交付经双方确认属严重影响关键技术资料时，买方有权按下列比例向卖方收取违约金(不满一周按比例计算)：</w:t>
      </w:r>
    </w:p>
    <w:p>
      <w:pPr>
        <w:numPr>
          <w:ilvl w:val="1"/>
          <w:numId w:val="25"/>
        </w:numPr>
        <w:spacing w:line="440" w:lineRule="exact"/>
        <w:rPr>
          <w:rFonts w:hint="eastAsia" w:ascii="宋体" w:hAnsi="宋体"/>
          <w:color w:val="auto"/>
          <w:sz w:val="24"/>
        </w:rPr>
      </w:pPr>
      <w:r>
        <w:rPr>
          <w:rFonts w:hint="eastAsia" w:ascii="宋体" w:hAnsi="宋体"/>
          <w:color w:val="auto"/>
          <w:sz w:val="24"/>
        </w:rPr>
        <w:t>迟交１周内，违约金金额为人民币2000元/批；</w:t>
      </w:r>
    </w:p>
    <w:p>
      <w:pPr>
        <w:numPr>
          <w:ilvl w:val="1"/>
          <w:numId w:val="25"/>
        </w:numPr>
        <w:spacing w:line="440" w:lineRule="exact"/>
        <w:rPr>
          <w:rFonts w:hint="eastAsia" w:ascii="宋体" w:hAnsi="宋体"/>
          <w:color w:val="auto"/>
          <w:sz w:val="24"/>
        </w:rPr>
      </w:pPr>
      <w:r>
        <w:rPr>
          <w:rFonts w:hint="eastAsia" w:ascii="宋体" w:hAnsi="宋体"/>
          <w:color w:val="auto"/>
          <w:sz w:val="24"/>
        </w:rPr>
        <w:t>迟交2－4周，违约金金额为人民币5000元/周；</w:t>
      </w:r>
    </w:p>
    <w:p>
      <w:pPr>
        <w:numPr>
          <w:ilvl w:val="1"/>
          <w:numId w:val="25"/>
        </w:numPr>
        <w:spacing w:line="440" w:lineRule="exact"/>
        <w:rPr>
          <w:rFonts w:hint="eastAsia" w:ascii="宋体" w:hAnsi="宋体"/>
          <w:color w:val="auto"/>
          <w:sz w:val="24"/>
        </w:rPr>
      </w:pPr>
      <w:r>
        <w:rPr>
          <w:rFonts w:hint="eastAsia" w:ascii="宋体" w:hAnsi="宋体"/>
          <w:color w:val="auto"/>
          <w:sz w:val="24"/>
        </w:rPr>
        <w:t>迟交4周以上，违约金金额为人民币10000元/周；</w:t>
      </w:r>
    </w:p>
    <w:p>
      <w:pPr>
        <w:numPr>
          <w:ilvl w:val="0"/>
          <w:numId w:val="23"/>
        </w:numPr>
        <w:tabs>
          <w:tab w:val="left" w:pos="540"/>
          <w:tab w:val="left" w:pos="1260"/>
          <w:tab w:val="left" w:pos="1440"/>
          <w:tab w:val="clear" w:pos="1080"/>
        </w:tabs>
        <w:spacing w:line="440" w:lineRule="exact"/>
        <w:ind w:left="540" w:firstLine="0"/>
        <w:rPr>
          <w:rFonts w:hint="eastAsia" w:ascii="宋体" w:hAnsi="宋体"/>
          <w:color w:val="auto"/>
          <w:sz w:val="24"/>
        </w:rPr>
      </w:pPr>
      <w:r>
        <w:rPr>
          <w:rFonts w:hint="eastAsia" w:ascii="宋体" w:hAnsi="宋体"/>
          <w:color w:val="auto"/>
          <w:sz w:val="24"/>
        </w:rPr>
        <w:t>如果由于卖方技术服务的延误、疏忽和/或错误，在执行合同中造成延误，每延误工期一周卖方将向买方支付合同价款的0.5％违约金。且卖方需支付由于卖方技术服务错误或违约造成买方的直接损失。如果由于卖方运抵现场的设备包装不符合买、卖双方达成的包装与保管技术标准与规范的要求，则买方有权要求卖方支付合同价款1%的违约金。</w:t>
      </w:r>
    </w:p>
    <w:p>
      <w:pPr>
        <w:numPr>
          <w:ilvl w:val="0"/>
          <w:numId w:val="23"/>
        </w:numPr>
        <w:tabs>
          <w:tab w:val="left" w:pos="540"/>
          <w:tab w:val="left" w:pos="1260"/>
          <w:tab w:val="left" w:pos="1440"/>
          <w:tab w:val="clear" w:pos="1080"/>
        </w:tabs>
        <w:spacing w:line="440" w:lineRule="exact"/>
        <w:ind w:left="540" w:firstLine="0"/>
        <w:rPr>
          <w:rFonts w:hint="eastAsia" w:ascii="宋体" w:hAnsi="宋体"/>
          <w:color w:val="auto"/>
          <w:sz w:val="24"/>
        </w:rPr>
      </w:pPr>
      <w:r>
        <w:rPr>
          <w:rFonts w:hint="eastAsia" w:ascii="宋体" w:hAnsi="宋体"/>
          <w:color w:val="auto"/>
          <w:sz w:val="24"/>
        </w:rPr>
        <w:t>卖方按本合同规定所承担的违约金总额不论单项或多项累计将不超过合同价款的30％。</w:t>
      </w:r>
    </w:p>
    <w:p>
      <w:pPr>
        <w:numPr>
          <w:ilvl w:val="0"/>
          <w:numId w:val="23"/>
        </w:numPr>
        <w:tabs>
          <w:tab w:val="left" w:pos="540"/>
          <w:tab w:val="left" w:pos="1260"/>
          <w:tab w:val="left" w:pos="1440"/>
          <w:tab w:val="clear" w:pos="1080"/>
        </w:tabs>
        <w:spacing w:line="440" w:lineRule="exact"/>
        <w:ind w:left="540" w:firstLine="0"/>
        <w:rPr>
          <w:rFonts w:hint="eastAsia" w:ascii="宋体" w:hAnsi="宋体"/>
          <w:color w:val="auto"/>
          <w:sz w:val="24"/>
        </w:rPr>
      </w:pPr>
      <w:r>
        <w:rPr>
          <w:rFonts w:hint="eastAsia" w:ascii="宋体" w:hAnsi="宋体"/>
          <w:color w:val="auto"/>
          <w:sz w:val="24"/>
        </w:rPr>
        <w:t>卖方支付迟交违约金并不解除按合同所规定的相应义务。</w:t>
      </w:r>
    </w:p>
    <w:p>
      <w:pPr>
        <w:numPr>
          <w:ilvl w:val="0"/>
          <w:numId w:val="23"/>
        </w:numPr>
        <w:tabs>
          <w:tab w:val="left" w:pos="540"/>
          <w:tab w:val="left" w:pos="1260"/>
          <w:tab w:val="left" w:pos="1440"/>
          <w:tab w:val="clear" w:pos="1080"/>
        </w:tabs>
        <w:spacing w:line="440" w:lineRule="exact"/>
        <w:ind w:left="540" w:firstLine="0"/>
        <w:rPr>
          <w:rFonts w:hint="eastAsia" w:ascii="宋体" w:hAnsi="宋体"/>
          <w:color w:val="auto"/>
          <w:sz w:val="24"/>
        </w:rPr>
      </w:pPr>
      <w:r>
        <w:rPr>
          <w:rFonts w:hint="eastAsia" w:ascii="宋体" w:hAnsi="宋体"/>
          <w:color w:val="auto"/>
          <w:sz w:val="24"/>
        </w:rPr>
        <w:t>如果由于买方原因，迟付货款，买方须按下列方式支付违约金(不满一周按比例计算)：</w:t>
      </w:r>
    </w:p>
    <w:p>
      <w:pPr>
        <w:numPr>
          <w:ilvl w:val="1"/>
          <w:numId w:val="26"/>
        </w:numPr>
        <w:spacing w:line="440" w:lineRule="exact"/>
        <w:rPr>
          <w:rFonts w:hint="eastAsia" w:ascii="宋体" w:hAnsi="宋体"/>
          <w:color w:val="auto"/>
          <w:sz w:val="24"/>
        </w:rPr>
      </w:pPr>
      <w:r>
        <w:rPr>
          <w:rFonts w:hint="eastAsia" w:ascii="宋体" w:hAnsi="宋体"/>
          <w:color w:val="auto"/>
          <w:sz w:val="24"/>
        </w:rPr>
        <w:t>迟付1－4周，每周违约金金额为迟付金额的0.3%；</w:t>
      </w:r>
    </w:p>
    <w:p>
      <w:pPr>
        <w:numPr>
          <w:ilvl w:val="1"/>
          <w:numId w:val="26"/>
        </w:numPr>
        <w:spacing w:line="440" w:lineRule="exact"/>
        <w:rPr>
          <w:rFonts w:hint="eastAsia" w:ascii="宋体" w:hAnsi="宋体"/>
          <w:color w:val="auto"/>
          <w:sz w:val="24"/>
        </w:rPr>
      </w:pPr>
      <w:r>
        <w:rPr>
          <w:rFonts w:hint="eastAsia" w:ascii="宋体" w:hAnsi="宋体"/>
          <w:color w:val="auto"/>
          <w:sz w:val="24"/>
        </w:rPr>
        <w:t>迟付5－8周，每周违约金金额为迟付金额的0.7%；</w:t>
      </w:r>
    </w:p>
    <w:p>
      <w:pPr>
        <w:numPr>
          <w:ilvl w:val="1"/>
          <w:numId w:val="26"/>
        </w:numPr>
        <w:spacing w:line="440" w:lineRule="exact"/>
        <w:rPr>
          <w:rFonts w:hint="eastAsia" w:ascii="宋体" w:hAnsi="宋体"/>
          <w:color w:val="auto"/>
          <w:sz w:val="24"/>
        </w:rPr>
      </w:pPr>
      <w:r>
        <w:rPr>
          <w:rFonts w:hint="eastAsia" w:ascii="宋体" w:hAnsi="宋体"/>
          <w:color w:val="auto"/>
          <w:sz w:val="24"/>
        </w:rPr>
        <w:t>迟付9周以上，每周违约金金额为迟付金额的1.0%；</w:t>
      </w:r>
    </w:p>
    <w:p>
      <w:pPr>
        <w:spacing w:line="440" w:lineRule="exact"/>
        <w:ind w:firstLine="570"/>
        <w:rPr>
          <w:rFonts w:ascii="宋体" w:hAnsi="宋体"/>
          <w:color w:val="auto"/>
          <w:sz w:val="24"/>
        </w:rPr>
      </w:pPr>
    </w:p>
    <w:p>
      <w:pPr>
        <w:spacing w:line="440" w:lineRule="exact"/>
        <w:ind w:firstLine="570"/>
        <w:rPr>
          <w:rFonts w:hint="eastAsia" w:ascii="宋体" w:hAnsi="宋体"/>
          <w:b/>
          <w:color w:val="auto"/>
          <w:sz w:val="24"/>
        </w:rPr>
      </w:pPr>
      <w:r>
        <w:rPr>
          <w:rFonts w:hint="eastAsia" w:ascii="宋体" w:hAnsi="宋体"/>
          <w:b/>
          <w:color w:val="auto"/>
          <w:sz w:val="24"/>
        </w:rPr>
        <w:t>第十八条  不可抗力</w:t>
      </w:r>
    </w:p>
    <w:p>
      <w:pPr>
        <w:numPr>
          <w:ilvl w:val="0"/>
          <w:numId w:val="27"/>
        </w:numPr>
        <w:tabs>
          <w:tab w:val="left" w:pos="540"/>
          <w:tab w:val="left" w:pos="1260"/>
          <w:tab w:val="left" w:pos="1440"/>
          <w:tab w:val="clear" w:pos="1080"/>
        </w:tabs>
        <w:spacing w:line="440" w:lineRule="exact"/>
        <w:ind w:left="540" w:firstLine="0"/>
        <w:rPr>
          <w:rFonts w:hint="eastAsia" w:ascii="宋体" w:hAnsi="宋体"/>
          <w:color w:val="auto"/>
          <w:sz w:val="24"/>
        </w:rPr>
      </w:pPr>
      <w:r>
        <w:rPr>
          <w:rFonts w:hint="eastAsia" w:ascii="宋体" w:hAnsi="宋体"/>
          <w:color w:val="auto"/>
          <w:sz w:val="24"/>
        </w:rPr>
        <w:t>任何一方由于不可抗力事件而影响其履行合同义务时，可以延迟履行合同义务，但延迟履行合同义务的期限和范围应仅限于受不可抗力事件影响的时间和范围，无论本合同其他条款如何规定，任何一方均不得因不可抗力事件而要求调整合同价款。</w:t>
      </w:r>
    </w:p>
    <w:p>
      <w:pPr>
        <w:numPr>
          <w:ilvl w:val="0"/>
          <w:numId w:val="27"/>
        </w:numPr>
        <w:tabs>
          <w:tab w:val="left" w:pos="540"/>
          <w:tab w:val="left" w:pos="1260"/>
          <w:tab w:val="left" w:pos="1440"/>
          <w:tab w:val="clear" w:pos="1080"/>
        </w:tabs>
        <w:spacing w:line="440" w:lineRule="exact"/>
        <w:ind w:left="540" w:firstLine="0"/>
        <w:rPr>
          <w:rFonts w:hint="eastAsia" w:ascii="宋体" w:hAnsi="宋体"/>
          <w:color w:val="auto"/>
          <w:sz w:val="24"/>
        </w:rPr>
      </w:pPr>
      <w:r>
        <w:rPr>
          <w:rFonts w:hint="eastAsia" w:ascii="宋体" w:hAnsi="宋体"/>
          <w:color w:val="auto"/>
          <w:sz w:val="24"/>
        </w:rPr>
        <w:t>受不可抗力影响的一方应在不可抗力事故发生后，尽快将所发生的不可抗力事件的情况以传真或电报等方式通知另一方，受影响的一方同时应尽量设法缩小这种影响和由此而引起的延误，一旦不可抗力的影响消除后，应将此情况立即通知对方，并立即恢复履行受不可抗力事件影响的合同义务。</w:t>
      </w:r>
    </w:p>
    <w:p>
      <w:pPr>
        <w:numPr>
          <w:ilvl w:val="0"/>
          <w:numId w:val="27"/>
        </w:numPr>
        <w:tabs>
          <w:tab w:val="left" w:pos="540"/>
          <w:tab w:val="left" w:pos="1260"/>
          <w:tab w:val="left" w:pos="1440"/>
          <w:tab w:val="clear" w:pos="1080"/>
        </w:tabs>
        <w:spacing w:line="440" w:lineRule="exact"/>
        <w:ind w:left="540" w:firstLine="0"/>
        <w:rPr>
          <w:rFonts w:hint="eastAsia" w:ascii="宋体" w:hAnsi="宋体"/>
          <w:color w:val="auto"/>
          <w:sz w:val="24"/>
        </w:rPr>
      </w:pPr>
      <w:r>
        <w:rPr>
          <w:rFonts w:hint="eastAsia" w:ascii="宋体" w:hAnsi="宋体"/>
          <w:color w:val="auto"/>
          <w:sz w:val="24"/>
        </w:rPr>
        <w:t>如果双方对不可抗力事件的影响估计将延续到一百天以上时，双方应通过友好协商解决本合同的执行问题。</w:t>
      </w:r>
      <w:r>
        <w:rPr>
          <w:rFonts w:hint="eastAsia" w:ascii="宋体" w:hAnsi="宋体"/>
          <w:color w:val="auto"/>
          <w:sz w:val="24"/>
          <w:lang w:eastAsia="zh-CN"/>
        </w:rPr>
        <w:t>、</w:t>
      </w:r>
    </w:p>
    <w:p>
      <w:pPr>
        <w:numPr>
          <w:ilvl w:val="0"/>
          <w:numId w:val="27"/>
        </w:numPr>
        <w:tabs>
          <w:tab w:val="left" w:pos="540"/>
          <w:tab w:val="left" w:pos="1260"/>
          <w:tab w:val="left" w:pos="1440"/>
          <w:tab w:val="clear" w:pos="1080"/>
        </w:tabs>
        <w:spacing w:line="440" w:lineRule="exact"/>
        <w:ind w:left="540" w:firstLine="0"/>
        <w:rPr>
          <w:rFonts w:hint="default" w:ascii="宋体" w:hAnsi="宋体"/>
          <w:color w:val="auto"/>
          <w:sz w:val="24"/>
          <w:highlight w:val="none"/>
          <w:lang w:val="en-US"/>
        </w:rPr>
      </w:pPr>
      <w:r>
        <w:rPr>
          <w:rFonts w:hint="eastAsia" w:ascii="宋体" w:hAnsi="宋体"/>
          <w:color w:val="auto"/>
          <w:sz w:val="24"/>
          <w:highlight w:val="none"/>
          <w:lang w:val="en-US" w:eastAsia="zh-CN"/>
        </w:rPr>
        <w:t>根据苏建价〔2020〕20号文，因新冠肺炎疫情防控造成的损失和费用增加，适用合同不可抗力相关条款规定。</w:t>
      </w:r>
    </w:p>
    <w:p>
      <w:pPr>
        <w:spacing w:line="440" w:lineRule="exact"/>
        <w:ind w:firstLine="570"/>
        <w:rPr>
          <w:rFonts w:ascii="宋体" w:hAnsi="宋体"/>
          <w:color w:val="auto"/>
          <w:sz w:val="24"/>
        </w:rPr>
      </w:pPr>
    </w:p>
    <w:p>
      <w:pPr>
        <w:spacing w:line="440" w:lineRule="exact"/>
        <w:ind w:firstLine="570"/>
        <w:rPr>
          <w:rFonts w:hint="eastAsia" w:ascii="宋体" w:hAnsi="宋体"/>
          <w:b/>
          <w:color w:val="auto"/>
          <w:sz w:val="24"/>
        </w:rPr>
      </w:pPr>
      <w:r>
        <w:rPr>
          <w:rFonts w:hint="eastAsia" w:ascii="宋体" w:hAnsi="宋体"/>
          <w:b/>
          <w:color w:val="auto"/>
          <w:sz w:val="24"/>
        </w:rPr>
        <w:t>第十九条  违约终止合同</w:t>
      </w:r>
    </w:p>
    <w:p>
      <w:pPr>
        <w:numPr>
          <w:ilvl w:val="0"/>
          <w:numId w:val="28"/>
        </w:numPr>
        <w:tabs>
          <w:tab w:val="left" w:pos="540"/>
          <w:tab w:val="left" w:pos="1260"/>
          <w:tab w:val="left" w:pos="1440"/>
          <w:tab w:val="clear" w:pos="1080"/>
        </w:tabs>
        <w:spacing w:line="440" w:lineRule="exact"/>
        <w:ind w:left="540" w:firstLine="0"/>
        <w:rPr>
          <w:rFonts w:hint="eastAsia" w:ascii="宋体" w:hAnsi="宋体"/>
          <w:color w:val="auto"/>
          <w:sz w:val="24"/>
        </w:rPr>
      </w:pPr>
      <w:r>
        <w:rPr>
          <w:rFonts w:hint="eastAsia" w:ascii="宋体" w:hAnsi="宋体"/>
          <w:color w:val="auto"/>
          <w:sz w:val="24"/>
        </w:rPr>
        <w:t xml:space="preserve">因卖方违约，买方有权采取任何必要的措施予以补救，在下列卖方违约情况下，买方在向卖方发出书面违约通知后，可立即终止全部或部分合同： </w:t>
      </w:r>
    </w:p>
    <w:p>
      <w:pPr>
        <w:numPr>
          <w:ilvl w:val="1"/>
          <w:numId w:val="29"/>
        </w:numPr>
        <w:tabs>
          <w:tab w:val="left" w:pos="1620"/>
          <w:tab w:val="clear" w:pos="1320"/>
        </w:tabs>
        <w:spacing w:line="440" w:lineRule="exact"/>
        <w:ind w:left="1620" w:hanging="720"/>
        <w:rPr>
          <w:rFonts w:hint="eastAsia" w:ascii="宋体" w:hAnsi="宋体"/>
          <w:color w:val="auto"/>
          <w:sz w:val="24"/>
        </w:rPr>
      </w:pPr>
      <w:r>
        <w:rPr>
          <w:rFonts w:hint="eastAsia" w:ascii="宋体" w:hAnsi="宋体"/>
          <w:color w:val="auto"/>
          <w:sz w:val="24"/>
        </w:rPr>
        <w:t>卖方原因导致的迟延交货达90天时；</w:t>
      </w:r>
    </w:p>
    <w:p>
      <w:pPr>
        <w:numPr>
          <w:ilvl w:val="1"/>
          <w:numId w:val="29"/>
        </w:numPr>
        <w:tabs>
          <w:tab w:val="left" w:pos="1620"/>
          <w:tab w:val="clear" w:pos="1320"/>
        </w:tabs>
        <w:spacing w:line="440" w:lineRule="exact"/>
        <w:ind w:left="1620" w:hanging="720"/>
        <w:rPr>
          <w:rFonts w:hint="eastAsia" w:ascii="宋体" w:hAnsi="宋体"/>
          <w:color w:val="auto"/>
          <w:sz w:val="24"/>
        </w:rPr>
      </w:pPr>
      <w:r>
        <w:rPr>
          <w:rFonts w:hint="eastAsia" w:ascii="宋体" w:hAnsi="宋体"/>
          <w:color w:val="auto"/>
          <w:sz w:val="24"/>
        </w:rPr>
        <w:t>卖方未能履行合同项下的任何其它义务，导致买方利益遭受严重损害的；</w:t>
      </w:r>
    </w:p>
    <w:p>
      <w:pPr>
        <w:numPr>
          <w:ilvl w:val="1"/>
          <w:numId w:val="29"/>
        </w:numPr>
        <w:tabs>
          <w:tab w:val="left" w:pos="1620"/>
          <w:tab w:val="clear" w:pos="1320"/>
        </w:tabs>
        <w:spacing w:line="440" w:lineRule="exact"/>
        <w:ind w:left="1620" w:hanging="720"/>
        <w:rPr>
          <w:rFonts w:hint="eastAsia" w:ascii="宋体" w:hAnsi="宋体"/>
          <w:color w:val="auto"/>
          <w:sz w:val="24"/>
        </w:rPr>
      </w:pPr>
      <w:r>
        <w:rPr>
          <w:rFonts w:hint="eastAsia" w:ascii="宋体" w:hAnsi="宋体"/>
          <w:color w:val="auto"/>
          <w:sz w:val="24"/>
        </w:rPr>
        <w:t>卖方破产或无清偿能力。</w:t>
      </w:r>
    </w:p>
    <w:p>
      <w:pPr>
        <w:numPr>
          <w:ilvl w:val="0"/>
          <w:numId w:val="28"/>
        </w:numPr>
        <w:tabs>
          <w:tab w:val="left" w:pos="540"/>
          <w:tab w:val="left" w:pos="1260"/>
          <w:tab w:val="left" w:pos="1440"/>
          <w:tab w:val="clear" w:pos="1080"/>
        </w:tabs>
        <w:spacing w:line="440" w:lineRule="exact"/>
        <w:ind w:left="540" w:firstLine="0"/>
        <w:rPr>
          <w:rFonts w:hint="eastAsia" w:ascii="宋体" w:hAnsi="宋体"/>
          <w:color w:val="auto"/>
          <w:sz w:val="24"/>
        </w:rPr>
      </w:pPr>
      <w:r>
        <w:rPr>
          <w:rFonts w:hint="eastAsia" w:ascii="宋体" w:hAnsi="宋体"/>
          <w:color w:val="auto"/>
          <w:sz w:val="24"/>
        </w:rPr>
        <w:t>一旦买方根据第19.1款终止部分或全部合同，买方有权按其认为适当的条件和方式采购类似未交付部分货物。卖方应承担买方购买类似货物的额外费用，以及因此而造成的一切损失。但是，卖方应继续履行合同中未终止的部分。</w:t>
      </w:r>
    </w:p>
    <w:p>
      <w:pPr>
        <w:spacing w:line="440" w:lineRule="exact"/>
        <w:ind w:firstLine="570"/>
        <w:rPr>
          <w:rFonts w:ascii="宋体" w:hAnsi="宋体"/>
          <w:color w:val="auto"/>
          <w:sz w:val="24"/>
        </w:rPr>
      </w:pPr>
    </w:p>
    <w:p>
      <w:pPr>
        <w:spacing w:line="440" w:lineRule="exact"/>
        <w:ind w:firstLine="570"/>
        <w:rPr>
          <w:rFonts w:hint="eastAsia" w:ascii="宋体" w:hAnsi="宋体"/>
          <w:b/>
          <w:color w:val="auto"/>
          <w:sz w:val="24"/>
        </w:rPr>
      </w:pPr>
      <w:r>
        <w:rPr>
          <w:rFonts w:hint="eastAsia" w:ascii="宋体" w:hAnsi="宋体"/>
          <w:b/>
          <w:color w:val="auto"/>
          <w:sz w:val="24"/>
        </w:rPr>
        <w:t>第二十条  变更指示</w:t>
      </w:r>
    </w:p>
    <w:p>
      <w:pPr>
        <w:numPr>
          <w:ilvl w:val="0"/>
          <w:numId w:val="30"/>
        </w:numPr>
        <w:tabs>
          <w:tab w:val="left" w:pos="540"/>
          <w:tab w:val="left" w:pos="1260"/>
          <w:tab w:val="left" w:pos="1440"/>
          <w:tab w:val="clear" w:pos="1080"/>
        </w:tabs>
        <w:spacing w:line="440" w:lineRule="exact"/>
        <w:ind w:left="540" w:firstLine="0"/>
        <w:rPr>
          <w:rFonts w:hint="eastAsia" w:ascii="宋体" w:hAnsi="宋体"/>
          <w:color w:val="auto"/>
          <w:sz w:val="24"/>
        </w:rPr>
      </w:pPr>
      <w:r>
        <w:rPr>
          <w:rFonts w:hint="eastAsia" w:ascii="宋体" w:hAnsi="宋体"/>
          <w:color w:val="auto"/>
          <w:sz w:val="24"/>
        </w:rPr>
        <w:t xml:space="preserve">买方在任何时候可以按第二十三条规定向卖方发出书面指示，对合同的下列内容及相应条款作出变更或修改： </w:t>
      </w:r>
    </w:p>
    <w:p>
      <w:pPr>
        <w:numPr>
          <w:ilvl w:val="1"/>
          <w:numId w:val="31"/>
        </w:numPr>
        <w:tabs>
          <w:tab w:val="left" w:pos="1620"/>
          <w:tab w:val="clear" w:pos="1320"/>
        </w:tabs>
        <w:spacing w:line="440" w:lineRule="exact"/>
        <w:ind w:left="1620" w:hanging="720"/>
        <w:rPr>
          <w:rFonts w:hint="eastAsia" w:ascii="宋体" w:hAnsi="宋体"/>
          <w:color w:val="auto"/>
          <w:sz w:val="24"/>
        </w:rPr>
      </w:pPr>
      <w:r>
        <w:rPr>
          <w:rFonts w:hint="eastAsia" w:ascii="宋体" w:hAnsi="宋体"/>
          <w:color w:val="auto"/>
          <w:sz w:val="24"/>
        </w:rPr>
        <w:t>装运方式和包装方式；</w:t>
      </w:r>
    </w:p>
    <w:p>
      <w:pPr>
        <w:numPr>
          <w:ilvl w:val="1"/>
          <w:numId w:val="31"/>
        </w:numPr>
        <w:tabs>
          <w:tab w:val="left" w:pos="1620"/>
          <w:tab w:val="clear" w:pos="1320"/>
        </w:tabs>
        <w:spacing w:line="440" w:lineRule="exact"/>
        <w:ind w:left="1620" w:hanging="720"/>
        <w:rPr>
          <w:rFonts w:hint="eastAsia" w:ascii="宋体" w:hAnsi="宋体"/>
          <w:color w:val="auto"/>
          <w:sz w:val="24"/>
        </w:rPr>
      </w:pPr>
      <w:r>
        <w:rPr>
          <w:rFonts w:hint="eastAsia" w:ascii="宋体" w:hAnsi="宋体"/>
          <w:color w:val="auto"/>
          <w:sz w:val="24"/>
        </w:rPr>
        <w:t>交货地点；</w:t>
      </w:r>
    </w:p>
    <w:p>
      <w:pPr>
        <w:numPr>
          <w:ilvl w:val="1"/>
          <w:numId w:val="31"/>
        </w:numPr>
        <w:tabs>
          <w:tab w:val="left" w:pos="1620"/>
          <w:tab w:val="clear" w:pos="1320"/>
        </w:tabs>
        <w:spacing w:line="440" w:lineRule="exact"/>
        <w:ind w:left="1620" w:hanging="720"/>
        <w:rPr>
          <w:rFonts w:hint="eastAsia" w:ascii="宋体" w:hAnsi="宋体"/>
          <w:color w:val="auto"/>
          <w:sz w:val="24"/>
        </w:rPr>
      </w:pPr>
      <w:r>
        <w:rPr>
          <w:rFonts w:hint="eastAsia" w:ascii="宋体" w:hAnsi="宋体"/>
          <w:color w:val="auto"/>
          <w:sz w:val="24"/>
        </w:rPr>
        <w:t>卖方须提供的服务。</w:t>
      </w:r>
    </w:p>
    <w:p>
      <w:pPr>
        <w:spacing w:line="440" w:lineRule="exact"/>
        <w:ind w:firstLine="570"/>
        <w:rPr>
          <w:rFonts w:ascii="宋体" w:hAnsi="宋体"/>
          <w:color w:val="auto"/>
          <w:sz w:val="24"/>
        </w:rPr>
      </w:pPr>
    </w:p>
    <w:p>
      <w:pPr>
        <w:spacing w:line="440" w:lineRule="exact"/>
        <w:ind w:firstLine="570"/>
        <w:rPr>
          <w:rFonts w:hint="eastAsia" w:ascii="宋体" w:hAnsi="宋体"/>
          <w:b/>
          <w:color w:val="auto"/>
          <w:sz w:val="24"/>
        </w:rPr>
      </w:pPr>
      <w:r>
        <w:rPr>
          <w:rFonts w:hint="eastAsia" w:ascii="宋体" w:hAnsi="宋体"/>
          <w:b/>
          <w:color w:val="auto"/>
          <w:sz w:val="24"/>
        </w:rPr>
        <w:t>第二十一条  合同修改</w:t>
      </w:r>
    </w:p>
    <w:p>
      <w:pPr>
        <w:spacing w:line="440" w:lineRule="exact"/>
        <w:ind w:firstLine="570"/>
        <w:rPr>
          <w:rFonts w:hint="eastAsia" w:ascii="宋体" w:hAnsi="宋体"/>
          <w:color w:val="auto"/>
          <w:sz w:val="24"/>
        </w:rPr>
      </w:pPr>
      <w:r>
        <w:rPr>
          <w:rFonts w:hint="eastAsia" w:ascii="宋体" w:hAnsi="宋体"/>
          <w:color w:val="auto"/>
          <w:sz w:val="24"/>
        </w:rPr>
        <w:t>根据第二十条，欲对合同条款作出任何改动或偏离，买卖双方均须签署书面的合同修改书。</w:t>
      </w:r>
    </w:p>
    <w:p>
      <w:pPr>
        <w:spacing w:line="440" w:lineRule="exact"/>
        <w:ind w:firstLine="570"/>
        <w:rPr>
          <w:rFonts w:ascii="宋体" w:hAnsi="宋体"/>
          <w:color w:val="auto"/>
          <w:sz w:val="24"/>
        </w:rPr>
      </w:pPr>
    </w:p>
    <w:p>
      <w:pPr>
        <w:spacing w:line="440" w:lineRule="exact"/>
        <w:ind w:firstLine="570"/>
        <w:rPr>
          <w:rFonts w:hint="eastAsia" w:ascii="宋体" w:hAnsi="宋体"/>
          <w:b/>
          <w:color w:val="auto"/>
          <w:sz w:val="24"/>
        </w:rPr>
      </w:pPr>
      <w:r>
        <w:rPr>
          <w:rFonts w:hint="eastAsia" w:ascii="宋体" w:hAnsi="宋体"/>
          <w:b/>
          <w:color w:val="auto"/>
          <w:sz w:val="24"/>
        </w:rPr>
        <w:t>第二十二条  转包与分包</w:t>
      </w:r>
    </w:p>
    <w:p>
      <w:pPr>
        <w:spacing w:line="440" w:lineRule="exact"/>
        <w:ind w:firstLine="570"/>
        <w:rPr>
          <w:rFonts w:hint="eastAsia" w:ascii="宋体" w:hAnsi="宋体"/>
          <w:color w:val="auto"/>
          <w:sz w:val="24"/>
        </w:rPr>
      </w:pPr>
      <w:r>
        <w:rPr>
          <w:rFonts w:hint="eastAsia" w:ascii="宋体" w:hAnsi="宋体"/>
          <w:color w:val="auto"/>
          <w:sz w:val="24"/>
        </w:rPr>
        <w:t>卖方不得将其在本合同项下的义务全部转让或分包给任何第三方。</w:t>
      </w:r>
    </w:p>
    <w:p>
      <w:pPr>
        <w:spacing w:line="440" w:lineRule="exact"/>
        <w:ind w:firstLine="570"/>
        <w:rPr>
          <w:rFonts w:ascii="宋体" w:hAnsi="宋体"/>
          <w:color w:val="auto"/>
          <w:sz w:val="24"/>
        </w:rPr>
      </w:pPr>
    </w:p>
    <w:p>
      <w:pPr>
        <w:spacing w:line="440" w:lineRule="exact"/>
        <w:ind w:firstLine="570"/>
        <w:rPr>
          <w:rFonts w:hint="eastAsia" w:ascii="宋体" w:hAnsi="宋体"/>
          <w:b/>
          <w:color w:val="auto"/>
          <w:sz w:val="24"/>
        </w:rPr>
      </w:pPr>
      <w:r>
        <w:rPr>
          <w:rFonts w:hint="eastAsia" w:ascii="宋体" w:hAnsi="宋体"/>
          <w:b/>
          <w:color w:val="auto"/>
          <w:sz w:val="24"/>
        </w:rPr>
        <w:t>第二十三条  通知</w:t>
      </w:r>
    </w:p>
    <w:p>
      <w:pPr>
        <w:spacing w:line="440" w:lineRule="exact"/>
        <w:ind w:firstLine="570"/>
        <w:rPr>
          <w:rFonts w:hint="eastAsia" w:ascii="宋体" w:hAnsi="宋体"/>
          <w:color w:val="auto"/>
          <w:sz w:val="24"/>
        </w:rPr>
      </w:pPr>
      <w:r>
        <w:rPr>
          <w:rFonts w:hint="eastAsia" w:ascii="宋体" w:hAnsi="宋体"/>
          <w:color w:val="auto"/>
          <w:sz w:val="24"/>
        </w:rPr>
        <w:t>本合同任何一方给另一方的通知都应以信函或电报、传真等书面形式发送，而另一方应以书面形式确认并发送到对方明确的地址。</w:t>
      </w:r>
    </w:p>
    <w:p>
      <w:pPr>
        <w:spacing w:line="440" w:lineRule="exact"/>
        <w:ind w:firstLine="570"/>
        <w:rPr>
          <w:rFonts w:ascii="宋体" w:hAnsi="宋体"/>
          <w:color w:val="auto"/>
          <w:sz w:val="24"/>
        </w:rPr>
      </w:pPr>
    </w:p>
    <w:p>
      <w:pPr>
        <w:spacing w:line="440" w:lineRule="exact"/>
        <w:ind w:firstLine="570"/>
        <w:rPr>
          <w:rFonts w:hint="eastAsia" w:ascii="宋体" w:hAnsi="宋体"/>
          <w:b/>
          <w:color w:val="auto"/>
          <w:sz w:val="24"/>
        </w:rPr>
      </w:pPr>
      <w:r>
        <w:rPr>
          <w:rFonts w:hint="eastAsia" w:ascii="宋体" w:hAnsi="宋体"/>
          <w:b/>
          <w:color w:val="auto"/>
          <w:sz w:val="24"/>
        </w:rPr>
        <w:t>第二十四条  合同文件资料的使用</w:t>
      </w:r>
    </w:p>
    <w:p>
      <w:pPr>
        <w:numPr>
          <w:ilvl w:val="0"/>
          <w:numId w:val="32"/>
        </w:numPr>
        <w:tabs>
          <w:tab w:val="left" w:pos="540"/>
          <w:tab w:val="left" w:pos="1260"/>
          <w:tab w:val="left" w:pos="1440"/>
          <w:tab w:val="clear" w:pos="1080"/>
        </w:tabs>
        <w:spacing w:line="440" w:lineRule="exact"/>
        <w:ind w:left="540" w:firstLine="0"/>
        <w:rPr>
          <w:rFonts w:hint="eastAsia" w:ascii="宋体" w:hAnsi="宋体"/>
          <w:color w:val="auto"/>
          <w:sz w:val="24"/>
        </w:rPr>
      </w:pPr>
      <w:r>
        <w:rPr>
          <w:rFonts w:hint="eastAsia" w:ascii="宋体" w:hAnsi="宋体"/>
          <w:color w:val="auto"/>
          <w:sz w:val="24"/>
        </w:rPr>
        <w:t>除了卖方为执行合同所雇人员外，在未经买方同意的情况下，卖方不得将合同、或其中任何规定、或任何有关规格、计划或买方为上述内容向卖方提供的资料透露给任何人。卖方须在对外保密的前提下，对其雇用人员提供有关情况，所提供的情况仅限于执行合同必不可少的范围内。</w:t>
      </w:r>
    </w:p>
    <w:p>
      <w:pPr>
        <w:numPr>
          <w:ilvl w:val="0"/>
          <w:numId w:val="32"/>
        </w:numPr>
        <w:tabs>
          <w:tab w:val="left" w:pos="540"/>
          <w:tab w:val="left" w:pos="1260"/>
          <w:tab w:val="left" w:pos="1440"/>
          <w:tab w:val="clear" w:pos="1080"/>
        </w:tabs>
        <w:spacing w:line="400" w:lineRule="exact"/>
        <w:ind w:left="540" w:firstLine="0"/>
        <w:rPr>
          <w:rFonts w:hint="eastAsia" w:ascii="宋体" w:hAnsi="宋体"/>
          <w:color w:val="auto"/>
          <w:sz w:val="24"/>
        </w:rPr>
      </w:pPr>
      <w:r>
        <w:rPr>
          <w:rFonts w:hint="eastAsia" w:ascii="宋体" w:hAnsi="宋体"/>
          <w:color w:val="auto"/>
          <w:sz w:val="24"/>
        </w:rPr>
        <w:t>除非执行合同需要，在事先未得到买方同意的情况下，卖方不得使用第24.1款中所列的任何文件和资料。</w:t>
      </w:r>
    </w:p>
    <w:p>
      <w:pPr>
        <w:spacing w:line="400" w:lineRule="exact"/>
        <w:ind w:firstLine="570"/>
        <w:rPr>
          <w:rFonts w:ascii="宋体" w:hAnsi="宋体"/>
          <w:color w:val="auto"/>
          <w:sz w:val="24"/>
        </w:rPr>
      </w:pPr>
    </w:p>
    <w:p>
      <w:pPr>
        <w:spacing w:line="400" w:lineRule="exact"/>
        <w:ind w:firstLine="570"/>
        <w:rPr>
          <w:rFonts w:hint="eastAsia" w:ascii="宋体" w:hAnsi="宋体"/>
          <w:b/>
          <w:color w:val="auto"/>
          <w:sz w:val="24"/>
        </w:rPr>
      </w:pPr>
      <w:r>
        <w:rPr>
          <w:rFonts w:hint="eastAsia" w:ascii="宋体" w:hAnsi="宋体"/>
          <w:b/>
          <w:color w:val="auto"/>
          <w:sz w:val="24"/>
        </w:rPr>
        <w:t>第二十五条  合同生效及其它</w:t>
      </w:r>
    </w:p>
    <w:p>
      <w:pPr>
        <w:numPr>
          <w:ilvl w:val="0"/>
          <w:numId w:val="33"/>
        </w:numPr>
        <w:tabs>
          <w:tab w:val="left" w:pos="1260"/>
          <w:tab w:val="left" w:pos="1440"/>
        </w:tabs>
        <w:spacing w:line="400" w:lineRule="exact"/>
        <w:ind w:hanging="540"/>
        <w:rPr>
          <w:rFonts w:hint="eastAsia" w:ascii="宋体" w:hAnsi="宋体"/>
          <w:color w:val="auto"/>
          <w:sz w:val="24"/>
        </w:rPr>
      </w:pPr>
      <w:r>
        <w:rPr>
          <w:rFonts w:hint="eastAsia" w:ascii="宋体" w:hAnsi="宋体"/>
          <w:color w:val="auto"/>
          <w:sz w:val="24"/>
        </w:rPr>
        <w:t>本合同经双方法定代表人或其授权代表签字后，即开始生效。</w:t>
      </w:r>
    </w:p>
    <w:p>
      <w:pPr>
        <w:numPr>
          <w:ilvl w:val="0"/>
          <w:numId w:val="33"/>
        </w:numPr>
        <w:tabs>
          <w:tab w:val="left" w:pos="1260"/>
          <w:tab w:val="left" w:pos="1440"/>
        </w:tabs>
        <w:spacing w:line="400" w:lineRule="exact"/>
        <w:ind w:left="540" w:firstLine="0"/>
        <w:rPr>
          <w:rFonts w:hint="eastAsia" w:ascii="宋体" w:hAnsi="宋体"/>
          <w:color w:val="auto"/>
          <w:sz w:val="24"/>
        </w:rPr>
      </w:pPr>
      <w:r>
        <w:rPr>
          <w:rFonts w:hint="eastAsia" w:ascii="宋体" w:hAnsi="宋体"/>
          <w:color w:val="auto"/>
          <w:sz w:val="24"/>
        </w:rPr>
        <w:t>本合同有效期自合同生效日起到双方之间已完全解决了所有索赔事项并货款两清之日止。</w:t>
      </w:r>
    </w:p>
    <w:p>
      <w:pPr>
        <w:numPr>
          <w:ilvl w:val="0"/>
          <w:numId w:val="33"/>
        </w:numPr>
        <w:tabs>
          <w:tab w:val="left" w:pos="1260"/>
          <w:tab w:val="left" w:pos="1440"/>
        </w:tabs>
        <w:spacing w:line="400" w:lineRule="exact"/>
        <w:ind w:left="540" w:firstLine="0"/>
        <w:rPr>
          <w:rFonts w:hint="eastAsia" w:ascii="宋体" w:hAnsi="宋体"/>
          <w:color w:val="auto"/>
          <w:sz w:val="24"/>
        </w:rPr>
      </w:pPr>
      <w:r>
        <w:rPr>
          <w:rFonts w:hint="eastAsia" w:ascii="宋体" w:hAnsi="宋体"/>
          <w:color w:val="auto"/>
          <w:sz w:val="24"/>
        </w:rPr>
        <w:t>卖方须按技术规格书中的规定，向买方提供与合同项下货物有关的技术服务及其它相关服务。</w:t>
      </w:r>
    </w:p>
    <w:p>
      <w:pPr>
        <w:spacing w:line="400" w:lineRule="exact"/>
        <w:ind w:firstLine="570"/>
        <w:rPr>
          <w:rFonts w:ascii="宋体" w:hAnsi="宋体"/>
          <w:color w:val="auto"/>
          <w:sz w:val="24"/>
        </w:rPr>
      </w:pPr>
    </w:p>
    <w:p>
      <w:pPr>
        <w:spacing w:line="400" w:lineRule="exact"/>
        <w:ind w:firstLine="570"/>
        <w:rPr>
          <w:rFonts w:hint="eastAsia" w:ascii="宋体" w:hAnsi="宋体" w:eastAsia="宋体"/>
          <w:b/>
          <w:sz w:val="24"/>
          <w:szCs w:val="24"/>
          <w:highlight w:val="none"/>
          <w:lang w:eastAsia="zh-CN"/>
        </w:rPr>
      </w:pPr>
      <w:r>
        <w:rPr>
          <w:rFonts w:hint="eastAsia" w:ascii="宋体" w:hAnsi="宋体"/>
          <w:b/>
          <w:color w:val="auto"/>
          <w:sz w:val="24"/>
        </w:rPr>
        <w:t xml:space="preserve">第二十六条  </w:t>
      </w:r>
      <w:r>
        <w:rPr>
          <w:rFonts w:hint="eastAsia" w:ascii="宋体" w:hAnsi="宋体"/>
          <w:b/>
          <w:sz w:val="24"/>
          <w:szCs w:val="24"/>
          <w:highlight w:val="none"/>
          <w:lang w:val="en-US" w:eastAsia="zh-CN"/>
        </w:rPr>
        <w:t>争议解决</w:t>
      </w:r>
    </w:p>
    <w:p>
      <w:pPr>
        <w:numPr>
          <w:ilvl w:val="0"/>
          <w:numId w:val="0"/>
        </w:numPr>
        <w:tabs>
          <w:tab w:val="left" w:pos="540"/>
          <w:tab w:val="left" w:pos="1260"/>
          <w:tab w:val="left" w:pos="1440"/>
        </w:tabs>
        <w:spacing w:line="400" w:lineRule="exact"/>
        <w:ind w:left="540" w:leftChars="0"/>
        <w:rPr>
          <w:rFonts w:hint="eastAsia" w:ascii="宋体" w:hAnsi="宋体" w:cs="Times New Roman"/>
          <w:sz w:val="24"/>
          <w:szCs w:val="24"/>
          <w:highlight w:val="none"/>
        </w:rPr>
      </w:pPr>
      <w:r>
        <w:rPr>
          <w:rFonts w:hint="eastAsia" w:ascii="宋体" w:hAnsi="宋体" w:cs="Times New Roman"/>
          <w:sz w:val="24"/>
          <w:szCs w:val="24"/>
          <w:highlight w:val="none"/>
          <w:lang w:val="en-US" w:eastAsia="zh-CN"/>
        </w:rPr>
        <w:t>26.1</w:t>
      </w:r>
      <w:r>
        <w:rPr>
          <w:rFonts w:hint="eastAsia" w:ascii="宋体" w:hAnsi="宋体" w:cs="Times New Roman"/>
          <w:sz w:val="24"/>
          <w:szCs w:val="24"/>
          <w:highlight w:val="none"/>
        </w:rPr>
        <w:t xml:space="preserve"> 因货物的质量问题发生争议的，可在国家认可的质量检测机构对货物质量进行鉴定。货物符合标准的，鉴定费由</w:t>
      </w:r>
      <w:r>
        <w:rPr>
          <w:rFonts w:hint="eastAsia" w:ascii="宋体" w:hAnsi="宋体" w:cs="Times New Roman"/>
          <w:sz w:val="24"/>
          <w:szCs w:val="24"/>
          <w:highlight w:val="none"/>
          <w:lang w:eastAsia="zh-CN"/>
        </w:rPr>
        <w:t>买方</w:t>
      </w:r>
      <w:r>
        <w:rPr>
          <w:rFonts w:hint="eastAsia" w:ascii="宋体" w:hAnsi="宋体" w:cs="Times New Roman"/>
          <w:sz w:val="24"/>
          <w:szCs w:val="24"/>
          <w:highlight w:val="none"/>
        </w:rPr>
        <w:t>承担；货物不符合质量标准的，鉴定费由</w:t>
      </w:r>
      <w:r>
        <w:rPr>
          <w:rFonts w:hint="eastAsia" w:ascii="宋体" w:hAnsi="宋体" w:cs="Times New Roman"/>
          <w:sz w:val="24"/>
          <w:szCs w:val="24"/>
          <w:highlight w:val="none"/>
          <w:lang w:eastAsia="zh-CN"/>
        </w:rPr>
        <w:t>卖方</w:t>
      </w:r>
      <w:r>
        <w:rPr>
          <w:rFonts w:hint="eastAsia" w:ascii="宋体" w:hAnsi="宋体" w:cs="Times New Roman"/>
          <w:sz w:val="24"/>
          <w:szCs w:val="24"/>
          <w:highlight w:val="none"/>
        </w:rPr>
        <w:t>承担。</w:t>
      </w:r>
    </w:p>
    <w:p>
      <w:pPr>
        <w:numPr>
          <w:ilvl w:val="0"/>
          <w:numId w:val="0"/>
        </w:numPr>
        <w:tabs>
          <w:tab w:val="left" w:pos="540"/>
          <w:tab w:val="left" w:pos="1260"/>
          <w:tab w:val="left" w:pos="1440"/>
        </w:tabs>
        <w:spacing w:line="400" w:lineRule="exact"/>
        <w:ind w:left="540" w:leftChars="0"/>
        <w:rPr>
          <w:rFonts w:hint="eastAsia" w:ascii="宋体" w:hAnsi="宋体" w:cs="Times New Roman"/>
          <w:sz w:val="24"/>
          <w:szCs w:val="24"/>
          <w:highlight w:val="none"/>
        </w:rPr>
      </w:pPr>
      <w:r>
        <w:rPr>
          <w:rFonts w:hint="eastAsia" w:ascii="宋体" w:hAnsi="宋体" w:cs="Times New Roman"/>
          <w:sz w:val="24"/>
          <w:szCs w:val="24"/>
          <w:highlight w:val="none"/>
          <w:lang w:val="en-US" w:eastAsia="zh-CN"/>
        </w:rPr>
        <w:t>26.2</w:t>
      </w:r>
      <w:r>
        <w:rPr>
          <w:rFonts w:hint="eastAsia" w:ascii="宋体" w:hAnsi="宋体" w:cs="Times New Roman"/>
          <w:sz w:val="24"/>
          <w:szCs w:val="24"/>
          <w:highlight w:val="none"/>
        </w:rPr>
        <w:t>因履行本合同引起的或与本合同有关的争议，甲、乙双方应首先通过友好协商解决；如果协商不能解决争议，</w:t>
      </w:r>
      <w:r>
        <w:rPr>
          <w:rFonts w:hint="eastAsia" w:ascii="宋体" w:hAnsi="宋体" w:cs="Times New Roman"/>
          <w:sz w:val="24"/>
          <w:szCs w:val="24"/>
          <w:highlight w:val="none"/>
          <w:lang w:eastAsia="zh-CN"/>
        </w:rPr>
        <w:t>买卖</w:t>
      </w:r>
      <w:r>
        <w:rPr>
          <w:rFonts w:hint="eastAsia" w:ascii="宋体" w:hAnsi="宋体" w:cs="Times New Roman"/>
          <w:sz w:val="24"/>
          <w:szCs w:val="24"/>
          <w:highlight w:val="none"/>
        </w:rPr>
        <w:t>双方同意采取下列两种方式的第（ 1 ）种方式解决争议：</w:t>
      </w:r>
    </w:p>
    <w:p>
      <w:pPr>
        <w:numPr>
          <w:ilvl w:val="0"/>
          <w:numId w:val="0"/>
        </w:numPr>
        <w:tabs>
          <w:tab w:val="left" w:pos="540"/>
          <w:tab w:val="left" w:pos="1260"/>
          <w:tab w:val="left" w:pos="1440"/>
        </w:tabs>
        <w:spacing w:line="400" w:lineRule="exact"/>
        <w:ind w:left="540" w:leftChars="0"/>
        <w:rPr>
          <w:rFonts w:hint="eastAsia" w:ascii="宋体" w:hAnsi="宋体" w:cs="Times New Roman"/>
          <w:sz w:val="24"/>
          <w:szCs w:val="24"/>
          <w:highlight w:val="none"/>
        </w:rPr>
      </w:pPr>
      <w:r>
        <w:rPr>
          <w:rFonts w:hint="eastAsia" w:ascii="宋体" w:hAnsi="宋体" w:cs="Times New Roman"/>
          <w:sz w:val="24"/>
          <w:szCs w:val="24"/>
          <w:highlight w:val="none"/>
        </w:rPr>
        <w:t>（1）向</w:t>
      </w:r>
      <w:r>
        <w:rPr>
          <w:rFonts w:hint="eastAsia" w:ascii="宋体" w:hAnsi="宋体" w:cs="Times New Roman"/>
          <w:sz w:val="24"/>
          <w:szCs w:val="24"/>
          <w:highlight w:val="none"/>
          <w:lang w:eastAsia="zh-CN"/>
        </w:rPr>
        <w:t>买方</w:t>
      </w:r>
      <w:r>
        <w:rPr>
          <w:rFonts w:hint="eastAsia" w:ascii="宋体" w:hAnsi="宋体" w:cs="Times New Roman"/>
          <w:sz w:val="24"/>
          <w:szCs w:val="24"/>
          <w:highlight w:val="none"/>
        </w:rPr>
        <w:t>所在地有管辖权的人民法院提起诉讼，适用中华人民共和国法律；</w:t>
      </w:r>
    </w:p>
    <w:p>
      <w:pPr>
        <w:numPr>
          <w:ilvl w:val="0"/>
          <w:numId w:val="0"/>
        </w:numPr>
        <w:tabs>
          <w:tab w:val="left" w:pos="540"/>
          <w:tab w:val="left" w:pos="1260"/>
          <w:tab w:val="left" w:pos="1440"/>
        </w:tabs>
        <w:spacing w:line="400" w:lineRule="exact"/>
        <w:ind w:left="540" w:leftChars="0"/>
        <w:rPr>
          <w:rFonts w:hint="eastAsia" w:ascii="宋体" w:hAnsi="宋体" w:cs="Times New Roman"/>
          <w:sz w:val="24"/>
          <w:szCs w:val="24"/>
          <w:highlight w:val="none"/>
        </w:rPr>
      </w:pPr>
      <w:r>
        <w:rPr>
          <w:rFonts w:hint="eastAsia" w:ascii="宋体" w:hAnsi="宋体" w:cs="Times New Roman"/>
          <w:sz w:val="24"/>
          <w:szCs w:val="24"/>
          <w:highlight w:val="none"/>
        </w:rPr>
        <w:t>（2）向扬州仲裁委员会按其仲裁规则申请仲裁。</w:t>
      </w:r>
    </w:p>
    <w:p>
      <w:pPr>
        <w:numPr>
          <w:ilvl w:val="0"/>
          <w:numId w:val="0"/>
        </w:numPr>
        <w:tabs>
          <w:tab w:val="left" w:pos="540"/>
          <w:tab w:val="left" w:pos="1260"/>
          <w:tab w:val="left" w:pos="1440"/>
        </w:tabs>
        <w:spacing w:line="400" w:lineRule="exact"/>
        <w:ind w:left="540" w:leftChars="0"/>
        <w:rPr>
          <w:rFonts w:hint="eastAsia" w:ascii="宋体" w:hAnsi="宋体" w:cs="Times New Roman"/>
          <w:sz w:val="24"/>
          <w:szCs w:val="24"/>
          <w:highlight w:val="none"/>
        </w:rPr>
      </w:pPr>
      <w:r>
        <w:rPr>
          <w:rFonts w:hint="eastAsia" w:ascii="宋体" w:hAnsi="宋体" w:cs="Times New Roman"/>
          <w:sz w:val="24"/>
          <w:szCs w:val="24"/>
          <w:highlight w:val="none"/>
          <w:lang w:val="en-US" w:eastAsia="zh-CN"/>
        </w:rPr>
        <w:t>26.3</w:t>
      </w:r>
      <w:r>
        <w:rPr>
          <w:rFonts w:hint="eastAsia" w:ascii="宋体" w:hAnsi="宋体" w:cs="Times New Roman"/>
          <w:sz w:val="24"/>
          <w:szCs w:val="24"/>
          <w:highlight w:val="none"/>
        </w:rPr>
        <w:t xml:space="preserve"> 若</w:t>
      </w:r>
      <w:r>
        <w:rPr>
          <w:rFonts w:hint="eastAsia" w:ascii="宋体" w:hAnsi="宋体" w:cs="Times New Roman"/>
          <w:sz w:val="24"/>
          <w:szCs w:val="24"/>
          <w:highlight w:val="none"/>
          <w:lang w:eastAsia="zh-CN"/>
        </w:rPr>
        <w:t>买卖</w:t>
      </w:r>
      <w:r>
        <w:rPr>
          <w:rFonts w:hint="eastAsia" w:ascii="宋体" w:hAnsi="宋体" w:cs="Times New Roman"/>
          <w:sz w:val="24"/>
          <w:szCs w:val="24"/>
          <w:highlight w:val="none"/>
        </w:rPr>
        <w:t>双方任何一方都没有选择解除合同的，为避免扩大损失，在诉讼或仲裁期间，双方应继续履行。</w:t>
      </w:r>
    </w:p>
    <w:p>
      <w:pPr>
        <w:tabs>
          <w:tab w:val="left" w:pos="1260"/>
          <w:tab w:val="left" w:pos="1440"/>
        </w:tabs>
        <w:spacing w:line="400" w:lineRule="exact"/>
        <w:ind w:left="720"/>
        <w:rPr>
          <w:rFonts w:hint="eastAsia" w:ascii="宋体" w:hAnsi="宋体"/>
          <w:color w:val="auto"/>
          <w:sz w:val="24"/>
        </w:rPr>
      </w:pPr>
    </w:p>
    <w:p>
      <w:pPr>
        <w:spacing w:line="400" w:lineRule="exact"/>
        <w:ind w:firstLine="570"/>
        <w:rPr>
          <w:rFonts w:hint="eastAsia" w:ascii="宋体" w:hAnsi="宋体"/>
          <w:b/>
          <w:color w:val="auto"/>
          <w:sz w:val="24"/>
        </w:rPr>
      </w:pPr>
      <w:r>
        <w:rPr>
          <w:rFonts w:hint="eastAsia" w:ascii="宋体" w:hAnsi="宋体"/>
          <w:b/>
          <w:color w:val="auto"/>
          <w:sz w:val="24"/>
        </w:rPr>
        <w:t>第二十七条  其他</w:t>
      </w:r>
    </w:p>
    <w:p>
      <w:pPr>
        <w:numPr>
          <w:ilvl w:val="0"/>
          <w:numId w:val="34"/>
        </w:numPr>
        <w:tabs>
          <w:tab w:val="left" w:pos="540"/>
          <w:tab w:val="left" w:pos="1260"/>
          <w:tab w:val="left" w:pos="1440"/>
          <w:tab w:val="clear" w:pos="1080"/>
        </w:tabs>
        <w:spacing w:line="400" w:lineRule="exact"/>
        <w:ind w:left="540" w:firstLine="0"/>
        <w:rPr>
          <w:rFonts w:hint="eastAsia" w:ascii="宋体" w:hAnsi="宋体"/>
          <w:color w:val="auto"/>
          <w:sz w:val="24"/>
        </w:rPr>
      </w:pPr>
      <w:r>
        <w:rPr>
          <w:rFonts w:hint="eastAsia" w:ascii="宋体" w:hAnsi="宋体"/>
          <w:color w:val="auto"/>
          <w:sz w:val="24"/>
        </w:rPr>
        <w:t>本合同</w:t>
      </w:r>
      <w:r>
        <w:rPr>
          <w:rFonts w:hint="eastAsia" w:ascii="宋体" w:hAnsi="宋体"/>
          <w:color w:val="auto"/>
          <w:sz w:val="24"/>
          <w:lang w:eastAsia="zh-CN"/>
        </w:rPr>
        <w:t>一式四</w:t>
      </w:r>
      <w:r>
        <w:rPr>
          <w:rFonts w:hint="eastAsia" w:ascii="宋体" w:hAnsi="宋体"/>
          <w:color w:val="auto"/>
          <w:sz w:val="24"/>
        </w:rPr>
        <w:t>份，买方、卖方双方各执</w:t>
      </w:r>
      <w:r>
        <w:rPr>
          <w:rFonts w:hint="eastAsia" w:ascii="宋体" w:hAnsi="宋体"/>
          <w:color w:val="auto"/>
          <w:sz w:val="24"/>
          <w:lang w:eastAsia="zh-CN"/>
        </w:rPr>
        <w:t>两</w:t>
      </w:r>
      <w:r>
        <w:rPr>
          <w:rFonts w:hint="eastAsia" w:ascii="宋体" w:hAnsi="宋体"/>
          <w:color w:val="auto"/>
          <w:sz w:val="24"/>
        </w:rPr>
        <w:t>份，下述合同附件为本合同不可分割的部分并与本合同具有同等效力：</w:t>
      </w:r>
    </w:p>
    <w:p>
      <w:pPr>
        <w:numPr>
          <w:ilvl w:val="0"/>
          <w:numId w:val="34"/>
        </w:numPr>
        <w:tabs>
          <w:tab w:val="left" w:pos="540"/>
          <w:tab w:val="left" w:pos="1260"/>
          <w:tab w:val="left" w:pos="1440"/>
          <w:tab w:val="clear" w:pos="1080"/>
        </w:tabs>
        <w:spacing w:line="400" w:lineRule="exact"/>
        <w:ind w:left="540" w:firstLine="0"/>
        <w:rPr>
          <w:rFonts w:hint="eastAsia" w:ascii="宋体" w:hAnsi="宋体"/>
          <w:color w:val="auto"/>
          <w:sz w:val="24"/>
        </w:rPr>
      </w:pPr>
      <w:r>
        <w:rPr>
          <w:rFonts w:hint="eastAsia" w:ascii="宋体" w:hAnsi="宋体"/>
          <w:color w:val="auto"/>
          <w:sz w:val="24"/>
        </w:rPr>
        <w:t>本合同若有未尽事宜，以招标文件为准，或经双方协商一致后签订的补充合同。</w:t>
      </w:r>
    </w:p>
    <w:p>
      <w:pPr>
        <w:spacing w:line="400" w:lineRule="exact"/>
        <w:ind w:firstLine="602" w:firstLineChars="250"/>
        <w:rPr>
          <w:rFonts w:hint="eastAsia" w:ascii="宋体" w:hAnsi="宋体"/>
          <w:b/>
          <w:color w:val="auto"/>
          <w:sz w:val="24"/>
        </w:rPr>
      </w:pPr>
    </w:p>
    <w:p>
      <w:pPr>
        <w:spacing w:line="400" w:lineRule="exact"/>
        <w:ind w:firstLine="602" w:firstLineChars="250"/>
        <w:rPr>
          <w:rFonts w:hint="eastAsia" w:ascii="宋体" w:hAnsi="宋体"/>
          <w:b/>
          <w:color w:val="auto"/>
          <w:sz w:val="24"/>
        </w:rPr>
      </w:pPr>
      <w:r>
        <w:rPr>
          <w:rFonts w:hint="eastAsia" w:ascii="宋体" w:hAnsi="宋体"/>
          <w:b/>
          <w:color w:val="auto"/>
          <w:sz w:val="24"/>
        </w:rPr>
        <w:t>附件：履约保函格式</w:t>
      </w:r>
    </w:p>
    <w:p>
      <w:pPr>
        <w:spacing w:line="400" w:lineRule="exact"/>
        <w:rPr>
          <w:rFonts w:hint="eastAsia" w:ascii="宋体" w:hAnsi="宋体"/>
          <w:color w:val="auto"/>
          <w:sz w:val="24"/>
        </w:rPr>
      </w:pPr>
    </w:p>
    <w:p>
      <w:pPr>
        <w:spacing w:line="400" w:lineRule="exact"/>
        <w:rPr>
          <w:rFonts w:hint="eastAsia" w:ascii="宋体" w:hAnsi="宋体"/>
          <w:color w:val="auto"/>
          <w:sz w:val="24"/>
        </w:rPr>
      </w:pPr>
      <w:r>
        <w:rPr>
          <w:rFonts w:hint="eastAsia" w:ascii="宋体" w:hAnsi="宋体"/>
          <w:color w:val="auto"/>
          <w:sz w:val="24"/>
        </w:rPr>
        <w:t>买方：                             卖方：</w:t>
      </w:r>
    </w:p>
    <w:p>
      <w:pPr>
        <w:spacing w:line="400" w:lineRule="exact"/>
        <w:rPr>
          <w:rFonts w:hint="eastAsia" w:ascii="宋体" w:hAnsi="宋体"/>
          <w:color w:val="auto"/>
          <w:sz w:val="24"/>
        </w:rPr>
      </w:pPr>
      <w:r>
        <w:rPr>
          <w:rFonts w:hint="eastAsia" w:ascii="宋体" w:hAnsi="宋体"/>
          <w:color w:val="auto"/>
          <w:sz w:val="24"/>
        </w:rPr>
        <w:t>授权代表人：       　　　　　      授权代表人：</w:t>
      </w:r>
    </w:p>
    <w:p>
      <w:pPr>
        <w:spacing w:line="400" w:lineRule="exact"/>
        <w:ind w:left="4680" w:hanging="4680" w:hangingChars="1950"/>
        <w:rPr>
          <w:rFonts w:hint="eastAsia" w:ascii="宋体" w:hAnsi="宋体"/>
          <w:color w:val="auto"/>
          <w:sz w:val="24"/>
        </w:rPr>
      </w:pPr>
      <w:r>
        <w:rPr>
          <w:rFonts w:hint="eastAsia" w:ascii="宋体" w:hAnsi="宋体"/>
          <w:color w:val="auto"/>
          <w:sz w:val="24"/>
        </w:rPr>
        <w:t>开户银行：            　　　　     开户银行：</w:t>
      </w:r>
    </w:p>
    <w:p>
      <w:pPr>
        <w:spacing w:line="400" w:lineRule="exact"/>
        <w:rPr>
          <w:rFonts w:hint="eastAsia" w:ascii="宋体" w:hAnsi="宋体"/>
          <w:color w:val="auto"/>
          <w:sz w:val="24"/>
        </w:rPr>
      </w:pPr>
      <w:r>
        <w:rPr>
          <w:rFonts w:hint="eastAsia" w:ascii="宋体" w:hAnsi="宋体"/>
          <w:color w:val="auto"/>
          <w:sz w:val="24"/>
        </w:rPr>
        <w:t>账　号：                   　      账　号：</w:t>
      </w:r>
    </w:p>
    <w:p>
      <w:pPr>
        <w:spacing w:line="400" w:lineRule="exact"/>
        <w:ind w:left="720" w:hanging="720" w:hangingChars="300"/>
        <w:jc w:val="left"/>
        <w:rPr>
          <w:rFonts w:hint="eastAsia" w:ascii="宋体" w:hAnsi="宋体"/>
          <w:color w:val="auto"/>
          <w:sz w:val="24"/>
        </w:rPr>
      </w:pPr>
      <w:r>
        <w:rPr>
          <w:rFonts w:hint="eastAsia" w:ascii="宋体" w:hAnsi="宋体"/>
          <w:color w:val="auto"/>
          <w:sz w:val="24"/>
        </w:rPr>
        <w:t>地址：                             地  址：</w:t>
      </w:r>
    </w:p>
    <w:p>
      <w:pPr>
        <w:spacing w:line="400" w:lineRule="exact"/>
        <w:rPr>
          <w:rFonts w:hint="eastAsia" w:ascii="宋体" w:hAnsi="宋体"/>
          <w:color w:val="auto"/>
          <w:sz w:val="24"/>
        </w:rPr>
      </w:pPr>
      <w:r>
        <w:rPr>
          <w:rFonts w:hint="eastAsia" w:ascii="宋体" w:hAnsi="宋体"/>
          <w:color w:val="auto"/>
          <w:sz w:val="24"/>
        </w:rPr>
        <w:t>邮　编：      　　　　　　　　     邮　编：</w:t>
      </w:r>
    </w:p>
    <w:p>
      <w:pPr>
        <w:spacing w:line="400" w:lineRule="exact"/>
        <w:rPr>
          <w:rFonts w:hint="eastAsia" w:ascii="宋体" w:hAnsi="宋体"/>
          <w:color w:val="auto"/>
          <w:sz w:val="24"/>
        </w:rPr>
      </w:pPr>
      <w:r>
        <w:rPr>
          <w:rFonts w:hint="eastAsia" w:ascii="宋体" w:hAnsi="宋体"/>
          <w:color w:val="auto"/>
          <w:sz w:val="24"/>
        </w:rPr>
        <w:t>电　话：                  　　     电　话：</w:t>
      </w:r>
    </w:p>
    <w:p>
      <w:pPr>
        <w:spacing w:line="400" w:lineRule="exact"/>
        <w:rPr>
          <w:rFonts w:hint="eastAsia" w:ascii="黑体" w:hAnsi="宋体" w:eastAsia="黑体"/>
          <w:color w:val="auto"/>
          <w:sz w:val="32"/>
          <w:szCs w:val="32"/>
        </w:rPr>
      </w:pPr>
      <w:r>
        <w:rPr>
          <w:rFonts w:hint="eastAsia" w:ascii="宋体" w:hAnsi="宋体"/>
          <w:color w:val="auto"/>
          <w:sz w:val="24"/>
        </w:rPr>
        <w:t>日期：                             日期：</w:t>
      </w:r>
      <w:r>
        <w:rPr>
          <w:rFonts w:ascii="黑体" w:hAnsi="宋体" w:eastAsia="黑体"/>
          <w:color w:val="auto"/>
          <w:sz w:val="32"/>
          <w:szCs w:val="32"/>
        </w:rPr>
        <w:br w:type="page"/>
      </w:r>
      <w:r>
        <w:rPr>
          <w:rFonts w:hint="eastAsia" w:ascii="黑体" w:hAnsi="宋体" w:eastAsia="黑体"/>
          <w:color w:val="auto"/>
          <w:sz w:val="32"/>
          <w:szCs w:val="32"/>
        </w:rPr>
        <w:t>附  件</w:t>
      </w:r>
    </w:p>
    <w:p>
      <w:pPr>
        <w:pStyle w:val="8"/>
        <w:rPr>
          <w:rFonts w:hint="eastAsia"/>
          <w:color w:val="auto"/>
        </w:rPr>
      </w:pPr>
      <w:r>
        <w:rPr>
          <w:rFonts w:hint="eastAsia"/>
          <w:color w:val="auto"/>
        </w:rPr>
        <w:t xml:space="preserve">                                              </w:t>
      </w:r>
    </w:p>
    <w:p>
      <w:pPr>
        <w:jc w:val="center"/>
        <w:rPr>
          <w:rFonts w:hint="eastAsia" w:ascii="宋体" w:hAnsi="宋体"/>
          <w:b/>
          <w:color w:val="auto"/>
          <w:sz w:val="28"/>
        </w:rPr>
      </w:pPr>
      <w:r>
        <w:rPr>
          <w:rFonts w:hint="eastAsia" w:ascii="宋体" w:hAnsi="宋体"/>
          <w:b/>
          <w:color w:val="auto"/>
          <w:sz w:val="28"/>
        </w:rPr>
        <w:t>履约保函格式</w:t>
      </w:r>
    </w:p>
    <w:p>
      <w:pPr>
        <w:snapToGrid w:val="0"/>
        <w:spacing w:line="360" w:lineRule="auto"/>
        <w:rPr>
          <w:rFonts w:hint="eastAsia" w:ascii="宋体" w:hAnsi="宋体"/>
          <w:color w:val="auto"/>
          <w:sz w:val="24"/>
        </w:rPr>
      </w:pPr>
      <w:r>
        <w:rPr>
          <w:rFonts w:hint="eastAsia" w:ascii="宋体" w:hAnsi="宋体"/>
          <w:color w:val="auto"/>
          <w:sz w:val="24"/>
        </w:rPr>
        <w:t>致：</w:t>
      </w:r>
      <w:r>
        <w:rPr>
          <w:rFonts w:hint="eastAsia" w:ascii="宋体" w:hAnsi="宋体"/>
          <w:color w:val="auto"/>
          <w:sz w:val="24"/>
          <w:u w:val="single"/>
        </w:rPr>
        <w:t xml:space="preserve">        [买方名称、地址]           </w:t>
      </w:r>
    </w:p>
    <w:p>
      <w:pPr>
        <w:snapToGrid w:val="0"/>
        <w:spacing w:line="360" w:lineRule="auto"/>
        <w:rPr>
          <w:rFonts w:hint="eastAsia" w:ascii="宋体" w:hAnsi="宋体"/>
          <w:color w:val="auto"/>
          <w:sz w:val="24"/>
        </w:rPr>
      </w:pPr>
      <w:r>
        <w:rPr>
          <w:rFonts w:hint="eastAsia" w:ascii="宋体" w:hAnsi="宋体"/>
          <w:color w:val="auto"/>
          <w:sz w:val="24"/>
        </w:rPr>
        <w:t xml:space="preserve">    鉴于 </w:t>
      </w:r>
      <w:r>
        <w:rPr>
          <w:rFonts w:hint="eastAsia" w:ascii="宋体" w:hAnsi="宋体"/>
          <w:color w:val="auto"/>
          <w:sz w:val="24"/>
          <w:u w:val="single"/>
        </w:rPr>
        <w:t xml:space="preserve">         [供货单位名称、地址]           </w:t>
      </w:r>
      <w:r>
        <w:rPr>
          <w:rFonts w:hint="eastAsia" w:ascii="宋体" w:hAnsi="宋体"/>
          <w:color w:val="auto"/>
          <w:sz w:val="24"/>
        </w:rPr>
        <w:t>（以下简称供货单位）已保证按</w:t>
      </w:r>
      <w:r>
        <w:rPr>
          <w:rFonts w:hint="eastAsia" w:ascii="宋体" w:hAnsi="宋体"/>
          <w:color w:val="auto"/>
          <w:sz w:val="24"/>
          <w:u w:val="single"/>
        </w:rPr>
        <w:t xml:space="preserve">      [合同名称]       </w:t>
      </w:r>
      <w:r>
        <w:rPr>
          <w:rFonts w:hint="eastAsia" w:ascii="宋体" w:hAnsi="宋体"/>
          <w:color w:val="auto"/>
          <w:sz w:val="24"/>
        </w:rPr>
        <w:t>合同（编号</w:t>
      </w:r>
      <w:r>
        <w:rPr>
          <w:rFonts w:hint="eastAsia" w:ascii="宋体" w:hAnsi="宋体"/>
          <w:color w:val="auto"/>
          <w:sz w:val="24"/>
          <w:u w:val="single"/>
        </w:rPr>
        <w:t xml:space="preserve">           </w:t>
      </w:r>
      <w:r>
        <w:rPr>
          <w:rFonts w:hint="eastAsia" w:ascii="宋体" w:hAnsi="宋体"/>
          <w:color w:val="auto"/>
          <w:sz w:val="24"/>
        </w:rPr>
        <w:t>，</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日签署）（以下称“合同”）实施</w:t>
      </w:r>
      <w:r>
        <w:rPr>
          <w:rFonts w:hint="eastAsia" w:ascii="宋体" w:hAnsi="宋体"/>
          <w:color w:val="auto"/>
          <w:sz w:val="24"/>
          <w:u w:val="single"/>
        </w:rPr>
        <w:t xml:space="preserve">                </w:t>
      </w:r>
      <w:r>
        <w:rPr>
          <w:rFonts w:hint="eastAsia" w:ascii="宋体" w:hAnsi="宋体"/>
          <w:color w:val="auto"/>
          <w:sz w:val="24"/>
        </w:rPr>
        <w:t xml:space="preserve"> ;</w:t>
      </w:r>
    </w:p>
    <w:p>
      <w:pPr>
        <w:pStyle w:val="4"/>
        <w:snapToGrid w:val="0"/>
        <w:spacing w:line="360" w:lineRule="auto"/>
        <w:rPr>
          <w:rFonts w:hint="eastAsia" w:ascii="宋体" w:hAnsi="宋体" w:eastAsia="宋体"/>
          <w:color w:val="auto"/>
          <w:kern w:val="2"/>
          <w:sz w:val="24"/>
          <w:szCs w:val="24"/>
          <w:lang w:val="en-US" w:eastAsia="zh-CN" w:bidi="ar-SA"/>
        </w:rPr>
      </w:pPr>
      <w:r>
        <w:rPr>
          <w:rFonts w:hint="eastAsia" w:ascii="宋体" w:hAnsi="宋体" w:eastAsia="宋体"/>
          <w:color w:val="auto"/>
        </w:rPr>
        <w:t xml:space="preserve">  </w:t>
      </w:r>
      <w:r>
        <w:rPr>
          <w:rFonts w:hint="eastAsia" w:ascii="宋体" w:hAnsi="宋体" w:eastAsia="宋体"/>
          <w:color w:val="auto"/>
          <w:kern w:val="2"/>
          <w:sz w:val="24"/>
          <w:szCs w:val="24"/>
          <w:lang w:val="en-US" w:eastAsia="zh-CN" w:bidi="ar-SA"/>
        </w:rPr>
        <w:t xml:space="preserve">  且鉴于你方在上述合同中要求供货单位通过经认可的银行向你方提交合同规定金额的10%履约保证金，作为供货单位履约本合同责任的担保；</w:t>
      </w:r>
    </w:p>
    <w:p>
      <w:pPr>
        <w:snapToGrid w:val="0"/>
        <w:spacing w:line="360" w:lineRule="auto"/>
        <w:rPr>
          <w:rFonts w:hint="eastAsia" w:ascii="宋体" w:hAnsi="宋体"/>
          <w:color w:val="auto"/>
          <w:sz w:val="24"/>
        </w:rPr>
      </w:pPr>
      <w:r>
        <w:rPr>
          <w:rFonts w:hint="eastAsia" w:ascii="宋体" w:hAnsi="宋体"/>
          <w:color w:val="auto"/>
          <w:sz w:val="24"/>
        </w:rPr>
        <w:t xml:space="preserve">    而且本行同意为供货单位出具银行保函，对供货单位履行合同的行为承担连带担保责任；</w:t>
      </w:r>
    </w:p>
    <w:p>
      <w:pPr>
        <w:snapToGrid w:val="0"/>
        <w:spacing w:line="360" w:lineRule="auto"/>
        <w:ind w:firstLine="480" w:firstLineChars="200"/>
        <w:rPr>
          <w:rFonts w:hint="eastAsia" w:ascii="宋体" w:hAnsi="宋体"/>
          <w:color w:val="auto"/>
          <w:sz w:val="24"/>
          <w:u w:val="single"/>
        </w:rPr>
      </w:pPr>
      <w:r>
        <w:rPr>
          <w:rFonts w:hint="eastAsia" w:ascii="宋体" w:hAnsi="宋体"/>
          <w:color w:val="auto"/>
          <w:sz w:val="24"/>
        </w:rPr>
        <w:t>本行作为担保人在此本保函项下承担担保责任的金额以人民币</w:t>
      </w:r>
      <w:r>
        <w:rPr>
          <w:rFonts w:hint="eastAsia" w:ascii="宋体" w:hAnsi="宋体"/>
          <w:color w:val="auto"/>
          <w:sz w:val="24"/>
          <w:u w:val="single"/>
        </w:rPr>
        <w:t xml:space="preserve">                                                                </w:t>
      </w:r>
    </w:p>
    <w:p>
      <w:pPr>
        <w:pStyle w:val="9"/>
        <w:spacing w:line="360" w:lineRule="auto"/>
        <w:rPr>
          <w:rFonts w:hint="eastAsia" w:ascii="宋体" w:hAnsi="宋体"/>
          <w:color w:val="auto"/>
          <w:sz w:val="24"/>
        </w:rPr>
      </w:pPr>
      <w:r>
        <w:rPr>
          <w:rFonts w:hint="eastAsia" w:ascii="宋体" w:hAnsi="宋体"/>
          <w:color w:val="auto"/>
          <w:sz w:val="24"/>
        </w:rPr>
        <w:t>万元为限，在你方第一次书面提出要求得到上述金额内的任何付款时，本行即予支付，不挑剔、不争辩，也不要求你方出具证明或说明背景或理由。</w:t>
      </w:r>
    </w:p>
    <w:p>
      <w:pPr>
        <w:snapToGrid w:val="0"/>
        <w:spacing w:line="360" w:lineRule="auto"/>
        <w:rPr>
          <w:rFonts w:hint="eastAsia" w:ascii="宋体" w:hAnsi="宋体"/>
          <w:color w:val="auto"/>
          <w:sz w:val="24"/>
        </w:rPr>
      </w:pPr>
      <w:r>
        <w:rPr>
          <w:rFonts w:hint="eastAsia" w:ascii="宋体" w:hAnsi="宋体"/>
          <w:color w:val="auto"/>
          <w:sz w:val="24"/>
        </w:rPr>
        <w:t xml:space="preserve">    本行放弃你方应先向供货单位要求赔偿上述金额然后再向本行提出要求的权利。</w:t>
      </w:r>
    </w:p>
    <w:p>
      <w:pPr>
        <w:snapToGrid w:val="0"/>
        <w:spacing w:line="360" w:lineRule="auto"/>
        <w:rPr>
          <w:rFonts w:hint="eastAsia" w:ascii="宋体" w:hAnsi="宋体"/>
          <w:color w:val="auto"/>
          <w:sz w:val="24"/>
        </w:rPr>
      </w:pPr>
      <w:r>
        <w:rPr>
          <w:rFonts w:hint="eastAsia" w:ascii="宋体" w:hAnsi="宋体"/>
          <w:color w:val="auto"/>
          <w:sz w:val="24"/>
        </w:rPr>
        <w:t xml:space="preserve">    我行还同意：在买方和供货单位之间的合同条款、合同项下的工程或合同文件发生变化、补充或修改后，我行承担本保函的责任按照双方协商一致的变化而变化，上述变化、补充或修改不必通知我行。</w:t>
      </w:r>
    </w:p>
    <w:p>
      <w:pPr>
        <w:autoSpaceDE w:val="0"/>
        <w:autoSpaceDN w:val="0"/>
        <w:adjustRightInd w:val="0"/>
        <w:spacing w:line="360" w:lineRule="auto"/>
        <w:ind w:firstLine="480" w:firstLineChars="200"/>
        <w:rPr>
          <w:rFonts w:hint="eastAsia" w:ascii="宋体" w:hAnsi="宋体"/>
          <w:color w:val="auto"/>
          <w:kern w:val="0"/>
          <w:sz w:val="24"/>
        </w:rPr>
      </w:pPr>
      <w:r>
        <w:rPr>
          <w:rFonts w:hint="eastAsia" w:ascii="宋体" w:hAnsi="宋体"/>
          <w:color w:val="auto"/>
          <w:kern w:val="0"/>
          <w:sz w:val="24"/>
        </w:rPr>
        <w:t>本保函为无条件、不可撤消的凭要求即付的银行保函。</w:t>
      </w:r>
    </w:p>
    <w:p>
      <w:pPr>
        <w:autoSpaceDE w:val="0"/>
        <w:autoSpaceDN w:val="0"/>
        <w:adjustRightInd w:val="0"/>
        <w:spacing w:line="360" w:lineRule="auto"/>
        <w:ind w:firstLine="480" w:firstLineChars="200"/>
        <w:rPr>
          <w:rFonts w:hint="eastAsia" w:ascii="宋体" w:hAnsi="宋体"/>
          <w:color w:val="auto"/>
          <w:kern w:val="0"/>
          <w:sz w:val="24"/>
        </w:rPr>
      </w:pPr>
      <w:r>
        <w:rPr>
          <w:rFonts w:hint="eastAsia" w:ascii="宋体" w:hAnsi="宋体"/>
          <w:color w:val="auto"/>
          <w:kern w:val="0"/>
          <w:sz w:val="24"/>
        </w:rPr>
        <w:t>本保函有效期与合同有效期一致。</w:t>
      </w:r>
    </w:p>
    <w:p>
      <w:pPr>
        <w:snapToGrid w:val="0"/>
        <w:spacing w:line="360" w:lineRule="auto"/>
        <w:ind w:firstLine="480"/>
        <w:rPr>
          <w:rFonts w:hint="eastAsia" w:ascii="宋体" w:hAnsi="宋体"/>
          <w:color w:val="auto"/>
          <w:sz w:val="24"/>
        </w:rPr>
      </w:pPr>
    </w:p>
    <w:p>
      <w:pPr>
        <w:snapToGrid w:val="0"/>
        <w:spacing w:line="360" w:lineRule="auto"/>
        <w:rPr>
          <w:rFonts w:hint="eastAsia" w:ascii="宋体" w:hAnsi="宋体"/>
          <w:color w:val="auto"/>
          <w:sz w:val="24"/>
        </w:rPr>
      </w:pPr>
    </w:p>
    <w:p>
      <w:pPr>
        <w:snapToGrid w:val="0"/>
        <w:spacing w:line="360" w:lineRule="auto"/>
        <w:ind w:left="480"/>
        <w:rPr>
          <w:rFonts w:hint="eastAsia" w:ascii="宋体" w:hAnsi="宋体"/>
          <w:color w:val="auto"/>
          <w:sz w:val="24"/>
        </w:rPr>
      </w:pPr>
      <w:r>
        <w:rPr>
          <w:rFonts w:hint="eastAsia" w:ascii="宋体" w:hAnsi="宋体"/>
          <w:color w:val="auto"/>
          <w:sz w:val="24"/>
        </w:rPr>
        <w:t>银行授权代表：             （签字）</w:t>
      </w:r>
    </w:p>
    <w:p>
      <w:pPr>
        <w:snapToGrid w:val="0"/>
        <w:spacing w:line="300" w:lineRule="auto"/>
        <w:ind w:left="1275"/>
        <w:rPr>
          <w:rFonts w:hint="eastAsia" w:ascii="宋体" w:hAnsi="宋体"/>
          <w:color w:val="auto"/>
          <w:sz w:val="24"/>
        </w:rPr>
      </w:pPr>
    </w:p>
    <w:p>
      <w:pPr>
        <w:snapToGrid w:val="0"/>
        <w:spacing w:line="300" w:lineRule="auto"/>
        <w:ind w:left="480"/>
        <w:rPr>
          <w:rFonts w:hint="eastAsia" w:ascii="宋体" w:hAnsi="宋体"/>
          <w:color w:val="auto"/>
          <w:sz w:val="24"/>
        </w:rPr>
      </w:pPr>
      <w:r>
        <w:rPr>
          <w:rFonts w:hint="eastAsia" w:ascii="宋体" w:hAnsi="宋体"/>
          <w:color w:val="auto"/>
          <w:sz w:val="24"/>
        </w:rPr>
        <w:t>地址：</w:t>
      </w:r>
    </w:p>
    <w:p>
      <w:pPr>
        <w:snapToGrid w:val="0"/>
        <w:spacing w:line="300" w:lineRule="auto"/>
        <w:ind w:left="1275"/>
        <w:rPr>
          <w:rFonts w:hint="eastAsia" w:ascii="宋体" w:hAnsi="宋体"/>
          <w:color w:val="auto"/>
          <w:sz w:val="24"/>
        </w:rPr>
      </w:pPr>
    </w:p>
    <w:p>
      <w:pPr>
        <w:snapToGrid w:val="0"/>
        <w:spacing w:line="300" w:lineRule="auto"/>
        <w:ind w:left="480"/>
        <w:rPr>
          <w:rFonts w:hint="eastAsia" w:ascii="宋体" w:hAnsi="宋体"/>
          <w:color w:val="auto"/>
          <w:sz w:val="24"/>
        </w:rPr>
      </w:pPr>
      <w:r>
        <w:rPr>
          <w:rFonts w:hint="eastAsia" w:ascii="宋体" w:hAnsi="宋体"/>
          <w:color w:val="auto"/>
          <w:sz w:val="24"/>
        </w:rPr>
        <w:t>银行名称：               （盖章）</w:t>
      </w:r>
    </w:p>
    <w:p>
      <w:pPr>
        <w:snapToGrid w:val="0"/>
        <w:spacing w:line="300" w:lineRule="auto"/>
        <w:ind w:left="1275"/>
        <w:rPr>
          <w:rFonts w:hint="eastAsia" w:ascii="宋体" w:hAnsi="宋体"/>
          <w:color w:val="auto"/>
          <w:sz w:val="24"/>
        </w:rPr>
      </w:pPr>
    </w:p>
    <w:p>
      <w:pPr>
        <w:snapToGrid w:val="0"/>
        <w:spacing w:line="300" w:lineRule="auto"/>
        <w:ind w:left="480"/>
        <w:rPr>
          <w:rFonts w:hint="eastAsia" w:ascii="宋体" w:hAnsi="宋体"/>
          <w:color w:val="auto"/>
          <w:sz w:val="24"/>
        </w:rPr>
      </w:pPr>
      <w:r>
        <w:rPr>
          <w:rFonts w:hint="eastAsia" w:ascii="宋体" w:hAnsi="宋体"/>
          <w:color w:val="auto"/>
          <w:sz w:val="24"/>
        </w:rPr>
        <w:t>日期：   年  月  日</w:t>
      </w:r>
    </w:p>
    <w:p>
      <w:pPr>
        <w:autoSpaceDE w:val="0"/>
        <w:autoSpaceDN w:val="0"/>
        <w:adjustRightInd w:val="0"/>
        <w:snapToGrid w:val="0"/>
        <w:spacing w:line="480" w:lineRule="exact"/>
        <w:ind w:firstLine="843" w:firstLineChars="400"/>
        <w:outlineLvl w:val="1"/>
        <w:rPr>
          <w:rFonts w:hint="eastAsia" w:ascii="宋体" w:hAnsi="宋体"/>
          <w:b/>
          <w:color w:val="auto"/>
          <w:szCs w:val="21"/>
        </w:rPr>
      </w:pPr>
    </w:p>
    <w:p>
      <w:pPr>
        <w:pStyle w:val="2"/>
        <w:rPr>
          <w:color w:val="auto"/>
        </w:rPr>
      </w:pPr>
    </w:p>
    <w:p>
      <w:pPr>
        <w:pStyle w:val="2"/>
        <w:rPr>
          <w:color w:val="auto"/>
        </w:rPr>
      </w:pPr>
    </w:p>
    <w:p>
      <w:pPr>
        <w:pStyle w:val="2"/>
        <w:rPr>
          <w:color w:val="auto"/>
        </w:rPr>
      </w:pPr>
    </w:p>
    <w:p>
      <w:pPr>
        <w:autoSpaceDE w:val="0"/>
        <w:autoSpaceDN w:val="0"/>
        <w:adjustRightInd w:val="0"/>
        <w:snapToGrid w:val="0"/>
        <w:spacing w:line="480" w:lineRule="exact"/>
        <w:outlineLvl w:val="1"/>
        <w:rPr>
          <w:rFonts w:ascii="宋体" w:hAnsi="宋体"/>
          <w:b/>
          <w:color w:val="auto"/>
          <w:szCs w:val="21"/>
        </w:rPr>
      </w:pPr>
      <w:r>
        <w:rPr>
          <w:rFonts w:hint="eastAsia" w:ascii="宋体" w:hAnsi="宋体"/>
          <w:b/>
          <w:color w:val="auto"/>
          <w:szCs w:val="21"/>
          <w:lang w:eastAsia="zh-CN"/>
        </w:rPr>
        <w:t>八</w:t>
      </w:r>
      <w:r>
        <w:rPr>
          <w:rFonts w:hint="eastAsia" w:ascii="宋体" w:hAnsi="宋体"/>
          <w:b/>
          <w:color w:val="auto"/>
          <w:szCs w:val="21"/>
        </w:rPr>
        <w:t>、 投标文件格式</w:t>
      </w:r>
    </w:p>
    <w:p>
      <w:pPr>
        <w:spacing w:line="980" w:lineRule="exact"/>
        <w:jc w:val="center"/>
        <w:rPr>
          <w:rFonts w:ascii="黑体" w:eastAsia="黑体"/>
          <w:color w:val="auto"/>
          <w:sz w:val="30"/>
        </w:rPr>
      </w:pPr>
      <w:r>
        <w:rPr>
          <w:rFonts w:hint="eastAsia" w:ascii="黑体" w:eastAsia="黑体"/>
          <w:color w:val="auto"/>
          <w:sz w:val="30"/>
        </w:rPr>
        <w:t>目   录</w:t>
      </w:r>
    </w:p>
    <w:p>
      <w:pPr>
        <w:spacing w:line="460" w:lineRule="exact"/>
        <w:rPr>
          <w:rFonts w:ascii="宋体" w:hAnsi="宋体"/>
          <w:color w:val="auto"/>
          <w:sz w:val="24"/>
        </w:rPr>
      </w:pPr>
      <w:r>
        <w:rPr>
          <w:rFonts w:hint="eastAsia" w:ascii="宋体" w:hAnsi="宋体"/>
          <w:color w:val="auto"/>
          <w:sz w:val="24"/>
        </w:rPr>
        <w:t>一、投标书及其附件</w:t>
      </w:r>
    </w:p>
    <w:p>
      <w:pPr>
        <w:spacing w:line="460" w:lineRule="exact"/>
        <w:rPr>
          <w:rFonts w:ascii="宋体" w:hAnsi="宋体"/>
          <w:color w:val="auto"/>
          <w:sz w:val="24"/>
        </w:rPr>
      </w:pPr>
      <w:r>
        <w:rPr>
          <w:rFonts w:hint="eastAsia" w:ascii="宋体" w:hAnsi="宋体"/>
          <w:color w:val="auto"/>
          <w:sz w:val="24"/>
        </w:rPr>
        <w:t xml:space="preserve">      1.投标书</w:t>
      </w:r>
    </w:p>
    <w:p>
      <w:pPr>
        <w:spacing w:line="460" w:lineRule="exact"/>
        <w:rPr>
          <w:rFonts w:ascii="宋体" w:hAnsi="宋体"/>
          <w:color w:val="auto"/>
          <w:sz w:val="24"/>
        </w:rPr>
      </w:pPr>
      <w:r>
        <w:rPr>
          <w:rFonts w:hint="eastAsia" w:ascii="宋体" w:hAnsi="宋体"/>
          <w:color w:val="auto"/>
          <w:sz w:val="24"/>
        </w:rPr>
        <w:t xml:space="preserve">      2.开标一览表     </w:t>
      </w:r>
    </w:p>
    <w:p>
      <w:pPr>
        <w:spacing w:line="460" w:lineRule="exact"/>
        <w:rPr>
          <w:rFonts w:ascii="宋体" w:hAnsi="宋体"/>
          <w:color w:val="auto"/>
          <w:sz w:val="24"/>
        </w:rPr>
      </w:pPr>
      <w:r>
        <w:rPr>
          <w:rFonts w:hint="eastAsia" w:ascii="宋体" w:hAnsi="宋体"/>
          <w:color w:val="auto"/>
          <w:sz w:val="24"/>
        </w:rPr>
        <w:t>二、投标人资格证明文件</w:t>
      </w:r>
    </w:p>
    <w:p>
      <w:pPr>
        <w:spacing w:line="460" w:lineRule="exact"/>
        <w:rPr>
          <w:rFonts w:ascii="宋体" w:hAnsi="宋体"/>
          <w:color w:val="auto"/>
          <w:sz w:val="24"/>
        </w:rPr>
      </w:pPr>
      <w:r>
        <w:rPr>
          <w:rFonts w:hint="eastAsia" w:ascii="宋体" w:hAnsi="宋体"/>
          <w:color w:val="auto"/>
          <w:sz w:val="24"/>
        </w:rPr>
        <w:t xml:space="preserve">      1.投标人概况（营业执照副本等材料）</w:t>
      </w:r>
    </w:p>
    <w:p>
      <w:pPr>
        <w:spacing w:line="460" w:lineRule="exact"/>
        <w:rPr>
          <w:rFonts w:ascii="宋体" w:hAnsi="宋体"/>
          <w:color w:val="auto"/>
          <w:sz w:val="24"/>
        </w:rPr>
      </w:pPr>
      <w:r>
        <w:rPr>
          <w:rFonts w:hint="eastAsia" w:ascii="宋体" w:hAnsi="宋体"/>
          <w:color w:val="auto"/>
          <w:sz w:val="24"/>
        </w:rPr>
        <w:t xml:space="preserve">      2.投标人技术能力（技术人员相关证明材料）</w:t>
      </w:r>
    </w:p>
    <w:p>
      <w:pPr>
        <w:spacing w:line="460" w:lineRule="exact"/>
        <w:rPr>
          <w:rFonts w:ascii="宋体" w:hAnsi="宋体"/>
          <w:color w:val="auto"/>
          <w:sz w:val="24"/>
        </w:rPr>
      </w:pPr>
      <w:r>
        <w:rPr>
          <w:rFonts w:hint="eastAsia" w:ascii="宋体" w:hAnsi="宋体"/>
          <w:color w:val="auto"/>
          <w:sz w:val="24"/>
        </w:rPr>
        <w:t xml:space="preserve">      3.投标人财务状况（相关材料）</w:t>
      </w:r>
    </w:p>
    <w:p>
      <w:pPr>
        <w:spacing w:line="460" w:lineRule="exact"/>
        <w:rPr>
          <w:rFonts w:ascii="宋体" w:hAnsi="宋体"/>
          <w:color w:val="auto"/>
          <w:sz w:val="24"/>
        </w:rPr>
      </w:pPr>
      <w:r>
        <w:rPr>
          <w:rFonts w:hint="eastAsia" w:ascii="宋体" w:hAnsi="宋体"/>
          <w:color w:val="auto"/>
          <w:sz w:val="24"/>
        </w:rPr>
        <w:t xml:space="preserve">      4、相关资质证书材料</w:t>
      </w:r>
    </w:p>
    <w:p>
      <w:pPr>
        <w:spacing w:line="460" w:lineRule="exact"/>
        <w:rPr>
          <w:rFonts w:ascii="宋体" w:hAnsi="宋体"/>
          <w:color w:val="auto"/>
          <w:sz w:val="24"/>
        </w:rPr>
      </w:pPr>
      <w:r>
        <w:rPr>
          <w:rFonts w:hint="eastAsia" w:ascii="宋体" w:hAnsi="宋体"/>
          <w:color w:val="auto"/>
          <w:sz w:val="24"/>
        </w:rPr>
        <w:t xml:space="preserve">      5.授权委托书</w:t>
      </w:r>
    </w:p>
    <w:p>
      <w:pPr>
        <w:spacing w:line="460" w:lineRule="exact"/>
        <w:rPr>
          <w:rFonts w:ascii="宋体" w:hAnsi="宋体"/>
          <w:color w:val="auto"/>
          <w:sz w:val="24"/>
        </w:rPr>
      </w:pPr>
      <w:r>
        <w:rPr>
          <w:rFonts w:hint="eastAsia" w:ascii="宋体" w:hAnsi="宋体"/>
          <w:color w:val="auto"/>
          <w:sz w:val="24"/>
        </w:rPr>
        <w:t xml:space="preserve">      6.视频设备主材制造商授权书格式</w:t>
      </w:r>
    </w:p>
    <w:p>
      <w:pPr>
        <w:spacing w:line="460" w:lineRule="exact"/>
        <w:rPr>
          <w:rFonts w:ascii="宋体" w:hAnsi="宋体"/>
          <w:color w:val="auto"/>
          <w:sz w:val="24"/>
        </w:rPr>
      </w:pPr>
      <w:r>
        <w:rPr>
          <w:rFonts w:hint="eastAsia" w:ascii="宋体" w:hAnsi="宋体"/>
          <w:color w:val="auto"/>
          <w:sz w:val="24"/>
        </w:rPr>
        <w:t>三、证明货物的合格性和符合招标文件规定的文件</w:t>
      </w:r>
    </w:p>
    <w:p>
      <w:pPr>
        <w:numPr>
          <w:ilvl w:val="0"/>
          <w:numId w:val="35"/>
        </w:numPr>
        <w:spacing w:line="460" w:lineRule="exact"/>
        <w:rPr>
          <w:rFonts w:ascii="宋体" w:hAnsi="宋体"/>
          <w:color w:val="auto"/>
          <w:sz w:val="24"/>
        </w:rPr>
      </w:pPr>
      <w:r>
        <w:rPr>
          <w:rFonts w:hint="eastAsia" w:ascii="宋体" w:hAnsi="宋体"/>
          <w:color w:val="auto"/>
          <w:sz w:val="24"/>
        </w:rPr>
        <w:t>质量保证书</w:t>
      </w:r>
    </w:p>
    <w:p>
      <w:pPr>
        <w:numPr>
          <w:ilvl w:val="0"/>
          <w:numId w:val="35"/>
        </w:numPr>
        <w:spacing w:line="460" w:lineRule="exact"/>
        <w:rPr>
          <w:rFonts w:ascii="宋体" w:hAnsi="宋体"/>
          <w:color w:val="auto"/>
          <w:sz w:val="24"/>
        </w:rPr>
      </w:pPr>
      <w:r>
        <w:rPr>
          <w:rFonts w:hint="eastAsia" w:ascii="宋体" w:hAnsi="宋体"/>
          <w:color w:val="auto"/>
          <w:sz w:val="24"/>
        </w:rPr>
        <w:t>有关部门的检测报告（如有）</w:t>
      </w:r>
    </w:p>
    <w:p>
      <w:pPr>
        <w:spacing w:line="460" w:lineRule="exact"/>
        <w:rPr>
          <w:rFonts w:ascii="宋体" w:hAnsi="宋体"/>
          <w:color w:val="auto"/>
          <w:sz w:val="24"/>
        </w:rPr>
      </w:pPr>
      <w:r>
        <w:rPr>
          <w:rFonts w:hint="eastAsia" w:ascii="宋体" w:hAnsi="宋体"/>
          <w:color w:val="auto"/>
          <w:sz w:val="24"/>
        </w:rPr>
        <w:t xml:space="preserve">      3. 货物组成（供货范围表）</w:t>
      </w:r>
    </w:p>
    <w:p>
      <w:pPr>
        <w:spacing w:line="460" w:lineRule="exact"/>
        <w:rPr>
          <w:rFonts w:ascii="宋体" w:hAnsi="宋体"/>
          <w:color w:val="auto"/>
          <w:sz w:val="24"/>
        </w:rPr>
      </w:pPr>
      <w:r>
        <w:rPr>
          <w:rFonts w:hint="eastAsia" w:ascii="宋体" w:hAnsi="宋体"/>
          <w:color w:val="auto"/>
          <w:sz w:val="24"/>
        </w:rPr>
        <w:t xml:space="preserve">      4. 投标货物规格响应表格式</w:t>
      </w:r>
    </w:p>
    <w:p>
      <w:pPr>
        <w:spacing w:line="460" w:lineRule="exact"/>
        <w:rPr>
          <w:rFonts w:ascii="宋体" w:hAnsi="宋体"/>
          <w:color w:val="auto"/>
          <w:sz w:val="24"/>
        </w:rPr>
      </w:pPr>
      <w:r>
        <w:rPr>
          <w:rFonts w:hint="eastAsia" w:ascii="宋体" w:hAnsi="宋体"/>
          <w:color w:val="auto"/>
          <w:sz w:val="24"/>
        </w:rPr>
        <w:t xml:space="preserve">      5. 商务条款偏离表</w:t>
      </w:r>
    </w:p>
    <w:p>
      <w:pPr>
        <w:spacing w:line="460" w:lineRule="exact"/>
        <w:rPr>
          <w:rFonts w:ascii="宋体" w:hAnsi="宋体"/>
          <w:color w:val="auto"/>
          <w:sz w:val="24"/>
        </w:rPr>
      </w:pPr>
      <w:r>
        <w:rPr>
          <w:rFonts w:hint="eastAsia" w:ascii="宋体" w:hAnsi="宋体"/>
          <w:color w:val="auto"/>
          <w:sz w:val="24"/>
        </w:rPr>
        <w:t xml:space="preserve">      6. 服务（培训、售后服务等）</w:t>
      </w:r>
    </w:p>
    <w:p>
      <w:pPr>
        <w:spacing w:line="460" w:lineRule="exact"/>
        <w:rPr>
          <w:rFonts w:ascii="宋体" w:hAnsi="宋体"/>
          <w:color w:val="auto"/>
          <w:sz w:val="24"/>
        </w:rPr>
      </w:pPr>
      <w:r>
        <w:rPr>
          <w:rFonts w:hint="eastAsia" w:ascii="宋体" w:hAnsi="宋体"/>
          <w:color w:val="auto"/>
          <w:sz w:val="24"/>
        </w:rPr>
        <w:t xml:space="preserve">    </w:t>
      </w:r>
    </w:p>
    <w:p>
      <w:pPr>
        <w:spacing w:line="460" w:lineRule="exact"/>
        <w:rPr>
          <w:rFonts w:ascii="宋体" w:hAnsi="宋体"/>
          <w:color w:val="auto"/>
          <w:sz w:val="24"/>
        </w:rPr>
      </w:pPr>
    </w:p>
    <w:p>
      <w:pPr>
        <w:spacing w:line="460" w:lineRule="exact"/>
        <w:rPr>
          <w:rFonts w:ascii="宋体" w:hAnsi="宋体"/>
          <w:color w:val="auto"/>
          <w:sz w:val="24"/>
        </w:rPr>
      </w:pPr>
    </w:p>
    <w:p>
      <w:pPr>
        <w:spacing w:line="460" w:lineRule="exact"/>
        <w:rPr>
          <w:rFonts w:ascii="宋体" w:hAnsi="宋体"/>
          <w:color w:val="auto"/>
          <w:sz w:val="24"/>
        </w:rPr>
      </w:pPr>
    </w:p>
    <w:p>
      <w:pPr>
        <w:spacing w:line="460" w:lineRule="exact"/>
        <w:rPr>
          <w:rFonts w:ascii="宋体" w:hAnsi="宋体"/>
          <w:color w:val="auto"/>
          <w:sz w:val="24"/>
        </w:rPr>
      </w:pPr>
    </w:p>
    <w:p>
      <w:pPr>
        <w:widowControl/>
        <w:jc w:val="left"/>
        <w:rPr>
          <w:rFonts w:ascii="楷体_GB2312" w:eastAsia="楷体_GB2312"/>
          <w:color w:val="auto"/>
          <w:sz w:val="24"/>
        </w:rPr>
        <w:sectPr>
          <w:headerReference r:id="rId3" w:type="default"/>
          <w:footerReference r:id="rId4" w:type="default"/>
          <w:pgSz w:w="11906" w:h="16838"/>
          <w:pgMar w:top="935" w:right="1406" w:bottom="1091" w:left="1575" w:header="851" w:footer="992" w:gutter="0"/>
          <w:cols w:space="720" w:num="1"/>
          <w:docGrid w:type="lines" w:linePitch="312" w:charSpace="0"/>
        </w:sectPr>
      </w:pPr>
    </w:p>
    <w:p>
      <w:pPr>
        <w:spacing w:line="560" w:lineRule="exact"/>
        <w:ind w:left="720" w:leftChars="343" w:firstLine="2700" w:firstLineChars="750"/>
        <w:rPr>
          <w:rFonts w:ascii="黑体" w:eastAsia="黑体"/>
          <w:color w:val="auto"/>
          <w:sz w:val="36"/>
        </w:rPr>
      </w:pPr>
      <w:r>
        <w:rPr>
          <w:rFonts w:hint="eastAsia" w:ascii="黑体" w:eastAsia="黑体"/>
          <w:color w:val="auto"/>
          <w:sz w:val="36"/>
        </w:rPr>
        <w:t>一、投标书及其附件</w:t>
      </w:r>
    </w:p>
    <w:p>
      <w:pPr>
        <w:spacing w:line="560" w:lineRule="exact"/>
        <w:ind w:firstLine="3780" w:firstLineChars="1050"/>
        <w:rPr>
          <w:rFonts w:ascii="黑体" w:eastAsia="黑体"/>
          <w:color w:val="auto"/>
          <w:sz w:val="36"/>
        </w:rPr>
      </w:pPr>
      <w:r>
        <w:rPr>
          <w:rFonts w:hint="eastAsia" w:ascii="黑体" w:eastAsia="黑体"/>
          <w:color w:val="auto"/>
          <w:sz w:val="36"/>
        </w:rPr>
        <w:t>1、投标书格式</w:t>
      </w:r>
    </w:p>
    <w:p>
      <w:pPr>
        <w:spacing w:line="720" w:lineRule="exact"/>
        <w:ind w:firstLine="4518" w:firstLineChars="1500"/>
        <w:rPr>
          <w:rFonts w:ascii="楷体_GB2312" w:eastAsia="楷体_GB2312"/>
          <w:b/>
          <w:color w:val="auto"/>
          <w:sz w:val="30"/>
        </w:rPr>
      </w:pPr>
      <w:r>
        <w:rPr>
          <w:rFonts w:hint="eastAsia" w:ascii="楷体_GB2312" w:eastAsia="楷体_GB2312"/>
          <w:b/>
          <w:color w:val="auto"/>
          <w:sz w:val="30"/>
        </w:rPr>
        <w:t>投标书</w:t>
      </w:r>
    </w:p>
    <w:p>
      <w:pPr>
        <w:spacing w:line="480" w:lineRule="exact"/>
        <w:rPr>
          <w:rFonts w:ascii="楷体_GB2312" w:eastAsia="楷体_GB2312"/>
          <w:color w:val="auto"/>
          <w:sz w:val="24"/>
        </w:rPr>
      </w:pPr>
      <w:r>
        <w:rPr>
          <w:rFonts w:hint="eastAsia" w:ascii="宋体" w:hAnsi="宋体"/>
          <w:color w:val="auto"/>
          <w:spacing w:val="28"/>
          <w:sz w:val="24"/>
        </w:rPr>
        <w:t>江苏长江水务股份有限公司</w:t>
      </w:r>
      <w:r>
        <w:rPr>
          <w:rFonts w:hint="eastAsia" w:ascii="楷体_GB2312" w:eastAsia="楷体_GB2312"/>
          <w:color w:val="auto"/>
          <w:sz w:val="24"/>
        </w:rPr>
        <w:t>：</w:t>
      </w:r>
    </w:p>
    <w:p>
      <w:pPr>
        <w:spacing w:line="480" w:lineRule="exact"/>
        <w:ind w:firstLine="480"/>
        <w:rPr>
          <w:rFonts w:ascii="宋体" w:hAnsi="宋体"/>
          <w:color w:val="auto"/>
          <w:sz w:val="24"/>
        </w:rPr>
      </w:pPr>
      <w:r>
        <w:rPr>
          <w:rFonts w:hint="eastAsia" w:ascii="宋体" w:hAnsi="宋体"/>
          <w:color w:val="auto"/>
          <w:sz w:val="24"/>
        </w:rPr>
        <w:t>你们</w:t>
      </w:r>
      <w:r>
        <w:rPr>
          <w:rFonts w:hint="eastAsia" w:ascii="宋体" w:hAnsi="宋体"/>
          <w:color w:val="auto"/>
          <w:sz w:val="24"/>
          <w:u w:val="single"/>
        </w:rPr>
        <w:t xml:space="preserve">         </w:t>
      </w:r>
      <w:r>
        <w:rPr>
          <w:rFonts w:hint="eastAsia" w:ascii="宋体" w:hAnsi="宋体"/>
          <w:color w:val="auto"/>
          <w:sz w:val="24"/>
        </w:rPr>
        <w:t xml:space="preserve"> 招标文件（包括补充文件，如果有的话）收悉，我们经详细审阅和研究，现决定参加投标。</w:t>
      </w:r>
    </w:p>
    <w:p>
      <w:pPr>
        <w:spacing w:line="480" w:lineRule="exact"/>
        <w:rPr>
          <w:rFonts w:ascii="宋体" w:hAnsi="宋体"/>
          <w:color w:val="auto"/>
          <w:sz w:val="24"/>
        </w:rPr>
      </w:pPr>
      <w:r>
        <w:rPr>
          <w:rFonts w:hint="eastAsia" w:ascii="宋体" w:hAnsi="宋体"/>
          <w:color w:val="auto"/>
          <w:sz w:val="24"/>
        </w:rPr>
        <w:t xml:space="preserve">    1.我们愿按照招标文件中的条款、要求，提供所需的招标货物及一切相关的服务，投标价为</w:t>
      </w:r>
      <w:r>
        <w:rPr>
          <w:rFonts w:hint="eastAsia" w:ascii="宋体" w:hAnsi="宋体"/>
          <w:color w:val="auto"/>
          <w:sz w:val="24"/>
          <w:u w:val="single"/>
        </w:rPr>
        <w:t xml:space="preserve">（币种及金额） </w:t>
      </w:r>
      <w:r>
        <w:rPr>
          <w:rFonts w:hint="eastAsia" w:ascii="宋体" w:hAnsi="宋体"/>
          <w:color w:val="auto"/>
          <w:sz w:val="24"/>
        </w:rPr>
        <w:t>。</w:t>
      </w:r>
    </w:p>
    <w:p>
      <w:pPr>
        <w:spacing w:line="480" w:lineRule="exact"/>
        <w:ind w:firstLine="420"/>
        <w:rPr>
          <w:rFonts w:ascii="宋体" w:hAnsi="宋体"/>
          <w:color w:val="auto"/>
          <w:sz w:val="24"/>
        </w:rPr>
      </w:pPr>
      <w:r>
        <w:rPr>
          <w:rFonts w:hint="eastAsia" w:ascii="宋体" w:hAnsi="宋体"/>
          <w:color w:val="auto"/>
          <w:sz w:val="24"/>
        </w:rPr>
        <w:t>2.如果我们中标，我们将在</w:t>
      </w:r>
      <w:r>
        <w:rPr>
          <w:rFonts w:hint="eastAsia" w:ascii="宋体" w:hAnsi="宋体"/>
          <w:color w:val="auto"/>
          <w:sz w:val="24"/>
          <w:u w:val="single"/>
        </w:rPr>
        <w:t xml:space="preserve">           </w:t>
      </w:r>
      <w:r>
        <w:rPr>
          <w:rFonts w:hint="eastAsia" w:ascii="宋体" w:hAnsi="宋体"/>
          <w:color w:val="auto"/>
          <w:sz w:val="24"/>
        </w:rPr>
        <w:t>之后的</w:t>
      </w:r>
      <w:r>
        <w:rPr>
          <w:rFonts w:hint="eastAsia" w:ascii="宋体" w:hAnsi="宋体"/>
          <w:color w:val="auto"/>
          <w:sz w:val="24"/>
          <w:u w:val="single"/>
        </w:rPr>
        <w:t xml:space="preserve">       </w:t>
      </w:r>
      <w:r>
        <w:rPr>
          <w:rFonts w:hint="eastAsia" w:ascii="宋体" w:hAnsi="宋体"/>
          <w:color w:val="auto"/>
          <w:sz w:val="24"/>
        </w:rPr>
        <w:t>天内交货。</w:t>
      </w:r>
    </w:p>
    <w:p>
      <w:pPr>
        <w:spacing w:line="480" w:lineRule="exact"/>
        <w:ind w:firstLine="420"/>
        <w:rPr>
          <w:rFonts w:ascii="宋体" w:hAnsi="宋体"/>
          <w:color w:val="auto"/>
          <w:sz w:val="24"/>
        </w:rPr>
      </w:pPr>
      <w:r>
        <w:rPr>
          <w:rFonts w:hint="eastAsia" w:ascii="宋体" w:hAnsi="宋体"/>
          <w:color w:val="auto"/>
          <w:sz w:val="24"/>
        </w:rPr>
        <w:t>3.我们同意招标文件 “投标人须知”的规定，本投标文件在有效期内，将始终对我们具有约束力，并可随时被接受。如果我们入围，本投标文件在此期间之后将继续保持有效，直至合同生效。</w:t>
      </w:r>
    </w:p>
    <w:p>
      <w:pPr>
        <w:spacing w:line="480" w:lineRule="exact"/>
        <w:rPr>
          <w:rFonts w:ascii="宋体" w:hAnsi="宋体"/>
          <w:color w:val="auto"/>
          <w:sz w:val="24"/>
        </w:rPr>
      </w:pPr>
      <w:r>
        <w:rPr>
          <w:rFonts w:hint="eastAsia" w:ascii="宋体" w:hAnsi="宋体"/>
          <w:color w:val="auto"/>
          <w:sz w:val="24"/>
        </w:rPr>
        <w:t xml:space="preserve">    4.我们同意提供招标人要求的有关本次招标的所有资料。</w:t>
      </w:r>
    </w:p>
    <w:p>
      <w:pPr>
        <w:spacing w:line="480" w:lineRule="exact"/>
        <w:ind w:firstLine="480"/>
        <w:rPr>
          <w:rFonts w:ascii="宋体" w:hAnsi="宋体"/>
          <w:color w:val="auto"/>
          <w:sz w:val="24"/>
        </w:rPr>
      </w:pPr>
      <w:r>
        <w:rPr>
          <w:rFonts w:hint="eastAsia" w:ascii="宋体" w:hAnsi="宋体"/>
          <w:color w:val="auto"/>
          <w:sz w:val="24"/>
        </w:rPr>
        <w:t>5.我们理解，你们无义务必须接受投标价最低的投标，并有权拒绝所有的投标。</w:t>
      </w:r>
    </w:p>
    <w:p>
      <w:pPr>
        <w:spacing w:line="480" w:lineRule="exact"/>
        <w:ind w:firstLine="480"/>
        <w:rPr>
          <w:rFonts w:ascii="宋体" w:hAnsi="宋体"/>
          <w:color w:val="auto"/>
          <w:sz w:val="24"/>
        </w:rPr>
      </w:pPr>
      <w:r>
        <w:rPr>
          <w:rFonts w:hint="eastAsia" w:ascii="宋体" w:hAnsi="宋体"/>
          <w:color w:val="auto"/>
          <w:sz w:val="24"/>
        </w:rPr>
        <w:t>6.如果我们中标，为执行合同，我们将按招标文件的要求提供必要的履约保证。</w:t>
      </w:r>
    </w:p>
    <w:p>
      <w:pPr>
        <w:spacing w:line="480" w:lineRule="exact"/>
        <w:rPr>
          <w:rFonts w:ascii="楷体_GB2312" w:eastAsia="楷体_GB2312"/>
          <w:color w:val="auto"/>
          <w:sz w:val="24"/>
        </w:rPr>
      </w:pPr>
    </w:p>
    <w:p>
      <w:pPr>
        <w:spacing w:line="480" w:lineRule="exact"/>
        <w:rPr>
          <w:rFonts w:ascii="楷体_GB2312" w:eastAsia="楷体_GB2312"/>
          <w:color w:val="auto"/>
          <w:sz w:val="24"/>
        </w:rPr>
      </w:pPr>
    </w:p>
    <w:p>
      <w:pPr>
        <w:spacing w:line="480" w:lineRule="exact"/>
        <w:rPr>
          <w:rFonts w:ascii="楷体_GB2312" w:eastAsia="楷体_GB2312"/>
          <w:color w:val="auto"/>
          <w:sz w:val="24"/>
        </w:rPr>
      </w:pPr>
      <w:r>
        <w:rPr>
          <w:rFonts w:hint="eastAsia" w:ascii="楷体_GB2312" w:eastAsia="楷体_GB2312"/>
          <w:color w:val="auto"/>
          <w:sz w:val="24"/>
        </w:rPr>
        <w:t xml:space="preserve">                     </w:t>
      </w:r>
    </w:p>
    <w:p>
      <w:pPr>
        <w:spacing w:line="480" w:lineRule="exact"/>
        <w:jc w:val="center"/>
        <w:rPr>
          <w:rFonts w:ascii="宋体" w:hAnsi="宋体"/>
          <w:color w:val="auto"/>
          <w:sz w:val="24"/>
        </w:rPr>
      </w:pPr>
      <w:r>
        <w:rPr>
          <w:rFonts w:hint="eastAsia" w:ascii="宋体" w:hAnsi="宋体"/>
          <w:color w:val="auto"/>
          <w:sz w:val="24"/>
        </w:rPr>
        <w:t xml:space="preserve">  投标人名称：</w:t>
      </w:r>
    </w:p>
    <w:p>
      <w:pPr>
        <w:spacing w:line="480" w:lineRule="exact"/>
        <w:rPr>
          <w:rFonts w:ascii="宋体" w:hAnsi="宋体"/>
          <w:color w:val="auto"/>
          <w:sz w:val="24"/>
        </w:rPr>
      </w:pPr>
      <w:r>
        <w:rPr>
          <w:rFonts w:hint="eastAsia" w:ascii="宋体" w:hAnsi="宋体"/>
          <w:color w:val="auto"/>
          <w:sz w:val="24"/>
        </w:rPr>
        <w:t xml:space="preserve">                             （盖章）</w:t>
      </w:r>
    </w:p>
    <w:p>
      <w:pPr>
        <w:spacing w:line="480" w:lineRule="exact"/>
        <w:rPr>
          <w:rFonts w:ascii="宋体" w:hAnsi="宋体"/>
          <w:color w:val="auto"/>
          <w:sz w:val="24"/>
        </w:rPr>
      </w:pPr>
      <w:r>
        <w:rPr>
          <w:rFonts w:hint="eastAsia" w:ascii="宋体" w:hAnsi="宋体"/>
          <w:color w:val="auto"/>
          <w:sz w:val="24"/>
        </w:rPr>
        <w:t xml:space="preserve">                              地址：               邮编：</w:t>
      </w:r>
    </w:p>
    <w:p>
      <w:pPr>
        <w:spacing w:line="480" w:lineRule="exact"/>
        <w:rPr>
          <w:rFonts w:ascii="宋体" w:hAnsi="宋体"/>
          <w:color w:val="auto"/>
          <w:sz w:val="24"/>
        </w:rPr>
      </w:pPr>
      <w:r>
        <w:rPr>
          <w:rFonts w:hint="eastAsia" w:ascii="宋体" w:hAnsi="宋体"/>
          <w:color w:val="auto"/>
          <w:sz w:val="24"/>
        </w:rPr>
        <w:t xml:space="preserve">                              电话：               传真：</w:t>
      </w:r>
    </w:p>
    <w:p>
      <w:pPr>
        <w:spacing w:line="480" w:lineRule="exact"/>
        <w:rPr>
          <w:rFonts w:ascii="宋体" w:hAnsi="宋体"/>
          <w:color w:val="auto"/>
          <w:sz w:val="24"/>
        </w:rPr>
      </w:pPr>
      <w:r>
        <w:rPr>
          <w:rFonts w:hint="eastAsia" w:ascii="宋体" w:hAnsi="宋体"/>
          <w:color w:val="auto"/>
          <w:sz w:val="24"/>
        </w:rPr>
        <w:t xml:space="preserve">                              授权代表签字：</w:t>
      </w:r>
    </w:p>
    <w:p>
      <w:pPr>
        <w:spacing w:line="480" w:lineRule="exact"/>
        <w:rPr>
          <w:rFonts w:ascii="宋体" w:hAnsi="宋体"/>
          <w:color w:val="auto"/>
          <w:sz w:val="24"/>
        </w:rPr>
      </w:pPr>
      <w:r>
        <w:rPr>
          <w:rFonts w:hint="eastAsia" w:ascii="宋体" w:hAnsi="宋体"/>
          <w:color w:val="auto"/>
          <w:sz w:val="24"/>
        </w:rPr>
        <w:t xml:space="preserve">                              职务：</w:t>
      </w:r>
    </w:p>
    <w:p>
      <w:pPr>
        <w:spacing w:line="480" w:lineRule="exact"/>
        <w:rPr>
          <w:rFonts w:ascii="宋体" w:hAnsi="宋体"/>
          <w:color w:val="auto"/>
          <w:sz w:val="24"/>
        </w:rPr>
      </w:pPr>
      <w:r>
        <w:rPr>
          <w:rFonts w:hint="eastAsia" w:ascii="宋体" w:hAnsi="宋体"/>
          <w:color w:val="auto"/>
          <w:sz w:val="24"/>
        </w:rPr>
        <w:t xml:space="preserve">                              日期：</w:t>
      </w:r>
    </w:p>
    <w:p>
      <w:pPr>
        <w:spacing w:line="480" w:lineRule="exact"/>
        <w:rPr>
          <w:rFonts w:ascii="宋体" w:hAnsi="宋体"/>
          <w:color w:val="auto"/>
          <w:sz w:val="24"/>
        </w:rPr>
      </w:pPr>
    </w:p>
    <w:p>
      <w:pPr>
        <w:spacing w:line="480" w:lineRule="exact"/>
        <w:rPr>
          <w:rFonts w:ascii="宋体" w:hAnsi="宋体"/>
          <w:color w:val="auto"/>
          <w:sz w:val="24"/>
        </w:rPr>
      </w:pPr>
    </w:p>
    <w:p>
      <w:pPr>
        <w:spacing w:line="480" w:lineRule="exact"/>
        <w:rPr>
          <w:rFonts w:ascii="宋体" w:hAnsi="宋体"/>
          <w:color w:val="auto"/>
          <w:sz w:val="24"/>
        </w:rPr>
      </w:pPr>
    </w:p>
    <w:p>
      <w:pPr>
        <w:spacing w:line="560" w:lineRule="exact"/>
        <w:jc w:val="center"/>
        <w:rPr>
          <w:rFonts w:ascii="黑体" w:eastAsia="黑体"/>
          <w:color w:val="auto"/>
          <w:sz w:val="36"/>
        </w:rPr>
      </w:pPr>
      <w:r>
        <w:rPr>
          <w:rFonts w:hint="eastAsia" w:ascii="黑体" w:eastAsia="黑体"/>
          <w:color w:val="auto"/>
          <w:sz w:val="36"/>
        </w:rPr>
        <w:t>2、开标一览表</w:t>
      </w:r>
    </w:p>
    <w:tbl>
      <w:tblPr>
        <w:tblStyle w:val="10"/>
        <w:tblW w:w="10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828"/>
        <w:gridCol w:w="1844"/>
        <w:gridCol w:w="2051"/>
        <w:gridCol w:w="1680"/>
        <w:gridCol w:w="2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rPr>
            </w:pPr>
            <w:r>
              <w:rPr>
                <w:rFonts w:hint="eastAsia" w:ascii="宋体" w:hAnsi="宋体"/>
                <w:color w:val="auto"/>
                <w:szCs w:val="21"/>
              </w:rPr>
              <w:t>项目名称</w:t>
            </w:r>
          </w:p>
        </w:tc>
        <w:tc>
          <w:tcPr>
            <w:tcW w:w="843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auto"/>
                <w:sz w:val="24"/>
              </w:rPr>
            </w:pPr>
            <w:r>
              <w:rPr>
                <w:rFonts w:hint="eastAsia" w:ascii="宋体" w:hAnsi="宋体"/>
                <w:color w:val="auto"/>
                <w:sz w:val="24"/>
              </w:rPr>
              <w:t>序号</w:t>
            </w:r>
          </w:p>
        </w:tc>
        <w:tc>
          <w:tcPr>
            <w:tcW w:w="2672" w:type="dxa"/>
            <w:gridSpan w:val="2"/>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auto"/>
                <w:sz w:val="24"/>
              </w:rPr>
            </w:pPr>
            <w:r>
              <w:rPr>
                <w:rFonts w:hint="eastAsia" w:ascii="宋体" w:hAnsi="宋体"/>
                <w:color w:val="auto"/>
                <w:sz w:val="24"/>
              </w:rPr>
              <w:t>类 别</w:t>
            </w:r>
          </w:p>
        </w:tc>
        <w:tc>
          <w:tcPr>
            <w:tcW w:w="2051"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auto"/>
                <w:sz w:val="24"/>
              </w:rPr>
            </w:pPr>
            <w:r>
              <w:rPr>
                <w:rFonts w:hint="eastAsia" w:ascii="宋体" w:hAnsi="宋体"/>
                <w:color w:val="auto"/>
                <w:sz w:val="24"/>
              </w:rPr>
              <w:t>制 造 厂 商</w:t>
            </w:r>
          </w:p>
        </w:tc>
        <w:tc>
          <w:tcPr>
            <w:tcW w:w="1680"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auto"/>
                <w:sz w:val="24"/>
              </w:rPr>
            </w:pPr>
            <w:r>
              <w:rPr>
                <w:rFonts w:hint="eastAsia" w:ascii="宋体" w:hAnsi="宋体"/>
                <w:color w:val="auto"/>
                <w:sz w:val="24"/>
              </w:rPr>
              <w:t>单位价格</w:t>
            </w:r>
          </w:p>
        </w:tc>
        <w:tc>
          <w:tcPr>
            <w:tcW w:w="2855"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auto"/>
                <w:sz w:val="24"/>
              </w:rPr>
            </w:pPr>
            <w:r>
              <w:rPr>
                <w:rFonts w:hint="eastAsia" w:ascii="宋体" w:hAnsi="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auto"/>
                <w:sz w:val="24"/>
              </w:rPr>
            </w:pPr>
            <w:r>
              <w:rPr>
                <w:rFonts w:hint="eastAsia" w:ascii="宋体" w:hAnsi="宋体"/>
                <w:color w:val="auto"/>
                <w:sz w:val="24"/>
              </w:rPr>
              <w:t>1</w:t>
            </w:r>
          </w:p>
        </w:tc>
        <w:tc>
          <w:tcPr>
            <w:tcW w:w="2672"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rPr>
            </w:pPr>
          </w:p>
        </w:tc>
        <w:tc>
          <w:tcPr>
            <w:tcW w:w="2051"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auto"/>
                <w:sz w:val="24"/>
              </w:rPr>
            </w:pPr>
          </w:p>
        </w:tc>
        <w:tc>
          <w:tcPr>
            <w:tcW w:w="1680"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auto"/>
                <w:sz w:val="24"/>
              </w:rPr>
            </w:pPr>
          </w:p>
        </w:tc>
        <w:tc>
          <w:tcPr>
            <w:tcW w:w="285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auto"/>
                <w:sz w:val="24"/>
              </w:rPr>
            </w:pPr>
            <w:r>
              <w:rPr>
                <w:rFonts w:hint="eastAsia" w:ascii="宋体" w:hAnsi="宋体"/>
                <w:color w:val="auto"/>
                <w:sz w:val="24"/>
              </w:rPr>
              <w:t>2</w:t>
            </w:r>
          </w:p>
        </w:tc>
        <w:tc>
          <w:tcPr>
            <w:tcW w:w="2672"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rPr>
            </w:pPr>
          </w:p>
        </w:tc>
        <w:tc>
          <w:tcPr>
            <w:tcW w:w="2051"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auto"/>
                <w:sz w:val="24"/>
              </w:rPr>
            </w:pPr>
          </w:p>
        </w:tc>
        <w:tc>
          <w:tcPr>
            <w:tcW w:w="1680"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auto"/>
                <w:sz w:val="24"/>
              </w:rPr>
            </w:pPr>
          </w:p>
        </w:tc>
        <w:tc>
          <w:tcPr>
            <w:tcW w:w="285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auto"/>
                <w:sz w:val="24"/>
              </w:rPr>
            </w:pPr>
            <w:r>
              <w:rPr>
                <w:rFonts w:hint="eastAsia" w:ascii="宋体" w:hAnsi="宋体"/>
                <w:color w:val="auto"/>
                <w:sz w:val="24"/>
              </w:rPr>
              <w:t>3</w:t>
            </w:r>
          </w:p>
        </w:tc>
        <w:tc>
          <w:tcPr>
            <w:tcW w:w="2672"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rPr>
            </w:pPr>
          </w:p>
        </w:tc>
        <w:tc>
          <w:tcPr>
            <w:tcW w:w="2051"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auto"/>
                <w:sz w:val="24"/>
              </w:rPr>
            </w:pPr>
          </w:p>
        </w:tc>
        <w:tc>
          <w:tcPr>
            <w:tcW w:w="1680"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auto"/>
                <w:sz w:val="24"/>
              </w:rPr>
            </w:pPr>
          </w:p>
        </w:tc>
        <w:tc>
          <w:tcPr>
            <w:tcW w:w="285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auto"/>
                <w:sz w:val="24"/>
              </w:rPr>
            </w:pPr>
            <w:r>
              <w:rPr>
                <w:rFonts w:hint="eastAsia" w:ascii="宋体" w:hAnsi="宋体"/>
                <w:color w:val="auto"/>
                <w:sz w:val="24"/>
              </w:rPr>
              <w:t>4</w:t>
            </w:r>
          </w:p>
        </w:tc>
        <w:tc>
          <w:tcPr>
            <w:tcW w:w="2672"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rPr>
            </w:pPr>
          </w:p>
        </w:tc>
        <w:tc>
          <w:tcPr>
            <w:tcW w:w="2051"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auto"/>
                <w:sz w:val="24"/>
              </w:rPr>
            </w:pPr>
          </w:p>
        </w:tc>
        <w:tc>
          <w:tcPr>
            <w:tcW w:w="1680"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auto"/>
                <w:sz w:val="24"/>
              </w:rPr>
            </w:pPr>
          </w:p>
        </w:tc>
        <w:tc>
          <w:tcPr>
            <w:tcW w:w="285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auto"/>
                <w:sz w:val="24"/>
              </w:rPr>
            </w:pPr>
            <w:r>
              <w:rPr>
                <w:rFonts w:hint="eastAsia" w:ascii="宋体" w:hAnsi="宋体"/>
                <w:color w:val="auto"/>
                <w:sz w:val="24"/>
              </w:rPr>
              <w:t>5</w:t>
            </w:r>
          </w:p>
        </w:tc>
        <w:tc>
          <w:tcPr>
            <w:tcW w:w="2672"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rPr>
            </w:pPr>
          </w:p>
        </w:tc>
        <w:tc>
          <w:tcPr>
            <w:tcW w:w="2051"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auto"/>
                <w:sz w:val="24"/>
              </w:rPr>
            </w:pPr>
          </w:p>
        </w:tc>
        <w:tc>
          <w:tcPr>
            <w:tcW w:w="1680"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auto"/>
                <w:sz w:val="24"/>
              </w:rPr>
            </w:pPr>
          </w:p>
        </w:tc>
        <w:tc>
          <w:tcPr>
            <w:tcW w:w="285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auto"/>
                <w:sz w:val="24"/>
              </w:rPr>
            </w:pPr>
            <w:r>
              <w:rPr>
                <w:rFonts w:hint="eastAsia" w:ascii="宋体" w:hAnsi="宋体"/>
                <w:color w:val="auto"/>
                <w:sz w:val="24"/>
              </w:rPr>
              <w:t>6</w:t>
            </w:r>
          </w:p>
        </w:tc>
        <w:tc>
          <w:tcPr>
            <w:tcW w:w="2672"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rPr>
            </w:pPr>
          </w:p>
        </w:tc>
        <w:tc>
          <w:tcPr>
            <w:tcW w:w="2051"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auto"/>
                <w:sz w:val="24"/>
              </w:rPr>
            </w:pPr>
          </w:p>
        </w:tc>
        <w:tc>
          <w:tcPr>
            <w:tcW w:w="1680"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auto"/>
                <w:sz w:val="24"/>
              </w:rPr>
            </w:pPr>
          </w:p>
        </w:tc>
        <w:tc>
          <w:tcPr>
            <w:tcW w:w="285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auto"/>
                <w:sz w:val="24"/>
              </w:rPr>
            </w:pPr>
            <w:r>
              <w:rPr>
                <w:rFonts w:hint="eastAsia" w:ascii="宋体" w:hAnsi="宋体"/>
                <w:color w:val="auto"/>
                <w:sz w:val="24"/>
              </w:rPr>
              <w:t>7</w:t>
            </w:r>
          </w:p>
        </w:tc>
        <w:tc>
          <w:tcPr>
            <w:tcW w:w="2672"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rPr>
            </w:pPr>
          </w:p>
        </w:tc>
        <w:tc>
          <w:tcPr>
            <w:tcW w:w="2051"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auto"/>
                <w:sz w:val="24"/>
              </w:rPr>
            </w:pPr>
          </w:p>
        </w:tc>
        <w:tc>
          <w:tcPr>
            <w:tcW w:w="1680"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auto"/>
                <w:sz w:val="24"/>
              </w:rPr>
            </w:pPr>
          </w:p>
        </w:tc>
        <w:tc>
          <w:tcPr>
            <w:tcW w:w="285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auto"/>
                <w:sz w:val="24"/>
              </w:rPr>
            </w:pPr>
            <w:r>
              <w:rPr>
                <w:rFonts w:hint="eastAsia" w:ascii="宋体" w:hAnsi="宋体"/>
                <w:color w:val="auto"/>
                <w:sz w:val="24"/>
              </w:rPr>
              <w:t>8</w:t>
            </w:r>
          </w:p>
        </w:tc>
        <w:tc>
          <w:tcPr>
            <w:tcW w:w="2672"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rPr>
            </w:pPr>
          </w:p>
        </w:tc>
        <w:tc>
          <w:tcPr>
            <w:tcW w:w="2051"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auto"/>
                <w:sz w:val="24"/>
              </w:rPr>
            </w:pPr>
          </w:p>
        </w:tc>
        <w:tc>
          <w:tcPr>
            <w:tcW w:w="1680"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auto"/>
                <w:sz w:val="24"/>
              </w:rPr>
            </w:pPr>
          </w:p>
        </w:tc>
        <w:tc>
          <w:tcPr>
            <w:tcW w:w="285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auto"/>
                <w:sz w:val="24"/>
              </w:rPr>
            </w:pPr>
            <w:r>
              <w:rPr>
                <w:rFonts w:hint="eastAsia" w:ascii="宋体" w:hAnsi="宋体"/>
                <w:color w:val="auto"/>
                <w:sz w:val="24"/>
              </w:rPr>
              <w:t>9</w:t>
            </w:r>
          </w:p>
        </w:tc>
        <w:tc>
          <w:tcPr>
            <w:tcW w:w="2672"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rPr>
            </w:pPr>
          </w:p>
        </w:tc>
        <w:tc>
          <w:tcPr>
            <w:tcW w:w="2051"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auto"/>
                <w:sz w:val="24"/>
              </w:rPr>
            </w:pPr>
          </w:p>
        </w:tc>
        <w:tc>
          <w:tcPr>
            <w:tcW w:w="1680"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auto"/>
                <w:sz w:val="24"/>
              </w:rPr>
            </w:pPr>
          </w:p>
        </w:tc>
        <w:tc>
          <w:tcPr>
            <w:tcW w:w="285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auto"/>
                <w:sz w:val="24"/>
              </w:rPr>
            </w:pPr>
            <w:r>
              <w:rPr>
                <w:rFonts w:hint="eastAsia" w:ascii="宋体" w:hAnsi="宋体"/>
                <w:color w:val="auto"/>
                <w:sz w:val="24"/>
              </w:rPr>
              <w:t>10</w:t>
            </w:r>
          </w:p>
        </w:tc>
        <w:tc>
          <w:tcPr>
            <w:tcW w:w="2672"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rPr>
            </w:pPr>
          </w:p>
        </w:tc>
        <w:tc>
          <w:tcPr>
            <w:tcW w:w="2051"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auto"/>
                <w:sz w:val="24"/>
              </w:rPr>
            </w:pPr>
          </w:p>
        </w:tc>
        <w:tc>
          <w:tcPr>
            <w:tcW w:w="1680"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auto"/>
                <w:sz w:val="24"/>
              </w:rPr>
            </w:pPr>
          </w:p>
        </w:tc>
        <w:tc>
          <w:tcPr>
            <w:tcW w:w="285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auto"/>
                <w:sz w:val="24"/>
              </w:rPr>
            </w:pPr>
            <w:r>
              <w:rPr>
                <w:rFonts w:hint="eastAsia" w:ascii="宋体" w:hAnsi="宋体"/>
                <w:color w:val="auto"/>
                <w:sz w:val="24"/>
              </w:rPr>
              <w:t>11</w:t>
            </w:r>
          </w:p>
        </w:tc>
        <w:tc>
          <w:tcPr>
            <w:tcW w:w="2672"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rPr>
            </w:pPr>
          </w:p>
        </w:tc>
        <w:tc>
          <w:tcPr>
            <w:tcW w:w="2051"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auto"/>
                <w:sz w:val="24"/>
              </w:rPr>
            </w:pPr>
          </w:p>
        </w:tc>
        <w:tc>
          <w:tcPr>
            <w:tcW w:w="1680"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auto"/>
                <w:sz w:val="24"/>
              </w:rPr>
            </w:pPr>
          </w:p>
        </w:tc>
        <w:tc>
          <w:tcPr>
            <w:tcW w:w="2855"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auto"/>
                <w:sz w:val="24"/>
              </w:rPr>
            </w:pPr>
            <w:r>
              <w:rPr>
                <w:rFonts w:hint="eastAsia" w:ascii="宋体" w:hAnsi="宋体"/>
                <w:color w:val="auto"/>
                <w:sz w:val="24"/>
              </w:rPr>
              <w:t>12</w:t>
            </w:r>
          </w:p>
        </w:tc>
        <w:tc>
          <w:tcPr>
            <w:tcW w:w="2672"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rPr>
            </w:pPr>
          </w:p>
        </w:tc>
        <w:tc>
          <w:tcPr>
            <w:tcW w:w="2051"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auto"/>
                <w:sz w:val="24"/>
              </w:rPr>
            </w:pPr>
          </w:p>
        </w:tc>
        <w:tc>
          <w:tcPr>
            <w:tcW w:w="1680"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auto"/>
                <w:sz w:val="24"/>
                <w:highlight w:val="lightGray"/>
              </w:rPr>
            </w:pPr>
          </w:p>
        </w:tc>
        <w:tc>
          <w:tcPr>
            <w:tcW w:w="2855"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auto"/>
                <w:sz w:val="24"/>
                <w:highlight w:val="lightGray"/>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auto"/>
                <w:sz w:val="24"/>
              </w:rPr>
            </w:pPr>
            <w:r>
              <w:rPr>
                <w:rFonts w:hint="eastAsia" w:ascii="宋体" w:hAnsi="宋体"/>
                <w:color w:val="auto"/>
                <w:sz w:val="24"/>
              </w:rPr>
              <w:t>13</w:t>
            </w:r>
          </w:p>
        </w:tc>
        <w:tc>
          <w:tcPr>
            <w:tcW w:w="2672"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rPr>
            </w:pPr>
          </w:p>
        </w:tc>
        <w:tc>
          <w:tcPr>
            <w:tcW w:w="2051"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auto"/>
                <w:sz w:val="24"/>
              </w:rPr>
            </w:pPr>
          </w:p>
        </w:tc>
        <w:tc>
          <w:tcPr>
            <w:tcW w:w="1680"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auto"/>
                <w:sz w:val="24"/>
                <w:highlight w:val="lightGray"/>
              </w:rPr>
            </w:pPr>
          </w:p>
        </w:tc>
        <w:tc>
          <w:tcPr>
            <w:tcW w:w="2855"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auto"/>
                <w:sz w:val="24"/>
                <w:highlight w:val="lightGray"/>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auto"/>
                <w:sz w:val="24"/>
              </w:rPr>
            </w:pPr>
            <w:r>
              <w:rPr>
                <w:rFonts w:hint="eastAsia" w:ascii="宋体" w:hAnsi="宋体"/>
                <w:color w:val="auto"/>
                <w:sz w:val="24"/>
              </w:rPr>
              <w:t>14</w:t>
            </w:r>
          </w:p>
        </w:tc>
        <w:tc>
          <w:tcPr>
            <w:tcW w:w="2672"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rPr>
            </w:pPr>
          </w:p>
        </w:tc>
        <w:tc>
          <w:tcPr>
            <w:tcW w:w="2051"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auto"/>
                <w:sz w:val="24"/>
              </w:rPr>
            </w:pPr>
          </w:p>
        </w:tc>
        <w:tc>
          <w:tcPr>
            <w:tcW w:w="1680"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auto"/>
                <w:sz w:val="24"/>
              </w:rPr>
            </w:pPr>
          </w:p>
        </w:tc>
        <w:tc>
          <w:tcPr>
            <w:tcW w:w="2855"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28"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auto"/>
                <w:sz w:val="24"/>
              </w:rPr>
            </w:pPr>
            <w:r>
              <w:rPr>
                <w:rFonts w:hint="eastAsia" w:ascii="宋体" w:hAnsi="宋体"/>
                <w:color w:val="auto"/>
                <w:sz w:val="24"/>
              </w:rPr>
              <w:t>15</w:t>
            </w:r>
          </w:p>
        </w:tc>
        <w:tc>
          <w:tcPr>
            <w:tcW w:w="2672" w:type="dxa"/>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rPr>
            </w:pPr>
          </w:p>
        </w:tc>
        <w:tc>
          <w:tcPr>
            <w:tcW w:w="2051" w:type="dxa"/>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auto"/>
                <w:sz w:val="24"/>
              </w:rPr>
            </w:pPr>
          </w:p>
        </w:tc>
        <w:tc>
          <w:tcPr>
            <w:tcW w:w="1680"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auto"/>
                <w:sz w:val="24"/>
              </w:rPr>
            </w:pPr>
          </w:p>
        </w:tc>
        <w:tc>
          <w:tcPr>
            <w:tcW w:w="2855"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auto"/>
                <w:sz w:val="24"/>
              </w:rPr>
            </w:pPr>
            <w:r>
              <w:rPr>
                <w:rFonts w:hint="eastAsia" w:ascii="宋体" w:hAnsi="宋体"/>
                <w:color w:val="auto"/>
                <w:sz w:val="24"/>
              </w:rPr>
              <w:t>价格条件</w:t>
            </w:r>
          </w:p>
        </w:tc>
        <w:tc>
          <w:tcPr>
            <w:tcW w:w="8430" w:type="dxa"/>
            <w:gridSpan w:val="4"/>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auto"/>
                <w:sz w:val="24"/>
              </w:rPr>
            </w:pPr>
            <w:r>
              <w:rPr>
                <w:rFonts w:hint="eastAsia" w:ascii="宋体" w:hAnsi="宋体"/>
                <w:color w:val="auto"/>
                <w:szCs w:val="21"/>
              </w:rPr>
              <w:t>扬州（指定地点）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auto"/>
                <w:sz w:val="24"/>
              </w:rPr>
            </w:pPr>
          </w:p>
        </w:tc>
        <w:tc>
          <w:tcPr>
            <w:tcW w:w="8430" w:type="dxa"/>
            <w:gridSpan w:val="4"/>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auto"/>
                <w:sz w:val="24"/>
              </w:rPr>
            </w:pPr>
            <w:r>
              <w:rPr>
                <w:rFonts w:hint="eastAsia" w:ascii="宋体" w:hAnsi="宋体"/>
                <w:color w:val="auto"/>
                <w:sz w:val="24"/>
              </w:rPr>
              <w:t>交 货 期</w:t>
            </w:r>
          </w:p>
        </w:tc>
        <w:tc>
          <w:tcPr>
            <w:tcW w:w="8430" w:type="dxa"/>
            <w:gridSpan w:val="4"/>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gridSpan w:val="2"/>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auto"/>
                <w:sz w:val="24"/>
              </w:rPr>
            </w:pPr>
          </w:p>
        </w:tc>
        <w:tc>
          <w:tcPr>
            <w:tcW w:w="8430" w:type="dxa"/>
            <w:gridSpan w:val="4"/>
            <w:tcBorders>
              <w:top w:val="single" w:color="auto" w:sz="4" w:space="0"/>
              <w:left w:val="single" w:color="auto" w:sz="4" w:space="0"/>
              <w:bottom w:val="single" w:color="auto" w:sz="4" w:space="0"/>
              <w:right w:val="single" w:color="auto" w:sz="4" w:space="0"/>
            </w:tcBorders>
          </w:tcPr>
          <w:p>
            <w:pPr>
              <w:spacing w:line="0" w:lineRule="atLeast"/>
              <w:rPr>
                <w:rFonts w:ascii="宋体" w:hAnsi="宋体"/>
                <w:color w:val="auto"/>
                <w:sz w:val="24"/>
              </w:rPr>
            </w:pPr>
          </w:p>
        </w:tc>
      </w:tr>
    </w:tbl>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color w:val="auto"/>
          <w:sz w:val="24"/>
        </w:rPr>
      </w:pPr>
      <w:r>
        <w:rPr>
          <w:rFonts w:hint="eastAsia" w:ascii="宋体" w:hAnsi="宋体"/>
          <w:color w:val="auto"/>
          <w:sz w:val="24"/>
        </w:rPr>
        <w:t>投标人全称：（盖章或签字）</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color w:val="auto"/>
          <w:sz w:val="24"/>
        </w:rPr>
      </w:pPr>
      <w:r>
        <w:rPr>
          <w:rFonts w:hint="eastAsia" w:ascii="宋体" w:hAnsi="宋体"/>
          <w:color w:val="auto"/>
          <w:sz w:val="24"/>
        </w:rPr>
        <w:t>授权代表签字：</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color w:val="auto"/>
          <w:sz w:val="24"/>
        </w:rPr>
      </w:pPr>
      <w:r>
        <w:rPr>
          <w:rFonts w:hint="eastAsia" w:ascii="宋体" w:hAnsi="宋体"/>
          <w:color w:val="auto"/>
          <w:sz w:val="24"/>
        </w:rPr>
        <w:t>日  期：</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宋体" w:hAnsi="宋体" w:eastAsia="宋体"/>
          <w:color w:val="auto"/>
          <w:sz w:val="24"/>
          <w:lang w:val="en-US" w:eastAsia="zh-CN"/>
        </w:rPr>
      </w:pPr>
      <w:r>
        <w:rPr>
          <w:rFonts w:hint="eastAsia" w:ascii="宋体" w:hAnsi="宋体"/>
          <w:color w:val="auto"/>
          <w:sz w:val="24"/>
        </w:rPr>
        <w:t>说明：1、</w:t>
      </w:r>
      <w:r>
        <w:rPr>
          <w:rFonts w:hint="eastAsia" w:ascii="宋体" w:hAnsi="宋体"/>
          <w:color w:val="auto"/>
          <w:sz w:val="24"/>
          <w:lang w:eastAsia="zh-CN"/>
        </w:rPr>
        <w:t>各投标单位须根据招标货物清单进行报单价和总价，且须对清单中未尽但项目必须的货物自动补齐，如有因缺漏项造成工程项目费用增加，由中标方承担；</w:t>
      </w:r>
      <w:r>
        <w:rPr>
          <w:rFonts w:hint="eastAsia" w:ascii="宋体" w:hAnsi="宋体"/>
          <w:color w:val="auto"/>
          <w:sz w:val="24"/>
        </w:rPr>
        <w:t>不得填报选择性报价方案；</w:t>
      </w:r>
      <w:r>
        <w:rPr>
          <w:rFonts w:hint="eastAsia" w:ascii="宋体" w:hAnsi="宋体"/>
          <w:color w:val="auto"/>
          <w:sz w:val="24"/>
          <w:lang w:eastAsia="zh-CN"/>
        </w:rPr>
        <w:t>此价格含</w:t>
      </w:r>
      <w:r>
        <w:rPr>
          <w:rFonts w:hint="eastAsia" w:ascii="宋体" w:hAnsi="宋体"/>
          <w:color w:val="auto"/>
          <w:sz w:val="24"/>
          <w:lang w:val="en-US" w:eastAsia="zh-CN"/>
        </w:rPr>
        <w:t>13%增值税。</w:t>
      </w:r>
    </w:p>
    <w:p>
      <w:pPr>
        <w:keepNext w:val="0"/>
        <w:keepLines w:val="0"/>
        <w:pageBreakBefore w:val="0"/>
        <w:widowControl w:val="0"/>
        <w:kinsoku/>
        <w:wordWrap/>
        <w:overflowPunct/>
        <w:topLinePunct w:val="0"/>
        <w:autoSpaceDE/>
        <w:autoSpaceDN/>
        <w:bidi w:val="0"/>
        <w:adjustRightInd/>
        <w:snapToGrid/>
        <w:spacing w:line="480" w:lineRule="exact"/>
        <w:ind w:firstLine="720" w:firstLineChars="300"/>
        <w:textAlignment w:val="auto"/>
        <w:rPr>
          <w:rFonts w:ascii="宋体" w:hAnsi="宋体"/>
          <w:color w:val="auto"/>
          <w:sz w:val="24"/>
        </w:rPr>
      </w:pPr>
      <w:r>
        <w:rPr>
          <w:rFonts w:hint="eastAsia" w:ascii="宋体" w:hAnsi="宋体"/>
          <w:color w:val="auto"/>
          <w:sz w:val="24"/>
        </w:rPr>
        <w:t>2、此表一式两份，按招标文件要求封装，装入正本袋中。</w:t>
      </w:r>
    </w:p>
    <w:p>
      <w:pPr>
        <w:keepNext w:val="0"/>
        <w:keepLines w:val="0"/>
        <w:pageBreakBefore w:val="0"/>
        <w:widowControl w:val="0"/>
        <w:kinsoku/>
        <w:wordWrap/>
        <w:overflowPunct/>
        <w:topLinePunct w:val="0"/>
        <w:autoSpaceDE/>
        <w:autoSpaceDN/>
        <w:bidi w:val="0"/>
        <w:adjustRightInd/>
        <w:snapToGrid/>
        <w:spacing w:line="480" w:lineRule="exact"/>
        <w:ind w:firstLine="720" w:firstLineChars="300"/>
        <w:textAlignment w:val="auto"/>
        <w:rPr>
          <w:rFonts w:ascii="宋体" w:hAnsi="宋体"/>
          <w:color w:val="auto"/>
          <w:sz w:val="24"/>
        </w:rPr>
      </w:pPr>
      <w:r>
        <w:rPr>
          <w:rFonts w:hint="eastAsia" w:ascii="宋体" w:hAnsi="宋体"/>
          <w:color w:val="auto"/>
          <w:sz w:val="24"/>
        </w:rPr>
        <w:t>3、如因投标人填写有误，导致无法唱标，责任由投标人自负。</w:t>
      </w:r>
    </w:p>
    <w:p>
      <w:pPr>
        <w:spacing w:line="560" w:lineRule="exact"/>
        <w:rPr>
          <w:rFonts w:ascii="楷体_GB2312" w:eastAsia="楷体_GB2312"/>
          <w:color w:val="auto"/>
          <w:sz w:val="24"/>
        </w:rPr>
      </w:pPr>
      <w:r>
        <w:rPr>
          <w:rFonts w:hint="eastAsia" w:ascii="楷体_GB2312" w:eastAsia="楷体_GB2312"/>
          <w:b/>
          <w:color w:val="auto"/>
          <w:sz w:val="28"/>
          <w:szCs w:val="28"/>
        </w:rPr>
        <w:br w:type="page"/>
      </w:r>
    </w:p>
    <w:p>
      <w:pPr>
        <w:spacing w:line="560" w:lineRule="exact"/>
        <w:jc w:val="center"/>
        <w:rPr>
          <w:rFonts w:ascii="楷体_GB2312" w:eastAsia="楷体_GB2312"/>
          <w:b/>
          <w:color w:val="auto"/>
          <w:sz w:val="44"/>
        </w:rPr>
      </w:pPr>
      <w:r>
        <w:rPr>
          <w:rFonts w:hint="eastAsia" w:ascii="楷体_GB2312" w:eastAsia="楷体_GB2312"/>
          <w:b/>
          <w:color w:val="auto"/>
          <w:sz w:val="44"/>
        </w:rPr>
        <w:t>二、投标人资格证明文件</w:t>
      </w:r>
    </w:p>
    <w:p>
      <w:pPr>
        <w:spacing w:line="560" w:lineRule="exact"/>
        <w:jc w:val="center"/>
        <w:rPr>
          <w:rFonts w:ascii="楷体_GB2312" w:eastAsia="楷体_GB2312"/>
          <w:color w:val="auto"/>
          <w:sz w:val="24"/>
        </w:rPr>
      </w:pPr>
      <w:r>
        <w:rPr>
          <w:rFonts w:hint="eastAsia" w:ascii="黑体" w:eastAsia="黑体"/>
          <w:color w:val="auto"/>
          <w:sz w:val="36"/>
        </w:rPr>
        <w:t>1.投标人概况</w:t>
      </w:r>
    </w:p>
    <w:p>
      <w:pPr>
        <w:spacing w:line="560" w:lineRule="exact"/>
        <w:rPr>
          <w:rFonts w:ascii="宋体" w:hAnsi="宋体"/>
          <w:color w:val="auto"/>
        </w:rPr>
      </w:pPr>
      <w:r>
        <w:rPr>
          <w:rFonts w:hint="eastAsia" w:ascii="宋体" w:hAnsi="宋体"/>
          <w:color w:val="auto"/>
        </w:rPr>
        <w:t>（注：投标人简要历史、生产的主要产品或经营业务范围；组织机构、所属集（财）团等）</w:t>
      </w:r>
    </w:p>
    <w:p>
      <w:pPr>
        <w:spacing w:line="560" w:lineRule="exact"/>
        <w:rPr>
          <w:rFonts w:ascii="楷体_GB2312" w:eastAsia="楷体_GB2312"/>
          <w:color w:val="auto"/>
          <w:sz w:val="24"/>
        </w:rPr>
      </w:pPr>
    </w:p>
    <w:p>
      <w:pPr>
        <w:spacing w:line="560" w:lineRule="exact"/>
        <w:jc w:val="center"/>
        <w:rPr>
          <w:rFonts w:ascii="黑体" w:eastAsia="黑体"/>
          <w:color w:val="auto"/>
          <w:sz w:val="36"/>
        </w:rPr>
      </w:pPr>
      <w:r>
        <w:rPr>
          <w:rFonts w:hint="eastAsia" w:ascii="黑体" w:eastAsia="黑体"/>
          <w:color w:val="auto"/>
          <w:sz w:val="36"/>
        </w:rPr>
        <w:t>2.投标人技术能力</w:t>
      </w:r>
    </w:p>
    <w:p>
      <w:pPr>
        <w:spacing w:line="560" w:lineRule="exact"/>
        <w:jc w:val="center"/>
        <w:rPr>
          <w:rFonts w:ascii="宋体" w:hAnsi="宋体"/>
          <w:color w:val="auto"/>
        </w:rPr>
      </w:pPr>
      <w:r>
        <w:rPr>
          <w:rFonts w:hint="eastAsia" w:ascii="宋体" w:hAnsi="宋体"/>
          <w:color w:val="auto"/>
        </w:rPr>
        <w:t>（注：简要介绍投标人的生产水平、技术力量、装备水平及生产能力等）</w:t>
      </w:r>
    </w:p>
    <w:p>
      <w:pPr>
        <w:spacing w:line="560" w:lineRule="exact"/>
        <w:rPr>
          <w:rFonts w:ascii="楷体_GB2312" w:eastAsia="楷体_GB2312"/>
          <w:color w:val="auto"/>
          <w:sz w:val="24"/>
        </w:rPr>
      </w:pPr>
    </w:p>
    <w:p>
      <w:pPr>
        <w:spacing w:line="560" w:lineRule="exact"/>
        <w:rPr>
          <w:rFonts w:ascii="楷体_GB2312" w:eastAsia="楷体_GB2312"/>
          <w:color w:val="auto"/>
          <w:sz w:val="24"/>
        </w:rPr>
      </w:pPr>
    </w:p>
    <w:p>
      <w:pPr>
        <w:spacing w:line="560" w:lineRule="exact"/>
        <w:jc w:val="center"/>
        <w:rPr>
          <w:rFonts w:ascii="黑体" w:eastAsia="黑体"/>
          <w:color w:val="auto"/>
          <w:sz w:val="36"/>
        </w:rPr>
      </w:pPr>
      <w:r>
        <w:rPr>
          <w:rFonts w:hint="eastAsia" w:ascii="黑体" w:eastAsia="黑体"/>
          <w:color w:val="auto"/>
          <w:sz w:val="36"/>
        </w:rPr>
        <w:t>3.投标人财务状况</w:t>
      </w:r>
    </w:p>
    <w:p>
      <w:pPr>
        <w:spacing w:line="400" w:lineRule="exact"/>
        <w:rPr>
          <w:rFonts w:ascii="宋体" w:hAnsi="宋体"/>
          <w:color w:val="auto"/>
        </w:rPr>
      </w:pPr>
      <w:r>
        <w:rPr>
          <w:rFonts w:hint="eastAsia" w:ascii="宋体" w:hAnsi="宋体"/>
          <w:color w:val="auto"/>
        </w:rPr>
        <w:t>（注：请提供开户行名称及由其开具的资信证明；固定资产原值、净值、流动资金、最近三年年产值、销售额或贸易额和利润额）</w:t>
      </w:r>
    </w:p>
    <w:p>
      <w:pPr>
        <w:spacing w:line="400" w:lineRule="exact"/>
        <w:rPr>
          <w:rFonts w:ascii="宋体" w:hAnsi="宋体"/>
          <w:color w:val="auto"/>
        </w:rPr>
      </w:pPr>
    </w:p>
    <w:p>
      <w:pPr>
        <w:spacing w:line="400" w:lineRule="exact"/>
        <w:rPr>
          <w:rFonts w:ascii="宋体" w:hAnsi="宋体"/>
          <w:color w:val="auto"/>
        </w:rPr>
      </w:pPr>
    </w:p>
    <w:p>
      <w:pPr>
        <w:spacing w:line="560" w:lineRule="exact"/>
        <w:jc w:val="center"/>
        <w:rPr>
          <w:rFonts w:ascii="黑体" w:eastAsia="黑体"/>
          <w:color w:val="auto"/>
          <w:sz w:val="36"/>
        </w:rPr>
      </w:pPr>
      <w:r>
        <w:rPr>
          <w:rFonts w:hint="eastAsia" w:ascii="黑体" w:eastAsia="黑体"/>
          <w:color w:val="auto"/>
          <w:sz w:val="36"/>
        </w:rPr>
        <w:t>4.营业执照副本</w:t>
      </w:r>
    </w:p>
    <w:p>
      <w:pPr>
        <w:spacing w:line="560" w:lineRule="exact"/>
        <w:rPr>
          <w:rFonts w:ascii="楷体_GB2312" w:eastAsia="楷体_GB2312"/>
          <w:color w:val="auto"/>
          <w:sz w:val="24"/>
        </w:rPr>
      </w:pPr>
    </w:p>
    <w:p>
      <w:pPr>
        <w:spacing w:line="560" w:lineRule="exact"/>
        <w:jc w:val="center"/>
        <w:rPr>
          <w:rFonts w:ascii="黑体" w:eastAsia="黑体"/>
          <w:color w:val="auto"/>
          <w:sz w:val="36"/>
        </w:rPr>
      </w:pPr>
    </w:p>
    <w:p>
      <w:pPr>
        <w:spacing w:line="560" w:lineRule="exact"/>
        <w:jc w:val="center"/>
        <w:rPr>
          <w:rFonts w:ascii="黑体" w:eastAsia="黑体"/>
          <w:color w:val="auto"/>
          <w:sz w:val="36"/>
        </w:rPr>
      </w:pPr>
    </w:p>
    <w:p>
      <w:pPr>
        <w:spacing w:line="560" w:lineRule="exact"/>
        <w:jc w:val="center"/>
        <w:rPr>
          <w:rFonts w:ascii="黑体" w:eastAsia="黑体"/>
          <w:color w:val="auto"/>
          <w:sz w:val="36"/>
        </w:rPr>
      </w:pPr>
    </w:p>
    <w:p>
      <w:pPr>
        <w:spacing w:line="560" w:lineRule="exact"/>
        <w:jc w:val="center"/>
        <w:rPr>
          <w:rFonts w:ascii="黑体" w:eastAsia="黑体"/>
          <w:color w:val="auto"/>
          <w:sz w:val="36"/>
        </w:rPr>
      </w:pPr>
    </w:p>
    <w:p>
      <w:pPr>
        <w:spacing w:line="560" w:lineRule="exact"/>
        <w:jc w:val="center"/>
        <w:rPr>
          <w:rFonts w:ascii="黑体" w:eastAsia="黑体"/>
          <w:color w:val="auto"/>
          <w:sz w:val="36"/>
        </w:rPr>
      </w:pPr>
    </w:p>
    <w:p>
      <w:pPr>
        <w:spacing w:line="560" w:lineRule="exact"/>
        <w:jc w:val="center"/>
        <w:rPr>
          <w:rFonts w:ascii="黑体" w:eastAsia="黑体"/>
          <w:color w:val="auto"/>
          <w:sz w:val="36"/>
        </w:rPr>
      </w:pPr>
    </w:p>
    <w:p>
      <w:pPr>
        <w:spacing w:line="560" w:lineRule="exact"/>
        <w:jc w:val="center"/>
        <w:rPr>
          <w:rFonts w:ascii="黑体" w:eastAsia="黑体"/>
          <w:color w:val="auto"/>
          <w:sz w:val="36"/>
        </w:rPr>
      </w:pPr>
    </w:p>
    <w:p>
      <w:pPr>
        <w:spacing w:line="560" w:lineRule="exact"/>
        <w:jc w:val="center"/>
        <w:rPr>
          <w:rFonts w:ascii="黑体" w:eastAsia="黑体"/>
          <w:color w:val="auto"/>
          <w:sz w:val="36"/>
        </w:rPr>
      </w:pPr>
    </w:p>
    <w:p>
      <w:pPr>
        <w:spacing w:line="560" w:lineRule="exact"/>
        <w:jc w:val="center"/>
        <w:rPr>
          <w:rFonts w:ascii="黑体" w:eastAsia="黑体"/>
          <w:color w:val="auto"/>
          <w:sz w:val="36"/>
        </w:rPr>
      </w:pPr>
    </w:p>
    <w:p>
      <w:pPr>
        <w:spacing w:line="560" w:lineRule="exact"/>
        <w:jc w:val="center"/>
        <w:rPr>
          <w:rFonts w:ascii="黑体" w:eastAsia="黑体"/>
          <w:color w:val="auto"/>
          <w:sz w:val="36"/>
        </w:rPr>
      </w:pPr>
    </w:p>
    <w:p>
      <w:pPr>
        <w:spacing w:line="560" w:lineRule="exact"/>
        <w:jc w:val="center"/>
        <w:rPr>
          <w:rFonts w:ascii="黑体" w:eastAsia="黑体"/>
          <w:color w:val="auto"/>
          <w:sz w:val="36"/>
        </w:rPr>
      </w:pPr>
    </w:p>
    <w:p>
      <w:pPr>
        <w:spacing w:line="560" w:lineRule="exact"/>
        <w:jc w:val="center"/>
        <w:rPr>
          <w:rFonts w:ascii="黑体" w:eastAsia="黑体"/>
          <w:color w:val="auto"/>
          <w:sz w:val="36"/>
        </w:rPr>
      </w:pPr>
      <w:r>
        <w:rPr>
          <w:rFonts w:hint="eastAsia" w:ascii="黑体" w:eastAsia="黑体"/>
          <w:color w:val="auto"/>
          <w:sz w:val="36"/>
        </w:rPr>
        <w:t>5.授权委托书(如有)</w:t>
      </w:r>
    </w:p>
    <w:p>
      <w:pPr>
        <w:spacing w:line="560" w:lineRule="exact"/>
        <w:rPr>
          <w:rFonts w:ascii="楷体_GB2312" w:eastAsia="楷体_GB2312"/>
          <w:color w:val="auto"/>
          <w:sz w:val="24"/>
        </w:rPr>
      </w:pPr>
    </w:p>
    <w:p>
      <w:pPr>
        <w:spacing w:after="240" w:line="360" w:lineRule="auto"/>
        <w:jc w:val="center"/>
        <w:rPr>
          <w:rFonts w:ascii="宋体" w:hAnsi="宋体"/>
          <w:b/>
          <w:color w:val="auto"/>
          <w:sz w:val="32"/>
        </w:rPr>
      </w:pPr>
      <w:r>
        <w:rPr>
          <w:rFonts w:hint="eastAsia" w:ascii="宋体" w:hAnsi="宋体"/>
          <w:b/>
          <w:color w:val="auto"/>
          <w:sz w:val="32"/>
        </w:rPr>
        <w:t>授 权 委 托 书</w:t>
      </w:r>
    </w:p>
    <w:p>
      <w:pPr>
        <w:topLinePunct/>
        <w:spacing w:line="360" w:lineRule="auto"/>
        <w:ind w:firstLine="480" w:firstLineChars="200"/>
        <w:rPr>
          <w:color w:val="auto"/>
          <w:sz w:val="24"/>
          <w:u w:val="single"/>
        </w:rPr>
      </w:pPr>
      <w:r>
        <w:rPr>
          <w:rFonts w:hint="eastAsia"/>
          <w:color w:val="auto"/>
          <w:sz w:val="24"/>
        </w:rPr>
        <w:t>本人</w:t>
      </w:r>
      <w:r>
        <w:rPr>
          <w:color w:val="auto"/>
          <w:sz w:val="24"/>
          <w:u w:val="single"/>
        </w:rPr>
        <w:t xml:space="preserve">       </w:t>
      </w:r>
      <w:r>
        <w:rPr>
          <w:rFonts w:hint="eastAsia"/>
          <w:color w:val="auto"/>
          <w:sz w:val="24"/>
        </w:rPr>
        <w:t>（姓名）系</w:t>
      </w:r>
      <w:r>
        <w:rPr>
          <w:color w:val="auto"/>
          <w:sz w:val="24"/>
          <w:u w:val="single"/>
        </w:rPr>
        <w:t xml:space="preserve">        </w:t>
      </w:r>
      <w:r>
        <w:rPr>
          <w:rFonts w:hint="eastAsia"/>
          <w:color w:val="auto"/>
          <w:sz w:val="24"/>
        </w:rPr>
        <w:t>（投标人名称）的法定代表人，现委托</w:t>
      </w:r>
      <w:r>
        <w:rPr>
          <w:color w:val="auto"/>
          <w:sz w:val="24"/>
          <w:u w:val="single"/>
        </w:rPr>
        <w:t xml:space="preserve">         </w:t>
      </w:r>
    </w:p>
    <w:p>
      <w:pPr>
        <w:topLinePunct/>
        <w:spacing w:line="360" w:lineRule="auto"/>
        <w:rPr>
          <w:color w:val="auto"/>
          <w:sz w:val="24"/>
        </w:rPr>
      </w:pPr>
      <w:r>
        <w:rPr>
          <w:rFonts w:hint="eastAsia"/>
          <w:color w:val="auto"/>
          <w:sz w:val="24"/>
        </w:rPr>
        <w:t>（姓名）为我方代理人。代理人根据授权，以我方名义签署、澄清、说明、补正、递交、撤回、修改</w:t>
      </w:r>
      <w:r>
        <w:rPr>
          <w:color w:val="auto"/>
          <w:sz w:val="24"/>
          <w:u w:val="single"/>
        </w:rPr>
        <w:t xml:space="preserve">           </w:t>
      </w:r>
      <w:r>
        <w:rPr>
          <w:rFonts w:hint="eastAsia" w:ascii="宋体" w:hAnsi="宋体"/>
          <w:color w:val="auto"/>
          <w:sz w:val="24"/>
        </w:rPr>
        <w:t>项目（项目名称）</w:t>
      </w:r>
      <w:r>
        <w:rPr>
          <w:rFonts w:hint="eastAsia"/>
          <w:color w:val="auto"/>
          <w:sz w:val="24"/>
        </w:rPr>
        <w:t>投标文件、签订合同和处理有关事宜，其法律后果由我方承担。</w:t>
      </w:r>
    </w:p>
    <w:p>
      <w:pPr>
        <w:spacing w:line="360" w:lineRule="auto"/>
        <w:rPr>
          <w:color w:val="auto"/>
          <w:sz w:val="24"/>
        </w:rPr>
      </w:pPr>
      <w:r>
        <w:rPr>
          <w:color w:val="auto"/>
          <w:sz w:val="24"/>
        </w:rPr>
        <w:t xml:space="preserve">    </w:t>
      </w:r>
      <w:r>
        <w:rPr>
          <w:rFonts w:hint="eastAsia"/>
          <w:color w:val="auto"/>
          <w:sz w:val="24"/>
        </w:rPr>
        <w:t>代理人无转委托权。</w:t>
      </w:r>
    </w:p>
    <w:p>
      <w:pPr>
        <w:spacing w:line="360" w:lineRule="auto"/>
        <w:rPr>
          <w:color w:val="auto"/>
          <w:sz w:val="24"/>
        </w:rPr>
      </w:pPr>
    </w:p>
    <w:p>
      <w:pPr>
        <w:spacing w:line="440" w:lineRule="exact"/>
        <w:rPr>
          <w:color w:val="auto"/>
          <w:sz w:val="24"/>
        </w:rPr>
      </w:pPr>
      <w:r>
        <w:rPr>
          <w:rFonts w:hint="eastAsia"/>
          <w:color w:val="auto"/>
          <w:sz w:val="24"/>
        </w:rPr>
        <w:t>投标人：</w:t>
      </w:r>
      <w:r>
        <w:rPr>
          <w:color w:val="auto"/>
          <w:sz w:val="24"/>
          <w:u w:val="single"/>
        </w:rPr>
        <w:t xml:space="preserve">                               </w:t>
      </w:r>
      <w:r>
        <w:rPr>
          <w:rFonts w:hint="eastAsia"/>
          <w:color w:val="auto"/>
          <w:sz w:val="24"/>
        </w:rPr>
        <w:t>（盖单位章）</w:t>
      </w:r>
    </w:p>
    <w:p>
      <w:pPr>
        <w:spacing w:line="440" w:lineRule="exact"/>
        <w:rPr>
          <w:color w:val="auto"/>
          <w:sz w:val="24"/>
        </w:rPr>
      </w:pPr>
    </w:p>
    <w:p>
      <w:pPr>
        <w:spacing w:line="440" w:lineRule="exact"/>
        <w:rPr>
          <w:color w:val="auto"/>
          <w:sz w:val="24"/>
        </w:rPr>
      </w:pPr>
      <w:r>
        <w:rPr>
          <w:rFonts w:hint="eastAsia"/>
          <w:color w:val="auto"/>
          <w:sz w:val="24"/>
        </w:rPr>
        <w:t>法定代表人：</w:t>
      </w:r>
      <w:r>
        <w:rPr>
          <w:color w:val="auto"/>
          <w:sz w:val="24"/>
          <w:u w:val="single"/>
        </w:rPr>
        <w:t xml:space="preserve">                               </w:t>
      </w:r>
      <w:r>
        <w:rPr>
          <w:rFonts w:hint="eastAsia"/>
          <w:color w:val="auto"/>
          <w:sz w:val="24"/>
        </w:rPr>
        <w:t>（签字）</w:t>
      </w:r>
    </w:p>
    <w:p>
      <w:pPr>
        <w:spacing w:line="440" w:lineRule="exact"/>
        <w:rPr>
          <w:color w:val="auto"/>
          <w:sz w:val="24"/>
        </w:rPr>
      </w:pPr>
    </w:p>
    <w:p>
      <w:pPr>
        <w:spacing w:line="440" w:lineRule="exact"/>
        <w:rPr>
          <w:color w:val="auto"/>
          <w:sz w:val="24"/>
        </w:rPr>
      </w:pPr>
      <w:r>
        <w:rPr>
          <w:rFonts w:hint="eastAsia"/>
          <w:color w:val="auto"/>
          <w:sz w:val="24"/>
        </w:rPr>
        <w:t>身份证号码：</w:t>
      </w:r>
      <w:r>
        <w:rPr>
          <w:color w:val="auto"/>
          <w:sz w:val="24"/>
          <w:u w:val="single"/>
        </w:rPr>
        <w:t xml:space="preserve">                                     </w:t>
      </w:r>
    </w:p>
    <w:p>
      <w:pPr>
        <w:spacing w:line="440" w:lineRule="exact"/>
        <w:rPr>
          <w:color w:val="auto"/>
          <w:sz w:val="24"/>
        </w:rPr>
      </w:pPr>
    </w:p>
    <w:p>
      <w:pPr>
        <w:spacing w:line="440" w:lineRule="exact"/>
        <w:rPr>
          <w:color w:val="auto"/>
          <w:sz w:val="24"/>
        </w:rPr>
      </w:pPr>
      <w:r>
        <w:rPr>
          <w:rFonts w:hint="eastAsia"/>
          <w:color w:val="auto"/>
          <w:sz w:val="24"/>
        </w:rPr>
        <w:t>委托代理人：</w:t>
      </w:r>
      <w:r>
        <w:rPr>
          <w:color w:val="auto"/>
          <w:sz w:val="24"/>
          <w:u w:val="single"/>
        </w:rPr>
        <w:t xml:space="preserve">                                   </w:t>
      </w:r>
      <w:r>
        <w:rPr>
          <w:rFonts w:hint="eastAsia"/>
          <w:color w:val="auto"/>
          <w:sz w:val="24"/>
        </w:rPr>
        <w:t>（签字）</w:t>
      </w:r>
      <w:r>
        <w:rPr>
          <w:color w:val="auto"/>
          <w:sz w:val="24"/>
        </w:rPr>
        <w:t xml:space="preserve"> </w:t>
      </w:r>
    </w:p>
    <w:p>
      <w:pPr>
        <w:spacing w:line="440" w:lineRule="exact"/>
        <w:rPr>
          <w:color w:val="auto"/>
          <w:sz w:val="24"/>
        </w:rPr>
      </w:pPr>
    </w:p>
    <w:p>
      <w:pPr>
        <w:spacing w:line="440" w:lineRule="exact"/>
        <w:rPr>
          <w:color w:val="auto"/>
          <w:sz w:val="24"/>
        </w:rPr>
      </w:pPr>
      <w:r>
        <w:rPr>
          <w:rFonts w:hint="eastAsia"/>
          <w:color w:val="auto"/>
          <w:sz w:val="24"/>
        </w:rPr>
        <w:t>身份证号码：</w:t>
      </w:r>
      <w:r>
        <w:rPr>
          <w:color w:val="auto"/>
          <w:sz w:val="24"/>
          <w:u w:val="single"/>
        </w:rPr>
        <w:t xml:space="preserve">                            </w:t>
      </w:r>
      <w:r>
        <w:rPr>
          <w:rFonts w:hint="eastAsia"/>
          <w:color w:val="auto"/>
          <w:sz w:val="24"/>
        </w:rPr>
        <w:t>附身份证复印件</w:t>
      </w:r>
    </w:p>
    <w:p>
      <w:pPr>
        <w:spacing w:line="440" w:lineRule="exact"/>
        <w:rPr>
          <w:color w:val="auto"/>
          <w:sz w:val="24"/>
        </w:rPr>
      </w:pPr>
    </w:p>
    <w:p>
      <w:pPr>
        <w:spacing w:line="440" w:lineRule="exact"/>
        <w:rPr>
          <w:color w:val="auto"/>
          <w:sz w:val="24"/>
        </w:rPr>
      </w:pPr>
    </w:p>
    <w:p>
      <w:pPr>
        <w:spacing w:line="560" w:lineRule="exact"/>
        <w:rPr>
          <w:rFonts w:ascii="楷体_GB2312" w:eastAsia="楷体_GB2312"/>
          <w:color w:val="auto"/>
          <w:sz w:val="24"/>
        </w:rPr>
      </w:pPr>
      <w:r>
        <w:rPr>
          <w:color w:val="auto"/>
          <w:sz w:val="24"/>
          <w:u w:val="single"/>
        </w:rPr>
        <w:t xml:space="preserve">       </w:t>
      </w:r>
      <w:r>
        <w:rPr>
          <w:rFonts w:hint="eastAsia"/>
          <w:color w:val="auto"/>
          <w:sz w:val="24"/>
        </w:rPr>
        <w:t>年</w:t>
      </w:r>
      <w:r>
        <w:rPr>
          <w:color w:val="auto"/>
          <w:sz w:val="24"/>
          <w:u w:val="single"/>
        </w:rPr>
        <w:t xml:space="preserve">       </w:t>
      </w:r>
      <w:r>
        <w:rPr>
          <w:rFonts w:hint="eastAsia"/>
          <w:color w:val="auto"/>
          <w:sz w:val="24"/>
        </w:rPr>
        <w:t>月</w:t>
      </w:r>
      <w:r>
        <w:rPr>
          <w:color w:val="auto"/>
          <w:sz w:val="24"/>
          <w:u w:val="single"/>
        </w:rPr>
        <w:t xml:space="preserve">       </w:t>
      </w:r>
      <w:r>
        <w:rPr>
          <w:rFonts w:hint="eastAsia"/>
          <w:color w:val="auto"/>
          <w:sz w:val="24"/>
        </w:rPr>
        <w:t>日</w:t>
      </w:r>
    </w:p>
    <w:p>
      <w:pPr>
        <w:spacing w:line="560" w:lineRule="exact"/>
        <w:rPr>
          <w:rFonts w:ascii="楷体_GB2312" w:eastAsia="楷体_GB2312"/>
          <w:color w:val="auto"/>
          <w:sz w:val="24"/>
        </w:rPr>
      </w:pPr>
    </w:p>
    <w:p>
      <w:pPr>
        <w:spacing w:line="560" w:lineRule="exact"/>
        <w:rPr>
          <w:rFonts w:ascii="楷体_GB2312" w:eastAsia="楷体_GB2312"/>
          <w:color w:val="auto"/>
          <w:sz w:val="24"/>
        </w:rPr>
      </w:pPr>
    </w:p>
    <w:p>
      <w:pPr>
        <w:spacing w:line="560" w:lineRule="exact"/>
        <w:rPr>
          <w:rFonts w:ascii="楷体_GB2312" w:eastAsia="楷体_GB2312"/>
          <w:color w:val="auto"/>
          <w:sz w:val="24"/>
        </w:rPr>
      </w:pPr>
    </w:p>
    <w:p>
      <w:pPr>
        <w:spacing w:line="560" w:lineRule="exact"/>
        <w:rPr>
          <w:rFonts w:ascii="楷体_GB2312" w:eastAsia="楷体_GB2312"/>
          <w:color w:val="auto"/>
          <w:sz w:val="24"/>
        </w:rPr>
      </w:pPr>
    </w:p>
    <w:p>
      <w:pPr>
        <w:spacing w:line="560" w:lineRule="exact"/>
        <w:rPr>
          <w:rFonts w:ascii="楷体_GB2312" w:eastAsia="楷体_GB2312"/>
          <w:color w:val="auto"/>
          <w:sz w:val="24"/>
        </w:rPr>
      </w:pPr>
    </w:p>
    <w:p>
      <w:pPr>
        <w:spacing w:line="560" w:lineRule="exact"/>
        <w:rPr>
          <w:rFonts w:ascii="楷体_GB2312" w:eastAsia="楷体_GB2312"/>
          <w:color w:val="auto"/>
          <w:sz w:val="24"/>
        </w:rPr>
      </w:pPr>
    </w:p>
    <w:p>
      <w:pPr>
        <w:spacing w:line="560" w:lineRule="exact"/>
        <w:rPr>
          <w:rFonts w:ascii="楷体_GB2312" w:eastAsia="楷体_GB2312"/>
          <w:color w:val="auto"/>
          <w:sz w:val="24"/>
        </w:rPr>
      </w:pPr>
    </w:p>
    <w:p>
      <w:pPr>
        <w:spacing w:line="560" w:lineRule="exact"/>
        <w:jc w:val="center"/>
        <w:rPr>
          <w:rFonts w:ascii="楷体_GB2312" w:eastAsia="楷体_GB2312"/>
          <w:color w:val="auto"/>
          <w:sz w:val="24"/>
        </w:rPr>
      </w:pPr>
    </w:p>
    <w:p>
      <w:pPr>
        <w:spacing w:line="560" w:lineRule="exact"/>
        <w:jc w:val="center"/>
        <w:rPr>
          <w:rFonts w:ascii="楷体_GB2312" w:eastAsia="楷体_GB2312"/>
          <w:color w:val="auto"/>
          <w:sz w:val="24"/>
        </w:rPr>
      </w:pPr>
    </w:p>
    <w:p>
      <w:pPr>
        <w:spacing w:line="560" w:lineRule="exact"/>
        <w:rPr>
          <w:rFonts w:ascii="楷体_GB2312" w:eastAsia="楷体_GB2312"/>
          <w:b/>
          <w:color w:val="auto"/>
          <w:sz w:val="36"/>
        </w:rPr>
      </w:pPr>
      <w:r>
        <w:rPr>
          <w:rFonts w:hint="eastAsia" w:ascii="楷体_GB2312" w:eastAsia="楷体_GB2312"/>
          <w:b/>
          <w:color w:val="auto"/>
          <w:sz w:val="36"/>
        </w:rPr>
        <w:t>三、证明货物的合格性和符合招标文件规定的文件</w:t>
      </w:r>
    </w:p>
    <w:p>
      <w:pPr>
        <w:spacing w:line="560" w:lineRule="exact"/>
        <w:rPr>
          <w:rFonts w:ascii="楷体_GB2312" w:eastAsia="楷体_GB2312"/>
          <w:color w:val="auto"/>
          <w:sz w:val="24"/>
        </w:rPr>
      </w:pPr>
    </w:p>
    <w:p>
      <w:pPr>
        <w:numPr>
          <w:ilvl w:val="0"/>
          <w:numId w:val="36"/>
        </w:numPr>
        <w:spacing w:line="560" w:lineRule="exact"/>
        <w:jc w:val="center"/>
        <w:rPr>
          <w:rFonts w:ascii="黑体" w:eastAsia="黑体"/>
          <w:color w:val="auto"/>
          <w:sz w:val="36"/>
        </w:rPr>
      </w:pPr>
      <w:r>
        <w:rPr>
          <w:rFonts w:hint="eastAsia" w:ascii="黑体" w:eastAsia="黑体"/>
          <w:color w:val="auto"/>
          <w:sz w:val="36"/>
        </w:rPr>
        <w:t>质量保证书</w:t>
      </w:r>
    </w:p>
    <w:p>
      <w:pPr>
        <w:spacing w:line="560" w:lineRule="exact"/>
        <w:rPr>
          <w:rFonts w:ascii="楷体_GB2312" w:eastAsia="楷体_GB2312"/>
          <w:color w:val="auto"/>
          <w:sz w:val="24"/>
        </w:rPr>
      </w:pPr>
    </w:p>
    <w:p>
      <w:pPr>
        <w:numPr>
          <w:ilvl w:val="0"/>
          <w:numId w:val="36"/>
        </w:numPr>
        <w:spacing w:line="560" w:lineRule="exact"/>
        <w:jc w:val="center"/>
        <w:rPr>
          <w:rFonts w:ascii="黑体" w:eastAsia="黑体"/>
          <w:color w:val="auto"/>
          <w:sz w:val="36"/>
        </w:rPr>
      </w:pPr>
      <w:r>
        <w:rPr>
          <w:rFonts w:hint="eastAsia" w:ascii="黑体" w:eastAsia="黑体"/>
          <w:color w:val="auto"/>
          <w:sz w:val="36"/>
        </w:rPr>
        <w:t>有关部门的检测报告</w:t>
      </w:r>
    </w:p>
    <w:p>
      <w:pPr>
        <w:spacing w:line="560" w:lineRule="exact"/>
        <w:jc w:val="center"/>
        <w:rPr>
          <w:rFonts w:ascii="黑体" w:eastAsia="黑体"/>
          <w:color w:val="auto"/>
          <w:sz w:val="36"/>
        </w:rPr>
      </w:pPr>
    </w:p>
    <w:p>
      <w:pPr>
        <w:numPr>
          <w:ilvl w:val="0"/>
          <w:numId w:val="37"/>
        </w:numPr>
        <w:spacing w:line="560" w:lineRule="exact"/>
        <w:ind w:firstLine="3060" w:firstLineChars="850"/>
        <w:rPr>
          <w:rFonts w:ascii="宋体" w:hAnsi="宋体"/>
          <w:b/>
          <w:color w:val="auto"/>
          <w:sz w:val="32"/>
          <w:szCs w:val="32"/>
        </w:rPr>
      </w:pPr>
      <w:r>
        <w:rPr>
          <w:rFonts w:hint="eastAsia" w:ascii="黑体" w:eastAsia="黑体"/>
          <w:color w:val="auto"/>
          <w:sz w:val="36"/>
        </w:rPr>
        <w:t>生产资质证书</w:t>
      </w:r>
    </w:p>
    <w:p>
      <w:pPr>
        <w:spacing w:line="560" w:lineRule="exact"/>
        <w:rPr>
          <w:rFonts w:ascii="宋体" w:hAnsi="宋体"/>
          <w:b/>
          <w:color w:val="auto"/>
          <w:sz w:val="32"/>
          <w:szCs w:val="32"/>
        </w:rPr>
      </w:pPr>
    </w:p>
    <w:p>
      <w:pPr>
        <w:spacing w:line="560" w:lineRule="exact"/>
        <w:rPr>
          <w:rFonts w:ascii="宋体" w:hAnsi="宋体"/>
          <w:b/>
          <w:color w:val="auto"/>
          <w:sz w:val="32"/>
          <w:szCs w:val="32"/>
        </w:rPr>
      </w:pPr>
    </w:p>
    <w:p>
      <w:pPr>
        <w:spacing w:line="560" w:lineRule="exact"/>
        <w:rPr>
          <w:rFonts w:ascii="宋体" w:hAnsi="宋体"/>
          <w:b/>
          <w:color w:val="auto"/>
          <w:sz w:val="32"/>
          <w:szCs w:val="32"/>
        </w:rPr>
      </w:pPr>
    </w:p>
    <w:p>
      <w:pPr>
        <w:spacing w:line="560" w:lineRule="exact"/>
        <w:rPr>
          <w:rFonts w:ascii="宋体" w:hAnsi="宋体"/>
          <w:b/>
          <w:color w:val="auto"/>
          <w:sz w:val="32"/>
          <w:szCs w:val="32"/>
        </w:rPr>
      </w:pPr>
    </w:p>
    <w:p>
      <w:pPr>
        <w:spacing w:line="560" w:lineRule="exact"/>
        <w:rPr>
          <w:rFonts w:ascii="宋体" w:hAnsi="宋体"/>
          <w:b/>
          <w:color w:val="auto"/>
          <w:sz w:val="32"/>
          <w:szCs w:val="32"/>
        </w:rPr>
      </w:pPr>
    </w:p>
    <w:p>
      <w:pPr>
        <w:spacing w:line="560" w:lineRule="exact"/>
        <w:rPr>
          <w:rFonts w:ascii="宋体" w:hAnsi="宋体"/>
          <w:b/>
          <w:color w:val="auto"/>
          <w:sz w:val="32"/>
          <w:szCs w:val="32"/>
        </w:rPr>
      </w:pPr>
    </w:p>
    <w:p>
      <w:pPr>
        <w:spacing w:line="560" w:lineRule="exact"/>
        <w:rPr>
          <w:rFonts w:ascii="宋体" w:hAnsi="宋体"/>
          <w:b/>
          <w:color w:val="auto"/>
          <w:sz w:val="32"/>
          <w:szCs w:val="32"/>
        </w:rPr>
      </w:pPr>
    </w:p>
    <w:p>
      <w:pPr>
        <w:spacing w:line="560" w:lineRule="exact"/>
        <w:rPr>
          <w:rFonts w:ascii="宋体" w:hAnsi="宋体"/>
          <w:b/>
          <w:color w:val="auto"/>
          <w:sz w:val="32"/>
          <w:szCs w:val="32"/>
        </w:rPr>
      </w:pPr>
    </w:p>
    <w:p>
      <w:pPr>
        <w:spacing w:line="560" w:lineRule="exact"/>
        <w:rPr>
          <w:rFonts w:ascii="宋体" w:hAnsi="宋体"/>
          <w:b/>
          <w:color w:val="auto"/>
          <w:sz w:val="32"/>
          <w:szCs w:val="32"/>
        </w:rPr>
      </w:pPr>
    </w:p>
    <w:p>
      <w:pPr>
        <w:spacing w:line="560" w:lineRule="exact"/>
        <w:rPr>
          <w:rFonts w:ascii="宋体" w:hAnsi="宋体"/>
          <w:b/>
          <w:color w:val="auto"/>
          <w:sz w:val="32"/>
          <w:szCs w:val="32"/>
        </w:rPr>
      </w:pPr>
    </w:p>
    <w:p>
      <w:pPr>
        <w:spacing w:line="560" w:lineRule="exact"/>
        <w:rPr>
          <w:rFonts w:ascii="宋体" w:hAnsi="宋体"/>
          <w:b/>
          <w:color w:val="auto"/>
          <w:sz w:val="32"/>
          <w:szCs w:val="32"/>
        </w:rPr>
      </w:pPr>
    </w:p>
    <w:p>
      <w:pPr>
        <w:spacing w:line="560" w:lineRule="exact"/>
        <w:rPr>
          <w:rFonts w:ascii="宋体" w:hAnsi="宋体"/>
          <w:b/>
          <w:color w:val="auto"/>
          <w:sz w:val="32"/>
          <w:szCs w:val="32"/>
        </w:rPr>
      </w:pPr>
    </w:p>
    <w:p>
      <w:pPr>
        <w:spacing w:line="560" w:lineRule="exact"/>
        <w:rPr>
          <w:rFonts w:ascii="宋体" w:hAnsi="宋体"/>
          <w:b/>
          <w:color w:val="auto"/>
          <w:sz w:val="32"/>
          <w:szCs w:val="32"/>
        </w:rPr>
      </w:pPr>
    </w:p>
    <w:p>
      <w:pPr>
        <w:spacing w:line="560" w:lineRule="exact"/>
        <w:rPr>
          <w:rFonts w:ascii="宋体" w:hAnsi="宋体"/>
          <w:b/>
          <w:color w:val="auto"/>
          <w:sz w:val="32"/>
          <w:szCs w:val="32"/>
        </w:rPr>
      </w:pPr>
    </w:p>
    <w:p>
      <w:pPr>
        <w:spacing w:line="560" w:lineRule="exact"/>
        <w:rPr>
          <w:rFonts w:ascii="宋体" w:hAnsi="宋体"/>
          <w:b/>
          <w:color w:val="auto"/>
          <w:sz w:val="32"/>
          <w:szCs w:val="32"/>
        </w:rPr>
      </w:pPr>
    </w:p>
    <w:p>
      <w:pPr>
        <w:spacing w:line="560" w:lineRule="exact"/>
        <w:rPr>
          <w:rFonts w:ascii="宋体" w:hAnsi="宋体"/>
          <w:b/>
          <w:color w:val="auto"/>
          <w:sz w:val="32"/>
          <w:szCs w:val="32"/>
        </w:rPr>
      </w:pPr>
    </w:p>
    <w:p>
      <w:pPr>
        <w:spacing w:line="560" w:lineRule="exact"/>
        <w:rPr>
          <w:rFonts w:ascii="宋体" w:hAnsi="宋体"/>
          <w:b/>
          <w:color w:val="auto"/>
          <w:sz w:val="32"/>
          <w:szCs w:val="32"/>
        </w:rPr>
      </w:pPr>
    </w:p>
    <w:p>
      <w:pPr>
        <w:spacing w:line="560" w:lineRule="exact"/>
        <w:rPr>
          <w:rFonts w:ascii="宋体" w:hAnsi="宋体"/>
          <w:b/>
          <w:color w:val="auto"/>
          <w:sz w:val="32"/>
          <w:szCs w:val="32"/>
        </w:rPr>
      </w:pPr>
    </w:p>
    <w:p>
      <w:pPr>
        <w:numPr>
          <w:ilvl w:val="0"/>
          <w:numId w:val="37"/>
        </w:numPr>
        <w:spacing w:line="560" w:lineRule="exact"/>
        <w:ind w:firstLine="3060" w:firstLineChars="850"/>
        <w:rPr>
          <w:rFonts w:ascii="黑体" w:eastAsia="黑体"/>
          <w:color w:val="auto"/>
          <w:sz w:val="36"/>
        </w:rPr>
      </w:pPr>
      <w:r>
        <w:rPr>
          <w:rFonts w:hint="eastAsia" w:ascii="黑体" w:eastAsia="黑体"/>
          <w:color w:val="auto"/>
          <w:sz w:val="36"/>
        </w:rPr>
        <w:t>制造商授权书</w:t>
      </w:r>
    </w:p>
    <w:p>
      <w:pPr>
        <w:spacing w:line="720" w:lineRule="exact"/>
        <w:jc w:val="center"/>
        <w:rPr>
          <w:rFonts w:ascii="宋体" w:hAnsi="宋体"/>
          <w:b/>
          <w:color w:val="auto"/>
          <w:sz w:val="24"/>
        </w:rPr>
      </w:pPr>
    </w:p>
    <w:p>
      <w:pPr>
        <w:spacing w:line="560" w:lineRule="exact"/>
        <w:rPr>
          <w:rFonts w:ascii="宋体" w:hAnsi="宋体"/>
          <w:color w:val="auto"/>
          <w:sz w:val="24"/>
        </w:rPr>
      </w:pPr>
      <w:r>
        <w:rPr>
          <w:rFonts w:hint="eastAsia" w:ascii="宋体" w:hAnsi="宋体"/>
          <w:color w:val="auto"/>
          <w:sz w:val="24"/>
          <w:u w:val="single"/>
        </w:rPr>
        <w:t>江苏长江水务股份有限公司</w:t>
      </w:r>
      <w:r>
        <w:rPr>
          <w:rFonts w:hint="eastAsia" w:ascii="宋体" w:hAnsi="宋体"/>
          <w:color w:val="auto"/>
          <w:sz w:val="24"/>
        </w:rPr>
        <w:t>：</w:t>
      </w:r>
    </w:p>
    <w:p>
      <w:pPr>
        <w:spacing w:line="560" w:lineRule="exact"/>
        <w:rPr>
          <w:rFonts w:ascii="宋体" w:hAnsi="宋体"/>
          <w:color w:val="auto"/>
          <w:sz w:val="24"/>
        </w:rPr>
      </w:pPr>
    </w:p>
    <w:p>
      <w:pPr>
        <w:rPr>
          <w:rFonts w:ascii="宋体" w:hAnsi="宋体"/>
          <w:color w:val="auto"/>
          <w:sz w:val="24"/>
        </w:rPr>
      </w:pPr>
      <w:r>
        <w:rPr>
          <w:rFonts w:hint="eastAsia" w:ascii="宋体" w:hAnsi="宋体"/>
          <w:color w:val="auto"/>
          <w:sz w:val="24"/>
        </w:rPr>
        <w:t xml:space="preserve">    位于</w:t>
      </w:r>
      <w:r>
        <w:rPr>
          <w:rFonts w:hint="eastAsia" w:ascii="宋体" w:hAnsi="宋体"/>
          <w:color w:val="auto"/>
          <w:sz w:val="24"/>
          <w:u w:val="single"/>
        </w:rPr>
        <w:t>（制造厂家地址）</w:t>
      </w:r>
      <w:r>
        <w:rPr>
          <w:rFonts w:hint="eastAsia" w:ascii="宋体" w:hAnsi="宋体"/>
          <w:color w:val="auto"/>
          <w:sz w:val="24"/>
        </w:rPr>
        <w:t>的</w:t>
      </w:r>
      <w:r>
        <w:rPr>
          <w:rFonts w:hint="eastAsia" w:ascii="宋体" w:hAnsi="宋体"/>
          <w:color w:val="auto"/>
          <w:sz w:val="24"/>
          <w:u w:val="single"/>
        </w:rPr>
        <w:t>（制造厂家名称）</w:t>
      </w:r>
      <w:r>
        <w:rPr>
          <w:rFonts w:hint="eastAsia" w:ascii="宋体" w:hAnsi="宋体"/>
          <w:color w:val="auto"/>
          <w:sz w:val="24"/>
        </w:rPr>
        <w:t>是有声望的制造（货物名称和描述）的制造者，在此</w:t>
      </w:r>
      <w:r>
        <w:rPr>
          <w:rFonts w:hint="eastAsia" w:ascii="宋体" w:hAnsi="宋体"/>
          <w:color w:val="auto"/>
          <w:sz w:val="24"/>
          <w:u w:val="single"/>
        </w:rPr>
        <w:t>（投标公司名称及地址）</w:t>
      </w:r>
      <w:r>
        <w:rPr>
          <w:rFonts w:hint="eastAsia" w:ascii="宋体" w:hAnsi="宋体"/>
          <w:color w:val="auto"/>
          <w:sz w:val="24"/>
        </w:rPr>
        <w:t>用我厂制造的货物递交投标文件，并与买方进行后续合同谈判和签订合同。</w:t>
      </w:r>
    </w:p>
    <w:p>
      <w:pPr>
        <w:spacing w:line="560" w:lineRule="exact"/>
        <w:rPr>
          <w:rFonts w:ascii="宋体" w:hAnsi="宋体"/>
          <w:color w:val="auto"/>
          <w:sz w:val="24"/>
        </w:rPr>
      </w:pPr>
      <w:r>
        <w:rPr>
          <w:rFonts w:hint="eastAsia" w:ascii="宋体" w:hAnsi="宋体"/>
          <w:color w:val="auto"/>
          <w:sz w:val="24"/>
        </w:rPr>
        <w:t xml:space="preserve">    我方在此保证为上述公司响应本次招标</w:t>
      </w:r>
      <w:r>
        <w:rPr>
          <w:rFonts w:hint="eastAsia" w:ascii="宋体" w:hAnsi="宋体"/>
          <w:color w:val="auto"/>
          <w:sz w:val="24"/>
          <w:u w:val="single"/>
          <w:lang w:val="en-US" w:eastAsia="zh-CN"/>
        </w:rPr>
        <w:t xml:space="preserve">      </w:t>
      </w:r>
      <w:r>
        <w:rPr>
          <w:rFonts w:hint="eastAsia" w:ascii="宋体" w:hAnsi="宋体"/>
          <w:color w:val="auto"/>
          <w:sz w:val="24"/>
        </w:rPr>
        <w:t>项目提供的货物提供质量保证。</w:t>
      </w:r>
    </w:p>
    <w:p>
      <w:pPr>
        <w:spacing w:line="560" w:lineRule="exact"/>
        <w:rPr>
          <w:rFonts w:ascii="宋体" w:hAnsi="宋体"/>
          <w:color w:val="auto"/>
          <w:sz w:val="24"/>
        </w:rPr>
      </w:pPr>
      <w:r>
        <w:rPr>
          <w:rFonts w:hint="eastAsia" w:ascii="宋体" w:hAnsi="宋体"/>
          <w:color w:val="auto"/>
          <w:sz w:val="24"/>
        </w:rPr>
        <w:t xml:space="preserve">    </w:t>
      </w:r>
      <w:r>
        <w:rPr>
          <w:rFonts w:ascii="Arial" w:hAnsi="Arial" w:cs="Arial"/>
          <w:color w:val="auto"/>
          <w:sz w:val="22"/>
          <w:szCs w:val="22"/>
        </w:rPr>
        <w:t>本授权书于</w:t>
      </w:r>
      <w:r>
        <w:rPr>
          <w:rFonts w:ascii="Arial" w:hAnsi="Arial" w:cs="Arial"/>
          <w:color w:val="auto"/>
          <w:sz w:val="22"/>
          <w:szCs w:val="22"/>
          <w:u w:val="single"/>
        </w:rPr>
        <w:t>20</w:t>
      </w:r>
      <w:r>
        <w:rPr>
          <w:rFonts w:hint="eastAsia" w:ascii="Arial" w:hAnsi="Arial" w:cs="Arial"/>
          <w:color w:val="auto"/>
          <w:sz w:val="22"/>
          <w:szCs w:val="22"/>
          <w:u w:val="single"/>
        </w:rPr>
        <w:t>2</w:t>
      </w:r>
      <w:r>
        <w:rPr>
          <w:rFonts w:hint="eastAsia" w:ascii="Arial" w:hAnsi="Arial" w:cs="Arial"/>
          <w:color w:val="auto"/>
          <w:sz w:val="22"/>
          <w:szCs w:val="22"/>
          <w:u w:val="single"/>
          <w:lang w:val="en-US" w:eastAsia="zh-CN"/>
        </w:rPr>
        <w:t>1</w:t>
      </w:r>
      <w:r>
        <w:rPr>
          <w:rFonts w:ascii="Arial" w:hAnsi="Arial" w:cs="Arial"/>
          <w:color w:val="auto"/>
          <w:sz w:val="22"/>
          <w:szCs w:val="22"/>
        </w:rPr>
        <w:t>年</w:t>
      </w:r>
      <w:r>
        <w:rPr>
          <w:rFonts w:hint="eastAsia" w:ascii="Arial" w:hAnsi="Arial" w:cs="Arial"/>
          <w:color w:val="auto"/>
          <w:sz w:val="22"/>
          <w:szCs w:val="22"/>
          <w:u w:val="single"/>
        </w:rPr>
        <w:t xml:space="preserve">  </w:t>
      </w:r>
      <w:r>
        <w:rPr>
          <w:rFonts w:ascii="Arial" w:hAnsi="Arial" w:cs="Arial"/>
          <w:color w:val="auto"/>
          <w:sz w:val="22"/>
          <w:szCs w:val="22"/>
        </w:rPr>
        <w:t>月</w:t>
      </w:r>
      <w:r>
        <w:rPr>
          <w:rFonts w:hint="eastAsia" w:ascii="Arial" w:hAnsi="Arial" w:cs="Arial"/>
          <w:color w:val="auto"/>
          <w:sz w:val="22"/>
          <w:szCs w:val="22"/>
          <w:u w:val="single"/>
        </w:rPr>
        <w:t xml:space="preserve">  </w:t>
      </w:r>
      <w:r>
        <w:rPr>
          <w:rFonts w:ascii="Arial" w:hAnsi="Arial" w:cs="Arial"/>
          <w:color w:val="auto"/>
          <w:sz w:val="22"/>
          <w:szCs w:val="22"/>
        </w:rPr>
        <w:t>日签字生效，特此声明。</w:t>
      </w:r>
    </w:p>
    <w:p>
      <w:pPr>
        <w:spacing w:line="560" w:lineRule="exact"/>
        <w:rPr>
          <w:rFonts w:ascii="宋体" w:hAnsi="宋体"/>
          <w:color w:val="auto"/>
          <w:sz w:val="24"/>
        </w:rPr>
      </w:pPr>
    </w:p>
    <w:p>
      <w:pPr>
        <w:spacing w:line="560" w:lineRule="exact"/>
        <w:rPr>
          <w:rFonts w:ascii="宋体" w:hAnsi="宋体"/>
          <w:color w:val="auto"/>
          <w:sz w:val="24"/>
        </w:rPr>
      </w:pPr>
    </w:p>
    <w:p>
      <w:pPr>
        <w:spacing w:line="560" w:lineRule="exact"/>
        <w:rPr>
          <w:rFonts w:ascii="宋体" w:hAnsi="宋体"/>
          <w:color w:val="auto"/>
          <w:sz w:val="24"/>
        </w:rPr>
      </w:pPr>
      <w:r>
        <w:rPr>
          <w:rFonts w:hint="eastAsia" w:ascii="宋体" w:hAnsi="宋体"/>
          <w:color w:val="auto"/>
          <w:sz w:val="24"/>
        </w:rPr>
        <w:t xml:space="preserve">                                         制造厂家：</w:t>
      </w:r>
    </w:p>
    <w:p>
      <w:pPr>
        <w:spacing w:line="560" w:lineRule="exact"/>
        <w:rPr>
          <w:rFonts w:ascii="宋体" w:hAnsi="宋体"/>
          <w:color w:val="auto"/>
          <w:sz w:val="24"/>
        </w:rPr>
      </w:pPr>
      <w:r>
        <w:rPr>
          <w:rFonts w:hint="eastAsia" w:ascii="宋体" w:hAnsi="宋体"/>
          <w:color w:val="auto"/>
          <w:sz w:val="24"/>
        </w:rPr>
        <w:t xml:space="preserve">                                     授权代表签字：</w:t>
      </w:r>
    </w:p>
    <w:p>
      <w:pPr>
        <w:spacing w:line="560" w:lineRule="exact"/>
        <w:rPr>
          <w:rFonts w:ascii="宋体" w:hAnsi="宋体"/>
          <w:color w:val="auto"/>
          <w:sz w:val="24"/>
        </w:rPr>
      </w:pPr>
      <w:r>
        <w:rPr>
          <w:rFonts w:hint="eastAsia" w:ascii="宋体" w:hAnsi="宋体"/>
          <w:color w:val="auto"/>
          <w:sz w:val="24"/>
        </w:rPr>
        <w:t xml:space="preserve">                                             职务：</w:t>
      </w:r>
    </w:p>
    <w:p>
      <w:pPr>
        <w:spacing w:line="560" w:lineRule="exact"/>
        <w:jc w:val="center"/>
        <w:rPr>
          <w:rFonts w:ascii="宋体" w:hAnsi="宋体"/>
          <w:color w:val="auto"/>
          <w:sz w:val="24"/>
        </w:rPr>
      </w:pPr>
      <w:r>
        <w:rPr>
          <w:rFonts w:hint="eastAsia" w:ascii="宋体" w:hAnsi="宋体"/>
          <w:color w:val="auto"/>
          <w:sz w:val="24"/>
        </w:rPr>
        <w:t xml:space="preserve">                日期：</w:t>
      </w:r>
    </w:p>
    <w:p>
      <w:pPr>
        <w:rPr>
          <w:color w:val="auto"/>
        </w:rPr>
      </w:pPr>
    </w:p>
    <w:p>
      <w:pPr>
        <w:spacing w:line="460" w:lineRule="exact"/>
        <w:ind w:right="964"/>
        <w:jc w:val="center"/>
        <w:rPr>
          <w:rFonts w:ascii="宋体" w:hAnsi="宋体"/>
          <w:b/>
          <w:bCs/>
          <w:color w:val="auto"/>
          <w:sz w:val="24"/>
        </w:rPr>
      </w:pPr>
    </w:p>
    <w:p>
      <w:pPr>
        <w:spacing w:line="560" w:lineRule="exact"/>
        <w:rPr>
          <w:rFonts w:ascii="黑体" w:eastAsia="黑体"/>
          <w:color w:val="auto"/>
          <w:sz w:val="36"/>
        </w:rPr>
      </w:pPr>
      <w:r>
        <w:rPr>
          <w:rFonts w:hint="eastAsia" w:ascii="黑体" w:eastAsia="黑体"/>
          <w:color w:val="auto"/>
          <w:sz w:val="36"/>
        </w:rPr>
        <w:br w:type="page"/>
      </w:r>
      <w:r>
        <w:rPr>
          <w:rFonts w:hint="eastAsia" w:ascii="黑体" w:eastAsia="黑体"/>
          <w:color w:val="auto"/>
          <w:sz w:val="36"/>
        </w:rPr>
        <w:t xml:space="preserve">             5.投标货物规格响应表格式</w:t>
      </w:r>
    </w:p>
    <w:p>
      <w:pPr>
        <w:spacing w:line="560" w:lineRule="exact"/>
        <w:jc w:val="center"/>
        <w:rPr>
          <w:rFonts w:ascii="宋体" w:hAnsi="宋体"/>
          <w:color w:val="auto"/>
          <w:sz w:val="24"/>
        </w:rPr>
      </w:pPr>
      <w:r>
        <w:rPr>
          <w:rFonts w:hint="eastAsia" w:ascii="宋体" w:hAnsi="宋体"/>
          <w:color w:val="auto"/>
          <w:sz w:val="24"/>
        </w:rPr>
        <w:t>投标货物技术规格响应表</w:t>
      </w:r>
    </w:p>
    <w:p>
      <w:pPr>
        <w:spacing w:line="560" w:lineRule="exact"/>
        <w:rPr>
          <w:rFonts w:ascii="宋体" w:hAnsi="宋体"/>
          <w:color w:val="auto"/>
          <w:sz w:val="24"/>
          <w:u w:val="single"/>
        </w:rPr>
      </w:pPr>
      <w:r>
        <w:rPr>
          <w:rFonts w:hint="eastAsia" w:ascii="宋体" w:hAnsi="宋体"/>
          <w:color w:val="auto"/>
          <w:sz w:val="24"/>
        </w:rPr>
        <w:t>投标人名称：</w:t>
      </w:r>
      <w:r>
        <w:rPr>
          <w:rFonts w:hint="eastAsia" w:ascii="宋体" w:hAnsi="宋体"/>
          <w:color w:val="auto"/>
          <w:sz w:val="24"/>
          <w:u w:val="single"/>
        </w:rPr>
        <w:t xml:space="preserve">              </w:t>
      </w:r>
      <w:r>
        <w:rPr>
          <w:rFonts w:hint="eastAsia" w:ascii="宋体" w:hAnsi="宋体"/>
          <w:color w:val="auto"/>
          <w:sz w:val="24"/>
        </w:rPr>
        <w:t xml:space="preserve">   招标编号：</w:t>
      </w:r>
      <w:r>
        <w:rPr>
          <w:rFonts w:hint="eastAsia" w:ascii="宋体" w:hAnsi="宋体"/>
          <w:color w:val="auto"/>
          <w:sz w:val="24"/>
          <w:u w:val="single"/>
        </w:rPr>
        <w:t xml:space="preserve">              </w:t>
      </w:r>
      <w:r>
        <w:rPr>
          <w:rFonts w:hint="eastAsia" w:ascii="宋体" w:hAnsi="宋体"/>
          <w:color w:val="auto"/>
          <w:sz w:val="24"/>
        </w:rPr>
        <w:t xml:space="preserve"> 标段号：</w:t>
      </w:r>
      <w:r>
        <w:rPr>
          <w:rFonts w:hint="eastAsia" w:ascii="宋体" w:hAnsi="宋体"/>
          <w:color w:val="auto"/>
          <w:sz w:val="24"/>
          <w:u w:val="single"/>
        </w:rPr>
        <w:t xml:space="preserve">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890"/>
        <w:gridCol w:w="1890"/>
        <w:gridCol w:w="1605"/>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宋体" w:hAnsi="宋体"/>
                <w:color w:val="auto"/>
                <w:sz w:val="24"/>
              </w:rPr>
            </w:pPr>
            <w:r>
              <w:rPr>
                <w:rFonts w:hint="eastAsia" w:ascii="宋体" w:hAnsi="宋体"/>
                <w:color w:val="auto"/>
                <w:sz w:val="24"/>
              </w:rPr>
              <w:t>序号</w:t>
            </w:r>
          </w:p>
        </w:tc>
        <w:tc>
          <w:tcPr>
            <w:tcW w:w="189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宋体" w:hAnsi="宋体"/>
                <w:color w:val="auto"/>
                <w:sz w:val="24"/>
              </w:rPr>
            </w:pPr>
            <w:r>
              <w:rPr>
                <w:rFonts w:hint="eastAsia" w:ascii="宋体" w:hAnsi="宋体"/>
                <w:color w:val="auto"/>
                <w:sz w:val="24"/>
              </w:rPr>
              <w:t>标书规格</w:t>
            </w:r>
          </w:p>
        </w:tc>
        <w:tc>
          <w:tcPr>
            <w:tcW w:w="189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宋体" w:hAnsi="宋体"/>
                <w:color w:val="auto"/>
                <w:sz w:val="24"/>
              </w:rPr>
            </w:pPr>
            <w:r>
              <w:rPr>
                <w:rFonts w:hint="eastAsia" w:ascii="宋体" w:hAnsi="宋体"/>
                <w:color w:val="auto"/>
                <w:sz w:val="24"/>
              </w:rPr>
              <w:t>投标规格</w:t>
            </w:r>
          </w:p>
        </w:tc>
        <w:tc>
          <w:tcPr>
            <w:tcW w:w="1605" w:type="dxa"/>
            <w:tcBorders>
              <w:top w:val="single" w:color="auto" w:sz="4" w:space="0"/>
              <w:left w:val="single" w:color="auto" w:sz="4" w:space="0"/>
              <w:bottom w:val="single" w:color="auto" w:sz="4" w:space="0"/>
              <w:right w:val="single" w:color="auto" w:sz="4" w:space="0"/>
            </w:tcBorders>
          </w:tcPr>
          <w:p>
            <w:pPr>
              <w:spacing w:line="560" w:lineRule="exact"/>
              <w:jc w:val="center"/>
              <w:rPr>
                <w:rFonts w:ascii="宋体" w:hAnsi="宋体"/>
                <w:color w:val="auto"/>
                <w:sz w:val="24"/>
              </w:rPr>
            </w:pPr>
            <w:r>
              <w:rPr>
                <w:rFonts w:hint="eastAsia" w:ascii="宋体" w:hAnsi="宋体"/>
                <w:color w:val="auto"/>
                <w:sz w:val="24"/>
              </w:rPr>
              <w:t>偏离与否</w:t>
            </w:r>
          </w:p>
        </w:tc>
        <w:tc>
          <w:tcPr>
            <w:tcW w:w="230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宋体" w:hAnsi="宋体"/>
                <w:color w:val="auto"/>
                <w:sz w:val="24"/>
              </w:rPr>
            </w:pPr>
            <w:r>
              <w:rPr>
                <w:rFonts w:hint="eastAsia" w:ascii="宋体" w:hAnsi="宋体"/>
                <w:color w:val="auto"/>
                <w:sz w:val="24"/>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24"/>
              </w:rPr>
            </w:pPr>
          </w:p>
        </w:tc>
        <w:tc>
          <w:tcPr>
            <w:tcW w:w="189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24"/>
              </w:rPr>
            </w:pPr>
          </w:p>
        </w:tc>
        <w:tc>
          <w:tcPr>
            <w:tcW w:w="189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24"/>
              </w:rPr>
            </w:pPr>
          </w:p>
        </w:tc>
        <w:tc>
          <w:tcPr>
            <w:tcW w:w="16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24"/>
              </w:rPr>
            </w:pPr>
          </w:p>
          <w:p>
            <w:pPr>
              <w:spacing w:line="560" w:lineRule="exact"/>
              <w:rPr>
                <w:rFonts w:ascii="宋体" w:hAnsi="宋体"/>
                <w:color w:val="auto"/>
                <w:sz w:val="24"/>
              </w:rPr>
            </w:pPr>
          </w:p>
          <w:p>
            <w:pPr>
              <w:spacing w:line="560" w:lineRule="exact"/>
              <w:rPr>
                <w:rFonts w:ascii="宋体" w:hAnsi="宋体"/>
                <w:color w:val="auto"/>
                <w:sz w:val="24"/>
              </w:rPr>
            </w:pPr>
          </w:p>
          <w:p>
            <w:pPr>
              <w:spacing w:line="560" w:lineRule="exact"/>
              <w:rPr>
                <w:rFonts w:ascii="宋体" w:hAnsi="宋体"/>
                <w:color w:val="auto"/>
                <w:sz w:val="24"/>
              </w:rPr>
            </w:pPr>
          </w:p>
          <w:p>
            <w:pPr>
              <w:spacing w:line="560" w:lineRule="exact"/>
              <w:rPr>
                <w:rFonts w:ascii="宋体" w:hAnsi="宋体"/>
                <w:color w:val="auto"/>
                <w:sz w:val="24"/>
              </w:rPr>
            </w:pPr>
          </w:p>
          <w:p>
            <w:pPr>
              <w:spacing w:line="560" w:lineRule="exact"/>
              <w:rPr>
                <w:rFonts w:ascii="宋体" w:hAnsi="宋体"/>
                <w:color w:val="auto"/>
                <w:sz w:val="24"/>
              </w:rPr>
            </w:pPr>
          </w:p>
          <w:p>
            <w:pPr>
              <w:spacing w:line="560" w:lineRule="exact"/>
              <w:rPr>
                <w:rFonts w:ascii="宋体" w:hAnsi="宋体"/>
                <w:color w:val="auto"/>
                <w:sz w:val="24"/>
              </w:rPr>
            </w:pPr>
          </w:p>
          <w:p>
            <w:pPr>
              <w:spacing w:line="560" w:lineRule="exact"/>
              <w:rPr>
                <w:rFonts w:ascii="宋体" w:hAnsi="宋体"/>
                <w:color w:val="auto"/>
                <w:sz w:val="24"/>
              </w:rPr>
            </w:pPr>
          </w:p>
          <w:p>
            <w:pPr>
              <w:spacing w:line="560" w:lineRule="exact"/>
              <w:rPr>
                <w:rFonts w:ascii="宋体" w:hAnsi="宋体"/>
                <w:color w:val="auto"/>
                <w:sz w:val="24"/>
              </w:rPr>
            </w:pPr>
          </w:p>
          <w:p>
            <w:pPr>
              <w:spacing w:line="560" w:lineRule="exact"/>
              <w:rPr>
                <w:rFonts w:ascii="宋体" w:hAnsi="宋体"/>
                <w:color w:val="auto"/>
                <w:sz w:val="24"/>
              </w:rPr>
            </w:pPr>
          </w:p>
          <w:p>
            <w:pPr>
              <w:spacing w:line="560" w:lineRule="exact"/>
              <w:rPr>
                <w:rFonts w:ascii="宋体" w:hAnsi="宋体"/>
                <w:color w:val="auto"/>
                <w:sz w:val="24"/>
              </w:rPr>
            </w:pPr>
          </w:p>
          <w:p>
            <w:pPr>
              <w:spacing w:line="560" w:lineRule="exact"/>
              <w:rPr>
                <w:rFonts w:ascii="宋体" w:hAnsi="宋体"/>
                <w:color w:val="auto"/>
                <w:sz w:val="24"/>
              </w:rPr>
            </w:pPr>
          </w:p>
          <w:p>
            <w:pPr>
              <w:spacing w:line="560" w:lineRule="exact"/>
              <w:rPr>
                <w:rFonts w:ascii="宋体" w:hAnsi="宋体"/>
                <w:color w:val="auto"/>
                <w:sz w:val="24"/>
              </w:rPr>
            </w:pPr>
          </w:p>
          <w:p>
            <w:pPr>
              <w:spacing w:line="560" w:lineRule="exact"/>
              <w:rPr>
                <w:rFonts w:ascii="宋体" w:hAnsi="宋体"/>
                <w:color w:val="auto"/>
                <w:sz w:val="24"/>
              </w:rPr>
            </w:pPr>
          </w:p>
          <w:p>
            <w:pPr>
              <w:spacing w:line="560" w:lineRule="exact"/>
              <w:rPr>
                <w:rFonts w:ascii="宋体" w:hAnsi="宋体"/>
                <w:color w:val="auto"/>
                <w:sz w:val="24"/>
              </w:rPr>
            </w:pPr>
          </w:p>
          <w:p>
            <w:pPr>
              <w:spacing w:line="560" w:lineRule="exact"/>
              <w:rPr>
                <w:rFonts w:ascii="宋体" w:hAnsi="宋体"/>
                <w:color w:val="auto"/>
                <w:sz w:val="24"/>
              </w:rPr>
            </w:pPr>
          </w:p>
          <w:p>
            <w:pPr>
              <w:spacing w:line="560" w:lineRule="exact"/>
              <w:rPr>
                <w:rFonts w:ascii="宋体" w:hAnsi="宋体"/>
                <w:color w:val="auto"/>
                <w:sz w:val="24"/>
              </w:rPr>
            </w:pPr>
          </w:p>
        </w:tc>
        <w:tc>
          <w:tcPr>
            <w:tcW w:w="2300"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olor w:val="auto"/>
                <w:sz w:val="24"/>
              </w:rPr>
            </w:pPr>
          </w:p>
          <w:p>
            <w:pPr>
              <w:widowControl/>
              <w:jc w:val="left"/>
              <w:rPr>
                <w:rFonts w:ascii="宋体" w:hAnsi="宋体"/>
                <w:color w:val="auto"/>
                <w:sz w:val="24"/>
              </w:rPr>
            </w:pPr>
          </w:p>
          <w:p>
            <w:pPr>
              <w:widowControl/>
              <w:jc w:val="left"/>
              <w:rPr>
                <w:rFonts w:ascii="宋体" w:hAnsi="宋体"/>
                <w:color w:val="auto"/>
                <w:sz w:val="24"/>
              </w:rPr>
            </w:pPr>
          </w:p>
          <w:p>
            <w:pPr>
              <w:widowControl/>
              <w:jc w:val="left"/>
              <w:rPr>
                <w:rFonts w:ascii="宋体" w:hAnsi="宋体"/>
                <w:color w:val="auto"/>
                <w:sz w:val="24"/>
              </w:rPr>
            </w:pPr>
          </w:p>
          <w:p>
            <w:pPr>
              <w:widowControl/>
              <w:jc w:val="left"/>
              <w:rPr>
                <w:rFonts w:ascii="宋体" w:hAnsi="宋体"/>
                <w:color w:val="auto"/>
                <w:sz w:val="24"/>
              </w:rPr>
            </w:pPr>
          </w:p>
          <w:p>
            <w:pPr>
              <w:widowControl/>
              <w:jc w:val="left"/>
              <w:rPr>
                <w:rFonts w:ascii="宋体" w:hAnsi="宋体"/>
                <w:color w:val="auto"/>
                <w:sz w:val="24"/>
              </w:rPr>
            </w:pPr>
          </w:p>
          <w:p>
            <w:pPr>
              <w:widowControl/>
              <w:jc w:val="left"/>
              <w:rPr>
                <w:rFonts w:ascii="宋体" w:hAnsi="宋体"/>
                <w:color w:val="auto"/>
                <w:sz w:val="24"/>
              </w:rPr>
            </w:pPr>
          </w:p>
          <w:p>
            <w:pPr>
              <w:widowControl/>
              <w:jc w:val="left"/>
              <w:rPr>
                <w:rFonts w:ascii="宋体" w:hAnsi="宋体"/>
                <w:color w:val="auto"/>
                <w:sz w:val="24"/>
              </w:rPr>
            </w:pPr>
          </w:p>
          <w:p>
            <w:pPr>
              <w:widowControl/>
              <w:jc w:val="left"/>
              <w:rPr>
                <w:rFonts w:ascii="宋体" w:hAnsi="宋体"/>
                <w:color w:val="auto"/>
                <w:sz w:val="24"/>
              </w:rPr>
            </w:pPr>
          </w:p>
          <w:p>
            <w:pPr>
              <w:widowControl/>
              <w:jc w:val="left"/>
              <w:rPr>
                <w:rFonts w:ascii="宋体" w:hAnsi="宋体"/>
                <w:color w:val="auto"/>
                <w:sz w:val="24"/>
              </w:rPr>
            </w:pPr>
          </w:p>
          <w:p>
            <w:pPr>
              <w:widowControl/>
              <w:jc w:val="left"/>
              <w:rPr>
                <w:rFonts w:ascii="宋体" w:hAnsi="宋体"/>
                <w:color w:val="auto"/>
                <w:sz w:val="24"/>
              </w:rPr>
            </w:pPr>
          </w:p>
          <w:p>
            <w:pPr>
              <w:widowControl/>
              <w:jc w:val="left"/>
              <w:rPr>
                <w:rFonts w:ascii="宋体" w:hAnsi="宋体"/>
                <w:color w:val="auto"/>
                <w:sz w:val="24"/>
              </w:rPr>
            </w:pPr>
          </w:p>
          <w:p>
            <w:pPr>
              <w:widowControl/>
              <w:jc w:val="left"/>
              <w:rPr>
                <w:rFonts w:ascii="宋体" w:hAnsi="宋体"/>
                <w:color w:val="auto"/>
                <w:sz w:val="24"/>
              </w:rPr>
            </w:pPr>
          </w:p>
          <w:p>
            <w:pPr>
              <w:widowControl/>
              <w:jc w:val="left"/>
              <w:rPr>
                <w:rFonts w:ascii="宋体" w:hAnsi="宋体"/>
                <w:color w:val="auto"/>
                <w:sz w:val="24"/>
              </w:rPr>
            </w:pPr>
          </w:p>
          <w:p>
            <w:pPr>
              <w:widowControl/>
              <w:jc w:val="left"/>
              <w:rPr>
                <w:rFonts w:ascii="宋体" w:hAnsi="宋体"/>
                <w:color w:val="auto"/>
                <w:sz w:val="24"/>
              </w:rPr>
            </w:pPr>
          </w:p>
          <w:p>
            <w:pPr>
              <w:widowControl/>
              <w:jc w:val="left"/>
              <w:rPr>
                <w:rFonts w:ascii="宋体" w:hAnsi="宋体"/>
                <w:color w:val="auto"/>
                <w:sz w:val="24"/>
              </w:rPr>
            </w:pPr>
          </w:p>
          <w:p>
            <w:pPr>
              <w:widowControl/>
              <w:jc w:val="left"/>
              <w:rPr>
                <w:rFonts w:ascii="宋体" w:hAnsi="宋体"/>
                <w:color w:val="auto"/>
                <w:sz w:val="24"/>
              </w:rPr>
            </w:pPr>
          </w:p>
          <w:p>
            <w:pPr>
              <w:widowControl/>
              <w:jc w:val="left"/>
              <w:rPr>
                <w:rFonts w:ascii="宋体" w:hAnsi="宋体"/>
                <w:color w:val="auto"/>
                <w:sz w:val="24"/>
              </w:rPr>
            </w:pPr>
          </w:p>
          <w:p>
            <w:pPr>
              <w:widowControl/>
              <w:jc w:val="left"/>
              <w:rPr>
                <w:rFonts w:ascii="宋体" w:hAnsi="宋体"/>
                <w:color w:val="auto"/>
                <w:sz w:val="24"/>
              </w:rPr>
            </w:pPr>
          </w:p>
          <w:p>
            <w:pPr>
              <w:spacing w:line="560" w:lineRule="exact"/>
              <w:rPr>
                <w:rFonts w:ascii="宋体" w:hAnsi="宋体"/>
                <w:color w:val="auto"/>
                <w:sz w:val="24"/>
              </w:rPr>
            </w:pPr>
          </w:p>
        </w:tc>
      </w:tr>
    </w:tbl>
    <w:p>
      <w:pPr>
        <w:spacing w:line="560" w:lineRule="exact"/>
        <w:jc w:val="center"/>
        <w:rPr>
          <w:rFonts w:ascii="宋体" w:hAnsi="宋体"/>
          <w:color w:val="auto"/>
          <w:sz w:val="36"/>
        </w:rPr>
      </w:pPr>
    </w:p>
    <w:p>
      <w:pPr>
        <w:spacing w:line="560" w:lineRule="exact"/>
        <w:rPr>
          <w:rFonts w:ascii="楷体_GB2312" w:eastAsia="楷体_GB2312"/>
          <w:color w:val="auto"/>
          <w:sz w:val="24"/>
          <w:u w:val="single"/>
        </w:rPr>
      </w:pPr>
      <w:r>
        <w:rPr>
          <w:rFonts w:hint="eastAsia" w:ascii="宋体" w:hAnsi="宋体"/>
          <w:color w:val="auto"/>
          <w:sz w:val="24"/>
        </w:rPr>
        <w:t>投标人代表签字：</w:t>
      </w:r>
      <w:r>
        <w:rPr>
          <w:rFonts w:hint="eastAsia" w:ascii="宋体" w:hAnsi="宋体"/>
          <w:color w:val="auto"/>
          <w:sz w:val="24"/>
          <w:u w:val="single"/>
        </w:rPr>
        <w:t xml:space="preserve">                               </w:t>
      </w:r>
    </w:p>
    <w:p>
      <w:pPr>
        <w:spacing w:line="560" w:lineRule="exact"/>
        <w:rPr>
          <w:rFonts w:ascii="黑体" w:eastAsia="黑体"/>
          <w:color w:val="auto"/>
          <w:sz w:val="36"/>
        </w:rPr>
      </w:pPr>
    </w:p>
    <w:p>
      <w:pPr>
        <w:spacing w:line="560" w:lineRule="exact"/>
        <w:rPr>
          <w:rFonts w:ascii="黑体" w:eastAsia="黑体"/>
          <w:color w:val="auto"/>
          <w:sz w:val="36"/>
        </w:rPr>
      </w:pPr>
    </w:p>
    <w:p>
      <w:pPr>
        <w:numPr>
          <w:ilvl w:val="0"/>
          <w:numId w:val="37"/>
        </w:numPr>
        <w:spacing w:line="560" w:lineRule="exact"/>
        <w:ind w:firstLine="3060" w:firstLineChars="850"/>
        <w:rPr>
          <w:rFonts w:ascii="黑体" w:eastAsia="黑体"/>
          <w:color w:val="auto"/>
          <w:sz w:val="36"/>
        </w:rPr>
      </w:pPr>
      <w:r>
        <w:rPr>
          <w:rFonts w:hint="eastAsia" w:ascii="黑体" w:eastAsia="黑体"/>
          <w:color w:val="auto"/>
          <w:sz w:val="36"/>
        </w:rPr>
        <w:t>商务条款偏离表</w:t>
      </w:r>
    </w:p>
    <w:p>
      <w:pPr>
        <w:spacing w:line="560" w:lineRule="exact"/>
        <w:rPr>
          <w:rFonts w:ascii="宋体" w:hAnsi="宋体"/>
          <w:color w:val="auto"/>
          <w:sz w:val="24"/>
          <w:u w:val="single"/>
        </w:rPr>
      </w:pPr>
      <w:r>
        <w:rPr>
          <w:rFonts w:hint="eastAsia" w:ascii="宋体" w:hAnsi="宋体"/>
          <w:color w:val="auto"/>
          <w:sz w:val="24"/>
        </w:rPr>
        <w:t>投标人名称：</w:t>
      </w:r>
      <w:r>
        <w:rPr>
          <w:rFonts w:hint="eastAsia" w:ascii="宋体" w:hAnsi="宋体"/>
          <w:color w:val="auto"/>
          <w:sz w:val="24"/>
          <w:u w:val="single"/>
        </w:rPr>
        <w:t xml:space="preserve">            </w:t>
      </w:r>
      <w:r>
        <w:rPr>
          <w:rFonts w:hint="eastAsia" w:ascii="宋体" w:hAnsi="宋体"/>
          <w:color w:val="auto"/>
          <w:sz w:val="24"/>
        </w:rPr>
        <w:t xml:space="preserve">   招标编号：</w:t>
      </w:r>
      <w:r>
        <w:rPr>
          <w:rFonts w:hint="eastAsia" w:ascii="宋体" w:hAnsi="宋体"/>
          <w:color w:val="auto"/>
          <w:sz w:val="24"/>
          <w:u w:val="single"/>
        </w:rPr>
        <w:t xml:space="preserve">           </w:t>
      </w:r>
      <w:r>
        <w:rPr>
          <w:rFonts w:hint="eastAsia" w:ascii="宋体" w:hAnsi="宋体"/>
          <w:color w:val="auto"/>
          <w:sz w:val="24"/>
        </w:rPr>
        <w:t xml:space="preserve">   标度号：</w:t>
      </w:r>
      <w:r>
        <w:rPr>
          <w:rFonts w:hint="eastAsia" w:ascii="宋体" w:hAnsi="宋体"/>
          <w:color w:val="auto"/>
          <w:sz w:val="24"/>
          <w:u w:val="single"/>
        </w:rPr>
        <w:t xml:space="preserve">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1705"/>
        <w:gridCol w:w="1705"/>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spacing w:line="560" w:lineRule="exact"/>
              <w:jc w:val="center"/>
              <w:rPr>
                <w:rFonts w:ascii="宋体" w:hAnsi="宋体"/>
                <w:color w:val="auto"/>
                <w:sz w:val="24"/>
              </w:rPr>
            </w:pPr>
            <w:r>
              <w:rPr>
                <w:rFonts w:hint="eastAsia" w:ascii="宋体" w:hAnsi="宋体"/>
                <w:color w:val="auto"/>
                <w:sz w:val="24"/>
              </w:rPr>
              <w:t>序  号</w:t>
            </w:r>
          </w:p>
        </w:tc>
        <w:tc>
          <w:tcPr>
            <w:tcW w:w="1705" w:type="dxa"/>
            <w:tcBorders>
              <w:top w:val="single" w:color="auto" w:sz="4" w:space="0"/>
              <w:left w:val="single" w:color="auto" w:sz="4" w:space="0"/>
              <w:bottom w:val="single" w:color="auto" w:sz="4" w:space="0"/>
              <w:right w:val="single" w:color="auto" w:sz="4" w:space="0"/>
            </w:tcBorders>
          </w:tcPr>
          <w:p>
            <w:pPr>
              <w:spacing w:line="560" w:lineRule="exact"/>
              <w:jc w:val="center"/>
              <w:rPr>
                <w:rFonts w:ascii="宋体" w:hAnsi="宋体"/>
                <w:color w:val="auto"/>
                <w:sz w:val="24"/>
              </w:rPr>
            </w:pPr>
            <w:r>
              <w:rPr>
                <w:rFonts w:hint="eastAsia" w:ascii="宋体" w:hAnsi="宋体"/>
                <w:color w:val="auto"/>
                <w:sz w:val="24"/>
              </w:rPr>
              <w:t>标书要求的商务条款</w:t>
            </w:r>
          </w:p>
        </w:tc>
        <w:tc>
          <w:tcPr>
            <w:tcW w:w="1705" w:type="dxa"/>
            <w:tcBorders>
              <w:top w:val="single" w:color="auto" w:sz="4" w:space="0"/>
              <w:left w:val="single" w:color="auto" w:sz="4" w:space="0"/>
              <w:bottom w:val="single" w:color="auto" w:sz="4" w:space="0"/>
              <w:right w:val="single" w:color="auto" w:sz="4" w:space="0"/>
            </w:tcBorders>
          </w:tcPr>
          <w:p>
            <w:pPr>
              <w:spacing w:line="560" w:lineRule="exact"/>
              <w:jc w:val="center"/>
              <w:rPr>
                <w:rFonts w:ascii="宋体" w:hAnsi="宋体"/>
                <w:color w:val="auto"/>
                <w:sz w:val="24"/>
              </w:rPr>
            </w:pPr>
            <w:r>
              <w:rPr>
                <w:rFonts w:hint="eastAsia" w:ascii="宋体" w:hAnsi="宋体"/>
                <w:color w:val="auto"/>
                <w:sz w:val="24"/>
              </w:rPr>
              <w:t>投标文件的商务条款</w:t>
            </w:r>
          </w:p>
        </w:tc>
        <w:tc>
          <w:tcPr>
            <w:tcW w:w="1705" w:type="dxa"/>
            <w:tcBorders>
              <w:top w:val="single" w:color="auto" w:sz="4" w:space="0"/>
              <w:left w:val="single" w:color="auto" w:sz="4" w:space="0"/>
              <w:bottom w:val="single" w:color="auto" w:sz="4" w:space="0"/>
              <w:right w:val="single" w:color="auto" w:sz="4" w:space="0"/>
            </w:tcBorders>
          </w:tcPr>
          <w:p>
            <w:pPr>
              <w:spacing w:line="560" w:lineRule="exact"/>
              <w:jc w:val="center"/>
              <w:rPr>
                <w:rFonts w:ascii="宋体" w:hAnsi="宋体"/>
                <w:color w:val="auto"/>
                <w:sz w:val="24"/>
              </w:rPr>
            </w:pPr>
            <w:r>
              <w:rPr>
                <w:rFonts w:hint="eastAsia" w:ascii="宋体" w:hAnsi="宋体"/>
                <w:color w:val="auto"/>
                <w:sz w:val="24"/>
              </w:rPr>
              <w:t>偏离与否</w:t>
            </w:r>
          </w:p>
        </w:tc>
        <w:tc>
          <w:tcPr>
            <w:tcW w:w="1705" w:type="dxa"/>
            <w:tcBorders>
              <w:top w:val="single" w:color="auto" w:sz="4" w:space="0"/>
              <w:left w:val="single" w:color="auto" w:sz="4" w:space="0"/>
              <w:bottom w:val="single" w:color="auto" w:sz="4" w:space="0"/>
              <w:right w:val="single" w:color="auto" w:sz="4" w:space="0"/>
            </w:tcBorders>
          </w:tcPr>
          <w:p>
            <w:pPr>
              <w:spacing w:line="560" w:lineRule="exact"/>
              <w:jc w:val="center"/>
              <w:rPr>
                <w:rFonts w:ascii="宋体" w:hAnsi="宋体"/>
                <w:color w:val="auto"/>
                <w:sz w:val="24"/>
              </w:rPr>
            </w:pPr>
            <w:r>
              <w:rPr>
                <w:rFonts w:hint="eastAsia" w:ascii="宋体" w:hAnsi="宋体"/>
                <w:color w:val="auto"/>
                <w:sz w:val="24"/>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36"/>
              </w:rPr>
            </w:pPr>
          </w:p>
        </w:tc>
        <w:tc>
          <w:tcPr>
            <w:tcW w:w="1705"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color w:val="auto"/>
                <w:sz w:val="36"/>
              </w:rPr>
            </w:pPr>
          </w:p>
        </w:tc>
      </w:tr>
    </w:tbl>
    <w:p>
      <w:pPr>
        <w:pStyle w:val="4"/>
        <w:rPr>
          <w:rFonts w:ascii="黑体" w:eastAsia="黑体"/>
          <w:color w:val="auto"/>
          <w:sz w:val="36"/>
        </w:rPr>
      </w:pPr>
      <w:r>
        <w:rPr>
          <w:rFonts w:hint="eastAsia" w:ascii="宋体" w:hAnsi="宋体" w:eastAsia="宋体"/>
          <w:color w:val="auto"/>
        </w:rPr>
        <w:t>投标人名称：</w:t>
      </w:r>
      <w:r>
        <w:rPr>
          <w:rFonts w:hint="eastAsia" w:ascii="宋体" w:hAnsi="宋体" w:eastAsia="宋体"/>
          <w:color w:val="auto"/>
          <w:u w:val="single"/>
        </w:rPr>
        <w:t xml:space="preserve">                     </w:t>
      </w:r>
      <w:r>
        <w:rPr>
          <w:color w:val="auto"/>
        </w:rPr>
        <w:t xml:space="preserve">                      </w:t>
      </w:r>
      <w:r>
        <w:rPr>
          <w:rFonts w:hint="eastAsia" w:ascii="黑体" w:eastAsia="黑体"/>
          <w:color w:val="auto"/>
          <w:sz w:val="36"/>
        </w:rPr>
        <w:br w:type="page"/>
      </w:r>
    </w:p>
    <w:p>
      <w:pPr>
        <w:numPr>
          <w:ilvl w:val="0"/>
          <w:numId w:val="37"/>
        </w:numPr>
        <w:spacing w:line="560" w:lineRule="exact"/>
        <w:ind w:firstLine="3060" w:firstLineChars="850"/>
        <w:rPr>
          <w:rFonts w:ascii="黑体" w:eastAsia="黑体"/>
          <w:color w:val="auto"/>
          <w:sz w:val="36"/>
        </w:rPr>
      </w:pPr>
      <w:r>
        <w:rPr>
          <w:rFonts w:hint="eastAsia" w:ascii="黑体" w:eastAsia="黑体"/>
          <w:color w:val="auto"/>
          <w:sz w:val="36"/>
        </w:rPr>
        <w:t>服  务</w:t>
      </w:r>
    </w:p>
    <w:p>
      <w:pPr>
        <w:spacing w:line="560" w:lineRule="exact"/>
        <w:rPr>
          <w:rFonts w:ascii="宋体" w:hAnsi="宋体"/>
          <w:color w:val="auto"/>
          <w:sz w:val="24"/>
        </w:rPr>
      </w:pPr>
      <w:r>
        <w:rPr>
          <w:rFonts w:hint="eastAsia" w:ascii="宋体" w:hAnsi="宋体"/>
          <w:color w:val="auto"/>
          <w:sz w:val="24"/>
        </w:rPr>
        <w:t>注：1、投标人可提供的培训、售后服务等技术服务情况。</w:t>
      </w:r>
    </w:p>
    <w:p>
      <w:pPr>
        <w:spacing w:line="560" w:lineRule="exact"/>
        <w:rPr>
          <w:rFonts w:ascii="宋体" w:hAnsi="宋体"/>
          <w:color w:val="auto"/>
          <w:sz w:val="24"/>
        </w:rPr>
      </w:pPr>
      <w:r>
        <w:rPr>
          <w:rFonts w:hint="eastAsia" w:ascii="宋体" w:hAnsi="宋体"/>
          <w:color w:val="auto"/>
          <w:sz w:val="24"/>
        </w:rPr>
        <w:t xml:space="preserve">    2、须提供培训、售后服务等详细计划，包括时间、人员等安排，及须买方预先做的准备工作等（如有）。</w:t>
      </w:r>
    </w:p>
    <w:p>
      <w:pPr>
        <w:spacing w:line="440" w:lineRule="exact"/>
        <w:rPr>
          <w:rFonts w:ascii="仿宋_GB2312" w:hAnsi="宋体" w:eastAsia="仿宋_GB2312"/>
          <w:b/>
          <w:color w:val="auto"/>
          <w:sz w:val="36"/>
          <w:szCs w:val="36"/>
        </w:rPr>
      </w:pPr>
    </w:p>
    <w:p>
      <w:pPr>
        <w:spacing w:line="440" w:lineRule="exact"/>
        <w:ind w:firstLine="723" w:firstLineChars="200"/>
        <w:jc w:val="center"/>
        <w:rPr>
          <w:rFonts w:ascii="仿宋_GB2312" w:hAnsi="宋体" w:eastAsia="仿宋_GB2312"/>
          <w:b/>
          <w:color w:val="auto"/>
          <w:sz w:val="36"/>
          <w:szCs w:val="36"/>
        </w:rPr>
      </w:pPr>
    </w:p>
    <w:p>
      <w:pPr>
        <w:spacing w:line="440" w:lineRule="exact"/>
        <w:ind w:firstLine="723" w:firstLineChars="200"/>
        <w:jc w:val="center"/>
        <w:rPr>
          <w:rFonts w:ascii="仿宋_GB2312" w:hAnsi="宋体" w:eastAsia="仿宋_GB2312"/>
          <w:b/>
          <w:color w:val="auto"/>
          <w:sz w:val="36"/>
          <w:szCs w:val="36"/>
        </w:rPr>
      </w:pPr>
    </w:p>
    <w:p>
      <w:pPr>
        <w:autoSpaceDE w:val="0"/>
        <w:autoSpaceDN w:val="0"/>
        <w:adjustRightInd w:val="0"/>
        <w:snapToGrid w:val="0"/>
        <w:spacing w:line="360" w:lineRule="auto"/>
        <w:rPr>
          <w:rFonts w:ascii="宋体" w:hAnsi="宋体"/>
          <w:b/>
          <w:color w:val="auto"/>
          <w:sz w:val="36"/>
          <w:szCs w:val="36"/>
        </w:rPr>
      </w:pPr>
      <w:r>
        <w:rPr>
          <w:rFonts w:hint="eastAsia" w:ascii="宋体" w:hAnsi="宋体"/>
          <w:b/>
          <w:color w:val="auto"/>
          <w:sz w:val="36"/>
          <w:szCs w:val="36"/>
        </w:rPr>
        <w:t>其他附件：设备清单</w:t>
      </w:r>
    </w:p>
    <w:tbl>
      <w:tblPr>
        <w:tblStyle w:val="10"/>
        <w:tblW w:w="5000" w:type="pct"/>
        <w:tblInd w:w="0" w:type="dxa"/>
        <w:shd w:val="clear" w:color="auto" w:fill="auto"/>
        <w:tblLayout w:type="autofit"/>
        <w:tblCellMar>
          <w:top w:w="0" w:type="dxa"/>
          <w:left w:w="108" w:type="dxa"/>
          <w:bottom w:w="0" w:type="dxa"/>
          <w:right w:w="108" w:type="dxa"/>
        </w:tblCellMar>
      </w:tblPr>
      <w:tblGrid>
        <w:gridCol w:w="550"/>
        <w:gridCol w:w="550"/>
        <w:gridCol w:w="655"/>
        <w:gridCol w:w="2122"/>
        <w:gridCol w:w="655"/>
        <w:gridCol w:w="550"/>
        <w:gridCol w:w="550"/>
        <w:gridCol w:w="717"/>
        <w:gridCol w:w="801"/>
        <w:gridCol w:w="46"/>
        <w:gridCol w:w="495"/>
        <w:gridCol w:w="831"/>
      </w:tblGrid>
      <w:tr>
        <w:tblPrEx>
          <w:shd w:val="clear" w:color="auto" w:fill="auto"/>
          <w:tblCellMar>
            <w:top w:w="0" w:type="dxa"/>
            <w:left w:w="108" w:type="dxa"/>
            <w:bottom w:w="0" w:type="dxa"/>
            <w:right w:w="108" w:type="dxa"/>
          </w:tblCellMar>
        </w:tblPrEx>
        <w:trPr>
          <w:trHeight w:val="630"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36"/>
                <w:szCs w:val="36"/>
                <w:u w:val="none"/>
              </w:rPr>
            </w:pPr>
            <w:r>
              <w:rPr>
                <w:rFonts w:hint="eastAsia" w:ascii="宋体" w:hAnsi="宋体" w:eastAsia="宋体" w:cs="宋体"/>
                <w:b/>
                <w:bCs/>
                <w:i w:val="0"/>
                <w:iCs w:val="0"/>
                <w:color w:val="auto"/>
                <w:kern w:val="0"/>
                <w:sz w:val="36"/>
                <w:szCs w:val="36"/>
                <w:u w:val="none"/>
                <w:lang w:val="en-US" w:eastAsia="zh-CN" w:bidi="ar"/>
              </w:rPr>
              <w:t xml:space="preserve">            一厂“智慧安防”系统配置方案 </w:t>
            </w:r>
          </w:p>
        </w:tc>
      </w:tr>
      <w:tr>
        <w:tblPrEx>
          <w:shd w:val="clear" w:color="auto" w:fill="auto"/>
          <w:tblCellMar>
            <w:top w:w="0" w:type="dxa"/>
            <w:left w:w="108" w:type="dxa"/>
            <w:bottom w:w="0" w:type="dxa"/>
            <w:right w:w="108" w:type="dxa"/>
          </w:tblCellMar>
        </w:tblPrEx>
        <w:trPr>
          <w:trHeight w:val="420"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36"/>
                <w:szCs w:val="36"/>
                <w:u w:val="none"/>
              </w:rPr>
            </w:pPr>
          </w:p>
        </w:tc>
      </w:tr>
      <w:tr>
        <w:tblPrEx>
          <w:shd w:val="clear" w:color="auto" w:fill="auto"/>
          <w:tblCellMar>
            <w:top w:w="0" w:type="dxa"/>
            <w:left w:w="108" w:type="dxa"/>
            <w:bottom w:w="0" w:type="dxa"/>
            <w:right w:w="108" w:type="dxa"/>
          </w:tblCellMar>
        </w:tblPrEx>
        <w:trPr>
          <w:trHeight w:val="450" w:hRule="atLeast"/>
        </w:trPr>
        <w:tc>
          <w:tcPr>
            <w:tcW w:w="288" w:type="pct"/>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center"/>
              <w:textAlignment w:val="center"/>
              <w:rPr>
                <w:rFonts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序号</w:t>
            </w:r>
          </w:p>
        </w:tc>
        <w:tc>
          <w:tcPr>
            <w:tcW w:w="288" w:type="pct"/>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图片</w:t>
            </w:r>
          </w:p>
        </w:tc>
        <w:tc>
          <w:tcPr>
            <w:tcW w:w="349" w:type="pct"/>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名称</w:t>
            </w:r>
          </w:p>
        </w:tc>
        <w:tc>
          <w:tcPr>
            <w:tcW w:w="503" w:type="pct"/>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型号</w:t>
            </w:r>
          </w:p>
        </w:tc>
        <w:tc>
          <w:tcPr>
            <w:tcW w:w="278" w:type="pct"/>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品牌</w:t>
            </w:r>
          </w:p>
        </w:tc>
        <w:tc>
          <w:tcPr>
            <w:tcW w:w="289" w:type="pct"/>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单位</w:t>
            </w:r>
          </w:p>
        </w:tc>
        <w:tc>
          <w:tcPr>
            <w:tcW w:w="247" w:type="pct"/>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数量</w:t>
            </w:r>
          </w:p>
        </w:tc>
        <w:tc>
          <w:tcPr>
            <w:tcW w:w="339" w:type="pct"/>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单  价</w:t>
            </w:r>
          </w:p>
        </w:tc>
        <w:tc>
          <w:tcPr>
            <w:tcW w:w="278" w:type="pct"/>
            <w:tcBorders>
              <w:top w:val="single" w:color="000000" w:sz="4" w:space="0"/>
              <w:left w:val="single" w:color="000000" w:sz="4" w:space="0"/>
              <w:bottom w:val="single" w:color="000000" w:sz="4" w:space="0"/>
              <w:right w:val="single" w:color="000000" w:sz="4" w:space="0"/>
            </w:tcBorders>
            <w:shd w:val="clear" w:color="auto" w:fill="99CCFF"/>
            <w:noWrap/>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合   计</w:t>
            </w:r>
          </w:p>
        </w:tc>
        <w:tc>
          <w:tcPr>
            <w:tcW w:w="2138" w:type="pct"/>
            <w:gridSpan w:val="3"/>
            <w:tcBorders>
              <w:top w:val="single" w:color="000000" w:sz="4" w:space="0"/>
              <w:left w:val="single" w:color="000000" w:sz="4" w:space="0"/>
              <w:bottom w:val="single" w:color="000000" w:sz="4" w:space="0"/>
              <w:right w:val="single" w:color="000000" w:sz="4" w:space="0"/>
            </w:tcBorders>
            <w:shd w:val="clear" w:color="auto" w:fill="99CCFF"/>
            <w:noWrap/>
            <w:vAlign w:val="center"/>
          </w:tcPr>
          <w:p>
            <w:pPr>
              <w:jc w:val="center"/>
              <w:rPr>
                <w:rFonts w:hint="eastAsia" w:ascii="黑体" w:hAnsi="宋体" w:eastAsia="黑体" w:cs="黑体"/>
                <w:i w:val="0"/>
                <w:iCs w:val="0"/>
                <w:color w:val="auto"/>
                <w:sz w:val="24"/>
                <w:szCs w:val="24"/>
                <w:u w:val="none"/>
              </w:rPr>
            </w:pPr>
          </w:p>
        </w:tc>
      </w:tr>
      <w:tr>
        <w:tblPrEx>
          <w:shd w:val="clear" w:color="auto" w:fill="auto"/>
          <w:tblCellMar>
            <w:top w:w="0" w:type="dxa"/>
            <w:left w:w="108" w:type="dxa"/>
            <w:bottom w:w="0" w:type="dxa"/>
            <w:right w:w="108" w:type="dxa"/>
          </w:tblCellMar>
        </w:tblPrEx>
        <w:trPr>
          <w:trHeight w:val="1040" w:hRule="atLeast"/>
        </w:trPr>
        <w:tc>
          <w:tcPr>
            <w:tcW w:w="2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1</w:t>
            </w:r>
          </w:p>
        </w:tc>
        <w:tc>
          <w:tcPr>
            <w:tcW w:w="2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38100</wp:posOffset>
                  </wp:positionH>
                  <wp:positionV relativeFrom="paragraph">
                    <wp:posOffset>77470</wp:posOffset>
                  </wp:positionV>
                  <wp:extent cx="330835" cy="321945"/>
                  <wp:effectExtent l="0" t="0" r="12065" b="1905"/>
                  <wp:wrapNone/>
                  <wp:docPr id="43" name="Picture_1"/>
                  <wp:cNvGraphicFramePr/>
                  <a:graphic xmlns:a="http://schemas.openxmlformats.org/drawingml/2006/main">
                    <a:graphicData uri="http://schemas.openxmlformats.org/drawingml/2006/picture">
                      <pic:pic xmlns:pic="http://schemas.openxmlformats.org/drawingml/2006/picture">
                        <pic:nvPicPr>
                          <pic:cNvPr id="43" name="Picture_1"/>
                          <pic:cNvPicPr/>
                        </pic:nvPicPr>
                        <pic:blipFill>
                          <a:blip r:embed="rId6"/>
                          <a:stretch>
                            <a:fillRect/>
                          </a:stretch>
                        </pic:blipFill>
                        <pic:spPr>
                          <a:xfrm>
                            <a:off x="0" y="0"/>
                            <a:ext cx="330835" cy="321945"/>
                          </a:xfrm>
                          <a:prstGeom prst="rect">
                            <a:avLst/>
                          </a:prstGeom>
                          <a:noFill/>
                          <a:ln>
                            <a:noFill/>
                          </a:ln>
                        </pic:spPr>
                      </pic:pic>
                    </a:graphicData>
                  </a:graphic>
                </wp:anchor>
              </w:drawing>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访客自助产品</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DS-K5032</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海康</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2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1</w:t>
            </w:r>
          </w:p>
        </w:tc>
        <w:tc>
          <w:tcPr>
            <w:tcW w:w="3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黑体" w:hAnsi="宋体" w:eastAsia="黑体" w:cs="黑体"/>
                <w:i w:val="0"/>
                <w:iCs w:val="0"/>
                <w:color w:val="auto"/>
                <w:sz w:val="18"/>
                <w:szCs w:val="18"/>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黑体" w:hAnsi="宋体" w:eastAsia="黑体" w:cs="黑体"/>
                <w:i w:val="0"/>
                <w:iCs w:val="0"/>
                <w:color w:val="auto"/>
                <w:sz w:val="18"/>
                <w:szCs w:val="18"/>
                <w:u w:val="none"/>
              </w:rPr>
            </w:pPr>
          </w:p>
        </w:tc>
        <w:tc>
          <w:tcPr>
            <w:tcW w:w="213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黑体" w:hAnsi="宋体" w:eastAsia="黑体" w:cs="黑体"/>
                <w:i w:val="0"/>
                <w:iCs w:val="0"/>
                <w:color w:val="auto"/>
                <w:sz w:val="18"/>
                <w:szCs w:val="18"/>
                <w:u w:val="none"/>
              </w:rPr>
            </w:pPr>
            <w:r>
              <w:rPr>
                <w:rFonts w:hint="eastAsia" w:ascii="黑体" w:hAnsi="宋体" w:eastAsia="黑体" w:cs="黑体"/>
                <w:i w:val="0"/>
                <w:iCs w:val="0"/>
                <w:color w:val="auto"/>
                <w:kern w:val="0"/>
                <w:sz w:val="18"/>
                <w:szCs w:val="18"/>
                <w:u w:val="none"/>
                <w:lang w:val="en-US" w:eastAsia="zh-CN" w:bidi="ar"/>
              </w:rPr>
              <w:t>访客管理系统</w:t>
            </w:r>
          </w:p>
        </w:tc>
      </w:tr>
      <w:tr>
        <w:tblPrEx>
          <w:shd w:val="clear" w:color="auto" w:fill="auto"/>
          <w:tblCellMar>
            <w:top w:w="0" w:type="dxa"/>
            <w:left w:w="108" w:type="dxa"/>
            <w:bottom w:w="0" w:type="dxa"/>
            <w:right w:w="108" w:type="dxa"/>
          </w:tblCellMar>
        </w:tblPrEx>
        <w:trPr>
          <w:trHeight w:val="1080" w:hRule="atLeast"/>
        </w:trPr>
        <w:tc>
          <w:tcPr>
            <w:tcW w:w="2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2</w:t>
            </w:r>
          </w:p>
        </w:tc>
        <w:tc>
          <w:tcPr>
            <w:tcW w:w="2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57150</wp:posOffset>
                  </wp:positionH>
                  <wp:positionV relativeFrom="paragraph">
                    <wp:posOffset>48260</wp:posOffset>
                  </wp:positionV>
                  <wp:extent cx="325120" cy="352425"/>
                  <wp:effectExtent l="0" t="0" r="17780" b="9525"/>
                  <wp:wrapNone/>
                  <wp:docPr id="46" name="Picture_1_SpCnt_1"/>
                  <wp:cNvGraphicFramePr/>
                  <a:graphic xmlns:a="http://schemas.openxmlformats.org/drawingml/2006/main">
                    <a:graphicData uri="http://schemas.openxmlformats.org/drawingml/2006/picture">
                      <pic:pic xmlns:pic="http://schemas.openxmlformats.org/drawingml/2006/picture">
                        <pic:nvPicPr>
                          <pic:cNvPr id="46" name="Picture_1_SpCnt_1"/>
                          <pic:cNvPicPr/>
                        </pic:nvPicPr>
                        <pic:blipFill>
                          <a:blip r:embed="rId7"/>
                          <a:stretch>
                            <a:fillRect/>
                          </a:stretch>
                        </pic:blipFill>
                        <pic:spPr>
                          <a:xfrm>
                            <a:off x="0" y="0"/>
                            <a:ext cx="325120" cy="352425"/>
                          </a:xfrm>
                          <a:prstGeom prst="rect">
                            <a:avLst/>
                          </a:prstGeom>
                          <a:noFill/>
                          <a:ln>
                            <a:noFill/>
                          </a:ln>
                        </pic:spPr>
                      </pic:pic>
                    </a:graphicData>
                  </a:graphic>
                </wp:anchor>
              </w:drawing>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人体测温双目筒机</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DS-B2617-6/PA</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海康</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2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1</w:t>
            </w:r>
          </w:p>
        </w:tc>
        <w:tc>
          <w:tcPr>
            <w:tcW w:w="33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黑体" w:hAnsi="宋体" w:eastAsia="黑体" w:cs="黑体"/>
                <w:i w:val="0"/>
                <w:iCs w:val="0"/>
                <w:color w:val="auto"/>
                <w:sz w:val="18"/>
                <w:szCs w:val="18"/>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黑体" w:hAnsi="宋体" w:eastAsia="黑体" w:cs="黑体"/>
                <w:i w:val="0"/>
                <w:iCs w:val="0"/>
                <w:color w:val="auto"/>
                <w:sz w:val="18"/>
                <w:szCs w:val="18"/>
                <w:u w:val="none"/>
              </w:rPr>
            </w:pPr>
          </w:p>
        </w:tc>
        <w:tc>
          <w:tcPr>
            <w:tcW w:w="21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热成像筒型摄像系统（防疫用）</w:t>
            </w:r>
          </w:p>
        </w:tc>
      </w:tr>
      <w:tr>
        <w:tblPrEx>
          <w:shd w:val="clear" w:color="auto" w:fill="auto"/>
          <w:tblCellMar>
            <w:top w:w="0" w:type="dxa"/>
            <w:left w:w="108" w:type="dxa"/>
            <w:bottom w:w="0" w:type="dxa"/>
            <w:right w:w="108" w:type="dxa"/>
          </w:tblCellMar>
        </w:tblPrEx>
        <w:trPr>
          <w:trHeight w:val="1200" w:hRule="atLeast"/>
        </w:trPr>
        <w:tc>
          <w:tcPr>
            <w:tcW w:w="2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3</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58420</wp:posOffset>
                  </wp:positionH>
                  <wp:positionV relativeFrom="paragraph">
                    <wp:posOffset>234950</wp:posOffset>
                  </wp:positionV>
                  <wp:extent cx="227330" cy="241300"/>
                  <wp:effectExtent l="0" t="0" r="1270" b="6350"/>
                  <wp:wrapNone/>
                  <wp:docPr id="47" name="图片_1"/>
                  <wp:cNvGraphicFramePr/>
                  <a:graphic xmlns:a="http://schemas.openxmlformats.org/drawingml/2006/main">
                    <a:graphicData uri="http://schemas.openxmlformats.org/drawingml/2006/picture">
                      <pic:pic xmlns:pic="http://schemas.openxmlformats.org/drawingml/2006/picture">
                        <pic:nvPicPr>
                          <pic:cNvPr id="47" name="图片_1"/>
                          <pic:cNvPicPr/>
                        </pic:nvPicPr>
                        <pic:blipFill>
                          <a:blip r:embed="rId8"/>
                          <a:stretch>
                            <a:fillRect/>
                          </a:stretch>
                        </pic:blipFill>
                        <pic:spPr>
                          <a:xfrm>
                            <a:off x="0" y="0"/>
                            <a:ext cx="227330" cy="241300"/>
                          </a:xfrm>
                          <a:prstGeom prst="rect">
                            <a:avLst/>
                          </a:prstGeom>
                          <a:noFill/>
                          <a:ln>
                            <a:noFill/>
                          </a:ln>
                        </pic:spPr>
                      </pic:pic>
                    </a:graphicData>
                  </a:graphic>
                </wp:anchor>
              </w:drawing>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网络高清400万摄像机</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DS-2CD2T45V2-I3</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海康</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42</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21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400万网络高清枪机</w:t>
            </w:r>
          </w:p>
        </w:tc>
      </w:tr>
      <w:tr>
        <w:tblPrEx>
          <w:shd w:val="clear" w:color="auto" w:fill="auto"/>
          <w:tblCellMar>
            <w:top w:w="0" w:type="dxa"/>
            <w:left w:w="108" w:type="dxa"/>
            <w:bottom w:w="0" w:type="dxa"/>
            <w:right w:w="108" w:type="dxa"/>
          </w:tblCellMar>
        </w:tblPrEx>
        <w:trPr>
          <w:trHeight w:val="1200" w:hRule="atLeast"/>
        </w:trPr>
        <w:tc>
          <w:tcPr>
            <w:tcW w:w="2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4</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-22225</wp:posOffset>
                  </wp:positionH>
                  <wp:positionV relativeFrom="paragraph">
                    <wp:posOffset>187960</wp:posOffset>
                  </wp:positionV>
                  <wp:extent cx="319405" cy="396875"/>
                  <wp:effectExtent l="0" t="0" r="4445" b="3175"/>
                  <wp:wrapNone/>
                  <wp:docPr id="48" name="Picture_1_SpCnt_2"/>
                  <wp:cNvGraphicFramePr/>
                  <a:graphic xmlns:a="http://schemas.openxmlformats.org/drawingml/2006/main">
                    <a:graphicData uri="http://schemas.openxmlformats.org/drawingml/2006/picture">
                      <pic:pic xmlns:pic="http://schemas.openxmlformats.org/drawingml/2006/picture">
                        <pic:nvPicPr>
                          <pic:cNvPr id="48" name="Picture_1_SpCnt_2"/>
                          <pic:cNvPicPr/>
                        </pic:nvPicPr>
                        <pic:blipFill>
                          <a:blip r:embed="rId9"/>
                          <a:stretch>
                            <a:fillRect/>
                          </a:stretch>
                        </pic:blipFill>
                        <pic:spPr>
                          <a:xfrm>
                            <a:off x="0" y="0"/>
                            <a:ext cx="319405" cy="396875"/>
                          </a:xfrm>
                          <a:prstGeom prst="rect">
                            <a:avLst/>
                          </a:prstGeom>
                          <a:noFill/>
                          <a:ln>
                            <a:noFill/>
                          </a:ln>
                        </pic:spPr>
                      </pic:pic>
                    </a:graphicData>
                  </a:graphic>
                </wp:anchor>
              </w:drawing>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2系列轻智能警戒网络摄像机</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DS-2CD2T46FWDA3-IS</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海康</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21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围墙周界专用智能报警摄像机</w:t>
            </w:r>
          </w:p>
        </w:tc>
      </w:tr>
      <w:tr>
        <w:tblPrEx>
          <w:shd w:val="clear" w:color="auto" w:fill="auto"/>
          <w:tblCellMar>
            <w:top w:w="0" w:type="dxa"/>
            <w:left w:w="108" w:type="dxa"/>
            <w:bottom w:w="0" w:type="dxa"/>
            <w:right w:w="108" w:type="dxa"/>
          </w:tblCellMar>
        </w:tblPrEx>
        <w:trPr>
          <w:trHeight w:val="1200" w:hRule="atLeast"/>
        </w:trPr>
        <w:tc>
          <w:tcPr>
            <w:tcW w:w="2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5</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19050</wp:posOffset>
                  </wp:positionH>
                  <wp:positionV relativeFrom="paragraph">
                    <wp:posOffset>184150</wp:posOffset>
                  </wp:positionV>
                  <wp:extent cx="309245" cy="374650"/>
                  <wp:effectExtent l="0" t="0" r="14605" b="6350"/>
                  <wp:wrapNone/>
                  <wp:docPr id="49" name="Picture_1_SpCnt_3"/>
                  <wp:cNvGraphicFramePr/>
                  <a:graphic xmlns:a="http://schemas.openxmlformats.org/drawingml/2006/main">
                    <a:graphicData uri="http://schemas.openxmlformats.org/drawingml/2006/picture">
                      <pic:pic xmlns:pic="http://schemas.openxmlformats.org/drawingml/2006/picture">
                        <pic:nvPicPr>
                          <pic:cNvPr id="49" name="Picture_1_SpCnt_3"/>
                          <pic:cNvPicPr/>
                        </pic:nvPicPr>
                        <pic:blipFill>
                          <a:blip r:embed="rId10"/>
                          <a:stretch>
                            <a:fillRect/>
                          </a:stretch>
                        </pic:blipFill>
                        <pic:spPr>
                          <a:xfrm>
                            <a:off x="0" y="0"/>
                            <a:ext cx="309245" cy="374650"/>
                          </a:xfrm>
                          <a:prstGeom prst="rect">
                            <a:avLst/>
                          </a:prstGeom>
                          <a:noFill/>
                          <a:ln>
                            <a:noFill/>
                          </a:ln>
                        </pic:spPr>
                      </pic:pic>
                    </a:graphicData>
                  </a:graphic>
                </wp:anchor>
              </w:drawing>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防爆定焦筒机系列</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DS-2XE6046FWD-I</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海康</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21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防爆型枪机</w:t>
            </w:r>
          </w:p>
        </w:tc>
      </w:tr>
      <w:tr>
        <w:tblPrEx>
          <w:shd w:val="clear" w:color="auto" w:fill="auto"/>
          <w:tblCellMar>
            <w:top w:w="0" w:type="dxa"/>
            <w:left w:w="108" w:type="dxa"/>
            <w:bottom w:w="0" w:type="dxa"/>
            <w:right w:w="108" w:type="dxa"/>
          </w:tblCellMar>
        </w:tblPrEx>
        <w:trPr>
          <w:trHeight w:val="1200" w:hRule="atLeast"/>
        </w:trPr>
        <w:tc>
          <w:tcPr>
            <w:tcW w:w="2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6</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92075</wp:posOffset>
                  </wp:positionH>
                  <wp:positionV relativeFrom="paragraph">
                    <wp:posOffset>172720</wp:posOffset>
                  </wp:positionV>
                  <wp:extent cx="213995" cy="345440"/>
                  <wp:effectExtent l="0" t="0" r="14605" b="16510"/>
                  <wp:wrapNone/>
                  <wp:docPr id="50" name="图片_1_SpCnt_1"/>
                  <wp:cNvGraphicFramePr/>
                  <a:graphic xmlns:a="http://schemas.openxmlformats.org/drawingml/2006/main">
                    <a:graphicData uri="http://schemas.openxmlformats.org/drawingml/2006/picture">
                      <pic:pic xmlns:pic="http://schemas.openxmlformats.org/drawingml/2006/picture">
                        <pic:nvPicPr>
                          <pic:cNvPr id="50" name="图片_1_SpCnt_1"/>
                          <pic:cNvPicPr/>
                        </pic:nvPicPr>
                        <pic:blipFill>
                          <a:blip r:embed="rId11"/>
                          <a:stretch>
                            <a:fillRect/>
                          </a:stretch>
                        </pic:blipFill>
                        <pic:spPr>
                          <a:xfrm>
                            <a:off x="0" y="0"/>
                            <a:ext cx="213995" cy="345440"/>
                          </a:xfrm>
                          <a:prstGeom prst="rect">
                            <a:avLst/>
                          </a:prstGeom>
                          <a:noFill/>
                          <a:ln>
                            <a:noFill/>
                          </a:ln>
                        </pic:spPr>
                      </pic:pic>
                    </a:graphicData>
                  </a:graphic>
                </wp:anchor>
              </w:drawing>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网络高清400万球机</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DS-2DE7423IW-A(S6)</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海康</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21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400万网络高清球机</w:t>
            </w:r>
          </w:p>
        </w:tc>
      </w:tr>
      <w:tr>
        <w:tblPrEx>
          <w:shd w:val="clear" w:color="auto" w:fill="auto"/>
          <w:tblCellMar>
            <w:top w:w="0" w:type="dxa"/>
            <w:left w:w="108" w:type="dxa"/>
            <w:bottom w:w="0" w:type="dxa"/>
            <w:right w:w="108" w:type="dxa"/>
          </w:tblCellMar>
        </w:tblPrEx>
        <w:trPr>
          <w:trHeight w:val="1200" w:hRule="atLeast"/>
        </w:trPr>
        <w:tc>
          <w:tcPr>
            <w:tcW w:w="2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7</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r>
              <w:rPr>
                <w:rFonts w:hint="eastAsia" w:ascii="黑体" w:hAnsi="宋体" w:eastAsia="黑体" w:cs="黑体"/>
                <w:i w:val="0"/>
                <w:iCs w:val="0"/>
                <w:color w:val="auto"/>
                <w:kern w:val="0"/>
                <w:sz w:val="24"/>
                <w:szCs w:val="24"/>
                <w:u w:val="none"/>
                <w:bdr w:val="single" w:color="000000" w:sz="4" w:space="0"/>
                <w:shd w:val="clear" w:fill="FFFFFF"/>
                <w:lang w:val="en-US" w:eastAsia="zh-CN" w:bidi="ar"/>
              </w:rPr>
              <w:drawing>
                <wp:anchor distT="0" distB="0" distL="114300" distR="114300" simplePos="0" relativeHeight="251659264" behindDoc="0" locked="0" layoutInCell="1" allowOverlap="1">
                  <wp:simplePos x="0" y="0"/>
                  <wp:positionH relativeFrom="column">
                    <wp:posOffset>-11430</wp:posOffset>
                  </wp:positionH>
                  <wp:positionV relativeFrom="paragraph">
                    <wp:posOffset>188595</wp:posOffset>
                  </wp:positionV>
                  <wp:extent cx="270510" cy="277495"/>
                  <wp:effectExtent l="0" t="0" r="0" b="8255"/>
                  <wp:wrapNone/>
                  <wp:docPr id="51" name="Picture_1_SpCnt_4"/>
                  <wp:cNvGraphicFramePr/>
                  <a:graphic xmlns:a="http://schemas.openxmlformats.org/drawingml/2006/main">
                    <a:graphicData uri="http://schemas.openxmlformats.org/drawingml/2006/picture">
                      <pic:pic xmlns:pic="http://schemas.openxmlformats.org/drawingml/2006/picture">
                        <pic:nvPicPr>
                          <pic:cNvPr id="51" name="Picture_1_SpCnt_4"/>
                          <pic:cNvPicPr/>
                        </pic:nvPicPr>
                        <pic:blipFill>
                          <a:blip r:embed="rId12"/>
                          <a:stretch>
                            <a:fillRect/>
                          </a:stretch>
                        </pic:blipFill>
                        <pic:spPr>
                          <a:xfrm>
                            <a:off x="0" y="0"/>
                            <a:ext cx="270510" cy="277495"/>
                          </a:xfrm>
                          <a:prstGeom prst="rect">
                            <a:avLst/>
                          </a:prstGeom>
                          <a:noFill/>
                          <a:ln>
                            <a:noFill/>
                          </a:ln>
                        </pic:spPr>
                      </pic:pic>
                    </a:graphicData>
                  </a:graphic>
                </wp:anchor>
              </w:drawing>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全彩全景枪球智能一体机</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iDS-2SE7C144MW-D(23X/F1)(S5)(B)</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海康</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21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智能型双镜头球机</w:t>
            </w:r>
          </w:p>
        </w:tc>
      </w:tr>
      <w:tr>
        <w:tblPrEx>
          <w:shd w:val="clear" w:color="auto" w:fill="auto"/>
          <w:tblCellMar>
            <w:top w:w="0" w:type="dxa"/>
            <w:left w:w="108" w:type="dxa"/>
            <w:bottom w:w="0" w:type="dxa"/>
            <w:right w:w="108" w:type="dxa"/>
          </w:tblCellMar>
        </w:tblPrEx>
        <w:trPr>
          <w:trHeight w:val="1200" w:hRule="atLeast"/>
        </w:trPr>
        <w:tc>
          <w:tcPr>
            <w:tcW w:w="2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8</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29210</wp:posOffset>
                  </wp:positionH>
                  <wp:positionV relativeFrom="paragraph">
                    <wp:posOffset>148590</wp:posOffset>
                  </wp:positionV>
                  <wp:extent cx="266700" cy="455930"/>
                  <wp:effectExtent l="0" t="0" r="0" b="1270"/>
                  <wp:wrapNone/>
                  <wp:docPr id="52" name="Picture_1_SpCnt_5"/>
                  <wp:cNvGraphicFramePr/>
                  <a:graphic xmlns:a="http://schemas.openxmlformats.org/drawingml/2006/main">
                    <a:graphicData uri="http://schemas.openxmlformats.org/drawingml/2006/picture">
                      <pic:pic xmlns:pic="http://schemas.openxmlformats.org/drawingml/2006/picture">
                        <pic:nvPicPr>
                          <pic:cNvPr id="52" name="Picture_1_SpCnt_5"/>
                          <pic:cNvPicPr/>
                        </pic:nvPicPr>
                        <pic:blipFill>
                          <a:blip r:embed="rId13"/>
                          <a:stretch>
                            <a:fillRect/>
                          </a:stretch>
                        </pic:blipFill>
                        <pic:spPr>
                          <a:xfrm>
                            <a:off x="0" y="0"/>
                            <a:ext cx="266700" cy="455930"/>
                          </a:xfrm>
                          <a:prstGeom prst="rect">
                            <a:avLst/>
                          </a:prstGeom>
                          <a:noFill/>
                          <a:ln>
                            <a:noFill/>
                          </a:ln>
                        </pic:spPr>
                      </pic:pic>
                    </a:graphicData>
                  </a:graphic>
                </wp:anchor>
              </w:drawing>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intel双路通用服务器</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DS-VE22S-B(310803609)</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海康</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21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智能视频组网管理服务器</w:t>
            </w:r>
          </w:p>
        </w:tc>
      </w:tr>
      <w:tr>
        <w:tblPrEx>
          <w:shd w:val="clear" w:color="auto" w:fill="auto"/>
          <w:tblCellMar>
            <w:top w:w="0" w:type="dxa"/>
            <w:left w:w="108" w:type="dxa"/>
            <w:bottom w:w="0" w:type="dxa"/>
            <w:right w:w="108" w:type="dxa"/>
          </w:tblCellMar>
        </w:tblPrEx>
        <w:trPr>
          <w:trHeight w:val="1200" w:hRule="atLeast"/>
        </w:trPr>
        <w:tc>
          <w:tcPr>
            <w:tcW w:w="2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9</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Calibri" w:hAnsi="Calibri" w:eastAsia="宋体" w:cs="Calibri"/>
                <w:i w:val="0"/>
                <w:iCs w:val="0"/>
                <w:color w:val="auto"/>
                <w:sz w:val="16"/>
                <w:szCs w:val="16"/>
                <w:u w:val="none"/>
              </w:rPr>
            </w:pPr>
            <w:r>
              <w:rPr>
                <w:rFonts w:hint="default" w:ascii="Calibri" w:hAnsi="Calibri" w:eastAsia="宋体" w:cs="Calibri"/>
                <w:i w:val="0"/>
                <w:iCs w:val="0"/>
                <w:color w:val="auto"/>
                <w:kern w:val="0"/>
                <w:sz w:val="16"/>
                <w:szCs w:val="16"/>
                <w:u w:val="none"/>
                <w:lang w:val="en-US" w:eastAsia="zh-CN" w:bidi="ar"/>
              </w:rPr>
              <w:t>iSecure Center综合安防管理平台(DS)</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auto"/>
                <w:sz w:val="16"/>
                <w:szCs w:val="16"/>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auto"/>
                <w:sz w:val="16"/>
                <w:szCs w:val="16"/>
                <w:u w:val="none"/>
              </w:rPr>
            </w:pPr>
            <w:r>
              <w:rPr>
                <w:rFonts w:hint="default" w:ascii="Calibri" w:hAnsi="Calibri" w:eastAsia="宋体" w:cs="Calibri"/>
                <w:i w:val="0"/>
                <w:iCs w:val="0"/>
                <w:color w:val="auto"/>
                <w:kern w:val="0"/>
                <w:sz w:val="16"/>
                <w:szCs w:val="16"/>
                <w:u w:val="none"/>
                <w:lang w:val="en-US" w:eastAsia="zh-CN" w:bidi="ar"/>
              </w:rPr>
              <w:t>iSecure Center-SM</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海康</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auto"/>
                <w:sz w:val="16"/>
                <w:szCs w:val="16"/>
                <w:u w:val="none"/>
              </w:rPr>
            </w:pPr>
            <w:r>
              <w:rPr>
                <w:rFonts w:hint="default" w:ascii="Calibri" w:hAnsi="Calibri" w:eastAsia="宋体" w:cs="Calibri"/>
                <w:i w:val="0"/>
                <w:iCs w:val="0"/>
                <w:color w:val="auto"/>
                <w:kern w:val="0"/>
                <w:sz w:val="16"/>
                <w:szCs w:val="16"/>
                <w:u w:val="none"/>
                <w:lang w:val="en-US" w:eastAsia="zh-CN"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auto"/>
                <w:sz w:val="16"/>
                <w:szCs w:val="16"/>
                <w:u w:val="none"/>
              </w:rPr>
            </w:pPr>
            <w:r>
              <w:rPr>
                <w:rFonts w:hint="default" w:ascii="Calibri" w:hAnsi="Calibri" w:eastAsia="宋体" w:cs="Calibri"/>
                <w:i w:val="0"/>
                <w:iCs w:val="0"/>
                <w:color w:val="auto"/>
                <w:kern w:val="0"/>
                <w:sz w:val="16"/>
                <w:szCs w:val="16"/>
                <w:u w:val="none"/>
                <w:lang w:val="en-US" w:eastAsia="zh-CN" w:bidi="ar"/>
              </w:rPr>
              <w:t>1</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auto"/>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21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服务器管理软件</w:t>
            </w:r>
          </w:p>
        </w:tc>
      </w:tr>
      <w:tr>
        <w:tblPrEx>
          <w:shd w:val="clear" w:color="auto" w:fill="auto"/>
          <w:tblCellMar>
            <w:top w:w="0" w:type="dxa"/>
            <w:left w:w="108" w:type="dxa"/>
            <w:bottom w:w="0" w:type="dxa"/>
            <w:right w:w="108" w:type="dxa"/>
          </w:tblCellMar>
        </w:tblPrEx>
        <w:trPr>
          <w:trHeight w:val="1200" w:hRule="atLeast"/>
        </w:trPr>
        <w:tc>
          <w:tcPr>
            <w:tcW w:w="2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10</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auto"/>
                <w:sz w:val="16"/>
                <w:szCs w:val="16"/>
                <w:u w:val="none"/>
              </w:rPr>
            </w:pPr>
            <w:r>
              <w:rPr>
                <w:rFonts w:hint="default" w:ascii="Calibri" w:hAnsi="Calibri" w:eastAsia="宋体" w:cs="Calibri"/>
                <w:i w:val="0"/>
                <w:iCs w:val="0"/>
                <w:color w:val="auto"/>
                <w:kern w:val="0"/>
                <w:sz w:val="16"/>
                <w:szCs w:val="16"/>
                <w:u w:val="none"/>
                <w:lang w:val="en-US" w:eastAsia="zh-CN" w:bidi="ar"/>
              </w:rPr>
              <w:t>iSecure Center综合安防管理平台(DS)</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auto"/>
                <w:sz w:val="16"/>
                <w:szCs w:val="16"/>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auto"/>
                <w:sz w:val="16"/>
                <w:szCs w:val="16"/>
                <w:u w:val="none"/>
              </w:rPr>
            </w:pPr>
            <w:r>
              <w:rPr>
                <w:rFonts w:hint="default" w:ascii="Calibri" w:hAnsi="Calibri" w:eastAsia="宋体" w:cs="Calibri"/>
                <w:i w:val="0"/>
                <w:iCs w:val="0"/>
                <w:color w:val="auto"/>
                <w:kern w:val="0"/>
                <w:sz w:val="16"/>
                <w:szCs w:val="16"/>
                <w:u w:val="none"/>
                <w:lang w:val="en-US" w:eastAsia="zh-CN" w:bidi="ar"/>
              </w:rPr>
              <w:t>iSecure Center-VMS</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海康</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auto"/>
                <w:sz w:val="16"/>
                <w:szCs w:val="16"/>
                <w:u w:val="none"/>
              </w:rPr>
            </w:pPr>
            <w:r>
              <w:rPr>
                <w:rFonts w:hint="default" w:ascii="Calibri" w:hAnsi="Calibri" w:eastAsia="宋体" w:cs="Calibri"/>
                <w:i w:val="0"/>
                <w:iCs w:val="0"/>
                <w:color w:val="auto"/>
                <w:kern w:val="0"/>
                <w:sz w:val="16"/>
                <w:szCs w:val="16"/>
                <w:u w:val="none"/>
                <w:lang w:val="en-US" w:eastAsia="zh-CN" w:bidi="ar"/>
              </w:rPr>
              <w:t>路</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auto"/>
                <w:sz w:val="16"/>
                <w:szCs w:val="16"/>
                <w:u w:val="none"/>
              </w:rPr>
            </w:pPr>
            <w:r>
              <w:rPr>
                <w:rFonts w:hint="default" w:ascii="Calibri" w:hAnsi="Calibri" w:eastAsia="宋体" w:cs="Calibri"/>
                <w:i w:val="0"/>
                <w:iCs w:val="0"/>
                <w:color w:val="auto"/>
                <w:kern w:val="0"/>
                <w:sz w:val="16"/>
                <w:szCs w:val="16"/>
                <w:u w:val="none"/>
                <w:lang w:val="en-US" w:eastAsia="zh-CN" w:bidi="ar"/>
              </w:rPr>
              <w:t>100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auto"/>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21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视屏回路数量</w:t>
            </w:r>
          </w:p>
        </w:tc>
      </w:tr>
      <w:tr>
        <w:tblPrEx>
          <w:shd w:val="clear" w:color="auto" w:fill="auto"/>
          <w:tblCellMar>
            <w:top w:w="0" w:type="dxa"/>
            <w:left w:w="108" w:type="dxa"/>
            <w:bottom w:w="0" w:type="dxa"/>
            <w:right w:w="108" w:type="dxa"/>
          </w:tblCellMar>
        </w:tblPrEx>
        <w:trPr>
          <w:trHeight w:val="1200" w:hRule="atLeast"/>
        </w:trPr>
        <w:tc>
          <w:tcPr>
            <w:tcW w:w="2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11</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auto"/>
                <w:sz w:val="16"/>
                <w:szCs w:val="16"/>
                <w:u w:val="none"/>
              </w:rPr>
            </w:pPr>
            <w:r>
              <w:rPr>
                <w:rFonts w:hint="default" w:ascii="Calibri" w:hAnsi="Calibri" w:eastAsia="宋体" w:cs="Calibri"/>
                <w:i w:val="0"/>
                <w:iCs w:val="0"/>
                <w:color w:val="auto"/>
                <w:kern w:val="0"/>
                <w:sz w:val="16"/>
                <w:szCs w:val="16"/>
                <w:u w:val="none"/>
                <w:lang w:val="en-US" w:eastAsia="zh-CN" w:bidi="ar"/>
              </w:rPr>
              <w:t>iSecure Center综合安防管理平台(DS)</w:t>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auto"/>
                <w:sz w:val="16"/>
                <w:szCs w:val="16"/>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auto"/>
                <w:sz w:val="16"/>
                <w:szCs w:val="16"/>
                <w:u w:val="none"/>
              </w:rPr>
            </w:pPr>
            <w:r>
              <w:rPr>
                <w:rFonts w:hint="default" w:ascii="Calibri" w:hAnsi="Calibri" w:eastAsia="宋体" w:cs="Calibri"/>
                <w:i w:val="0"/>
                <w:iCs w:val="0"/>
                <w:color w:val="auto"/>
                <w:kern w:val="0"/>
                <w:sz w:val="16"/>
                <w:szCs w:val="16"/>
                <w:u w:val="none"/>
                <w:lang w:val="en-US" w:eastAsia="zh-CN" w:bidi="ar"/>
              </w:rPr>
              <w:t>iSecure Center-Visitor</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海康</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auto"/>
                <w:sz w:val="16"/>
                <w:szCs w:val="16"/>
                <w:u w:val="none"/>
              </w:rPr>
            </w:pPr>
            <w:r>
              <w:rPr>
                <w:rFonts w:hint="default" w:ascii="Calibri" w:hAnsi="Calibri" w:eastAsia="宋体" w:cs="Calibri"/>
                <w:i w:val="0"/>
                <w:iCs w:val="0"/>
                <w:color w:val="auto"/>
                <w:kern w:val="0"/>
                <w:sz w:val="16"/>
                <w:szCs w:val="16"/>
                <w:u w:val="none"/>
                <w:lang w:val="en-US" w:eastAsia="zh-CN"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auto"/>
                <w:sz w:val="16"/>
                <w:szCs w:val="16"/>
                <w:u w:val="none"/>
              </w:rPr>
            </w:pPr>
            <w:r>
              <w:rPr>
                <w:rFonts w:hint="default" w:ascii="Calibri" w:hAnsi="Calibri" w:eastAsia="宋体" w:cs="Calibri"/>
                <w:i w:val="0"/>
                <w:iCs w:val="0"/>
                <w:color w:val="auto"/>
                <w:kern w:val="0"/>
                <w:sz w:val="16"/>
                <w:szCs w:val="16"/>
                <w:u w:val="none"/>
                <w:lang w:val="en-US" w:eastAsia="zh-CN" w:bidi="ar"/>
              </w:rPr>
              <w:t>1</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auto"/>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21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访客管理软件</w:t>
            </w:r>
          </w:p>
        </w:tc>
      </w:tr>
      <w:tr>
        <w:tblPrEx>
          <w:shd w:val="clear" w:color="auto" w:fill="auto"/>
          <w:tblCellMar>
            <w:top w:w="0" w:type="dxa"/>
            <w:left w:w="108" w:type="dxa"/>
            <w:bottom w:w="0" w:type="dxa"/>
            <w:right w:w="108" w:type="dxa"/>
          </w:tblCellMar>
        </w:tblPrEx>
        <w:trPr>
          <w:trHeight w:val="1200" w:hRule="atLeast"/>
        </w:trPr>
        <w:tc>
          <w:tcPr>
            <w:tcW w:w="2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12</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-9525</wp:posOffset>
                  </wp:positionH>
                  <wp:positionV relativeFrom="paragraph">
                    <wp:posOffset>142875</wp:posOffset>
                  </wp:positionV>
                  <wp:extent cx="330200" cy="405130"/>
                  <wp:effectExtent l="0" t="0" r="12700" b="13970"/>
                  <wp:wrapNone/>
                  <wp:docPr id="53" name="Picture_1_SpCnt_6"/>
                  <wp:cNvGraphicFramePr/>
                  <a:graphic xmlns:a="http://schemas.openxmlformats.org/drawingml/2006/main">
                    <a:graphicData uri="http://schemas.openxmlformats.org/drawingml/2006/picture">
                      <pic:pic xmlns:pic="http://schemas.openxmlformats.org/drawingml/2006/picture">
                        <pic:nvPicPr>
                          <pic:cNvPr id="53" name="Picture_1_SpCnt_6"/>
                          <pic:cNvPicPr/>
                        </pic:nvPicPr>
                        <pic:blipFill>
                          <a:blip r:embed="rId14"/>
                          <a:stretch>
                            <a:fillRect/>
                          </a:stretch>
                        </pic:blipFill>
                        <pic:spPr>
                          <a:xfrm>
                            <a:off x="0" y="0"/>
                            <a:ext cx="330200" cy="405130"/>
                          </a:xfrm>
                          <a:prstGeom prst="rect">
                            <a:avLst/>
                          </a:prstGeom>
                          <a:noFill/>
                          <a:ln>
                            <a:noFill/>
                          </a:ln>
                        </pic:spPr>
                      </pic:pic>
                    </a:graphicData>
                  </a:graphic>
                </wp:anchor>
              </w:drawing>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IoT-CVR存储</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16"/>
                <w:szCs w:val="16"/>
                <w:u w:val="none"/>
              </w:rPr>
            </w:pPr>
            <w:r>
              <w:rPr>
                <w:rFonts w:hint="eastAsia" w:ascii="微软雅黑" w:hAnsi="微软雅黑" w:eastAsia="微软雅黑" w:cs="微软雅黑"/>
                <w:i w:val="0"/>
                <w:iCs w:val="0"/>
                <w:color w:val="auto"/>
                <w:kern w:val="0"/>
                <w:sz w:val="16"/>
                <w:szCs w:val="16"/>
                <w:u w:val="none"/>
                <w:lang w:val="en-US" w:eastAsia="zh-CN" w:bidi="ar"/>
              </w:rPr>
              <w:t>DS-A71048R/6T</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海康</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213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0"/>
                <w:szCs w:val="20"/>
                <w:u w:val="none"/>
              </w:rPr>
            </w:pPr>
          </w:p>
        </w:tc>
      </w:tr>
      <w:tr>
        <w:tblPrEx>
          <w:shd w:val="clear" w:color="auto" w:fill="auto"/>
          <w:tblCellMar>
            <w:top w:w="0" w:type="dxa"/>
            <w:left w:w="108" w:type="dxa"/>
            <w:bottom w:w="0" w:type="dxa"/>
            <w:right w:w="108" w:type="dxa"/>
          </w:tblCellMar>
        </w:tblPrEx>
        <w:trPr>
          <w:trHeight w:val="1500" w:hRule="atLeast"/>
        </w:trPr>
        <w:tc>
          <w:tcPr>
            <w:tcW w:w="2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13</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-45720</wp:posOffset>
                  </wp:positionH>
                  <wp:positionV relativeFrom="paragraph">
                    <wp:posOffset>332105</wp:posOffset>
                  </wp:positionV>
                  <wp:extent cx="417195" cy="339725"/>
                  <wp:effectExtent l="0" t="0" r="1905" b="3175"/>
                  <wp:wrapNone/>
                  <wp:docPr id="54" name="图片_2"/>
                  <wp:cNvGraphicFramePr/>
                  <a:graphic xmlns:a="http://schemas.openxmlformats.org/drawingml/2006/main">
                    <a:graphicData uri="http://schemas.openxmlformats.org/drawingml/2006/picture">
                      <pic:pic xmlns:pic="http://schemas.openxmlformats.org/drawingml/2006/picture">
                        <pic:nvPicPr>
                          <pic:cNvPr id="54" name="图片_2"/>
                          <pic:cNvPicPr/>
                        </pic:nvPicPr>
                        <pic:blipFill>
                          <a:blip r:embed="rId15"/>
                          <a:stretch>
                            <a:fillRect/>
                          </a:stretch>
                        </pic:blipFill>
                        <pic:spPr>
                          <a:xfrm>
                            <a:off x="0" y="0"/>
                            <a:ext cx="417195" cy="339725"/>
                          </a:xfrm>
                          <a:prstGeom prst="rect">
                            <a:avLst/>
                          </a:prstGeom>
                          <a:noFill/>
                          <a:ln>
                            <a:noFill/>
                          </a:ln>
                        </pic:spPr>
                      </pic:pic>
                    </a:graphicData>
                  </a:graphic>
                </wp:anchor>
              </w:drawing>
            </w:r>
          </w:p>
        </w:tc>
        <w:tc>
          <w:tcPr>
            <w:tcW w:w="3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企业级别SATA硬盘</w:t>
            </w:r>
          </w:p>
        </w:tc>
        <w:tc>
          <w:tcPr>
            <w:tcW w:w="5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6T</w:t>
            </w:r>
          </w:p>
        </w:tc>
        <w:tc>
          <w:tcPr>
            <w:tcW w:w="2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希捷</w:t>
            </w:r>
          </w:p>
        </w:tc>
        <w:tc>
          <w:tcPr>
            <w:tcW w:w="28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块</w:t>
            </w:r>
          </w:p>
        </w:tc>
        <w:tc>
          <w:tcPr>
            <w:tcW w:w="24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w:t>
            </w:r>
          </w:p>
        </w:tc>
        <w:tc>
          <w:tcPr>
            <w:tcW w:w="3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18"/>
                <w:szCs w:val="18"/>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18"/>
                <w:szCs w:val="18"/>
                <w:u w:val="none"/>
              </w:rPr>
            </w:pPr>
          </w:p>
        </w:tc>
        <w:tc>
          <w:tcPr>
            <w:tcW w:w="213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录像三个月</w:t>
            </w:r>
          </w:p>
        </w:tc>
      </w:tr>
      <w:tr>
        <w:tblPrEx>
          <w:shd w:val="clear" w:color="auto" w:fill="auto"/>
          <w:tblCellMar>
            <w:top w:w="0" w:type="dxa"/>
            <w:left w:w="108" w:type="dxa"/>
            <w:bottom w:w="0" w:type="dxa"/>
            <w:right w:w="108" w:type="dxa"/>
          </w:tblCellMar>
        </w:tblPrEx>
        <w:trPr>
          <w:trHeight w:val="1500" w:hRule="atLeast"/>
        </w:trPr>
        <w:tc>
          <w:tcPr>
            <w:tcW w:w="2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14</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-66675</wp:posOffset>
                  </wp:positionH>
                  <wp:positionV relativeFrom="paragraph">
                    <wp:posOffset>347345</wp:posOffset>
                  </wp:positionV>
                  <wp:extent cx="422275" cy="295910"/>
                  <wp:effectExtent l="0" t="0" r="15875" b="8890"/>
                  <wp:wrapNone/>
                  <wp:docPr id="55" name="图片_5"/>
                  <wp:cNvGraphicFramePr/>
                  <a:graphic xmlns:a="http://schemas.openxmlformats.org/drawingml/2006/main">
                    <a:graphicData uri="http://schemas.openxmlformats.org/drawingml/2006/picture">
                      <pic:pic xmlns:pic="http://schemas.openxmlformats.org/drawingml/2006/picture">
                        <pic:nvPicPr>
                          <pic:cNvPr id="55" name="图片_5"/>
                          <pic:cNvPicPr/>
                        </pic:nvPicPr>
                        <pic:blipFill>
                          <a:blip r:embed="rId16"/>
                          <a:stretch>
                            <a:fillRect/>
                          </a:stretch>
                        </pic:blipFill>
                        <pic:spPr>
                          <a:xfrm>
                            <a:off x="0" y="0"/>
                            <a:ext cx="422275" cy="295910"/>
                          </a:xfrm>
                          <a:prstGeom prst="rect">
                            <a:avLst/>
                          </a:prstGeom>
                          <a:noFill/>
                          <a:ln>
                            <a:noFill/>
                          </a:ln>
                        </pic:spPr>
                      </pic:pic>
                    </a:graphicData>
                  </a:graphic>
                </wp:anchor>
              </w:drawing>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海康球机支架</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铝合金专用支架</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海康</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213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0"/>
                <w:szCs w:val="20"/>
                <w:u w:val="none"/>
              </w:rPr>
            </w:pPr>
          </w:p>
        </w:tc>
      </w:tr>
      <w:tr>
        <w:tblPrEx>
          <w:shd w:val="clear" w:color="auto" w:fill="auto"/>
          <w:tblCellMar>
            <w:top w:w="0" w:type="dxa"/>
            <w:left w:w="108" w:type="dxa"/>
            <w:bottom w:w="0" w:type="dxa"/>
            <w:right w:w="108" w:type="dxa"/>
          </w:tblCellMar>
        </w:tblPrEx>
        <w:trPr>
          <w:trHeight w:val="1200" w:hRule="atLeast"/>
        </w:trPr>
        <w:tc>
          <w:tcPr>
            <w:tcW w:w="2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15</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1270</wp:posOffset>
                  </wp:positionH>
                  <wp:positionV relativeFrom="paragraph">
                    <wp:posOffset>240665</wp:posOffset>
                  </wp:positionV>
                  <wp:extent cx="368935" cy="297180"/>
                  <wp:effectExtent l="0" t="0" r="12065" b="7620"/>
                  <wp:wrapNone/>
                  <wp:docPr id="56" name="图片_2_SpCnt_1"/>
                  <wp:cNvGraphicFramePr/>
                  <a:graphic xmlns:a="http://schemas.openxmlformats.org/drawingml/2006/main">
                    <a:graphicData uri="http://schemas.openxmlformats.org/drawingml/2006/picture">
                      <pic:pic xmlns:pic="http://schemas.openxmlformats.org/drawingml/2006/picture">
                        <pic:nvPicPr>
                          <pic:cNvPr id="56" name="图片_2_SpCnt_1"/>
                          <pic:cNvPicPr/>
                        </pic:nvPicPr>
                        <pic:blipFill>
                          <a:blip r:embed="rId17"/>
                          <a:stretch>
                            <a:fillRect/>
                          </a:stretch>
                        </pic:blipFill>
                        <pic:spPr>
                          <a:xfrm>
                            <a:off x="0" y="0"/>
                            <a:ext cx="368935" cy="297180"/>
                          </a:xfrm>
                          <a:prstGeom prst="rect">
                            <a:avLst/>
                          </a:prstGeom>
                          <a:noFill/>
                          <a:ln>
                            <a:noFill/>
                          </a:ln>
                        </pic:spPr>
                      </pic:pic>
                    </a:graphicData>
                  </a:graphic>
                </wp:anchor>
              </w:drawing>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网络高清摄像机支架</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铝合金专用支架</w:t>
            </w: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海康</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只</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61</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213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0"/>
                <w:szCs w:val="20"/>
                <w:u w:val="none"/>
              </w:rPr>
            </w:pPr>
          </w:p>
        </w:tc>
      </w:tr>
      <w:tr>
        <w:tblPrEx>
          <w:shd w:val="clear" w:color="auto" w:fill="auto"/>
          <w:tblCellMar>
            <w:top w:w="0" w:type="dxa"/>
            <w:left w:w="108" w:type="dxa"/>
            <w:bottom w:w="0" w:type="dxa"/>
            <w:right w:w="108" w:type="dxa"/>
          </w:tblCellMar>
        </w:tblPrEx>
        <w:trPr>
          <w:trHeight w:val="1279" w:hRule="atLeast"/>
        </w:trPr>
        <w:tc>
          <w:tcPr>
            <w:tcW w:w="2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16</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-63500</wp:posOffset>
                  </wp:positionH>
                  <wp:positionV relativeFrom="paragraph">
                    <wp:posOffset>288290</wp:posOffset>
                  </wp:positionV>
                  <wp:extent cx="354330" cy="393700"/>
                  <wp:effectExtent l="0" t="0" r="7620" b="6350"/>
                  <wp:wrapNone/>
                  <wp:docPr id="57" name="图片_3"/>
                  <wp:cNvGraphicFramePr/>
                  <a:graphic xmlns:a="http://schemas.openxmlformats.org/drawingml/2006/main">
                    <a:graphicData uri="http://schemas.openxmlformats.org/drawingml/2006/picture">
                      <pic:pic xmlns:pic="http://schemas.openxmlformats.org/drawingml/2006/picture">
                        <pic:nvPicPr>
                          <pic:cNvPr id="57" name="图片_3"/>
                          <pic:cNvPicPr/>
                        </pic:nvPicPr>
                        <pic:blipFill>
                          <a:blip r:embed="rId18"/>
                          <a:stretch>
                            <a:fillRect/>
                          </a:stretch>
                        </pic:blipFill>
                        <pic:spPr>
                          <a:xfrm>
                            <a:off x="0" y="0"/>
                            <a:ext cx="354330" cy="393700"/>
                          </a:xfrm>
                          <a:prstGeom prst="rect">
                            <a:avLst/>
                          </a:prstGeom>
                          <a:noFill/>
                          <a:ln>
                            <a:noFill/>
                          </a:ln>
                        </pic:spPr>
                      </pic:pic>
                    </a:graphicData>
                  </a:graphic>
                </wp:anchor>
              </w:drawing>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千兆24口核心交换机(三层核心交换机）</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RG-NBS5710-24GT4SFP-E</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锐捷</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213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三层管理交换机</w:t>
            </w:r>
          </w:p>
        </w:tc>
      </w:tr>
      <w:tr>
        <w:tblPrEx>
          <w:tblCellMar>
            <w:top w:w="0" w:type="dxa"/>
            <w:left w:w="108" w:type="dxa"/>
            <w:bottom w:w="0" w:type="dxa"/>
            <w:right w:w="108" w:type="dxa"/>
          </w:tblCellMar>
        </w:tblPrEx>
        <w:trPr>
          <w:trHeight w:val="1279" w:hRule="atLeast"/>
        </w:trPr>
        <w:tc>
          <w:tcPr>
            <w:tcW w:w="2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宋体" w:hAnsi="宋体" w:eastAsia="宋体" w:cs="宋体"/>
                <w:i w:val="0"/>
                <w:iCs w:val="0"/>
                <w:color w:val="auto"/>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357505</wp:posOffset>
                  </wp:positionH>
                  <wp:positionV relativeFrom="paragraph">
                    <wp:posOffset>260985</wp:posOffset>
                  </wp:positionV>
                  <wp:extent cx="436880" cy="274320"/>
                  <wp:effectExtent l="0" t="0" r="1270" b="11430"/>
                  <wp:wrapNone/>
                  <wp:docPr id="58" name="图片_3_SpCnt_1"/>
                  <wp:cNvGraphicFramePr/>
                  <a:graphic xmlns:a="http://schemas.openxmlformats.org/drawingml/2006/main">
                    <a:graphicData uri="http://schemas.openxmlformats.org/drawingml/2006/picture">
                      <pic:pic xmlns:pic="http://schemas.openxmlformats.org/drawingml/2006/picture">
                        <pic:nvPicPr>
                          <pic:cNvPr id="58" name="图片_3_SpCnt_1"/>
                          <pic:cNvPicPr/>
                        </pic:nvPicPr>
                        <pic:blipFill>
                          <a:blip r:embed="rId18"/>
                          <a:stretch>
                            <a:fillRect/>
                          </a:stretch>
                        </pic:blipFill>
                        <pic:spPr>
                          <a:xfrm>
                            <a:off x="0" y="0"/>
                            <a:ext cx="436880" cy="274320"/>
                          </a:xfrm>
                          <a:prstGeom prst="rect">
                            <a:avLst/>
                          </a:prstGeom>
                          <a:noFill/>
                          <a:ln>
                            <a:noFill/>
                          </a:ln>
                        </pic:spPr>
                      </pic:pic>
                    </a:graphicData>
                  </a:graphic>
                </wp:anchor>
              </w:drawing>
            </w:r>
            <w:r>
              <w:rPr>
                <w:rFonts w:hint="eastAsia" w:ascii="黑体" w:hAnsi="宋体" w:eastAsia="黑体" w:cs="黑体"/>
                <w:i w:val="0"/>
                <w:iCs w:val="0"/>
                <w:color w:val="auto"/>
                <w:kern w:val="0"/>
                <w:sz w:val="24"/>
                <w:szCs w:val="24"/>
                <w:u w:val="none"/>
                <w:lang w:val="en-US" w:eastAsia="zh-CN" w:bidi="ar"/>
              </w:rPr>
              <w:t>17</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千兆24口交换机</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RG-ES224GC</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锐捷</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213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0"/>
                <w:szCs w:val="20"/>
                <w:u w:val="none"/>
              </w:rPr>
            </w:pPr>
          </w:p>
        </w:tc>
      </w:tr>
      <w:tr>
        <w:tblPrEx>
          <w:shd w:val="clear" w:color="auto" w:fill="auto"/>
          <w:tblCellMar>
            <w:top w:w="0" w:type="dxa"/>
            <w:left w:w="108" w:type="dxa"/>
            <w:bottom w:w="0" w:type="dxa"/>
            <w:right w:w="108" w:type="dxa"/>
          </w:tblCellMar>
        </w:tblPrEx>
        <w:trPr>
          <w:trHeight w:val="1200" w:hRule="atLeast"/>
        </w:trPr>
        <w:tc>
          <w:tcPr>
            <w:tcW w:w="2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宋体" w:hAnsi="宋体" w:eastAsia="宋体" w:cs="宋体"/>
                <w:i w:val="0"/>
                <w:iCs w:val="0"/>
                <w:color w:val="auto"/>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371475</wp:posOffset>
                  </wp:positionH>
                  <wp:positionV relativeFrom="paragraph">
                    <wp:posOffset>233045</wp:posOffset>
                  </wp:positionV>
                  <wp:extent cx="401955" cy="196215"/>
                  <wp:effectExtent l="0" t="0" r="17145" b="13335"/>
                  <wp:wrapNone/>
                  <wp:docPr id="59" name="图片_2_SpCnt_2"/>
                  <wp:cNvGraphicFramePr/>
                  <a:graphic xmlns:a="http://schemas.openxmlformats.org/drawingml/2006/main">
                    <a:graphicData uri="http://schemas.openxmlformats.org/drawingml/2006/picture">
                      <pic:pic xmlns:pic="http://schemas.openxmlformats.org/drawingml/2006/picture">
                        <pic:nvPicPr>
                          <pic:cNvPr id="59" name="图片_2_SpCnt_2"/>
                          <pic:cNvPicPr/>
                        </pic:nvPicPr>
                        <pic:blipFill>
                          <a:blip r:embed="rId19"/>
                          <a:stretch>
                            <a:fillRect/>
                          </a:stretch>
                        </pic:blipFill>
                        <pic:spPr>
                          <a:xfrm>
                            <a:off x="0" y="0"/>
                            <a:ext cx="401955" cy="196215"/>
                          </a:xfrm>
                          <a:prstGeom prst="rect">
                            <a:avLst/>
                          </a:prstGeom>
                          <a:noFill/>
                          <a:ln>
                            <a:noFill/>
                          </a:ln>
                        </pic:spPr>
                      </pic:pic>
                    </a:graphicData>
                  </a:graphic>
                </wp:anchor>
              </w:drawing>
            </w:r>
            <w:r>
              <w:rPr>
                <w:rFonts w:hint="eastAsia" w:ascii="黑体" w:hAnsi="宋体" w:eastAsia="黑体" w:cs="黑体"/>
                <w:i w:val="0"/>
                <w:iCs w:val="0"/>
                <w:color w:val="auto"/>
                <w:kern w:val="0"/>
                <w:sz w:val="24"/>
                <w:szCs w:val="24"/>
                <w:u w:val="none"/>
                <w:lang w:val="en-US" w:eastAsia="zh-CN" w:bidi="ar"/>
              </w:rPr>
              <w:t>18</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千兆8口交换机</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RG-ES108GD</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锐捷</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213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0"/>
                <w:szCs w:val="20"/>
                <w:u w:val="none"/>
              </w:rPr>
            </w:pPr>
          </w:p>
        </w:tc>
      </w:tr>
      <w:tr>
        <w:tblPrEx>
          <w:shd w:val="clear" w:color="auto" w:fill="auto"/>
          <w:tblCellMar>
            <w:top w:w="0" w:type="dxa"/>
            <w:left w:w="108" w:type="dxa"/>
            <w:bottom w:w="0" w:type="dxa"/>
            <w:right w:w="108" w:type="dxa"/>
          </w:tblCellMar>
        </w:tblPrEx>
        <w:trPr>
          <w:trHeight w:val="1320" w:hRule="atLeast"/>
        </w:trPr>
        <w:tc>
          <w:tcPr>
            <w:tcW w:w="2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19</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-48260</wp:posOffset>
                  </wp:positionH>
                  <wp:positionV relativeFrom="paragraph">
                    <wp:posOffset>338455</wp:posOffset>
                  </wp:positionV>
                  <wp:extent cx="363220" cy="140970"/>
                  <wp:effectExtent l="0" t="0" r="17780" b="11430"/>
                  <wp:wrapNone/>
                  <wp:docPr id="60" name="图片_2_SpCnt_3"/>
                  <wp:cNvGraphicFramePr/>
                  <a:graphic xmlns:a="http://schemas.openxmlformats.org/drawingml/2006/main">
                    <a:graphicData uri="http://schemas.openxmlformats.org/drawingml/2006/picture">
                      <pic:pic xmlns:pic="http://schemas.openxmlformats.org/drawingml/2006/picture">
                        <pic:nvPicPr>
                          <pic:cNvPr id="60" name="图片_2_SpCnt_3"/>
                          <pic:cNvPicPr/>
                        </pic:nvPicPr>
                        <pic:blipFill>
                          <a:blip r:embed="rId20"/>
                          <a:stretch>
                            <a:fillRect/>
                          </a:stretch>
                        </pic:blipFill>
                        <pic:spPr>
                          <a:xfrm>
                            <a:off x="0" y="0"/>
                            <a:ext cx="363220" cy="140970"/>
                          </a:xfrm>
                          <a:prstGeom prst="rect">
                            <a:avLst/>
                          </a:prstGeom>
                          <a:noFill/>
                          <a:ln>
                            <a:noFill/>
                          </a:ln>
                        </pic:spPr>
                      </pic:pic>
                    </a:graphicData>
                  </a:graphic>
                </wp:anchor>
              </w:drawing>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千兆光纤传输器</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TL311AB</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TP-LINK</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213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0"/>
                <w:szCs w:val="20"/>
                <w:u w:val="none"/>
              </w:rPr>
            </w:pPr>
          </w:p>
        </w:tc>
      </w:tr>
      <w:tr>
        <w:tblPrEx>
          <w:shd w:val="clear" w:color="auto" w:fill="auto"/>
          <w:tblCellMar>
            <w:top w:w="0" w:type="dxa"/>
            <w:left w:w="108" w:type="dxa"/>
            <w:bottom w:w="0" w:type="dxa"/>
            <w:right w:w="108" w:type="dxa"/>
          </w:tblCellMar>
        </w:tblPrEx>
        <w:trPr>
          <w:trHeight w:val="1320" w:hRule="atLeast"/>
        </w:trPr>
        <w:tc>
          <w:tcPr>
            <w:tcW w:w="2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20</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-41275</wp:posOffset>
                  </wp:positionH>
                  <wp:positionV relativeFrom="paragraph">
                    <wp:posOffset>281940</wp:posOffset>
                  </wp:positionV>
                  <wp:extent cx="439420" cy="205105"/>
                  <wp:effectExtent l="0" t="0" r="17780" b="4445"/>
                  <wp:wrapNone/>
                  <wp:docPr id="61" name="图片_4"/>
                  <wp:cNvGraphicFramePr/>
                  <a:graphic xmlns:a="http://schemas.openxmlformats.org/drawingml/2006/main">
                    <a:graphicData uri="http://schemas.openxmlformats.org/drawingml/2006/picture">
                      <pic:pic xmlns:pic="http://schemas.openxmlformats.org/drawingml/2006/picture">
                        <pic:nvPicPr>
                          <pic:cNvPr id="61" name="图片_4"/>
                          <pic:cNvPicPr/>
                        </pic:nvPicPr>
                        <pic:blipFill>
                          <a:blip r:embed="rId21"/>
                          <a:stretch>
                            <a:fillRect/>
                          </a:stretch>
                        </pic:blipFill>
                        <pic:spPr>
                          <a:xfrm>
                            <a:off x="0" y="0"/>
                            <a:ext cx="439420" cy="205105"/>
                          </a:xfrm>
                          <a:prstGeom prst="rect">
                            <a:avLst/>
                          </a:prstGeom>
                          <a:noFill/>
                          <a:ln>
                            <a:noFill/>
                          </a:ln>
                        </pic:spPr>
                      </pic:pic>
                    </a:graphicData>
                  </a:graphic>
                </wp:anchor>
              </w:drawing>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千兆光纤传输器电源机架</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TL-14AB</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TP-LINK</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213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0"/>
                <w:szCs w:val="20"/>
                <w:u w:val="none"/>
              </w:rPr>
            </w:pPr>
          </w:p>
        </w:tc>
      </w:tr>
      <w:tr>
        <w:tblPrEx>
          <w:tblCellMar>
            <w:top w:w="0" w:type="dxa"/>
            <w:left w:w="108" w:type="dxa"/>
            <w:bottom w:w="0" w:type="dxa"/>
            <w:right w:w="108" w:type="dxa"/>
          </w:tblCellMar>
        </w:tblPrEx>
        <w:trPr>
          <w:trHeight w:val="1320" w:hRule="atLeast"/>
        </w:trPr>
        <w:tc>
          <w:tcPr>
            <w:tcW w:w="2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21</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-66675</wp:posOffset>
                  </wp:positionH>
                  <wp:positionV relativeFrom="paragraph">
                    <wp:posOffset>356870</wp:posOffset>
                  </wp:positionV>
                  <wp:extent cx="428625" cy="333375"/>
                  <wp:effectExtent l="0" t="0" r="9525" b="9525"/>
                  <wp:wrapNone/>
                  <wp:docPr id="62" name="图片_1_SpCnt_2"/>
                  <wp:cNvGraphicFramePr/>
                  <a:graphic xmlns:a="http://schemas.openxmlformats.org/drawingml/2006/main">
                    <a:graphicData uri="http://schemas.openxmlformats.org/drawingml/2006/picture">
                      <pic:pic xmlns:pic="http://schemas.openxmlformats.org/drawingml/2006/picture">
                        <pic:nvPicPr>
                          <pic:cNvPr id="62" name="图片_1_SpCnt_2"/>
                          <pic:cNvPicPr/>
                        </pic:nvPicPr>
                        <pic:blipFill>
                          <a:blip r:embed="rId22"/>
                          <a:stretch>
                            <a:fillRect/>
                          </a:stretch>
                        </pic:blipFill>
                        <pic:spPr>
                          <a:xfrm>
                            <a:off x="0" y="0"/>
                            <a:ext cx="428625" cy="333375"/>
                          </a:xfrm>
                          <a:prstGeom prst="rect">
                            <a:avLst/>
                          </a:prstGeom>
                          <a:noFill/>
                          <a:ln>
                            <a:noFill/>
                          </a:ln>
                        </pic:spPr>
                      </pic:pic>
                    </a:graphicData>
                  </a:graphic>
                </wp:anchor>
              </w:drawing>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监控客户端电脑（需要按实际大屏上墙等单独定制）</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按实际要求定制定制</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联想</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21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双显卡，配合电子大屏显示，</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单独系统（独立定制）</w:t>
            </w:r>
          </w:p>
        </w:tc>
      </w:tr>
      <w:tr>
        <w:tblPrEx>
          <w:shd w:val="clear" w:color="auto" w:fill="auto"/>
          <w:tblCellMar>
            <w:top w:w="0" w:type="dxa"/>
            <w:left w:w="108" w:type="dxa"/>
            <w:bottom w:w="0" w:type="dxa"/>
            <w:right w:w="108" w:type="dxa"/>
          </w:tblCellMar>
        </w:tblPrEx>
        <w:trPr>
          <w:trHeight w:val="1320" w:hRule="atLeast"/>
        </w:trPr>
        <w:tc>
          <w:tcPr>
            <w:tcW w:w="2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22</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-41910</wp:posOffset>
                  </wp:positionH>
                  <wp:positionV relativeFrom="paragraph">
                    <wp:posOffset>249555</wp:posOffset>
                  </wp:positionV>
                  <wp:extent cx="393065" cy="297815"/>
                  <wp:effectExtent l="0" t="0" r="6985" b="6985"/>
                  <wp:wrapNone/>
                  <wp:docPr id="63" name="图片_1_SpCnt_3"/>
                  <wp:cNvGraphicFramePr/>
                  <a:graphic xmlns:a="http://schemas.openxmlformats.org/drawingml/2006/main">
                    <a:graphicData uri="http://schemas.openxmlformats.org/drawingml/2006/picture">
                      <pic:pic xmlns:pic="http://schemas.openxmlformats.org/drawingml/2006/picture">
                        <pic:nvPicPr>
                          <pic:cNvPr id="63" name="图片_1_SpCnt_3"/>
                          <pic:cNvPicPr/>
                        </pic:nvPicPr>
                        <pic:blipFill>
                          <a:blip r:embed="rId22"/>
                          <a:stretch>
                            <a:fillRect/>
                          </a:stretch>
                        </pic:blipFill>
                        <pic:spPr>
                          <a:xfrm>
                            <a:off x="0" y="0"/>
                            <a:ext cx="393065" cy="297815"/>
                          </a:xfrm>
                          <a:prstGeom prst="rect">
                            <a:avLst/>
                          </a:prstGeom>
                          <a:noFill/>
                          <a:ln>
                            <a:noFill/>
                          </a:ln>
                        </pic:spPr>
                      </pic:pic>
                    </a:graphicData>
                  </a:graphic>
                </wp:anchor>
              </w:drawing>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专用电脑</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按实际要求定制定制</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联想</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21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门口传达室红外测温系统用电脑</w:t>
            </w:r>
          </w:p>
        </w:tc>
      </w:tr>
      <w:tr>
        <w:tblPrEx>
          <w:tblCellMar>
            <w:top w:w="0" w:type="dxa"/>
            <w:left w:w="108" w:type="dxa"/>
            <w:bottom w:w="0" w:type="dxa"/>
            <w:right w:w="108" w:type="dxa"/>
          </w:tblCellMar>
        </w:tblPrEx>
        <w:trPr>
          <w:trHeight w:val="1320" w:hRule="atLeast"/>
        </w:trPr>
        <w:tc>
          <w:tcPr>
            <w:tcW w:w="2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23</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-4445</wp:posOffset>
                  </wp:positionH>
                  <wp:positionV relativeFrom="paragraph">
                    <wp:posOffset>269240</wp:posOffset>
                  </wp:positionV>
                  <wp:extent cx="365125" cy="248285"/>
                  <wp:effectExtent l="0" t="0" r="15875" b="18415"/>
                  <wp:wrapNone/>
                  <wp:docPr id="45" name="图片_6"/>
                  <wp:cNvGraphicFramePr/>
                  <a:graphic xmlns:a="http://schemas.openxmlformats.org/drawingml/2006/main">
                    <a:graphicData uri="http://schemas.openxmlformats.org/drawingml/2006/picture">
                      <pic:pic xmlns:pic="http://schemas.openxmlformats.org/drawingml/2006/picture">
                        <pic:nvPicPr>
                          <pic:cNvPr id="45" name="图片_6"/>
                          <pic:cNvPicPr/>
                        </pic:nvPicPr>
                        <pic:blipFill>
                          <a:blip r:embed="rId23"/>
                          <a:stretch>
                            <a:fillRect/>
                          </a:stretch>
                        </pic:blipFill>
                        <pic:spPr>
                          <a:xfrm>
                            <a:off x="0" y="0"/>
                            <a:ext cx="365125" cy="248285"/>
                          </a:xfrm>
                          <a:prstGeom prst="rect">
                            <a:avLst/>
                          </a:prstGeom>
                          <a:noFill/>
                          <a:ln>
                            <a:noFill/>
                          </a:ln>
                        </pic:spPr>
                      </pic:pic>
                    </a:graphicData>
                  </a:graphic>
                </wp:anchor>
              </w:drawing>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四芯光纤</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SG04</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GYXTW</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米</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213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0"/>
                <w:szCs w:val="20"/>
                <w:u w:val="none"/>
              </w:rPr>
            </w:pPr>
          </w:p>
        </w:tc>
      </w:tr>
      <w:tr>
        <w:tblPrEx>
          <w:shd w:val="clear" w:color="auto" w:fill="auto"/>
          <w:tblCellMar>
            <w:top w:w="0" w:type="dxa"/>
            <w:left w:w="108" w:type="dxa"/>
            <w:bottom w:w="0" w:type="dxa"/>
            <w:right w:w="108" w:type="dxa"/>
          </w:tblCellMar>
        </w:tblPrEx>
        <w:trPr>
          <w:trHeight w:val="1200" w:hRule="atLeast"/>
        </w:trPr>
        <w:tc>
          <w:tcPr>
            <w:tcW w:w="2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24</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-37465</wp:posOffset>
                  </wp:positionH>
                  <wp:positionV relativeFrom="paragraph">
                    <wp:posOffset>202565</wp:posOffset>
                  </wp:positionV>
                  <wp:extent cx="415925" cy="256540"/>
                  <wp:effectExtent l="0" t="0" r="3175" b="10160"/>
                  <wp:wrapNone/>
                  <wp:docPr id="44" name="图片_3_SpCnt_2"/>
                  <wp:cNvGraphicFramePr/>
                  <a:graphic xmlns:a="http://schemas.openxmlformats.org/drawingml/2006/main">
                    <a:graphicData uri="http://schemas.openxmlformats.org/drawingml/2006/picture">
                      <pic:pic xmlns:pic="http://schemas.openxmlformats.org/drawingml/2006/picture">
                        <pic:nvPicPr>
                          <pic:cNvPr id="44" name="图片_3_SpCnt_2"/>
                          <pic:cNvPicPr/>
                        </pic:nvPicPr>
                        <pic:blipFill>
                          <a:blip r:embed="rId24"/>
                          <a:stretch>
                            <a:fillRect/>
                          </a:stretch>
                        </pic:blipFill>
                        <pic:spPr>
                          <a:xfrm>
                            <a:off x="0" y="0"/>
                            <a:ext cx="415925" cy="256540"/>
                          </a:xfrm>
                          <a:prstGeom prst="rect">
                            <a:avLst/>
                          </a:prstGeom>
                          <a:noFill/>
                          <a:ln>
                            <a:noFill/>
                          </a:ln>
                        </pic:spPr>
                      </pic:pic>
                    </a:graphicData>
                  </a:graphic>
                </wp:anchor>
              </w:drawing>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光纤熔接盒（含尾纤）</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24芯机架式</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海奈</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213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0"/>
                <w:szCs w:val="20"/>
                <w:u w:val="none"/>
              </w:rPr>
            </w:pPr>
          </w:p>
        </w:tc>
      </w:tr>
      <w:tr>
        <w:tblPrEx>
          <w:shd w:val="clear" w:color="auto" w:fill="auto"/>
          <w:tblCellMar>
            <w:top w:w="0" w:type="dxa"/>
            <w:left w:w="108" w:type="dxa"/>
            <w:bottom w:w="0" w:type="dxa"/>
            <w:right w:w="108" w:type="dxa"/>
          </w:tblCellMar>
        </w:tblPrEx>
        <w:trPr>
          <w:trHeight w:val="1410" w:hRule="atLeast"/>
        </w:trPr>
        <w:tc>
          <w:tcPr>
            <w:tcW w:w="2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宋体" w:hAnsi="宋体" w:eastAsia="宋体" w:cs="宋体"/>
                <w:i w:val="0"/>
                <w:iCs w:val="0"/>
                <w:color w:val="auto"/>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320675</wp:posOffset>
                  </wp:positionH>
                  <wp:positionV relativeFrom="paragraph">
                    <wp:posOffset>360045</wp:posOffset>
                  </wp:positionV>
                  <wp:extent cx="494030" cy="153035"/>
                  <wp:effectExtent l="0" t="0" r="1270" b="18415"/>
                  <wp:wrapNone/>
                  <wp:docPr id="64" name="图片_1_SpCnt_4"/>
                  <wp:cNvGraphicFramePr/>
                  <a:graphic xmlns:a="http://schemas.openxmlformats.org/drawingml/2006/main">
                    <a:graphicData uri="http://schemas.openxmlformats.org/drawingml/2006/picture">
                      <pic:pic xmlns:pic="http://schemas.openxmlformats.org/drawingml/2006/picture">
                        <pic:nvPicPr>
                          <pic:cNvPr id="64" name="图片_1_SpCnt_4"/>
                          <pic:cNvPicPr/>
                        </pic:nvPicPr>
                        <pic:blipFill>
                          <a:blip r:embed="rId25"/>
                          <a:stretch>
                            <a:fillRect/>
                          </a:stretch>
                        </pic:blipFill>
                        <pic:spPr>
                          <a:xfrm>
                            <a:off x="0" y="0"/>
                            <a:ext cx="494030" cy="153035"/>
                          </a:xfrm>
                          <a:prstGeom prst="rect">
                            <a:avLst/>
                          </a:prstGeom>
                          <a:noFill/>
                          <a:ln>
                            <a:noFill/>
                          </a:ln>
                        </pic:spPr>
                      </pic:pic>
                    </a:graphicData>
                  </a:graphic>
                </wp:anchor>
              </w:drawing>
            </w:r>
            <w:r>
              <w:rPr>
                <w:rFonts w:hint="eastAsia" w:ascii="黑体" w:hAnsi="宋体" w:eastAsia="黑体" w:cs="黑体"/>
                <w:i w:val="0"/>
                <w:iCs w:val="0"/>
                <w:color w:val="auto"/>
                <w:kern w:val="0"/>
                <w:sz w:val="24"/>
                <w:szCs w:val="24"/>
                <w:u w:val="none"/>
                <w:lang w:val="en-US" w:eastAsia="zh-CN" w:bidi="ar"/>
              </w:rPr>
              <w:t>25</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光纤熔接盒（含尾纤）</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四芯</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海奈</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只</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213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18"/>
                <w:szCs w:val="18"/>
                <w:u w:val="none"/>
              </w:rPr>
            </w:pPr>
          </w:p>
        </w:tc>
      </w:tr>
      <w:tr>
        <w:tblPrEx>
          <w:shd w:val="clear" w:color="auto" w:fill="auto"/>
          <w:tblCellMar>
            <w:top w:w="0" w:type="dxa"/>
            <w:left w:w="108" w:type="dxa"/>
            <w:bottom w:w="0" w:type="dxa"/>
            <w:right w:w="108" w:type="dxa"/>
          </w:tblCellMar>
        </w:tblPrEx>
        <w:trPr>
          <w:trHeight w:val="1410" w:hRule="atLeast"/>
        </w:trPr>
        <w:tc>
          <w:tcPr>
            <w:tcW w:w="2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26</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-18415</wp:posOffset>
                  </wp:positionH>
                  <wp:positionV relativeFrom="paragraph">
                    <wp:posOffset>285750</wp:posOffset>
                  </wp:positionV>
                  <wp:extent cx="393065" cy="229235"/>
                  <wp:effectExtent l="0" t="0" r="6985" b="18415"/>
                  <wp:wrapNone/>
                  <wp:docPr id="65" name="图片_8"/>
                  <wp:cNvGraphicFramePr/>
                  <a:graphic xmlns:a="http://schemas.openxmlformats.org/drawingml/2006/main">
                    <a:graphicData uri="http://schemas.openxmlformats.org/drawingml/2006/picture">
                      <pic:pic xmlns:pic="http://schemas.openxmlformats.org/drawingml/2006/picture">
                        <pic:nvPicPr>
                          <pic:cNvPr id="65" name="图片_8"/>
                          <pic:cNvPicPr/>
                        </pic:nvPicPr>
                        <pic:blipFill>
                          <a:blip r:embed="rId26"/>
                          <a:stretch>
                            <a:fillRect/>
                          </a:stretch>
                        </pic:blipFill>
                        <pic:spPr>
                          <a:xfrm>
                            <a:off x="0" y="0"/>
                            <a:ext cx="393065" cy="229235"/>
                          </a:xfrm>
                          <a:prstGeom prst="rect">
                            <a:avLst/>
                          </a:prstGeom>
                          <a:noFill/>
                          <a:ln>
                            <a:noFill/>
                          </a:ln>
                        </pic:spPr>
                      </pic:pic>
                    </a:graphicData>
                  </a:graphic>
                </wp:anchor>
              </w:drawing>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光纤熔接（含单芯跳线）</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标准</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标准</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芯</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118</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213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18"/>
                <w:szCs w:val="18"/>
                <w:u w:val="none"/>
              </w:rPr>
            </w:pPr>
          </w:p>
        </w:tc>
      </w:tr>
      <w:tr>
        <w:tblPrEx>
          <w:shd w:val="clear" w:color="auto" w:fill="auto"/>
          <w:tblCellMar>
            <w:top w:w="0" w:type="dxa"/>
            <w:left w:w="108" w:type="dxa"/>
            <w:bottom w:w="0" w:type="dxa"/>
            <w:right w:w="108" w:type="dxa"/>
          </w:tblCellMar>
        </w:tblPrEx>
        <w:trPr>
          <w:trHeight w:val="1410" w:hRule="atLeast"/>
        </w:trPr>
        <w:tc>
          <w:tcPr>
            <w:tcW w:w="2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27</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-55880</wp:posOffset>
                  </wp:positionH>
                  <wp:positionV relativeFrom="paragraph">
                    <wp:posOffset>344805</wp:posOffset>
                  </wp:positionV>
                  <wp:extent cx="395605" cy="323850"/>
                  <wp:effectExtent l="0" t="0" r="4445" b="0"/>
                  <wp:wrapNone/>
                  <wp:docPr id="66" name="图片_5_SpCnt_1"/>
                  <wp:cNvGraphicFramePr/>
                  <a:graphic xmlns:a="http://schemas.openxmlformats.org/drawingml/2006/main">
                    <a:graphicData uri="http://schemas.openxmlformats.org/drawingml/2006/picture">
                      <pic:pic xmlns:pic="http://schemas.openxmlformats.org/drawingml/2006/picture">
                        <pic:nvPicPr>
                          <pic:cNvPr id="66" name="图片_5_SpCnt_1"/>
                          <pic:cNvPicPr/>
                        </pic:nvPicPr>
                        <pic:blipFill>
                          <a:blip r:embed="rId27"/>
                          <a:stretch>
                            <a:fillRect/>
                          </a:stretch>
                        </pic:blipFill>
                        <pic:spPr>
                          <a:xfrm>
                            <a:off x="0" y="0"/>
                            <a:ext cx="395605" cy="323850"/>
                          </a:xfrm>
                          <a:prstGeom prst="rect">
                            <a:avLst/>
                          </a:prstGeom>
                          <a:noFill/>
                          <a:ln>
                            <a:noFill/>
                          </a:ln>
                        </pic:spPr>
                      </pic:pic>
                    </a:graphicData>
                  </a:graphic>
                </wp:anchor>
              </w:drawing>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机柜内多路电源模块一套（10路）</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标准</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正泰</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21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机房集中管理供电</w:t>
            </w:r>
          </w:p>
        </w:tc>
      </w:tr>
      <w:tr>
        <w:tblPrEx>
          <w:shd w:val="clear" w:color="auto" w:fill="auto"/>
          <w:tblCellMar>
            <w:top w:w="0" w:type="dxa"/>
            <w:left w:w="108" w:type="dxa"/>
            <w:bottom w:w="0" w:type="dxa"/>
            <w:right w:w="108" w:type="dxa"/>
          </w:tblCellMar>
        </w:tblPrEx>
        <w:trPr>
          <w:trHeight w:val="1362" w:hRule="atLeast"/>
        </w:trPr>
        <w:tc>
          <w:tcPr>
            <w:tcW w:w="2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28</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-9525</wp:posOffset>
                  </wp:positionH>
                  <wp:positionV relativeFrom="paragraph">
                    <wp:posOffset>281305</wp:posOffset>
                  </wp:positionV>
                  <wp:extent cx="394335" cy="243205"/>
                  <wp:effectExtent l="0" t="0" r="5715" b="4445"/>
                  <wp:wrapNone/>
                  <wp:docPr id="67" name="图片_4_SpCnt_1"/>
                  <wp:cNvGraphicFramePr/>
                  <a:graphic xmlns:a="http://schemas.openxmlformats.org/drawingml/2006/main">
                    <a:graphicData uri="http://schemas.openxmlformats.org/drawingml/2006/picture">
                      <pic:pic xmlns:pic="http://schemas.openxmlformats.org/drawingml/2006/picture">
                        <pic:nvPicPr>
                          <pic:cNvPr id="67" name="图片_4_SpCnt_1"/>
                          <pic:cNvPicPr/>
                        </pic:nvPicPr>
                        <pic:blipFill>
                          <a:blip r:embed="rId28"/>
                          <a:stretch>
                            <a:fillRect/>
                          </a:stretch>
                        </pic:blipFill>
                        <pic:spPr>
                          <a:xfrm>
                            <a:off x="0" y="0"/>
                            <a:ext cx="394335" cy="243205"/>
                          </a:xfrm>
                          <a:prstGeom prst="rect">
                            <a:avLst/>
                          </a:prstGeom>
                          <a:noFill/>
                          <a:ln>
                            <a:noFill/>
                          </a:ln>
                        </pic:spPr>
                      </pic:pic>
                    </a:graphicData>
                  </a:graphic>
                </wp:anchor>
              </w:drawing>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电源</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12V5A-12V20A</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德力西</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块</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cs="宋体"/>
                <w:i w:val="0"/>
                <w:iCs w:val="0"/>
                <w:color w:val="auto"/>
                <w:kern w:val="0"/>
                <w:sz w:val="18"/>
                <w:szCs w:val="18"/>
                <w:u w:val="none"/>
                <w:lang w:val="en-US" w:eastAsia="zh-CN" w:bidi="ar"/>
              </w:rPr>
              <w:t>7</w:t>
            </w:r>
            <w:r>
              <w:rPr>
                <w:rFonts w:hint="eastAsia" w:ascii="宋体" w:hAnsi="宋体" w:eastAsia="宋体" w:cs="宋体"/>
                <w:i w:val="0"/>
                <w:iCs w:val="0"/>
                <w:color w:val="auto"/>
                <w:kern w:val="0"/>
                <w:sz w:val="18"/>
                <w:szCs w:val="18"/>
                <w:u w:val="none"/>
                <w:lang w:val="en-US" w:eastAsia="zh-CN" w:bidi="ar"/>
              </w:rPr>
              <w:t>1</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21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根据现场具体</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核定数量</w:t>
            </w:r>
          </w:p>
        </w:tc>
      </w:tr>
      <w:tr>
        <w:tblPrEx>
          <w:shd w:val="clear" w:color="auto" w:fill="auto"/>
          <w:tblCellMar>
            <w:top w:w="0" w:type="dxa"/>
            <w:left w:w="108" w:type="dxa"/>
            <w:bottom w:w="0" w:type="dxa"/>
            <w:right w:w="108" w:type="dxa"/>
          </w:tblCellMar>
        </w:tblPrEx>
        <w:trPr>
          <w:trHeight w:val="1362" w:hRule="atLeast"/>
        </w:trPr>
        <w:tc>
          <w:tcPr>
            <w:tcW w:w="2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29</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5080</wp:posOffset>
                  </wp:positionH>
                  <wp:positionV relativeFrom="paragraph">
                    <wp:posOffset>266700</wp:posOffset>
                  </wp:positionV>
                  <wp:extent cx="339090" cy="321310"/>
                  <wp:effectExtent l="0" t="0" r="3810" b="2540"/>
                  <wp:wrapNone/>
                  <wp:docPr id="68" name="图片_1_SpCnt_5"/>
                  <wp:cNvGraphicFramePr/>
                  <a:graphic xmlns:a="http://schemas.openxmlformats.org/drawingml/2006/main">
                    <a:graphicData uri="http://schemas.openxmlformats.org/drawingml/2006/picture">
                      <pic:pic xmlns:pic="http://schemas.openxmlformats.org/drawingml/2006/picture">
                        <pic:nvPicPr>
                          <pic:cNvPr id="68" name="图片_1_SpCnt_5"/>
                          <pic:cNvPicPr/>
                        </pic:nvPicPr>
                        <pic:blipFill>
                          <a:blip r:embed="rId29"/>
                          <a:stretch>
                            <a:fillRect/>
                          </a:stretch>
                        </pic:blipFill>
                        <pic:spPr>
                          <a:xfrm>
                            <a:off x="0" y="0"/>
                            <a:ext cx="339090" cy="321310"/>
                          </a:xfrm>
                          <a:prstGeom prst="rect">
                            <a:avLst/>
                          </a:prstGeom>
                          <a:noFill/>
                          <a:ln>
                            <a:noFill/>
                          </a:ln>
                        </pic:spPr>
                      </pic:pic>
                    </a:graphicData>
                  </a:graphic>
                </wp:anchor>
              </w:drawing>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室外监控不锈钢防水箱</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500*600*200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定制</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213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0"/>
                <w:szCs w:val="20"/>
                <w:u w:val="none"/>
              </w:rPr>
            </w:pPr>
          </w:p>
        </w:tc>
      </w:tr>
      <w:tr>
        <w:tblPrEx>
          <w:shd w:val="clear" w:color="auto" w:fill="auto"/>
          <w:tblCellMar>
            <w:top w:w="0" w:type="dxa"/>
            <w:left w:w="108" w:type="dxa"/>
            <w:bottom w:w="0" w:type="dxa"/>
            <w:right w:w="108" w:type="dxa"/>
          </w:tblCellMar>
        </w:tblPrEx>
        <w:trPr>
          <w:trHeight w:val="1422" w:hRule="atLeast"/>
        </w:trPr>
        <w:tc>
          <w:tcPr>
            <w:tcW w:w="2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30</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-28575</wp:posOffset>
                  </wp:positionH>
                  <wp:positionV relativeFrom="paragraph">
                    <wp:posOffset>255270</wp:posOffset>
                  </wp:positionV>
                  <wp:extent cx="375285" cy="333375"/>
                  <wp:effectExtent l="0" t="0" r="5715" b="9525"/>
                  <wp:wrapNone/>
                  <wp:docPr id="69" name="图片_1_SpCnt_6"/>
                  <wp:cNvGraphicFramePr/>
                  <a:graphic xmlns:a="http://schemas.openxmlformats.org/drawingml/2006/main">
                    <a:graphicData uri="http://schemas.openxmlformats.org/drawingml/2006/picture">
                      <pic:pic xmlns:pic="http://schemas.openxmlformats.org/drawingml/2006/picture">
                        <pic:nvPicPr>
                          <pic:cNvPr id="69" name="图片_1_SpCnt_6"/>
                          <pic:cNvPicPr/>
                        </pic:nvPicPr>
                        <pic:blipFill>
                          <a:blip r:embed="rId29"/>
                          <a:stretch>
                            <a:fillRect/>
                          </a:stretch>
                        </pic:blipFill>
                        <pic:spPr>
                          <a:xfrm>
                            <a:off x="0" y="0"/>
                            <a:ext cx="375285" cy="333375"/>
                          </a:xfrm>
                          <a:prstGeom prst="rect">
                            <a:avLst/>
                          </a:prstGeom>
                          <a:noFill/>
                          <a:ln>
                            <a:noFill/>
                          </a:ln>
                        </pic:spPr>
                      </pic:pic>
                    </a:graphicData>
                  </a:graphic>
                </wp:anchor>
              </w:drawing>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室外监控不锈钢防水箱</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300*400*180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定制</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213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0"/>
                <w:szCs w:val="20"/>
                <w:u w:val="none"/>
              </w:rPr>
            </w:pPr>
          </w:p>
        </w:tc>
      </w:tr>
      <w:tr>
        <w:tblPrEx>
          <w:shd w:val="clear" w:color="auto" w:fill="auto"/>
          <w:tblCellMar>
            <w:top w:w="0" w:type="dxa"/>
            <w:left w:w="108" w:type="dxa"/>
            <w:bottom w:w="0" w:type="dxa"/>
            <w:right w:w="108" w:type="dxa"/>
          </w:tblCellMar>
        </w:tblPrEx>
        <w:trPr>
          <w:trHeight w:val="1422" w:hRule="atLeast"/>
        </w:trPr>
        <w:tc>
          <w:tcPr>
            <w:tcW w:w="2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31</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53975</wp:posOffset>
                  </wp:positionH>
                  <wp:positionV relativeFrom="paragraph">
                    <wp:posOffset>353695</wp:posOffset>
                  </wp:positionV>
                  <wp:extent cx="184150" cy="565785"/>
                  <wp:effectExtent l="0" t="0" r="6350" b="5715"/>
                  <wp:wrapNone/>
                  <wp:docPr id="70" name="图片_1_SpCnt_7"/>
                  <wp:cNvGraphicFramePr/>
                  <a:graphic xmlns:a="http://schemas.openxmlformats.org/drawingml/2006/main">
                    <a:graphicData uri="http://schemas.openxmlformats.org/drawingml/2006/picture">
                      <pic:pic xmlns:pic="http://schemas.openxmlformats.org/drawingml/2006/picture">
                        <pic:nvPicPr>
                          <pic:cNvPr id="70" name="图片_1_SpCnt_7"/>
                          <pic:cNvPicPr/>
                        </pic:nvPicPr>
                        <pic:blipFill>
                          <a:blip r:embed="rId30"/>
                          <a:stretch>
                            <a:fillRect/>
                          </a:stretch>
                        </pic:blipFill>
                        <pic:spPr>
                          <a:xfrm>
                            <a:off x="0" y="0"/>
                            <a:ext cx="184150" cy="565785"/>
                          </a:xfrm>
                          <a:prstGeom prst="rect">
                            <a:avLst/>
                          </a:prstGeom>
                          <a:noFill/>
                          <a:ln>
                            <a:noFill/>
                          </a:ln>
                        </pic:spPr>
                      </pic:pic>
                    </a:graphicData>
                  </a:graphic>
                </wp:anchor>
              </w:drawing>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室外监控不锈钢杆（包括地笼、运输、地基等）</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4米</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定制</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根</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213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0"/>
                <w:szCs w:val="20"/>
                <w:u w:val="none"/>
              </w:rPr>
            </w:pPr>
          </w:p>
        </w:tc>
      </w:tr>
      <w:tr>
        <w:tblPrEx>
          <w:shd w:val="clear" w:color="auto" w:fill="auto"/>
          <w:tblCellMar>
            <w:top w:w="0" w:type="dxa"/>
            <w:left w:w="108" w:type="dxa"/>
            <w:bottom w:w="0" w:type="dxa"/>
            <w:right w:w="108" w:type="dxa"/>
          </w:tblCellMar>
        </w:tblPrEx>
        <w:trPr>
          <w:trHeight w:val="1200" w:hRule="atLeast"/>
        </w:trPr>
        <w:tc>
          <w:tcPr>
            <w:tcW w:w="2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32</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85090</wp:posOffset>
                  </wp:positionH>
                  <wp:positionV relativeFrom="paragraph">
                    <wp:posOffset>196850</wp:posOffset>
                  </wp:positionV>
                  <wp:extent cx="210820" cy="420370"/>
                  <wp:effectExtent l="0" t="0" r="17780" b="17780"/>
                  <wp:wrapNone/>
                  <wp:docPr id="71" name="图片_3_SpCnt_3"/>
                  <wp:cNvGraphicFramePr/>
                  <a:graphic xmlns:a="http://schemas.openxmlformats.org/drawingml/2006/main">
                    <a:graphicData uri="http://schemas.openxmlformats.org/drawingml/2006/picture">
                      <pic:pic xmlns:pic="http://schemas.openxmlformats.org/drawingml/2006/picture">
                        <pic:nvPicPr>
                          <pic:cNvPr id="71" name="图片_3_SpCnt_3"/>
                          <pic:cNvPicPr/>
                        </pic:nvPicPr>
                        <pic:blipFill>
                          <a:blip r:embed="rId31"/>
                          <a:stretch>
                            <a:fillRect/>
                          </a:stretch>
                        </pic:blipFill>
                        <pic:spPr>
                          <a:xfrm>
                            <a:off x="0" y="0"/>
                            <a:ext cx="210820" cy="420370"/>
                          </a:xfrm>
                          <a:prstGeom prst="rect">
                            <a:avLst/>
                          </a:prstGeom>
                          <a:noFill/>
                          <a:ln>
                            <a:noFill/>
                          </a:ln>
                        </pic:spPr>
                      </pic:pic>
                    </a:graphicData>
                  </a:graphic>
                </wp:anchor>
              </w:drawing>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室内服务器2米标准机柜</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600*1000*2000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国产</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21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r>
      <w:tr>
        <w:tblPrEx>
          <w:shd w:val="clear" w:color="auto" w:fill="auto"/>
          <w:tblCellMar>
            <w:top w:w="0" w:type="dxa"/>
            <w:left w:w="108" w:type="dxa"/>
            <w:bottom w:w="0" w:type="dxa"/>
            <w:right w:w="108" w:type="dxa"/>
          </w:tblCellMar>
        </w:tblPrEx>
        <w:trPr>
          <w:trHeight w:val="1260" w:hRule="atLeast"/>
        </w:trPr>
        <w:tc>
          <w:tcPr>
            <w:tcW w:w="2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33</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-20320</wp:posOffset>
                  </wp:positionH>
                  <wp:positionV relativeFrom="paragraph">
                    <wp:posOffset>214630</wp:posOffset>
                  </wp:positionV>
                  <wp:extent cx="297815" cy="222885"/>
                  <wp:effectExtent l="0" t="0" r="6985" b="5715"/>
                  <wp:wrapNone/>
                  <wp:docPr id="72" name="图片_12"/>
                  <wp:cNvGraphicFramePr/>
                  <a:graphic xmlns:a="http://schemas.openxmlformats.org/drawingml/2006/main">
                    <a:graphicData uri="http://schemas.openxmlformats.org/drawingml/2006/picture">
                      <pic:pic xmlns:pic="http://schemas.openxmlformats.org/drawingml/2006/picture">
                        <pic:nvPicPr>
                          <pic:cNvPr id="72" name="图片_12"/>
                          <pic:cNvPicPr/>
                        </pic:nvPicPr>
                        <pic:blipFill>
                          <a:blip r:embed="rId32"/>
                          <a:stretch>
                            <a:fillRect/>
                          </a:stretch>
                        </pic:blipFill>
                        <pic:spPr>
                          <a:xfrm>
                            <a:off x="0" y="0"/>
                            <a:ext cx="297815" cy="222885"/>
                          </a:xfrm>
                          <a:prstGeom prst="rect">
                            <a:avLst/>
                          </a:prstGeom>
                          <a:noFill/>
                          <a:ln>
                            <a:noFill/>
                          </a:ln>
                        </pic:spPr>
                      </pic:pic>
                    </a:graphicData>
                  </a:graphic>
                </wp:anchor>
              </w:drawing>
            </w: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室外监控信号线（防水网线）</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无氧UTP5</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海康/明鑫</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箱</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21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标准无氧铜检控</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专用信号线</w:t>
            </w:r>
          </w:p>
        </w:tc>
      </w:tr>
      <w:tr>
        <w:tblPrEx>
          <w:shd w:val="clear" w:color="auto" w:fill="auto"/>
          <w:tblCellMar>
            <w:top w:w="0" w:type="dxa"/>
            <w:left w:w="108" w:type="dxa"/>
            <w:bottom w:w="0" w:type="dxa"/>
            <w:right w:w="108" w:type="dxa"/>
          </w:tblCellMar>
        </w:tblPrEx>
        <w:trPr>
          <w:trHeight w:val="1260" w:hRule="atLeast"/>
        </w:trPr>
        <w:tc>
          <w:tcPr>
            <w:tcW w:w="2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宋体" w:hAnsi="宋体" w:eastAsia="宋体" w:cs="宋体"/>
                <w:i w:val="0"/>
                <w:iCs w:val="0"/>
                <w:color w:val="auto"/>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232410</wp:posOffset>
                  </wp:positionH>
                  <wp:positionV relativeFrom="paragraph">
                    <wp:posOffset>230505</wp:posOffset>
                  </wp:positionV>
                  <wp:extent cx="389255" cy="422275"/>
                  <wp:effectExtent l="0" t="0" r="10795" b="15875"/>
                  <wp:wrapNone/>
                  <wp:docPr id="73" name="Picture_41"/>
                  <wp:cNvGraphicFramePr/>
                  <a:graphic xmlns:a="http://schemas.openxmlformats.org/drawingml/2006/main">
                    <a:graphicData uri="http://schemas.openxmlformats.org/drawingml/2006/picture">
                      <pic:pic xmlns:pic="http://schemas.openxmlformats.org/drawingml/2006/picture">
                        <pic:nvPicPr>
                          <pic:cNvPr id="73" name="Picture_41"/>
                          <pic:cNvPicPr/>
                        </pic:nvPicPr>
                        <pic:blipFill>
                          <a:blip r:embed="rId33"/>
                          <a:stretch>
                            <a:fillRect/>
                          </a:stretch>
                        </pic:blipFill>
                        <pic:spPr>
                          <a:xfrm>
                            <a:off x="0" y="0"/>
                            <a:ext cx="389255" cy="422275"/>
                          </a:xfrm>
                          <a:prstGeom prst="rect">
                            <a:avLst/>
                          </a:prstGeom>
                          <a:noFill/>
                          <a:ln>
                            <a:noFill/>
                          </a:ln>
                        </pic:spPr>
                      </pic:pic>
                    </a:graphicData>
                  </a:graphic>
                </wp:anchor>
              </w:drawing>
            </w:r>
            <w:r>
              <w:rPr>
                <w:rFonts w:hint="eastAsia" w:ascii="黑体" w:hAnsi="宋体" w:eastAsia="黑体" w:cs="黑体"/>
                <w:i w:val="0"/>
                <w:iCs w:val="0"/>
                <w:color w:val="auto"/>
                <w:kern w:val="0"/>
                <w:sz w:val="24"/>
                <w:szCs w:val="24"/>
                <w:u w:val="none"/>
                <w:lang w:val="en-US" w:eastAsia="zh-CN" w:bidi="ar"/>
              </w:rPr>
              <w:t>34</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监控220V主电源线</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RVV3*2.5</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明鑫</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米</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21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机房集中管理供电</w:t>
            </w:r>
          </w:p>
        </w:tc>
      </w:tr>
      <w:tr>
        <w:tblPrEx>
          <w:shd w:val="clear" w:color="auto" w:fill="auto"/>
          <w:tblCellMar>
            <w:top w:w="0" w:type="dxa"/>
            <w:left w:w="108" w:type="dxa"/>
            <w:bottom w:w="0" w:type="dxa"/>
            <w:right w:w="108" w:type="dxa"/>
          </w:tblCellMar>
        </w:tblPrEx>
        <w:trPr>
          <w:trHeight w:val="1290" w:hRule="atLeast"/>
        </w:trPr>
        <w:tc>
          <w:tcPr>
            <w:tcW w:w="2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宋体" w:hAnsi="宋体" w:eastAsia="宋体" w:cs="宋体"/>
                <w:i w:val="0"/>
                <w:iCs w:val="0"/>
                <w:color w:val="auto"/>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219710</wp:posOffset>
                  </wp:positionH>
                  <wp:positionV relativeFrom="paragraph">
                    <wp:posOffset>122555</wp:posOffset>
                  </wp:positionV>
                  <wp:extent cx="397510" cy="463550"/>
                  <wp:effectExtent l="0" t="0" r="2540" b="12700"/>
                  <wp:wrapNone/>
                  <wp:docPr id="74" name="Picture_41_SpCnt_1"/>
                  <wp:cNvGraphicFramePr/>
                  <a:graphic xmlns:a="http://schemas.openxmlformats.org/drawingml/2006/main">
                    <a:graphicData uri="http://schemas.openxmlformats.org/drawingml/2006/picture">
                      <pic:pic xmlns:pic="http://schemas.openxmlformats.org/drawingml/2006/picture">
                        <pic:nvPicPr>
                          <pic:cNvPr id="74" name="Picture_41_SpCnt_1"/>
                          <pic:cNvPicPr/>
                        </pic:nvPicPr>
                        <pic:blipFill>
                          <a:blip r:embed="rId34"/>
                          <a:stretch>
                            <a:fillRect/>
                          </a:stretch>
                        </pic:blipFill>
                        <pic:spPr>
                          <a:xfrm>
                            <a:off x="0" y="0"/>
                            <a:ext cx="397510" cy="463550"/>
                          </a:xfrm>
                          <a:prstGeom prst="rect">
                            <a:avLst/>
                          </a:prstGeom>
                          <a:noFill/>
                          <a:ln>
                            <a:noFill/>
                          </a:ln>
                        </pic:spPr>
                      </pic:pic>
                    </a:graphicData>
                  </a:graphic>
                </wp:anchor>
              </w:drawing>
            </w:r>
            <w:r>
              <w:rPr>
                <w:rFonts w:hint="eastAsia" w:ascii="黑体" w:hAnsi="宋体" w:eastAsia="黑体" w:cs="黑体"/>
                <w:i w:val="0"/>
                <w:iCs w:val="0"/>
                <w:color w:val="auto"/>
                <w:kern w:val="0"/>
                <w:sz w:val="24"/>
                <w:szCs w:val="24"/>
                <w:u w:val="none"/>
                <w:lang w:val="en-US" w:eastAsia="zh-CN" w:bidi="ar"/>
              </w:rPr>
              <w:t>35</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监控电源线</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RVV2*1.5</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明鑫</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米</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21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r>
      <w:tr>
        <w:tblPrEx>
          <w:shd w:val="clear" w:color="auto" w:fill="auto"/>
          <w:tblCellMar>
            <w:top w:w="0" w:type="dxa"/>
            <w:left w:w="108" w:type="dxa"/>
            <w:bottom w:w="0" w:type="dxa"/>
            <w:right w:w="108" w:type="dxa"/>
          </w:tblCellMar>
        </w:tblPrEx>
        <w:trPr>
          <w:trHeight w:val="1290" w:hRule="atLeast"/>
        </w:trPr>
        <w:tc>
          <w:tcPr>
            <w:tcW w:w="2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宋体" w:hAnsi="宋体" w:eastAsia="宋体" w:cs="宋体"/>
                <w:i w:val="0"/>
                <w:iCs w:val="0"/>
                <w:color w:val="auto"/>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204470</wp:posOffset>
                  </wp:positionH>
                  <wp:positionV relativeFrom="paragraph">
                    <wp:posOffset>262255</wp:posOffset>
                  </wp:positionV>
                  <wp:extent cx="393065" cy="466090"/>
                  <wp:effectExtent l="0" t="0" r="6985" b="10160"/>
                  <wp:wrapNone/>
                  <wp:docPr id="75" name="图片_6_SpCnt_1"/>
                  <wp:cNvGraphicFramePr/>
                  <a:graphic xmlns:a="http://schemas.openxmlformats.org/drawingml/2006/main">
                    <a:graphicData uri="http://schemas.openxmlformats.org/drawingml/2006/picture">
                      <pic:pic xmlns:pic="http://schemas.openxmlformats.org/drawingml/2006/picture">
                        <pic:nvPicPr>
                          <pic:cNvPr id="75" name="图片_6_SpCnt_1"/>
                          <pic:cNvPicPr/>
                        </pic:nvPicPr>
                        <pic:blipFill>
                          <a:blip r:embed="rId35"/>
                          <a:stretch>
                            <a:fillRect/>
                          </a:stretch>
                        </pic:blipFill>
                        <pic:spPr>
                          <a:xfrm>
                            <a:off x="0" y="0"/>
                            <a:ext cx="393065" cy="466090"/>
                          </a:xfrm>
                          <a:prstGeom prst="rect">
                            <a:avLst/>
                          </a:prstGeom>
                          <a:noFill/>
                          <a:ln>
                            <a:noFill/>
                          </a:ln>
                        </pic:spPr>
                      </pic:pic>
                    </a:graphicData>
                  </a:graphic>
                </wp:anchor>
              </w:drawing>
            </w:r>
            <w:r>
              <w:rPr>
                <w:rFonts w:hint="eastAsia" w:ascii="黑体" w:hAnsi="宋体" w:eastAsia="黑体" w:cs="黑体"/>
                <w:i w:val="0"/>
                <w:iCs w:val="0"/>
                <w:color w:val="auto"/>
                <w:kern w:val="0"/>
                <w:sz w:val="24"/>
                <w:szCs w:val="24"/>
                <w:u w:val="none"/>
                <w:lang w:val="en-US" w:eastAsia="zh-CN" w:bidi="ar"/>
              </w:rPr>
              <w:t>36</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PVC管(含配件）</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直径16-20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公元</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米</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6000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21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r>
      <w:tr>
        <w:tblPrEx>
          <w:shd w:val="clear" w:color="auto" w:fill="auto"/>
          <w:tblCellMar>
            <w:top w:w="0" w:type="dxa"/>
            <w:left w:w="108" w:type="dxa"/>
            <w:bottom w:w="0" w:type="dxa"/>
            <w:right w:w="108" w:type="dxa"/>
          </w:tblCellMar>
        </w:tblPrEx>
        <w:trPr>
          <w:trHeight w:val="1740" w:hRule="atLeast"/>
        </w:trPr>
        <w:tc>
          <w:tcPr>
            <w:tcW w:w="2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37</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辅材（电源头，，水晶头，管卡，镙丝，机械，打孔，PVC室内电源箱，等）</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批</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21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r>
      <w:tr>
        <w:tblPrEx>
          <w:shd w:val="clear" w:color="auto" w:fill="auto"/>
          <w:tblCellMar>
            <w:top w:w="0" w:type="dxa"/>
            <w:left w:w="108" w:type="dxa"/>
            <w:bottom w:w="0" w:type="dxa"/>
            <w:right w:w="108" w:type="dxa"/>
          </w:tblCellMar>
        </w:tblPrEx>
        <w:trPr>
          <w:trHeight w:val="585" w:hRule="atLeast"/>
        </w:trPr>
        <w:tc>
          <w:tcPr>
            <w:tcW w:w="2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38</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941" w:type="pct"/>
            <w:gridSpan w:val="4"/>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A:设备合计：</w:t>
            </w:r>
          </w:p>
        </w:tc>
        <w:tc>
          <w:tcPr>
            <w:tcW w:w="608" w:type="pct"/>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0.00 </w:t>
            </w:r>
          </w:p>
        </w:tc>
        <w:tc>
          <w:tcPr>
            <w:tcW w:w="1453" w:type="pct"/>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center"/>
              <w:rPr>
                <w:rFonts w:hint="eastAsia" w:ascii="宋体" w:hAnsi="宋体" w:eastAsia="宋体" w:cs="宋体"/>
                <w:i w:val="0"/>
                <w:iCs w:val="0"/>
                <w:color w:val="auto"/>
                <w:sz w:val="20"/>
                <w:szCs w:val="20"/>
                <w:u w:val="none"/>
              </w:rPr>
            </w:pPr>
          </w:p>
        </w:tc>
      </w:tr>
      <w:tr>
        <w:tblPrEx>
          <w:shd w:val="clear" w:color="auto" w:fill="auto"/>
          <w:tblCellMar>
            <w:top w:w="0" w:type="dxa"/>
            <w:left w:w="108" w:type="dxa"/>
            <w:bottom w:w="0" w:type="dxa"/>
            <w:right w:w="108" w:type="dxa"/>
          </w:tblCellMar>
        </w:tblPrEx>
        <w:trPr>
          <w:trHeight w:val="570" w:hRule="atLeast"/>
        </w:trPr>
        <w:tc>
          <w:tcPr>
            <w:tcW w:w="2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40</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18"/>
                <w:szCs w:val="18"/>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0"/>
                <w:szCs w:val="20"/>
                <w:u w:val="none"/>
              </w:rPr>
            </w:pPr>
          </w:p>
        </w:tc>
        <w:tc>
          <w:tcPr>
            <w:tcW w:w="941" w:type="pct"/>
            <w:gridSpan w:val="4"/>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税金[A*13%]:</w:t>
            </w:r>
          </w:p>
        </w:tc>
        <w:tc>
          <w:tcPr>
            <w:tcW w:w="608" w:type="pct"/>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center"/>
              <w:rPr>
                <w:rFonts w:hint="eastAsia" w:ascii="宋体" w:hAnsi="宋体" w:eastAsia="宋体" w:cs="宋体"/>
                <w:i w:val="0"/>
                <w:iCs w:val="0"/>
                <w:color w:val="auto"/>
                <w:sz w:val="20"/>
                <w:szCs w:val="20"/>
                <w:u w:val="none"/>
              </w:rPr>
            </w:pPr>
          </w:p>
        </w:tc>
        <w:tc>
          <w:tcPr>
            <w:tcW w:w="1453" w:type="pct"/>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center"/>
              <w:rPr>
                <w:rFonts w:hint="eastAsia" w:ascii="宋体" w:hAnsi="宋体" w:eastAsia="宋体" w:cs="宋体"/>
                <w:i w:val="0"/>
                <w:iCs w:val="0"/>
                <w:color w:val="auto"/>
                <w:sz w:val="20"/>
                <w:szCs w:val="20"/>
                <w:u w:val="none"/>
              </w:rPr>
            </w:pPr>
          </w:p>
        </w:tc>
      </w:tr>
      <w:tr>
        <w:tblPrEx>
          <w:shd w:val="clear" w:color="auto" w:fill="auto"/>
          <w:tblCellMar>
            <w:top w:w="0" w:type="dxa"/>
            <w:left w:w="108" w:type="dxa"/>
            <w:bottom w:w="0" w:type="dxa"/>
            <w:right w:w="108" w:type="dxa"/>
          </w:tblCellMar>
        </w:tblPrEx>
        <w:trPr>
          <w:trHeight w:val="540" w:hRule="atLeast"/>
        </w:trPr>
        <w:tc>
          <w:tcPr>
            <w:tcW w:w="2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41</w:t>
            </w:r>
          </w:p>
        </w:tc>
        <w:tc>
          <w:tcPr>
            <w:tcW w:w="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18"/>
                <w:szCs w:val="18"/>
                <w:u w:val="none"/>
              </w:rPr>
            </w:pPr>
          </w:p>
        </w:tc>
        <w:tc>
          <w:tcPr>
            <w:tcW w:w="3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0"/>
                <w:szCs w:val="20"/>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0"/>
                <w:szCs w:val="20"/>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auto"/>
                <w:sz w:val="20"/>
                <w:szCs w:val="20"/>
                <w:u w:val="none"/>
              </w:rPr>
            </w:pPr>
          </w:p>
        </w:tc>
        <w:tc>
          <w:tcPr>
            <w:tcW w:w="941" w:type="pct"/>
            <w:gridSpan w:val="4"/>
            <w:tcBorders>
              <w:top w:val="single" w:color="000000" w:sz="4" w:space="0"/>
              <w:left w:val="single" w:color="000000" w:sz="4" w:space="0"/>
              <w:bottom w:val="single" w:color="000000" w:sz="4" w:space="0"/>
              <w:right w:val="single" w:color="000000" w:sz="4" w:space="0"/>
            </w:tcBorders>
            <w:shd w:val="clear" w:color="auto" w:fill="FFFF99"/>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小计：</w:t>
            </w:r>
          </w:p>
        </w:tc>
        <w:tc>
          <w:tcPr>
            <w:tcW w:w="608" w:type="pct"/>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center"/>
              <w:rPr>
                <w:rFonts w:hint="eastAsia" w:ascii="宋体" w:hAnsi="宋体" w:eastAsia="宋体" w:cs="宋体"/>
                <w:b/>
                <w:bCs/>
                <w:i w:val="0"/>
                <w:iCs w:val="0"/>
                <w:color w:val="auto"/>
                <w:sz w:val="20"/>
                <w:szCs w:val="20"/>
                <w:u w:val="none"/>
              </w:rPr>
            </w:pPr>
          </w:p>
        </w:tc>
        <w:tc>
          <w:tcPr>
            <w:tcW w:w="1453" w:type="pct"/>
            <w:tcBorders>
              <w:top w:val="single" w:color="000000" w:sz="4" w:space="0"/>
              <w:left w:val="single" w:color="000000" w:sz="4" w:space="0"/>
              <w:bottom w:val="single" w:color="000000" w:sz="4" w:space="0"/>
              <w:right w:val="single" w:color="000000" w:sz="4" w:space="0"/>
            </w:tcBorders>
            <w:shd w:val="clear" w:color="auto" w:fill="FFFF99"/>
            <w:noWrap/>
            <w:vAlign w:val="center"/>
          </w:tcPr>
          <w:p>
            <w:pPr>
              <w:jc w:val="center"/>
              <w:rPr>
                <w:rFonts w:hint="eastAsia" w:ascii="宋体" w:hAnsi="宋体" w:eastAsia="宋体" w:cs="宋体"/>
                <w:b/>
                <w:bCs/>
                <w:i w:val="0"/>
                <w:iCs w:val="0"/>
                <w:color w:val="auto"/>
                <w:sz w:val="20"/>
                <w:szCs w:val="20"/>
                <w:u w:val="none"/>
              </w:rPr>
            </w:pPr>
          </w:p>
        </w:tc>
      </w:tr>
    </w:tbl>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0490" cy="2628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0490" cy="262890"/>
                      </a:xfrm>
                      <a:prstGeom prst="rect">
                        <a:avLst/>
                      </a:prstGeom>
                      <a:noFill/>
                      <a:ln>
                        <a:noFill/>
                      </a:ln>
                      <a:effectLst/>
                    </wps:spPr>
                    <wps:txbx>
                      <w:txbxContent>
                        <w:p>
                          <w:pPr>
                            <w:pStyle w:val="6"/>
                          </w:pPr>
                          <w:r>
                            <w:fldChar w:fldCharType="begin"/>
                          </w:r>
                          <w:r>
                            <w:instrText xml:space="preserve"> PAGE  \* MERGEFORMAT </w:instrText>
                          </w:r>
                          <w:r>
                            <w:fldChar w:fldCharType="separate"/>
                          </w:r>
                          <w:r>
                            <w:t>15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20.7pt;width:8.7pt;mso-position-horizontal:center;mso-position-horizontal-relative:margin;mso-wrap-style:none;z-index:251660288;mso-width-relative:page;mso-height-relative:page;" filled="f" stroked="f" coordsize="21600,21600" o:gfxdata="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VNhl/0QAAAAMBAAAPAAAAAAAAAAEAIAAAACIAAABkcnMv&#10;ZG93bnJldi54bWxQSwECFAAUAAAACACHTuJAj+fKsNEBAAClAwAADgAAAAAAAAABACAAAAAgAQAA&#10;ZHJzL2Uyb0RvYy54bWxQSwUGAAAAAAYABgBZAQAAYwU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28E01C"/>
    <w:multiLevelType w:val="singleLevel"/>
    <w:tmpl w:val="B328E01C"/>
    <w:lvl w:ilvl="0" w:tentative="0">
      <w:start w:val="1"/>
      <w:numFmt w:val="bullet"/>
      <w:pStyle w:val="5"/>
      <w:lvlText w:val=""/>
      <w:lvlJc w:val="left"/>
      <w:pPr>
        <w:tabs>
          <w:tab w:val="left" w:pos="780"/>
        </w:tabs>
        <w:ind w:left="780" w:hanging="360"/>
      </w:pPr>
      <w:rPr>
        <w:rFonts w:hint="default" w:ascii="Wingdings" w:hAnsi="Wingdings"/>
      </w:rPr>
    </w:lvl>
  </w:abstractNum>
  <w:abstractNum w:abstractNumId="1">
    <w:nsid w:val="DD98AD17"/>
    <w:multiLevelType w:val="singleLevel"/>
    <w:tmpl w:val="DD98AD17"/>
    <w:lvl w:ilvl="0" w:tentative="0">
      <w:start w:val="6"/>
      <w:numFmt w:val="decimal"/>
      <w:suff w:val="nothing"/>
      <w:lvlText w:val="%1）"/>
      <w:lvlJc w:val="left"/>
    </w:lvl>
  </w:abstractNum>
  <w:abstractNum w:abstractNumId="2">
    <w:nsid w:val="0000000B"/>
    <w:multiLevelType w:val="multilevel"/>
    <w:tmpl w:val="0000000B"/>
    <w:lvl w:ilvl="0" w:tentative="0">
      <w:start w:val="1"/>
      <w:numFmt w:val="decimal"/>
      <w:lvlText w:val="19.%1"/>
      <w:lvlJc w:val="left"/>
      <w:pPr>
        <w:tabs>
          <w:tab w:val="left" w:pos="1080"/>
        </w:tabs>
        <w:ind w:left="1080" w:hanging="360"/>
      </w:pPr>
      <w:rPr>
        <w:rFonts w:hint="eastAsia" w:ascii="宋体" w:hAnsi="宋体" w:eastAsia="宋体"/>
        <w:b w:val="0"/>
        <w:i w:val="0"/>
        <w:sz w:val="24"/>
        <w:szCs w:val="24"/>
      </w:rPr>
    </w:lvl>
    <w:lvl w:ilvl="1" w:tentative="0">
      <w:start w:val="1"/>
      <w:numFmt w:val="lowerLetter"/>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C"/>
    <w:multiLevelType w:val="multilevel"/>
    <w:tmpl w:val="0000000C"/>
    <w:lvl w:ilvl="0" w:tentative="0">
      <w:start w:val="1"/>
      <w:numFmt w:val="decimal"/>
      <w:lvlText w:val="15.1.%1"/>
      <w:lvlJc w:val="left"/>
      <w:pPr>
        <w:tabs>
          <w:tab w:val="left" w:pos="1080"/>
        </w:tabs>
        <w:ind w:left="1080" w:hanging="360"/>
      </w:pPr>
      <w:rPr>
        <w:rFonts w:hint="eastAsia" w:ascii="宋体" w:hAnsi="宋体" w:eastAsia="宋体"/>
        <w:b w:val="0"/>
        <w:i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D"/>
    <w:multiLevelType w:val="multilevel"/>
    <w:tmpl w:val="0000000D"/>
    <w:lvl w:ilvl="0" w:tentative="0">
      <w:start w:val="1"/>
      <w:numFmt w:val="decimal"/>
      <w:lvlText w:val="7.%1"/>
      <w:lvlJc w:val="left"/>
      <w:pPr>
        <w:tabs>
          <w:tab w:val="left" w:pos="1080"/>
        </w:tabs>
        <w:ind w:left="1080" w:hanging="360"/>
      </w:pPr>
      <w:rPr>
        <w:rFonts w:hint="eastAsia" w:ascii="宋体" w:hAnsi="宋体" w:eastAsia="宋体"/>
        <w:b w:val="0"/>
        <w:i w:val="0"/>
      </w:rPr>
    </w:lvl>
    <w:lvl w:ilvl="1" w:tentative="0">
      <w:start w:val="1"/>
      <w:numFmt w:val="lowerLetter"/>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11"/>
    <w:multiLevelType w:val="multilevel"/>
    <w:tmpl w:val="00000011"/>
    <w:lvl w:ilvl="0" w:tentative="0">
      <w:start w:val="1"/>
      <w:numFmt w:val="decimal"/>
      <w:lvlText w:val="10.%1"/>
      <w:lvlJc w:val="left"/>
      <w:pPr>
        <w:tabs>
          <w:tab w:val="left" w:pos="900"/>
        </w:tabs>
        <w:ind w:left="900" w:hanging="360"/>
      </w:pPr>
      <w:rPr>
        <w:rFonts w:hint="eastAsia" w:ascii="宋体" w:hAnsi="宋体" w:eastAsia="宋体"/>
        <w:b w:val="0"/>
        <w:i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2"/>
    <w:multiLevelType w:val="multilevel"/>
    <w:tmpl w:val="00000012"/>
    <w:lvl w:ilvl="0" w:tentative="0">
      <w:start w:val="1"/>
      <w:numFmt w:val="decimal"/>
      <w:lvlText w:val="8.%1"/>
      <w:lvlJc w:val="left"/>
      <w:pPr>
        <w:tabs>
          <w:tab w:val="left" w:pos="900"/>
        </w:tabs>
        <w:ind w:left="900" w:hanging="360"/>
      </w:pPr>
      <w:rPr>
        <w:rFonts w:hint="eastAsia" w:ascii="宋体" w:hAnsi="宋体" w:eastAsia="宋体"/>
        <w:b w:val="0"/>
        <w:i w:val="0"/>
        <w:sz w:val="24"/>
        <w:szCs w:val="24"/>
      </w:rPr>
    </w:lvl>
    <w:lvl w:ilvl="1" w:tentative="0">
      <w:start w:val="1"/>
      <w:numFmt w:val="lowerLetter"/>
      <w:lvlText w:val="%2)"/>
      <w:lvlJc w:val="left"/>
      <w:pPr>
        <w:tabs>
          <w:tab w:val="left" w:pos="660"/>
        </w:tabs>
        <w:ind w:left="660" w:hanging="420"/>
      </w:pPr>
    </w:lvl>
    <w:lvl w:ilvl="2" w:tentative="0">
      <w:start w:val="1"/>
      <w:numFmt w:val="lowerRoman"/>
      <w:lvlText w:val="%3."/>
      <w:lvlJc w:val="right"/>
      <w:pPr>
        <w:tabs>
          <w:tab w:val="left" w:pos="1080"/>
        </w:tabs>
        <w:ind w:left="1080" w:hanging="420"/>
      </w:pPr>
    </w:lvl>
    <w:lvl w:ilvl="3" w:tentative="0">
      <w:start w:val="1"/>
      <w:numFmt w:val="decimal"/>
      <w:lvlText w:val="%4."/>
      <w:lvlJc w:val="left"/>
      <w:pPr>
        <w:tabs>
          <w:tab w:val="left" w:pos="1500"/>
        </w:tabs>
        <w:ind w:left="1500" w:hanging="420"/>
      </w:pPr>
    </w:lvl>
    <w:lvl w:ilvl="4" w:tentative="0">
      <w:start w:val="1"/>
      <w:numFmt w:val="lowerLetter"/>
      <w:lvlText w:val="%5)"/>
      <w:lvlJc w:val="left"/>
      <w:pPr>
        <w:tabs>
          <w:tab w:val="left" w:pos="1920"/>
        </w:tabs>
        <w:ind w:left="1920" w:hanging="420"/>
      </w:pPr>
    </w:lvl>
    <w:lvl w:ilvl="5" w:tentative="0">
      <w:start w:val="1"/>
      <w:numFmt w:val="lowerRoman"/>
      <w:lvlText w:val="%6."/>
      <w:lvlJc w:val="right"/>
      <w:pPr>
        <w:tabs>
          <w:tab w:val="left" w:pos="2340"/>
        </w:tabs>
        <w:ind w:left="2340" w:hanging="420"/>
      </w:pPr>
    </w:lvl>
    <w:lvl w:ilvl="6" w:tentative="0">
      <w:start w:val="1"/>
      <w:numFmt w:val="decimal"/>
      <w:lvlText w:val="%7."/>
      <w:lvlJc w:val="left"/>
      <w:pPr>
        <w:tabs>
          <w:tab w:val="left" w:pos="2760"/>
        </w:tabs>
        <w:ind w:left="2760" w:hanging="420"/>
      </w:pPr>
    </w:lvl>
    <w:lvl w:ilvl="7" w:tentative="0">
      <w:start w:val="1"/>
      <w:numFmt w:val="lowerLetter"/>
      <w:lvlText w:val="%8)"/>
      <w:lvlJc w:val="left"/>
      <w:pPr>
        <w:tabs>
          <w:tab w:val="left" w:pos="3180"/>
        </w:tabs>
        <w:ind w:left="3180" w:hanging="420"/>
      </w:pPr>
    </w:lvl>
    <w:lvl w:ilvl="8" w:tentative="0">
      <w:start w:val="1"/>
      <w:numFmt w:val="lowerRoman"/>
      <w:lvlText w:val="%9."/>
      <w:lvlJc w:val="right"/>
      <w:pPr>
        <w:tabs>
          <w:tab w:val="left" w:pos="3600"/>
        </w:tabs>
        <w:ind w:left="3600" w:hanging="420"/>
      </w:pPr>
    </w:lvl>
  </w:abstractNum>
  <w:abstractNum w:abstractNumId="7">
    <w:nsid w:val="00000015"/>
    <w:multiLevelType w:val="multilevel"/>
    <w:tmpl w:val="00000015"/>
    <w:lvl w:ilvl="0" w:tentative="0">
      <w:start w:val="1"/>
      <w:numFmt w:val="decimal"/>
      <w:lvlText w:val="18.%1"/>
      <w:lvlJc w:val="left"/>
      <w:pPr>
        <w:tabs>
          <w:tab w:val="left" w:pos="1080"/>
        </w:tabs>
        <w:ind w:left="1080" w:hanging="360"/>
      </w:pPr>
      <w:rPr>
        <w:rFonts w:hint="eastAsia" w:ascii="宋体" w:hAnsi="宋体" w:eastAsia="宋体"/>
        <w:b w:val="0"/>
        <w:i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6"/>
    <w:multiLevelType w:val="multilevel"/>
    <w:tmpl w:val="00000016"/>
    <w:lvl w:ilvl="0" w:tentative="0">
      <w:start w:val="1"/>
      <w:numFmt w:val="decimal"/>
      <w:lvlText w:val="%1."/>
      <w:lvlJc w:val="left"/>
      <w:pPr>
        <w:tabs>
          <w:tab w:val="left" w:pos="1380"/>
        </w:tabs>
        <w:ind w:left="1380" w:hanging="420"/>
      </w:pPr>
      <w:rPr>
        <w:rFonts w:hint="eastAsia"/>
      </w:rPr>
    </w:lvl>
    <w:lvl w:ilvl="1" w:tentative="0">
      <w:start w:val="1"/>
      <w:numFmt w:val="lowerLetter"/>
      <w:lvlText w:val="（%2）"/>
      <w:lvlJc w:val="left"/>
      <w:pPr>
        <w:tabs>
          <w:tab w:val="left" w:pos="1320"/>
        </w:tabs>
        <w:ind w:left="1320" w:hanging="420"/>
      </w:pPr>
      <w:rPr>
        <w:rFonts w:hint="eastAsia"/>
      </w:rPr>
    </w:lvl>
    <w:lvl w:ilvl="2" w:tentative="0">
      <w:start w:val="1"/>
      <w:numFmt w:val="lowerRoman"/>
      <w:lvlText w:val="%3."/>
      <w:lvlJc w:val="right"/>
      <w:pPr>
        <w:tabs>
          <w:tab w:val="left" w:pos="1740"/>
        </w:tabs>
        <w:ind w:left="1740" w:hanging="420"/>
      </w:pPr>
      <w:rPr>
        <w:rFonts w:hint="eastAsia"/>
      </w:rPr>
    </w:lvl>
    <w:lvl w:ilvl="3" w:tentative="0">
      <w:start w:val="1"/>
      <w:numFmt w:val="decimal"/>
      <w:lvlText w:val="%4."/>
      <w:lvlJc w:val="left"/>
      <w:pPr>
        <w:tabs>
          <w:tab w:val="left" w:pos="2160"/>
        </w:tabs>
        <w:ind w:left="2160" w:hanging="420"/>
      </w:pPr>
      <w:rPr>
        <w:rFonts w:hint="eastAsia"/>
      </w:rPr>
    </w:lvl>
    <w:lvl w:ilvl="4" w:tentative="0">
      <w:start w:val="1"/>
      <w:numFmt w:val="lowerLetter"/>
      <w:lvlText w:val="%5)"/>
      <w:lvlJc w:val="left"/>
      <w:pPr>
        <w:tabs>
          <w:tab w:val="left" w:pos="2580"/>
        </w:tabs>
        <w:ind w:left="2580" w:hanging="420"/>
      </w:pPr>
      <w:rPr>
        <w:rFonts w:hint="eastAsia"/>
      </w:rPr>
    </w:lvl>
    <w:lvl w:ilvl="5" w:tentative="0">
      <w:start w:val="1"/>
      <w:numFmt w:val="lowerRoman"/>
      <w:lvlText w:val="%6."/>
      <w:lvlJc w:val="right"/>
      <w:pPr>
        <w:tabs>
          <w:tab w:val="left" w:pos="3000"/>
        </w:tabs>
        <w:ind w:left="3000" w:hanging="420"/>
      </w:pPr>
      <w:rPr>
        <w:rFonts w:hint="eastAsia"/>
      </w:rPr>
    </w:lvl>
    <w:lvl w:ilvl="6" w:tentative="0">
      <w:start w:val="1"/>
      <w:numFmt w:val="decimal"/>
      <w:lvlText w:val="%7."/>
      <w:lvlJc w:val="left"/>
      <w:pPr>
        <w:tabs>
          <w:tab w:val="left" w:pos="3420"/>
        </w:tabs>
        <w:ind w:left="3420" w:hanging="420"/>
      </w:pPr>
      <w:rPr>
        <w:rFonts w:hint="eastAsia"/>
      </w:rPr>
    </w:lvl>
    <w:lvl w:ilvl="7" w:tentative="0">
      <w:start w:val="1"/>
      <w:numFmt w:val="lowerLetter"/>
      <w:lvlText w:val="%8)"/>
      <w:lvlJc w:val="left"/>
      <w:pPr>
        <w:tabs>
          <w:tab w:val="left" w:pos="3840"/>
        </w:tabs>
        <w:ind w:left="3840" w:hanging="420"/>
      </w:pPr>
      <w:rPr>
        <w:rFonts w:hint="eastAsia"/>
      </w:rPr>
    </w:lvl>
    <w:lvl w:ilvl="8" w:tentative="0">
      <w:start w:val="1"/>
      <w:numFmt w:val="lowerRoman"/>
      <w:lvlText w:val="%9."/>
      <w:lvlJc w:val="right"/>
      <w:pPr>
        <w:tabs>
          <w:tab w:val="left" w:pos="4260"/>
        </w:tabs>
        <w:ind w:left="4260" w:hanging="420"/>
      </w:pPr>
      <w:rPr>
        <w:rFonts w:hint="eastAsia"/>
      </w:rPr>
    </w:lvl>
  </w:abstractNum>
  <w:abstractNum w:abstractNumId="9">
    <w:nsid w:val="00000017"/>
    <w:multiLevelType w:val="multilevel"/>
    <w:tmpl w:val="00000017"/>
    <w:lvl w:ilvl="0" w:tentative="0">
      <w:start w:val="1"/>
      <w:numFmt w:val="decimal"/>
      <w:lvlText w:val="17.%1"/>
      <w:lvlJc w:val="left"/>
      <w:pPr>
        <w:tabs>
          <w:tab w:val="left" w:pos="1080"/>
        </w:tabs>
        <w:ind w:left="1080" w:hanging="360"/>
      </w:pPr>
      <w:rPr>
        <w:rFonts w:hint="eastAsia" w:ascii="宋体" w:hAnsi="宋体" w:eastAsia="宋体"/>
        <w:b w:val="0"/>
        <w:i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8"/>
    <w:multiLevelType w:val="multilevel"/>
    <w:tmpl w:val="00000018"/>
    <w:lvl w:ilvl="0" w:tentative="0">
      <w:start w:val="1"/>
      <w:numFmt w:val="decimal"/>
      <w:lvlText w:val="%1."/>
      <w:lvlJc w:val="left"/>
      <w:pPr>
        <w:tabs>
          <w:tab w:val="left" w:pos="1380"/>
        </w:tabs>
        <w:ind w:left="1380" w:hanging="420"/>
      </w:pPr>
      <w:rPr>
        <w:rFonts w:hint="eastAsia"/>
      </w:rPr>
    </w:lvl>
    <w:lvl w:ilvl="1" w:tentative="0">
      <w:start w:val="1"/>
      <w:numFmt w:val="decimal"/>
      <w:lvlText w:val="（%2）"/>
      <w:lvlJc w:val="left"/>
      <w:pPr>
        <w:tabs>
          <w:tab w:val="left" w:pos="1320"/>
        </w:tabs>
        <w:ind w:left="1320" w:hanging="420"/>
      </w:pPr>
      <w:rPr>
        <w:rFonts w:hint="eastAsia"/>
      </w:rPr>
    </w:lvl>
    <w:lvl w:ilvl="2" w:tentative="0">
      <w:start w:val="1"/>
      <w:numFmt w:val="lowerRoman"/>
      <w:lvlText w:val="%3."/>
      <w:lvlJc w:val="right"/>
      <w:pPr>
        <w:tabs>
          <w:tab w:val="left" w:pos="1740"/>
        </w:tabs>
        <w:ind w:left="1740" w:hanging="420"/>
      </w:pPr>
      <w:rPr>
        <w:rFonts w:hint="eastAsia"/>
      </w:rPr>
    </w:lvl>
    <w:lvl w:ilvl="3" w:tentative="0">
      <w:start w:val="1"/>
      <w:numFmt w:val="decimal"/>
      <w:lvlText w:val="%4."/>
      <w:lvlJc w:val="left"/>
      <w:pPr>
        <w:tabs>
          <w:tab w:val="left" w:pos="2160"/>
        </w:tabs>
        <w:ind w:left="2160" w:hanging="420"/>
      </w:pPr>
      <w:rPr>
        <w:rFonts w:hint="eastAsia"/>
      </w:rPr>
    </w:lvl>
    <w:lvl w:ilvl="4" w:tentative="0">
      <w:start w:val="1"/>
      <w:numFmt w:val="lowerLetter"/>
      <w:lvlText w:val="%5)"/>
      <w:lvlJc w:val="left"/>
      <w:pPr>
        <w:tabs>
          <w:tab w:val="left" w:pos="2580"/>
        </w:tabs>
        <w:ind w:left="2580" w:hanging="420"/>
      </w:pPr>
      <w:rPr>
        <w:rFonts w:hint="eastAsia"/>
      </w:rPr>
    </w:lvl>
    <w:lvl w:ilvl="5" w:tentative="0">
      <w:start w:val="1"/>
      <w:numFmt w:val="lowerRoman"/>
      <w:lvlText w:val="%6."/>
      <w:lvlJc w:val="right"/>
      <w:pPr>
        <w:tabs>
          <w:tab w:val="left" w:pos="3000"/>
        </w:tabs>
        <w:ind w:left="3000" w:hanging="420"/>
      </w:pPr>
      <w:rPr>
        <w:rFonts w:hint="eastAsia"/>
      </w:rPr>
    </w:lvl>
    <w:lvl w:ilvl="6" w:tentative="0">
      <w:start w:val="1"/>
      <w:numFmt w:val="decimal"/>
      <w:lvlText w:val="%7."/>
      <w:lvlJc w:val="left"/>
      <w:pPr>
        <w:tabs>
          <w:tab w:val="left" w:pos="3420"/>
        </w:tabs>
        <w:ind w:left="3420" w:hanging="420"/>
      </w:pPr>
      <w:rPr>
        <w:rFonts w:hint="eastAsia"/>
      </w:rPr>
    </w:lvl>
    <w:lvl w:ilvl="7" w:tentative="0">
      <w:start w:val="1"/>
      <w:numFmt w:val="lowerLetter"/>
      <w:lvlText w:val="%8)"/>
      <w:lvlJc w:val="left"/>
      <w:pPr>
        <w:tabs>
          <w:tab w:val="left" w:pos="3840"/>
        </w:tabs>
        <w:ind w:left="3840" w:hanging="420"/>
      </w:pPr>
      <w:rPr>
        <w:rFonts w:hint="eastAsia"/>
      </w:rPr>
    </w:lvl>
    <w:lvl w:ilvl="8" w:tentative="0">
      <w:start w:val="1"/>
      <w:numFmt w:val="lowerRoman"/>
      <w:lvlText w:val="%9."/>
      <w:lvlJc w:val="right"/>
      <w:pPr>
        <w:tabs>
          <w:tab w:val="left" w:pos="4260"/>
        </w:tabs>
        <w:ind w:left="4260" w:hanging="420"/>
      </w:pPr>
      <w:rPr>
        <w:rFonts w:hint="eastAsia"/>
      </w:rPr>
    </w:lvl>
  </w:abstractNum>
  <w:abstractNum w:abstractNumId="11">
    <w:nsid w:val="00000019"/>
    <w:multiLevelType w:val="multilevel"/>
    <w:tmpl w:val="00000019"/>
    <w:lvl w:ilvl="0" w:tentative="0">
      <w:start w:val="1"/>
      <w:numFmt w:val="decimal"/>
      <w:lvlText w:val="25.%1"/>
      <w:lvlJc w:val="left"/>
      <w:pPr>
        <w:tabs>
          <w:tab w:val="left" w:pos="1080"/>
        </w:tabs>
        <w:ind w:left="1080" w:hanging="360"/>
      </w:pPr>
      <w:rPr>
        <w:rFonts w:hint="eastAsia" w:ascii="宋体" w:hAnsi="宋体" w:eastAsia="宋体"/>
        <w:b w:val="0"/>
        <w:i w:val="0"/>
        <w:sz w:val="24"/>
        <w:szCs w:val="24"/>
      </w:rPr>
    </w:lvl>
    <w:lvl w:ilvl="1" w:tentative="0">
      <w:start w:val="5"/>
      <w:numFmt w:val="japaneseCounting"/>
      <w:lvlText w:val="第%2章"/>
      <w:lvlJc w:val="left"/>
      <w:pPr>
        <w:tabs>
          <w:tab w:val="left" w:pos="1860"/>
        </w:tabs>
        <w:ind w:left="1860" w:hanging="144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A"/>
    <w:multiLevelType w:val="multilevel"/>
    <w:tmpl w:val="0000001A"/>
    <w:lvl w:ilvl="0" w:tentative="0">
      <w:start w:val="1"/>
      <w:numFmt w:val="decimal"/>
      <w:lvlText w:val="16.%1"/>
      <w:lvlJc w:val="left"/>
      <w:pPr>
        <w:tabs>
          <w:tab w:val="left" w:pos="1080"/>
        </w:tabs>
        <w:ind w:left="1080" w:hanging="360"/>
      </w:pPr>
      <w:rPr>
        <w:rFonts w:hint="eastAsia" w:ascii="宋体" w:hAnsi="宋体" w:eastAsia="宋体"/>
        <w:b w:val="0"/>
        <w:i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000001B"/>
    <w:multiLevelType w:val="multilevel"/>
    <w:tmpl w:val="0000001B"/>
    <w:lvl w:ilvl="0" w:tentative="0">
      <w:start w:val="1"/>
      <w:numFmt w:val="decimal"/>
      <w:lvlText w:val="24.%1"/>
      <w:lvlJc w:val="left"/>
      <w:pPr>
        <w:tabs>
          <w:tab w:val="left" w:pos="1080"/>
        </w:tabs>
        <w:ind w:left="1080" w:hanging="360"/>
      </w:pPr>
      <w:rPr>
        <w:rFonts w:hint="eastAsia" w:ascii="宋体" w:hAnsi="宋体" w:eastAsia="宋体"/>
        <w:b w:val="0"/>
        <w:i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1E"/>
    <w:multiLevelType w:val="multilevel"/>
    <w:tmpl w:val="0000001E"/>
    <w:lvl w:ilvl="0" w:tentative="0">
      <w:start w:val="1"/>
      <w:numFmt w:val="decimal"/>
      <w:lvlText w:val="%1."/>
      <w:lvlJc w:val="left"/>
      <w:pPr>
        <w:tabs>
          <w:tab w:val="left" w:pos="1380"/>
        </w:tabs>
        <w:ind w:left="1380" w:hanging="420"/>
      </w:pPr>
      <w:rPr>
        <w:rFonts w:hint="eastAsia"/>
      </w:rPr>
    </w:lvl>
    <w:lvl w:ilvl="1" w:tentative="0">
      <w:start w:val="1"/>
      <w:numFmt w:val="lowerLetter"/>
      <w:lvlText w:val="（%2）"/>
      <w:lvlJc w:val="left"/>
      <w:pPr>
        <w:tabs>
          <w:tab w:val="left" w:pos="1320"/>
        </w:tabs>
        <w:ind w:left="1320" w:hanging="420"/>
      </w:pPr>
      <w:rPr>
        <w:rFonts w:hint="eastAsia"/>
        <w:lang w:val="en-US"/>
      </w:rPr>
    </w:lvl>
    <w:lvl w:ilvl="2" w:tentative="0">
      <w:start w:val="1"/>
      <w:numFmt w:val="lowerRoman"/>
      <w:lvlText w:val="%3."/>
      <w:lvlJc w:val="right"/>
      <w:pPr>
        <w:tabs>
          <w:tab w:val="left" w:pos="1740"/>
        </w:tabs>
        <w:ind w:left="1740" w:hanging="420"/>
      </w:pPr>
      <w:rPr>
        <w:rFonts w:hint="eastAsia"/>
      </w:rPr>
    </w:lvl>
    <w:lvl w:ilvl="3" w:tentative="0">
      <w:start w:val="1"/>
      <w:numFmt w:val="decimal"/>
      <w:lvlText w:val="%4."/>
      <w:lvlJc w:val="left"/>
      <w:pPr>
        <w:tabs>
          <w:tab w:val="left" w:pos="2160"/>
        </w:tabs>
        <w:ind w:left="2160" w:hanging="420"/>
      </w:pPr>
      <w:rPr>
        <w:rFonts w:hint="eastAsia"/>
      </w:rPr>
    </w:lvl>
    <w:lvl w:ilvl="4" w:tentative="0">
      <w:start w:val="1"/>
      <w:numFmt w:val="lowerLetter"/>
      <w:lvlText w:val="%5)"/>
      <w:lvlJc w:val="left"/>
      <w:pPr>
        <w:tabs>
          <w:tab w:val="left" w:pos="2580"/>
        </w:tabs>
        <w:ind w:left="2580" w:hanging="420"/>
      </w:pPr>
      <w:rPr>
        <w:rFonts w:hint="eastAsia"/>
      </w:rPr>
    </w:lvl>
    <w:lvl w:ilvl="5" w:tentative="0">
      <w:start w:val="1"/>
      <w:numFmt w:val="lowerRoman"/>
      <w:lvlText w:val="%6."/>
      <w:lvlJc w:val="right"/>
      <w:pPr>
        <w:tabs>
          <w:tab w:val="left" w:pos="3000"/>
        </w:tabs>
        <w:ind w:left="3000" w:hanging="420"/>
      </w:pPr>
      <w:rPr>
        <w:rFonts w:hint="eastAsia"/>
      </w:rPr>
    </w:lvl>
    <w:lvl w:ilvl="6" w:tentative="0">
      <w:start w:val="1"/>
      <w:numFmt w:val="decimal"/>
      <w:lvlText w:val="%7."/>
      <w:lvlJc w:val="left"/>
      <w:pPr>
        <w:tabs>
          <w:tab w:val="left" w:pos="3420"/>
        </w:tabs>
        <w:ind w:left="3420" w:hanging="420"/>
      </w:pPr>
      <w:rPr>
        <w:rFonts w:hint="eastAsia"/>
      </w:rPr>
    </w:lvl>
    <w:lvl w:ilvl="7" w:tentative="0">
      <w:start w:val="1"/>
      <w:numFmt w:val="lowerLetter"/>
      <w:lvlText w:val="%8)"/>
      <w:lvlJc w:val="left"/>
      <w:pPr>
        <w:tabs>
          <w:tab w:val="left" w:pos="3840"/>
        </w:tabs>
        <w:ind w:left="3840" w:hanging="420"/>
      </w:pPr>
      <w:rPr>
        <w:rFonts w:hint="eastAsia"/>
      </w:rPr>
    </w:lvl>
    <w:lvl w:ilvl="8" w:tentative="0">
      <w:start w:val="1"/>
      <w:numFmt w:val="lowerRoman"/>
      <w:lvlText w:val="%9."/>
      <w:lvlJc w:val="right"/>
      <w:pPr>
        <w:tabs>
          <w:tab w:val="left" w:pos="4260"/>
        </w:tabs>
        <w:ind w:left="4260" w:hanging="420"/>
      </w:pPr>
      <w:rPr>
        <w:rFonts w:hint="eastAsia"/>
      </w:rPr>
    </w:lvl>
  </w:abstractNum>
  <w:abstractNum w:abstractNumId="15">
    <w:nsid w:val="00000020"/>
    <w:multiLevelType w:val="multilevel"/>
    <w:tmpl w:val="00000020"/>
    <w:lvl w:ilvl="0" w:tentative="0">
      <w:start w:val="1"/>
      <w:numFmt w:val="decimal"/>
      <w:lvlText w:val="13.%1"/>
      <w:lvlJc w:val="left"/>
      <w:pPr>
        <w:tabs>
          <w:tab w:val="left" w:pos="900"/>
        </w:tabs>
        <w:ind w:left="900" w:hanging="360"/>
      </w:pPr>
      <w:rPr>
        <w:rFonts w:hint="eastAsia" w:ascii="宋体" w:hAnsi="宋体" w:eastAsia="宋体"/>
        <w:b w:val="0"/>
        <w:i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1"/>
    <w:multiLevelType w:val="multilevel"/>
    <w:tmpl w:val="00000021"/>
    <w:lvl w:ilvl="0" w:tentative="0">
      <w:start w:val="1"/>
      <w:numFmt w:val="decimal"/>
      <w:lvlText w:val="4.%1"/>
      <w:lvlJc w:val="left"/>
      <w:pPr>
        <w:tabs>
          <w:tab w:val="left" w:pos="1080"/>
        </w:tabs>
        <w:ind w:left="1080" w:hanging="360"/>
      </w:pPr>
      <w:rPr>
        <w:rFonts w:hint="eastAsia" w:ascii="宋体" w:hAnsi="宋体" w:eastAsia="宋体"/>
        <w:b w:val="0"/>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3"/>
    <w:multiLevelType w:val="multilevel"/>
    <w:tmpl w:val="00000023"/>
    <w:lvl w:ilvl="0" w:tentative="0">
      <w:start w:val="1"/>
      <w:numFmt w:val="decimal"/>
      <w:lvlText w:val="%1."/>
      <w:lvlJc w:val="left"/>
      <w:pPr>
        <w:tabs>
          <w:tab w:val="left" w:pos="1380"/>
        </w:tabs>
        <w:ind w:left="1380" w:hanging="420"/>
      </w:pPr>
      <w:rPr>
        <w:rFonts w:hint="eastAsia"/>
      </w:rPr>
    </w:lvl>
    <w:lvl w:ilvl="1" w:tentative="0">
      <w:start w:val="1"/>
      <w:numFmt w:val="decimal"/>
      <w:lvlText w:val="（%2）"/>
      <w:lvlJc w:val="left"/>
      <w:pPr>
        <w:tabs>
          <w:tab w:val="left" w:pos="1320"/>
        </w:tabs>
        <w:ind w:left="1320" w:hanging="420"/>
      </w:pPr>
      <w:rPr>
        <w:rFonts w:hint="eastAsia"/>
      </w:rPr>
    </w:lvl>
    <w:lvl w:ilvl="2" w:tentative="0">
      <w:start w:val="1"/>
      <w:numFmt w:val="lowerRoman"/>
      <w:lvlText w:val="%3."/>
      <w:lvlJc w:val="right"/>
      <w:pPr>
        <w:tabs>
          <w:tab w:val="left" w:pos="1740"/>
        </w:tabs>
        <w:ind w:left="1740" w:hanging="420"/>
      </w:pPr>
      <w:rPr>
        <w:rFonts w:hint="eastAsia"/>
      </w:rPr>
    </w:lvl>
    <w:lvl w:ilvl="3" w:tentative="0">
      <w:start w:val="1"/>
      <w:numFmt w:val="decimal"/>
      <w:lvlText w:val="%4."/>
      <w:lvlJc w:val="left"/>
      <w:pPr>
        <w:tabs>
          <w:tab w:val="left" w:pos="2160"/>
        </w:tabs>
        <w:ind w:left="2160" w:hanging="420"/>
      </w:pPr>
      <w:rPr>
        <w:rFonts w:hint="eastAsia"/>
      </w:rPr>
    </w:lvl>
    <w:lvl w:ilvl="4" w:tentative="0">
      <w:start w:val="1"/>
      <w:numFmt w:val="lowerLetter"/>
      <w:lvlText w:val="%5)"/>
      <w:lvlJc w:val="left"/>
      <w:pPr>
        <w:tabs>
          <w:tab w:val="left" w:pos="2580"/>
        </w:tabs>
        <w:ind w:left="2580" w:hanging="420"/>
      </w:pPr>
      <w:rPr>
        <w:rFonts w:hint="eastAsia"/>
      </w:rPr>
    </w:lvl>
    <w:lvl w:ilvl="5" w:tentative="0">
      <w:start w:val="1"/>
      <w:numFmt w:val="lowerRoman"/>
      <w:lvlText w:val="%6."/>
      <w:lvlJc w:val="right"/>
      <w:pPr>
        <w:tabs>
          <w:tab w:val="left" w:pos="3000"/>
        </w:tabs>
        <w:ind w:left="3000" w:hanging="420"/>
      </w:pPr>
      <w:rPr>
        <w:rFonts w:hint="eastAsia"/>
      </w:rPr>
    </w:lvl>
    <w:lvl w:ilvl="6" w:tentative="0">
      <w:start w:val="1"/>
      <w:numFmt w:val="decimal"/>
      <w:lvlText w:val="%7."/>
      <w:lvlJc w:val="left"/>
      <w:pPr>
        <w:tabs>
          <w:tab w:val="left" w:pos="3420"/>
        </w:tabs>
        <w:ind w:left="3420" w:hanging="420"/>
      </w:pPr>
      <w:rPr>
        <w:rFonts w:hint="eastAsia"/>
      </w:rPr>
    </w:lvl>
    <w:lvl w:ilvl="7" w:tentative="0">
      <w:start w:val="1"/>
      <w:numFmt w:val="lowerLetter"/>
      <w:lvlText w:val="%8)"/>
      <w:lvlJc w:val="left"/>
      <w:pPr>
        <w:tabs>
          <w:tab w:val="left" w:pos="3840"/>
        </w:tabs>
        <w:ind w:left="3840" w:hanging="420"/>
      </w:pPr>
      <w:rPr>
        <w:rFonts w:hint="eastAsia"/>
      </w:rPr>
    </w:lvl>
    <w:lvl w:ilvl="8" w:tentative="0">
      <w:start w:val="1"/>
      <w:numFmt w:val="lowerRoman"/>
      <w:lvlText w:val="%9."/>
      <w:lvlJc w:val="right"/>
      <w:pPr>
        <w:tabs>
          <w:tab w:val="left" w:pos="4260"/>
        </w:tabs>
        <w:ind w:left="4260" w:hanging="420"/>
      </w:pPr>
      <w:rPr>
        <w:rFonts w:hint="eastAsia"/>
      </w:rPr>
    </w:lvl>
  </w:abstractNum>
  <w:abstractNum w:abstractNumId="18">
    <w:nsid w:val="00000025"/>
    <w:multiLevelType w:val="multilevel"/>
    <w:tmpl w:val="00000025"/>
    <w:lvl w:ilvl="0" w:tentative="0">
      <w:start w:val="1"/>
      <w:numFmt w:val="decimal"/>
      <w:lvlText w:val="%1."/>
      <w:lvlJc w:val="left"/>
      <w:pPr>
        <w:tabs>
          <w:tab w:val="left" w:pos="1380"/>
        </w:tabs>
        <w:ind w:left="1380" w:hanging="420"/>
      </w:pPr>
      <w:rPr>
        <w:rFonts w:hint="eastAsia"/>
      </w:rPr>
    </w:lvl>
    <w:lvl w:ilvl="1" w:tentative="0">
      <w:start w:val="1"/>
      <w:numFmt w:val="lowerLetter"/>
      <w:lvlText w:val="%2)"/>
      <w:lvlJc w:val="left"/>
      <w:pPr>
        <w:tabs>
          <w:tab w:val="left" w:pos="1320"/>
        </w:tabs>
        <w:ind w:left="1320" w:hanging="420"/>
      </w:pPr>
      <w:rPr>
        <w:rFonts w:hint="eastAsia"/>
      </w:rPr>
    </w:lvl>
    <w:lvl w:ilvl="2" w:tentative="0">
      <w:start w:val="1"/>
      <w:numFmt w:val="lowerRoman"/>
      <w:lvlText w:val="%3."/>
      <w:lvlJc w:val="right"/>
      <w:pPr>
        <w:tabs>
          <w:tab w:val="left" w:pos="1740"/>
        </w:tabs>
        <w:ind w:left="1740" w:hanging="420"/>
      </w:pPr>
      <w:rPr>
        <w:rFonts w:hint="eastAsia"/>
      </w:rPr>
    </w:lvl>
    <w:lvl w:ilvl="3" w:tentative="0">
      <w:start w:val="1"/>
      <w:numFmt w:val="decimal"/>
      <w:lvlText w:val="%4."/>
      <w:lvlJc w:val="left"/>
      <w:pPr>
        <w:tabs>
          <w:tab w:val="left" w:pos="2160"/>
        </w:tabs>
        <w:ind w:left="2160" w:hanging="420"/>
      </w:pPr>
      <w:rPr>
        <w:rFonts w:hint="eastAsia"/>
      </w:rPr>
    </w:lvl>
    <w:lvl w:ilvl="4" w:tentative="0">
      <w:start w:val="1"/>
      <w:numFmt w:val="lowerLetter"/>
      <w:lvlText w:val="%5)"/>
      <w:lvlJc w:val="left"/>
      <w:pPr>
        <w:tabs>
          <w:tab w:val="left" w:pos="2580"/>
        </w:tabs>
        <w:ind w:left="2580" w:hanging="420"/>
      </w:pPr>
      <w:rPr>
        <w:rFonts w:hint="eastAsia"/>
      </w:rPr>
    </w:lvl>
    <w:lvl w:ilvl="5" w:tentative="0">
      <w:start w:val="1"/>
      <w:numFmt w:val="lowerRoman"/>
      <w:lvlText w:val="%6."/>
      <w:lvlJc w:val="right"/>
      <w:pPr>
        <w:tabs>
          <w:tab w:val="left" w:pos="3000"/>
        </w:tabs>
        <w:ind w:left="3000" w:hanging="420"/>
      </w:pPr>
      <w:rPr>
        <w:rFonts w:hint="eastAsia"/>
      </w:rPr>
    </w:lvl>
    <w:lvl w:ilvl="6" w:tentative="0">
      <w:start w:val="1"/>
      <w:numFmt w:val="decimal"/>
      <w:lvlText w:val="%7."/>
      <w:lvlJc w:val="left"/>
      <w:pPr>
        <w:tabs>
          <w:tab w:val="left" w:pos="3420"/>
        </w:tabs>
        <w:ind w:left="3420" w:hanging="420"/>
      </w:pPr>
      <w:rPr>
        <w:rFonts w:hint="eastAsia"/>
      </w:rPr>
    </w:lvl>
    <w:lvl w:ilvl="7" w:tentative="0">
      <w:start w:val="1"/>
      <w:numFmt w:val="lowerLetter"/>
      <w:lvlText w:val="%8)"/>
      <w:lvlJc w:val="left"/>
      <w:pPr>
        <w:tabs>
          <w:tab w:val="left" w:pos="3840"/>
        </w:tabs>
        <w:ind w:left="3840" w:hanging="420"/>
      </w:pPr>
      <w:rPr>
        <w:rFonts w:hint="eastAsia"/>
      </w:rPr>
    </w:lvl>
    <w:lvl w:ilvl="8" w:tentative="0">
      <w:start w:val="1"/>
      <w:numFmt w:val="lowerRoman"/>
      <w:lvlText w:val="%9."/>
      <w:lvlJc w:val="right"/>
      <w:pPr>
        <w:tabs>
          <w:tab w:val="left" w:pos="4260"/>
        </w:tabs>
        <w:ind w:left="4260" w:hanging="420"/>
      </w:pPr>
      <w:rPr>
        <w:rFonts w:hint="eastAsia"/>
      </w:rPr>
    </w:lvl>
  </w:abstractNum>
  <w:abstractNum w:abstractNumId="19">
    <w:nsid w:val="00000028"/>
    <w:multiLevelType w:val="multilevel"/>
    <w:tmpl w:val="00000028"/>
    <w:lvl w:ilvl="0" w:tentative="0">
      <w:start w:val="1"/>
      <w:numFmt w:val="decimal"/>
      <w:lvlText w:val="14.%1"/>
      <w:lvlJc w:val="left"/>
      <w:pPr>
        <w:tabs>
          <w:tab w:val="left" w:pos="1080"/>
        </w:tabs>
        <w:ind w:left="1080" w:hanging="360"/>
      </w:pPr>
      <w:rPr>
        <w:rFonts w:hint="eastAsia" w:ascii="宋体" w:hAnsi="宋体" w:eastAsia="宋体"/>
        <w:b w:val="0"/>
        <w:i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00000029"/>
    <w:multiLevelType w:val="multilevel"/>
    <w:tmpl w:val="00000029"/>
    <w:lvl w:ilvl="0" w:tentative="0">
      <w:start w:val="1"/>
      <w:numFmt w:val="decimal"/>
      <w:lvlText w:val="27.%1"/>
      <w:lvlJc w:val="left"/>
      <w:pPr>
        <w:tabs>
          <w:tab w:val="left" w:pos="1080"/>
        </w:tabs>
        <w:ind w:left="1080" w:hanging="360"/>
      </w:pPr>
      <w:rPr>
        <w:rFonts w:hint="eastAsia" w:ascii="宋体" w:hAnsi="宋体" w:eastAsia="宋体"/>
        <w:b w:val="0"/>
        <w:i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0000002A"/>
    <w:multiLevelType w:val="multilevel"/>
    <w:tmpl w:val="0000002A"/>
    <w:lvl w:ilvl="0" w:tentative="0">
      <w:start w:val="1"/>
      <w:numFmt w:val="decimal"/>
      <w:lvlText w:val="%1."/>
      <w:lvlJc w:val="left"/>
      <w:pPr>
        <w:tabs>
          <w:tab w:val="left" w:pos="1380"/>
        </w:tabs>
        <w:ind w:left="1380" w:hanging="420"/>
      </w:pPr>
      <w:rPr>
        <w:rFonts w:hint="eastAsia"/>
      </w:rPr>
    </w:lvl>
    <w:lvl w:ilvl="1" w:tentative="0">
      <w:start w:val="1"/>
      <w:numFmt w:val="decimal"/>
      <w:lvlText w:val="（%2）"/>
      <w:lvlJc w:val="left"/>
      <w:pPr>
        <w:tabs>
          <w:tab w:val="left" w:pos="1320"/>
        </w:tabs>
        <w:ind w:left="1320" w:hanging="420"/>
      </w:pPr>
      <w:rPr>
        <w:rFonts w:hint="eastAsia"/>
      </w:rPr>
    </w:lvl>
    <w:lvl w:ilvl="2" w:tentative="0">
      <w:start w:val="1"/>
      <w:numFmt w:val="lowerRoman"/>
      <w:lvlText w:val="%3."/>
      <w:lvlJc w:val="right"/>
      <w:pPr>
        <w:tabs>
          <w:tab w:val="left" w:pos="1740"/>
        </w:tabs>
        <w:ind w:left="1740" w:hanging="420"/>
      </w:pPr>
      <w:rPr>
        <w:rFonts w:hint="eastAsia"/>
      </w:rPr>
    </w:lvl>
    <w:lvl w:ilvl="3" w:tentative="0">
      <w:start w:val="1"/>
      <w:numFmt w:val="decimal"/>
      <w:lvlText w:val="%4."/>
      <w:lvlJc w:val="left"/>
      <w:pPr>
        <w:tabs>
          <w:tab w:val="left" w:pos="2160"/>
        </w:tabs>
        <w:ind w:left="2160" w:hanging="420"/>
      </w:pPr>
      <w:rPr>
        <w:rFonts w:hint="eastAsia"/>
      </w:rPr>
    </w:lvl>
    <w:lvl w:ilvl="4" w:tentative="0">
      <w:start w:val="1"/>
      <w:numFmt w:val="lowerLetter"/>
      <w:lvlText w:val="%5)"/>
      <w:lvlJc w:val="left"/>
      <w:pPr>
        <w:tabs>
          <w:tab w:val="left" w:pos="2580"/>
        </w:tabs>
        <w:ind w:left="2580" w:hanging="420"/>
      </w:pPr>
      <w:rPr>
        <w:rFonts w:hint="eastAsia"/>
      </w:rPr>
    </w:lvl>
    <w:lvl w:ilvl="5" w:tentative="0">
      <w:start w:val="1"/>
      <w:numFmt w:val="lowerRoman"/>
      <w:lvlText w:val="%6."/>
      <w:lvlJc w:val="right"/>
      <w:pPr>
        <w:tabs>
          <w:tab w:val="left" w:pos="3000"/>
        </w:tabs>
        <w:ind w:left="3000" w:hanging="420"/>
      </w:pPr>
      <w:rPr>
        <w:rFonts w:hint="eastAsia"/>
      </w:rPr>
    </w:lvl>
    <w:lvl w:ilvl="6" w:tentative="0">
      <w:start w:val="1"/>
      <w:numFmt w:val="decimal"/>
      <w:lvlText w:val="%7."/>
      <w:lvlJc w:val="left"/>
      <w:pPr>
        <w:tabs>
          <w:tab w:val="left" w:pos="3420"/>
        </w:tabs>
        <w:ind w:left="3420" w:hanging="420"/>
      </w:pPr>
      <w:rPr>
        <w:rFonts w:hint="eastAsia"/>
      </w:rPr>
    </w:lvl>
    <w:lvl w:ilvl="7" w:tentative="0">
      <w:start w:val="1"/>
      <w:numFmt w:val="lowerLetter"/>
      <w:lvlText w:val="%8)"/>
      <w:lvlJc w:val="left"/>
      <w:pPr>
        <w:tabs>
          <w:tab w:val="left" w:pos="3840"/>
        </w:tabs>
        <w:ind w:left="3840" w:hanging="420"/>
      </w:pPr>
      <w:rPr>
        <w:rFonts w:hint="eastAsia"/>
      </w:rPr>
    </w:lvl>
    <w:lvl w:ilvl="8" w:tentative="0">
      <w:start w:val="1"/>
      <w:numFmt w:val="lowerRoman"/>
      <w:lvlText w:val="%9."/>
      <w:lvlJc w:val="right"/>
      <w:pPr>
        <w:tabs>
          <w:tab w:val="left" w:pos="4260"/>
        </w:tabs>
        <w:ind w:left="4260" w:hanging="420"/>
      </w:pPr>
      <w:rPr>
        <w:rFonts w:hint="eastAsia"/>
      </w:rPr>
    </w:lvl>
  </w:abstractNum>
  <w:abstractNum w:abstractNumId="22">
    <w:nsid w:val="0000002E"/>
    <w:multiLevelType w:val="multilevel"/>
    <w:tmpl w:val="0000002E"/>
    <w:lvl w:ilvl="0" w:tentative="0">
      <w:start w:val="1"/>
      <w:numFmt w:val="decimal"/>
      <w:lvlText w:val="（%1）"/>
      <w:lvlJc w:val="left"/>
      <w:pPr>
        <w:tabs>
          <w:tab w:val="left" w:pos="1140"/>
        </w:tabs>
        <w:ind w:left="11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0000002F"/>
    <w:multiLevelType w:val="multilevel"/>
    <w:tmpl w:val="0000002F"/>
    <w:lvl w:ilvl="0" w:tentative="0">
      <w:start w:val="1"/>
      <w:numFmt w:val="decimal"/>
      <w:lvlText w:val="11.%1"/>
      <w:lvlJc w:val="left"/>
      <w:pPr>
        <w:tabs>
          <w:tab w:val="left" w:pos="900"/>
        </w:tabs>
        <w:ind w:left="900" w:hanging="360"/>
      </w:pPr>
      <w:rPr>
        <w:rFonts w:hint="eastAsia" w:ascii="宋体" w:hAnsi="宋体" w:eastAsia="宋体"/>
        <w:b w:val="0"/>
        <w:i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30"/>
    <w:multiLevelType w:val="multilevel"/>
    <w:tmpl w:val="00000030"/>
    <w:lvl w:ilvl="0" w:tentative="0">
      <w:start w:val="1"/>
      <w:numFmt w:val="decimal"/>
      <w:lvlText w:val="（%1）"/>
      <w:lvlJc w:val="left"/>
      <w:pPr>
        <w:tabs>
          <w:tab w:val="left" w:pos="1140"/>
        </w:tabs>
        <w:ind w:left="11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00000031"/>
    <w:multiLevelType w:val="multilevel"/>
    <w:tmpl w:val="00000031"/>
    <w:lvl w:ilvl="0" w:tentative="0">
      <w:start w:val="1"/>
      <w:numFmt w:val="decimal"/>
      <w:lvlText w:val="%1."/>
      <w:lvlJc w:val="left"/>
      <w:pPr>
        <w:tabs>
          <w:tab w:val="left" w:pos="1380"/>
        </w:tabs>
        <w:ind w:left="1380" w:hanging="420"/>
      </w:pPr>
      <w:rPr>
        <w:rFonts w:hint="eastAsia"/>
      </w:rPr>
    </w:lvl>
    <w:lvl w:ilvl="1" w:tentative="0">
      <w:start w:val="1"/>
      <w:numFmt w:val="decimal"/>
      <w:lvlText w:val="（%2）"/>
      <w:lvlJc w:val="left"/>
      <w:pPr>
        <w:tabs>
          <w:tab w:val="left" w:pos="1320"/>
        </w:tabs>
        <w:ind w:left="1320" w:hanging="420"/>
      </w:pPr>
      <w:rPr>
        <w:rFonts w:hint="eastAsia"/>
        <w:lang w:val="en-US"/>
      </w:rPr>
    </w:lvl>
    <w:lvl w:ilvl="2" w:tentative="0">
      <w:start w:val="1"/>
      <w:numFmt w:val="lowerRoman"/>
      <w:lvlText w:val="%3."/>
      <w:lvlJc w:val="right"/>
      <w:pPr>
        <w:tabs>
          <w:tab w:val="left" w:pos="1740"/>
        </w:tabs>
        <w:ind w:left="1740" w:hanging="420"/>
      </w:pPr>
      <w:rPr>
        <w:rFonts w:hint="eastAsia"/>
      </w:rPr>
    </w:lvl>
    <w:lvl w:ilvl="3" w:tentative="0">
      <w:start w:val="1"/>
      <w:numFmt w:val="decimal"/>
      <w:lvlText w:val="%4."/>
      <w:lvlJc w:val="left"/>
      <w:pPr>
        <w:tabs>
          <w:tab w:val="left" w:pos="2160"/>
        </w:tabs>
        <w:ind w:left="2160" w:hanging="420"/>
      </w:pPr>
      <w:rPr>
        <w:rFonts w:hint="eastAsia"/>
      </w:rPr>
    </w:lvl>
    <w:lvl w:ilvl="4" w:tentative="0">
      <w:start w:val="1"/>
      <w:numFmt w:val="lowerLetter"/>
      <w:lvlText w:val="%5)"/>
      <w:lvlJc w:val="left"/>
      <w:pPr>
        <w:tabs>
          <w:tab w:val="left" w:pos="2580"/>
        </w:tabs>
        <w:ind w:left="2580" w:hanging="420"/>
      </w:pPr>
      <w:rPr>
        <w:rFonts w:hint="eastAsia"/>
      </w:rPr>
    </w:lvl>
    <w:lvl w:ilvl="5" w:tentative="0">
      <w:start w:val="1"/>
      <w:numFmt w:val="lowerRoman"/>
      <w:lvlText w:val="%6."/>
      <w:lvlJc w:val="right"/>
      <w:pPr>
        <w:tabs>
          <w:tab w:val="left" w:pos="3000"/>
        </w:tabs>
        <w:ind w:left="3000" w:hanging="420"/>
      </w:pPr>
      <w:rPr>
        <w:rFonts w:hint="eastAsia"/>
      </w:rPr>
    </w:lvl>
    <w:lvl w:ilvl="6" w:tentative="0">
      <w:start w:val="1"/>
      <w:numFmt w:val="decimal"/>
      <w:lvlText w:val="%7."/>
      <w:lvlJc w:val="left"/>
      <w:pPr>
        <w:tabs>
          <w:tab w:val="left" w:pos="3420"/>
        </w:tabs>
        <w:ind w:left="3420" w:hanging="420"/>
      </w:pPr>
      <w:rPr>
        <w:rFonts w:hint="eastAsia"/>
      </w:rPr>
    </w:lvl>
    <w:lvl w:ilvl="7" w:tentative="0">
      <w:start w:val="1"/>
      <w:numFmt w:val="lowerLetter"/>
      <w:lvlText w:val="%8)"/>
      <w:lvlJc w:val="left"/>
      <w:pPr>
        <w:tabs>
          <w:tab w:val="left" w:pos="3840"/>
        </w:tabs>
        <w:ind w:left="3840" w:hanging="420"/>
      </w:pPr>
      <w:rPr>
        <w:rFonts w:hint="eastAsia"/>
      </w:rPr>
    </w:lvl>
    <w:lvl w:ilvl="8" w:tentative="0">
      <w:start w:val="1"/>
      <w:numFmt w:val="lowerRoman"/>
      <w:lvlText w:val="%9."/>
      <w:lvlJc w:val="right"/>
      <w:pPr>
        <w:tabs>
          <w:tab w:val="left" w:pos="4260"/>
        </w:tabs>
        <w:ind w:left="4260" w:hanging="420"/>
      </w:pPr>
      <w:rPr>
        <w:rFonts w:hint="eastAsia"/>
      </w:rPr>
    </w:lvl>
  </w:abstractNum>
  <w:abstractNum w:abstractNumId="26">
    <w:nsid w:val="00000032"/>
    <w:multiLevelType w:val="multilevel"/>
    <w:tmpl w:val="00000032"/>
    <w:lvl w:ilvl="0" w:tentative="0">
      <w:start w:val="1"/>
      <w:numFmt w:val="decimal"/>
      <w:lvlText w:val="20.%1"/>
      <w:lvlJc w:val="left"/>
      <w:pPr>
        <w:tabs>
          <w:tab w:val="left" w:pos="1080"/>
        </w:tabs>
        <w:ind w:left="1080" w:hanging="360"/>
      </w:pPr>
      <w:rPr>
        <w:rFonts w:hint="eastAsia" w:ascii="宋体" w:hAnsi="宋体" w:eastAsia="宋体"/>
        <w:b w:val="0"/>
        <w:i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4"/>
    <w:multiLevelType w:val="multilevel"/>
    <w:tmpl w:val="00000034"/>
    <w:lvl w:ilvl="0" w:tentative="0">
      <w:start w:val="1"/>
      <w:numFmt w:val="decimal"/>
      <w:lvlText w:val="15.%1"/>
      <w:lvlJc w:val="left"/>
      <w:pPr>
        <w:tabs>
          <w:tab w:val="left" w:pos="1080"/>
        </w:tabs>
        <w:ind w:left="1080" w:hanging="360"/>
      </w:pPr>
      <w:rPr>
        <w:rFonts w:hint="eastAsia" w:ascii="宋体" w:hAnsi="宋体" w:eastAsia="宋体"/>
        <w:b w:val="0"/>
        <w:i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00000035"/>
    <w:multiLevelType w:val="multilevel"/>
    <w:tmpl w:val="00000035"/>
    <w:lvl w:ilvl="0" w:tentative="0">
      <w:start w:val="1"/>
      <w:numFmt w:val="decimal"/>
      <w:lvlText w:val="%1."/>
      <w:lvlJc w:val="left"/>
      <w:pPr>
        <w:tabs>
          <w:tab w:val="left" w:pos="1380"/>
        </w:tabs>
        <w:ind w:left="1380" w:hanging="420"/>
      </w:pPr>
      <w:rPr>
        <w:rFonts w:hint="eastAsia"/>
      </w:rPr>
    </w:lvl>
    <w:lvl w:ilvl="1" w:tentative="0">
      <w:start w:val="1"/>
      <w:numFmt w:val="decimal"/>
      <w:lvlText w:val="（%2）"/>
      <w:lvlJc w:val="left"/>
      <w:pPr>
        <w:tabs>
          <w:tab w:val="left" w:pos="1320"/>
        </w:tabs>
        <w:ind w:left="1320" w:hanging="420"/>
      </w:pPr>
      <w:rPr>
        <w:rFonts w:hint="eastAsia"/>
      </w:rPr>
    </w:lvl>
    <w:lvl w:ilvl="2" w:tentative="0">
      <w:start w:val="1"/>
      <w:numFmt w:val="lowerRoman"/>
      <w:lvlText w:val="%3."/>
      <w:lvlJc w:val="right"/>
      <w:pPr>
        <w:tabs>
          <w:tab w:val="left" w:pos="1740"/>
        </w:tabs>
        <w:ind w:left="1740" w:hanging="420"/>
      </w:pPr>
      <w:rPr>
        <w:rFonts w:hint="eastAsia"/>
      </w:rPr>
    </w:lvl>
    <w:lvl w:ilvl="3" w:tentative="0">
      <w:start w:val="1"/>
      <w:numFmt w:val="decimal"/>
      <w:lvlText w:val="%4."/>
      <w:lvlJc w:val="left"/>
      <w:pPr>
        <w:tabs>
          <w:tab w:val="left" w:pos="2160"/>
        </w:tabs>
        <w:ind w:left="2160" w:hanging="420"/>
      </w:pPr>
      <w:rPr>
        <w:rFonts w:hint="eastAsia"/>
      </w:rPr>
    </w:lvl>
    <w:lvl w:ilvl="4" w:tentative="0">
      <w:start w:val="1"/>
      <w:numFmt w:val="lowerLetter"/>
      <w:lvlText w:val="%5)"/>
      <w:lvlJc w:val="left"/>
      <w:pPr>
        <w:tabs>
          <w:tab w:val="left" w:pos="2580"/>
        </w:tabs>
        <w:ind w:left="2580" w:hanging="420"/>
      </w:pPr>
      <w:rPr>
        <w:rFonts w:hint="eastAsia"/>
      </w:rPr>
    </w:lvl>
    <w:lvl w:ilvl="5" w:tentative="0">
      <w:start w:val="1"/>
      <w:numFmt w:val="lowerRoman"/>
      <w:lvlText w:val="%6."/>
      <w:lvlJc w:val="right"/>
      <w:pPr>
        <w:tabs>
          <w:tab w:val="left" w:pos="3000"/>
        </w:tabs>
        <w:ind w:left="3000" w:hanging="420"/>
      </w:pPr>
      <w:rPr>
        <w:rFonts w:hint="eastAsia"/>
      </w:rPr>
    </w:lvl>
    <w:lvl w:ilvl="6" w:tentative="0">
      <w:start w:val="1"/>
      <w:numFmt w:val="decimal"/>
      <w:lvlText w:val="%7."/>
      <w:lvlJc w:val="left"/>
      <w:pPr>
        <w:tabs>
          <w:tab w:val="left" w:pos="3420"/>
        </w:tabs>
        <w:ind w:left="3420" w:hanging="420"/>
      </w:pPr>
      <w:rPr>
        <w:rFonts w:hint="eastAsia"/>
      </w:rPr>
    </w:lvl>
    <w:lvl w:ilvl="7" w:tentative="0">
      <w:start w:val="1"/>
      <w:numFmt w:val="lowerLetter"/>
      <w:lvlText w:val="%8)"/>
      <w:lvlJc w:val="left"/>
      <w:pPr>
        <w:tabs>
          <w:tab w:val="left" w:pos="3840"/>
        </w:tabs>
        <w:ind w:left="3840" w:hanging="420"/>
      </w:pPr>
      <w:rPr>
        <w:rFonts w:hint="eastAsia"/>
      </w:rPr>
    </w:lvl>
    <w:lvl w:ilvl="8" w:tentative="0">
      <w:start w:val="1"/>
      <w:numFmt w:val="lowerRoman"/>
      <w:lvlText w:val="%9."/>
      <w:lvlJc w:val="right"/>
      <w:pPr>
        <w:tabs>
          <w:tab w:val="left" w:pos="4260"/>
        </w:tabs>
        <w:ind w:left="4260" w:hanging="420"/>
      </w:pPr>
      <w:rPr>
        <w:rFonts w:hint="eastAsia"/>
      </w:rPr>
    </w:lvl>
  </w:abstractNum>
  <w:abstractNum w:abstractNumId="29">
    <w:nsid w:val="00000036"/>
    <w:multiLevelType w:val="multilevel"/>
    <w:tmpl w:val="00000036"/>
    <w:lvl w:ilvl="0" w:tentative="0">
      <w:start w:val="1"/>
      <w:numFmt w:val="decimal"/>
      <w:lvlText w:val="（%1）"/>
      <w:lvlJc w:val="left"/>
      <w:pPr>
        <w:tabs>
          <w:tab w:val="left" w:pos="960"/>
        </w:tabs>
        <w:ind w:left="960" w:hanging="420"/>
      </w:pPr>
      <w:rPr>
        <w:rFonts w:hint="eastAsia"/>
      </w:rPr>
    </w:lvl>
    <w:lvl w:ilvl="1" w:tentative="0">
      <w:start w:val="1"/>
      <w:numFmt w:val="lowerLetter"/>
      <w:lvlText w:val="%2)"/>
      <w:lvlJc w:val="left"/>
      <w:pPr>
        <w:tabs>
          <w:tab w:val="left" w:pos="679"/>
        </w:tabs>
        <w:ind w:left="679" w:hanging="420"/>
      </w:pPr>
    </w:lvl>
    <w:lvl w:ilvl="2" w:tentative="0">
      <w:start w:val="1"/>
      <w:numFmt w:val="lowerRoman"/>
      <w:lvlText w:val="%3."/>
      <w:lvlJc w:val="right"/>
      <w:pPr>
        <w:tabs>
          <w:tab w:val="left" w:pos="1099"/>
        </w:tabs>
        <w:ind w:left="1099" w:hanging="420"/>
      </w:pPr>
    </w:lvl>
    <w:lvl w:ilvl="3" w:tentative="0">
      <w:start w:val="1"/>
      <w:numFmt w:val="decimal"/>
      <w:lvlText w:val="%4."/>
      <w:lvlJc w:val="left"/>
      <w:pPr>
        <w:tabs>
          <w:tab w:val="left" w:pos="1519"/>
        </w:tabs>
        <w:ind w:left="1519" w:hanging="420"/>
      </w:pPr>
    </w:lvl>
    <w:lvl w:ilvl="4" w:tentative="0">
      <w:start w:val="1"/>
      <w:numFmt w:val="lowerLetter"/>
      <w:lvlText w:val="%5)"/>
      <w:lvlJc w:val="left"/>
      <w:pPr>
        <w:tabs>
          <w:tab w:val="left" w:pos="1939"/>
        </w:tabs>
        <w:ind w:left="1939" w:hanging="420"/>
      </w:pPr>
    </w:lvl>
    <w:lvl w:ilvl="5" w:tentative="0">
      <w:start w:val="1"/>
      <w:numFmt w:val="lowerRoman"/>
      <w:lvlText w:val="%6."/>
      <w:lvlJc w:val="right"/>
      <w:pPr>
        <w:tabs>
          <w:tab w:val="left" w:pos="2359"/>
        </w:tabs>
        <w:ind w:left="2359" w:hanging="420"/>
      </w:pPr>
    </w:lvl>
    <w:lvl w:ilvl="6" w:tentative="0">
      <w:start w:val="1"/>
      <w:numFmt w:val="decimal"/>
      <w:lvlText w:val="%7."/>
      <w:lvlJc w:val="left"/>
      <w:pPr>
        <w:tabs>
          <w:tab w:val="left" w:pos="2779"/>
        </w:tabs>
        <w:ind w:left="2779" w:hanging="420"/>
      </w:pPr>
    </w:lvl>
    <w:lvl w:ilvl="7" w:tentative="0">
      <w:start w:val="1"/>
      <w:numFmt w:val="lowerLetter"/>
      <w:lvlText w:val="%8)"/>
      <w:lvlJc w:val="left"/>
      <w:pPr>
        <w:tabs>
          <w:tab w:val="left" w:pos="3199"/>
        </w:tabs>
        <w:ind w:left="3199" w:hanging="420"/>
      </w:pPr>
    </w:lvl>
    <w:lvl w:ilvl="8" w:tentative="0">
      <w:start w:val="1"/>
      <w:numFmt w:val="lowerRoman"/>
      <w:lvlText w:val="%9."/>
      <w:lvlJc w:val="right"/>
      <w:pPr>
        <w:tabs>
          <w:tab w:val="left" w:pos="3619"/>
        </w:tabs>
        <w:ind w:left="3619" w:hanging="420"/>
      </w:pPr>
    </w:lvl>
  </w:abstractNum>
  <w:abstractNum w:abstractNumId="30">
    <w:nsid w:val="00000037"/>
    <w:multiLevelType w:val="multilevel"/>
    <w:tmpl w:val="00000037"/>
    <w:lvl w:ilvl="0" w:tentative="0">
      <w:start w:val="1"/>
      <w:numFmt w:val="decimal"/>
      <w:lvlText w:val="6.%1"/>
      <w:lvlJc w:val="left"/>
      <w:pPr>
        <w:tabs>
          <w:tab w:val="left" w:pos="900"/>
        </w:tabs>
        <w:ind w:left="900" w:hanging="360"/>
      </w:pPr>
      <w:rPr>
        <w:rFonts w:hint="eastAsia" w:ascii="宋体" w:hAnsi="宋体" w:eastAsia="宋体"/>
        <w:b w:val="0"/>
        <w:i w:val="0"/>
      </w:rPr>
    </w:lvl>
    <w:lvl w:ilvl="1" w:tentative="0">
      <w:start w:val="1"/>
      <w:numFmt w:val="lowerLetter"/>
      <w:lvlText w:val="%2)"/>
      <w:lvlJc w:val="left"/>
      <w:pPr>
        <w:tabs>
          <w:tab w:val="left" w:pos="660"/>
        </w:tabs>
        <w:ind w:left="660" w:hanging="420"/>
      </w:pPr>
    </w:lvl>
    <w:lvl w:ilvl="2" w:tentative="0">
      <w:start w:val="1"/>
      <w:numFmt w:val="lowerRoman"/>
      <w:lvlText w:val="%3."/>
      <w:lvlJc w:val="right"/>
      <w:pPr>
        <w:tabs>
          <w:tab w:val="left" w:pos="1080"/>
        </w:tabs>
        <w:ind w:left="1080" w:hanging="420"/>
      </w:pPr>
    </w:lvl>
    <w:lvl w:ilvl="3" w:tentative="0">
      <w:start w:val="1"/>
      <w:numFmt w:val="decimal"/>
      <w:lvlText w:val="%4."/>
      <w:lvlJc w:val="left"/>
      <w:pPr>
        <w:tabs>
          <w:tab w:val="left" w:pos="1500"/>
        </w:tabs>
        <w:ind w:left="1500" w:hanging="420"/>
      </w:pPr>
    </w:lvl>
    <w:lvl w:ilvl="4" w:tentative="0">
      <w:start w:val="1"/>
      <w:numFmt w:val="lowerLetter"/>
      <w:lvlText w:val="%5)"/>
      <w:lvlJc w:val="left"/>
      <w:pPr>
        <w:tabs>
          <w:tab w:val="left" w:pos="1920"/>
        </w:tabs>
        <w:ind w:left="1920" w:hanging="420"/>
      </w:pPr>
    </w:lvl>
    <w:lvl w:ilvl="5" w:tentative="0">
      <w:start w:val="1"/>
      <w:numFmt w:val="lowerRoman"/>
      <w:lvlText w:val="%6."/>
      <w:lvlJc w:val="right"/>
      <w:pPr>
        <w:tabs>
          <w:tab w:val="left" w:pos="2340"/>
        </w:tabs>
        <w:ind w:left="2340" w:hanging="420"/>
      </w:pPr>
    </w:lvl>
    <w:lvl w:ilvl="6" w:tentative="0">
      <w:start w:val="1"/>
      <w:numFmt w:val="decimal"/>
      <w:lvlText w:val="%7."/>
      <w:lvlJc w:val="left"/>
      <w:pPr>
        <w:tabs>
          <w:tab w:val="left" w:pos="2760"/>
        </w:tabs>
        <w:ind w:left="2760" w:hanging="420"/>
      </w:pPr>
    </w:lvl>
    <w:lvl w:ilvl="7" w:tentative="0">
      <w:start w:val="1"/>
      <w:numFmt w:val="lowerLetter"/>
      <w:lvlText w:val="%8)"/>
      <w:lvlJc w:val="left"/>
      <w:pPr>
        <w:tabs>
          <w:tab w:val="left" w:pos="3180"/>
        </w:tabs>
        <w:ind w:left="3180" w:hanging="420"/>
      </w:pPr>
    </w:lvl>
    <w:lvl w:ilvl="8" w:tentative="0">
      <w:start w:val="1"/>
      <w:numFmt w:val="lowerRoman"/>
      <w:lvlText w:val="%9."/>
      <w:lvlJc w:val="right"/>
      <w:pPr>
        <w:tabs>
          <w:tab w:val="left" w:pos="3600"/>
        </w:tabs>
        <w:ind w:left="3600" w:hanging="420"/>
      </w:pPr>
    </w:lvl>
  </w:abstractNum>
  <w:abstractNum w:abstractNumId="31">
    <w:nsid w:val="0000003A"/>
    <w:multiLevelType w:val="multilevel"/>
    <w:tmpl w:val="0000003A"/>
    <w:lvl w:ilvl="0" w:tentative="0">
      <w:start w:val="1"/>
      <w:numFmt w:val="decimal"/>
      <w:lvlText w:val="16.6.%1"/>
      <w:lvlJc w:val="left"/>
      <w:pPr>
        <w:tabs>
          <w:tab w:val="left" w:pos="1080"/>
        </w:tabs>
        <w:ind w:left="1080" w:hanging="360"/>
      </w:pPr>
      <w:rPr>
        <w:rFonts w:hint="eastAsia" w:ascii="宋体" w:hAnsi="宋体" w:eastAsia="宋体"/>
        <w:b w:val="0"/>
        <w:i w:val="0"/>
        <w:sz w:val="24"/>
        <w:szCs w:val="24"/>
      </w:rPr>
    </w:lvl>
    <w:lvl w:ilvl="1" w:tentative="0">
      <w:start w:val="1"/>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090252B8"/>
    <w:multiLevelType w:val="multilevel"/>
    <w:tmpl w:val="090252B8"/>
    <w:lvl w:ilvl="0" w:tentative="0">
      <w:start w:val="2"/>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33">
    <w:nsid w:val="2B5F13CB"/>
    <w:multiLevelType w:val="singleLevel"/>
    <w:tmpl w:val="2B5F13CB"/>
    <w:lvl w:ilvl="0" w:tentative="0">
      <w:start w:val="1"/>
      <w:numFmt w:val="decimal"/>
      <w:lvlText w:val="%1．"/>
      <w:lvlJc w:val="left"/>
      <w:pPr>
        <w:tabs>
          <w:tab w:val="left" w:pos="1080"/>
        </w:tabs>
        <w:ind w:left="1080" w:hanging="360"/>
      </w:pPr>
    </w:lvl>
  </w:abstractNum>
  <w:abstractNum w:abstractNumId="34">
    <w:nsid w:val="59D51A89"/>
    <w:multiLevelType w:val="multilevel"/>
    <w:tmpl w:val="59D51A89"/>
    <w:lvl w:ilvl="0" w:tentative="0">
      <w:start w:val="1"/>
      <w:numFmt w:val="decimal"/>
      <w:lvlText w:val="%1."/>
      <w:lvlJc w:val="left"/>
      <w:pPr>
        <w:tabs>
          <w:tab w:val="left" w:pos="240"/>
        </w:tabs>
        <w:ind w:left="240" w:hanging="240"/>
      </w:pPr>
    </w:lvl>
    <w:lvl w:ilvl="1" w:tentative="0">
      <w:start w:val="1"/>
      <w:numFmt w:val="decimal"/>
      <w:isLgl/>
      <w:lvlText w:val="%1.%2."/>
      <w:lvlJc w:val="left"/>
      <w:pPr>
        <w:tabs>
          <w:tab w:val="left" w:pos="1020"/>
        </w:tabs>
        <w:ind w:left="1020" w:hanging="720"/>
      </w:pPr>
    </w:lvl>
    <w:lvl w:ilvl="2" w:tentative="0">
      <w:start w:val="4"/>
      <w:numFmt w:val="decimal"/>
      <w:isLgl/>
      <w:lvlText w:val="%1.%2.%3."/>
      <w:lvlJc w:val="left"/>
      <w:pPr>
        <w:tabs>
          <w:tab w:val="left" w:pos="1320"/>
        </w:tabs>
        <w:ind w:left="1320" w:hanging="720"/>
      </w:pPr>
    </w:lvl>
    <w:lvl w:ilvl="3" w:tentative="0">
      <w:start w:val="1"/>
      <w:numFmt w:val="decimal"/>
      <w:isLgl/>
      <w:lvlText w:val="%1.%2.%3.%4."/>
      <w:lvlJc w:val="left"/>
      <w:pPr>
        <w:tabs>
          <w:tab w:val="left" w:pos="1980"/>
        </w:tabs>
        <w:ind w:left="1980" w:hanging="1080"/>
      </w:pPr>
    </w:lvl>
    <w:lvl w:ilvl="4" w:tentative="0">
      <w:start w:val="1"/>
      <w:numFmt w:val="decimal"/>
      <w:isLgl/>
      <w:lvlText w:val="%1.%2.%3.%4.%5."/>
      <w:lvlJc w:val="left"/>
      <w:pPr>
        <w:tabs>
          <w:tab w:val="left" w:pos="2640"/>
        </w:tabs>
        <w:ind w:left="2640" w:hanging="1440"/>
      </w:pPr>
    </w:lvl>
    <w:lvl w:ilvl="5" w:tentative="0">
      <w:start w:val="1"/>
      <w:numFmt w:val="decimal"/>
      <w:isLgl/>
      <w:lvlText w:val="%1.%2.%3.%4.%5.%6."/>
      <w:lvlJc w:val="left"/>
      <w:pPr>
        <w:tabs>
          <w:tab w:val="left" w:pos="2940"/>
        </w:tabs>
        <w:ind w:left="2940" w:hanging="1440"/>
      </w:pPr>
    </w:lvl>
    <w:lvl w:ilvl="6" w:tentative="0">
      <w:start w:val="1"/>
      <w:numFmt w:val="decimal"/>
      <w:isLgl/>
      <w:lvlText w:val="%1.%2.%3.%4.%5.%6.%7."/>
      <w:lvlJc w:val="left"/>
      <w:pPr>
        <w:tabs>
          <w:tab w:val="left" w:pos="3600"/>
        </w:tabs>
        <w:ind w:left="3600" w:hanging="1800"/>
      </w:pPr>
    </w:lvl>
    <w:lvl w:ilvl="7" w:tentative="0">
      <w:start w:val="1"/>
      <w:numFmt w:val="decimal"/>
      <w:isLgl/>
      <w:lvlText w:val="%1.%2.%3.%4.%5.%6.%7.%8."/>
      <w:lvlJc w:val="left"/>
      <w:pPr>
        <w:tabs>
          <w:tab w:val="left" w:pos="4260"/>
        </w:tabs>
        <w:ind w:left="4260" w:hanging="2160"/>
      </w:pPr>
    </w:lvl>
    <w:lvl w:ilvl="8" w:tentative="0">
      <w:start w:val="1"/>
      <w:numFmt w:val="decimal"/>
      <w:isLgl/>
      <w:lvlText w:val="%1.%2.%3.%4.%5.%6.%7.%8.%9."/>
      <w:lvlJc w:val="left"/>
      <w:pPr>
        <w:tabs>
          <w:tab w:val="left" w:pos="4560"/>
        </w:tabs>
        <w:ind w:left="4560" w:hanging="2160"/>
      </w:pPr>
    </w:lvl>
  </w:abstractNum>
  <w:abstractNum w:abstractNumId="35">
    <w:nsid w:val="5CDC1658"/>
    <w:multiLevelType w:val="singleLevel"/>
    <w:tmpl w:val="5CDC1658"/>
    <w:lvl w:ilvl="0" w:tentative="0">
      <w:start w:val="3"/>
      <w:numFmt w:val="decimal"/>
      <w:suff w:val="nothing"/>
      <w:lvlText w:val="%1．"/>
      <w:lvlJc w:val="left"/>
    </w:lvl>
  </w:abstractNum>
  <w:abstractNum w:abstractNumId="36">
    <w:nsid w:val="63B44138"/>
    <w:multiLevelType w:val="multilevel"/>
    <w:tmpl w:val="63B4413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6"/>
  </w:num>
  <w:num w:numId="3">
    <w:abstractNumId w:val="1"/>
  </w:num>
  <w:num w:numId="4">
    <w:abstractNumId w:val="32"/>
  </w:num>
  <w:num w:numId="5">
    <w:abstractNumId w:val="29"/>
  </w:num>
  <w:num w:numId="6">
    <w:abstractNumId w:val="22"/>
  </w:num>
  <w:num w:numId="7">
    <w:abstractNumId w:val="16"/>
  </w:num>
  <w:num w:numId="8">
    <w:abstractNumId w:val="30"/>
  </w:num>
  <w:num w:numId="9">
    <w:abstractNumId w:val="24"/>
  </w:num>
  <w:num w:numId="10">
    <w:abstractNumId w:val="4"/>
  </w:num>
  <w:num w:numId="11">
    <w:abstractNumId w:val="18"/>
  </w:num>
  <w:num w:numId="12">
    <w:abstractNumId w:val="6"/>
  </w:num>
  <w:num w:numId="13">
    <w:abstractNumId w:val="5"/>
  </w:num>
  <w:num w:numId="14">
    <w:abstractNumId w:val="23"/>
  </w:num>
  <w:num w:numId="15">
    <w:abstractNumId w:val="15"/>
  </w:num>
  <w:num w:numId="16">
    <w:abstractNumId w:val="19"/>
  </w:num>
  <w:num w:numId="17">
    <w:abstractNumId w:val="27"/>
  </w:num>
  <w:num w:numId="18">
    <w:abstractNumId w:val="3"/>
  </w:num>
  <w:num w:numId="19">
    <w:abstractNumId w:val="12"/>
  </w:num>
  <w:num w:numId="20">
    <w:abstractNumId w:val="31"/>
  </w:num>
  <w:num w:numId="21">
    <w:abstractNumId w:val="25"/>
  </w:num>
  <w:num w:numId="22">
    <w:abstractNumId w:val="28"/>
  </w:num>
  <w:num w:numId="23">
    <w:abstractNumId w:val="9"/>
  </w:num>
  <w:num w:numId="24">
    <w:abstractNumId w:val="10"/>
  </w:num>
  <w:num w:numId="25">
    <w:abstractNumId w:val="17"/>
  </w:num>
  <w:num w:numId="26">
    <w:abstractNumId w:val="21"/>
  </w:num>
  <w:num w:numId="27">
    <w:abstractNumId w:val="7"/>
  </w:num>
  <w:num w:numId="28">
    <w:abstractNumId w:val="2"/>
  </w:num>
  <w:num w:numId="29">
    <w:abstractNumId w:val="8"/>
  </w:num>
  <w:num w:numId="30">
    <w:abstractNumId w:val="26"/>
  </w:num>
  <w:num w:numId="31">
    <w:abstractNumId w:val="14"/>
  </w:num>
  <w:num w:numId="32">
    <w:abstractNumId w:val="13"/>
  </w:num>
  <w:num w:numId="33">
    <w:abstractNumId w:val="11"/>
  </w:num>
  <w:num w:numId="34">
    <w:abstractNumId w:val="20"/>
  </w:num>
  <w:num w:numId="35">
    <w:abstractNumId w:val="33"/>
    <w:lvlOverride w:ilvl="0">
      <w:startOverride w:val="1"/>
    </w:lvlOverride>
  </w:num>
  <w:num w:numId="36">
    <w:abstractNumId w:val="34"/>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F2F"/>
    <w:rsid w:val="00030DF2"/>
    <w:rsid w:val="000D58C6"/>
    <w:rsid w:val="00160A39"/>
    <w:rsid w:val="00192C87"/>
    <w:rsid w:val="001B30CB"/>
    <w:rsid w:val="001E2F66"/>
    <w:rsid w:val="0024168C"/>
    <w:rsid w:val="002C5D58"/>
    <w:rsid w:val="0030258E"/>
    <w:rsid w:val="00350501"/>
    <w:rsid w:val="0038480D"/>
    <w:rsid w:val="0043585B"/>
    <w:rsid w:val="004413A4"/>
    <w:rsid w:val="00494DC0"/>
    <w:rsid w:val="004B0C73"/>
    <w:rsid w:val="005266E1"/>
    <w:rsid w:val="00553EEE"/>
    <w:rsid w:val="00582EF6"/>
    <w:rsid w:val="00585C3B"/>
    <w:rsid w:val="00595F76"/>
    <w:rsid w:val="005D4832"/>
    <w:rsid w:val="006F2864"/>
    <w:rsid w:val="00725249"/>
    <w:rsid w:val="008243C5"/>
    <w:rsid w:val="00832260"/>
    <w:rsid w:val="00857829"/>
    <w:rsid w:val="00870F48"/>
    <w:rsid w:val="008A153D"/>
    <w:rsid w:val="00A00D46"/>
    <w:rsid w:val="00A63E9D"/>
    <w:rsid w:val="00A83C29"/>
    <w:rsid w:val="00AC2B2E"/>
    <w:rsid w:val="00B147C8"/>
    <w:rsid w:val="00B34758"/>
    <w:rsid w:val="00B65F93"/>
    <w:rsid w:val="00BD06B0"/>
    <w:rsid w:val="00C46BC1"/>
    <w:rsid w:val="00C94A98"/>
    <w:rsid w:val="00CF13D7"/>
    <w:rsid w:val="00CF2F2F"/>
    <w:rsid w:val="00CF5DB0"/>
    <w:rsid w:val="00D25D1E"/>
    <w:rsid w:val="00D30352"/>
    <w:rsid w:val="00DC1C99"/>
    <w:rsid w:val="00DD4140"/>
    <w:rsid w:val="00E44189"/>
    <w:rsid w:val="00ED5D55"/>
    <w:rsid w:val="00F120FB"/>
    <w:rsid w:val="00F41761"/>
    <w:rsid w:val="00FC0A56"/>
    <w:rsid w:val="00FD593F"/>
    <w:rsid w:val="00FF5269"/>
    <w:rsid w:val="02CE7ECD"/>
    <w:rsid w:val="03914556"/>
    <w:rsid w:val="047C7939"/>
    <w:rsid w:val="05560B8C"/>
    <w:rsid w:val="06047FBA"/>
    <w:rsid w:val="07072087"/>
    <w:rsid w:val="075A327A"/>
    <w:rsid w:val="08110C1F"/>
    <w:rsid w:val="09612A9B"/>
    <w:rsid w:val="0A1118CC"/>
    <w:rsid w:val="0A7D39B2"/>
    <w:rsid w:val="0AD9534F"/>
    <w:rsid w:val="0D8353B8"/>
    <w:rsid w:val="0E56211C"/>
    <w:rsid w:val="10BD3684"/>
    <w:rsid w:val="146A416B"/>
    <w:rsid w:val="15FB5720"/>
    <w:rsid w:val="165C3A30"/>
    <w:rsid w:val="172B577A"/>
    <w:rsid w:val="17EC6258"/>
    <w:rsid w:val="187129E5"/>
    <w:rsid w:val="1A740E7F"/>
    <w:rsid w:val="1AAB787A"/>
    <w:rsid w:val="1ABB27A4"/>
    <w:rsid w:val="1BB44801"/>
    <w:rsid w:val="1BC211D1"/>
    <w:rsid w:val="1DD46FB4"/>
    <w:rsid w:val="1EFB0A0E"/>
    <w:rsid w:val="1F6D22B2"/>
    <w:rsid w:val="21CB29C6"/>
    <w:rsid w:val="231440D1"/>
    <w:rsid w:val="23447FC6"/>
    <w:rsid w:val="25320252"/>
    <w:rsid w:val="25E767AF"/>
    <w:rsid w:val="26AF0000"/>
    <w:rsid w:val="27A20177"/>
    <w:rsid w:val="27A942F2"/>
    <w:rsid w:val="27D0202B"/>
    <w:rsid w:val="299E6DAF"/>
    <w:rsid w:val="2A4117AA"/>
    <w:rsid w:val="2AC96030"/>
    <w:rsid w:val="2AD943A0"/>
    <w:rsid w:val="2B4475CD"/>
    <w:rsid w:val="2BE31A97"/>
    <w:rsid w:val="2C365F52"/>
    <w:rsid w:val="2C690238"/>
    <w:rsid w:val="2D527F7D"/>
    <w:rsid w:val="2E01269C"/>
    <w:rsid w:val="2FE343BC"/>
    <w:rsid w:val="3146763F"/>
    <w:rsid w:val="31C063B2"/>
    <w:rsid w:val="346F1D0A"/>
    <w:rsid w:val="350A0F1E"/>
    <w:rsid w:val="37207F16"/>
    <w:rsid w:val="372B5FB9"/>
    <w:rsid w:val="377726FB"/>
    <w:rsid w:val="394352FA"/>
    <w:rsid w:val="39E80AA5"/>
    <w:rsid w:val="3A097971"/>
    <w:rsid w:val="3A984E63"/>
    <w:rsid w:val="3D916A73"/>
    <w:rsid w:val="3DD256BB"/>
    <w:rsid w:val="3E4F5E9F"/>
    <w:rsid w:val="3EB759B7"/>
    <w:rsid w:val="3F8B034A"/>
    <w:rsid w:val="409E769D"/>
    <w:rsid w:val="41B85DD7"/>
    <w:rsid w:val="425B4AEC"/>
    <w:rsid w:val="42B330FA"/>
    <w:rsid w:val="42BA43F1"/>
    <w:rsid w:val="42C01235"/>
    <w:rsid w:val="43762B8D"/>
    <w:rsid w:val="447858FD"/>
    <w:rsid w:val="47197118"/>
    <w:rsid w:val="48B93655"/>
    <w:rsid w:val="4A7B7A2B"/>
    <w:rsid w:val="4B1E1BF3"/>
    <w:rsid w:val="4B7F1B08"/>
    <w:rsid w:val="4CC87EE5"/>
    <w:rsid w:val="4E1A501F"/>
    <w:rsid w:val="4ECF73FB"/>
    <w:rsid w:val="50275749"/>
    <w:rsid w:val="50443729"/>
    <w:rsid w:val="510C4925"/>
    <w:rsid w:val="52A337BB"/>
    <w:rsid w:val="52A94E87"/>
    <w:rsid w:val="52EA2BB9"/>
    <w:rsid w:val="53043842"/>
    <w:rsid w:val="55C96F48"/>
    <w:rsid w:val="576F575D"/>
    <w:rsid w:val="58866295"/>
    <w:rsid w:val="58CD5A27"/>
    <w:rsid w:val="5A16111B"/>
    <w:rsid w:val="5A510E52"/>
    <w:rsid w:val="5C763789"/>
    <w:rsid w:val="5D707CE9"/>
    <w:rsid w:val="5E57008E"/>
    <w:rsid w:val="5F890A6B"/>
    <w:rsid w:val="607C17CD"/>
    <w:rsid w:val="60EC6EBF"/>
    <w:rsid w:val="613430E7"/>
    <w:rsid w:val="63652C94"/>
    <w:rsid w:val="63BD489C"/>
    <w:rsid w:val="63DB5407"/>
    <w:rsid w:val="65F800FF"/>
    <w:rsid w:val="668227CE"/>
    <w:rsid w:val="669D3E60"/>
    <w:rsid w:val="671303F0"/>
    <w:rsid w:val="672D7560"/>
    <w:rsid w:val="6891083B"/>
    <w:rsid w:val="6B2C7FF8"/>
    <w:rsid w:val="6B324A12"/>
    <w:rsid w:val="6D0A046F"/>
    <w:rsid w:val="6F052A6D"/>
    <w:rsid w:val="74D05171"/>
    <w:rsid w:val="78476866"/>
    <w:rsid w:val="78B65EE7"/>
    <w:rsid w:val="7B43688C"/>
    <w:rsid w:val="7BE05FE5"/>
    <w:rsid w:val="7DCC6A54"/>
    <w:rsid w:val="7E6302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99"/>
    <w:pPr>
      <w:spacing w:line="360" w:lineRule="auto"/>
      <w:ind w:firstLine="480"/>
      <w:jc w:val="left"/>
    </w:pPr>
    <w:rPr>
      <w:rFonts w:ascii="宋体" w:hAnsi="宋体"/>
      <w:sz w:val="24"/>
    </w:rPr>
  </w:style>
  <w:style w:type="paragraph" w:styleId="3">
    <w:name w:val="annotation text"/>
    <w:basedOn w:val="1"/>
    <w:qFormat/>
    <w:uiPriority w:val="0"/>
    <w:pPr>
      <w:jc w:val="left"/>
    </w:pPr>
  </w:style>
  <w:style w:type="paragraph" w:styleId="4">
    <w:name w:val="Body Text"/>
    <w:basedOn w:val="1"/>
    <w:qFormat/>
    <w:uiPriority w:val="0"/>
    <w:rPr>
      <w:rFonts w:eastAsia="仿宋_GB2312"/>
      <w:sz w:val="30"/>
    </w:rPr>
  </w:style>
  <w:style w:type="paragraph" w:styleId="5">
    <w:name w:val="List Bullet 2"/>
    <w:basedOn w:val="1"/>
    <w:qFormat/>
    <w:uiPriority w:val="0"/>
    <w:pPr>
      <w:numPr>
        <w:ilvl w:val="0"/>
        <w:numId w:val="1"/>
      </w:numPr>
    </w:pPr>
  </w:style>
  <w:style w:type="paragraph" w:styleId="6">
    <w:name w:val="footer"/>
    <w:basedOn w:val="1"/>
    <w:link w:val="17"/>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pPr>
      <w:jc w:val="center"/>
    </w:pPr>
    <w:rPr>
      <w:rFonts w:eastAsia="黑体"/>
      <w:sz w:val="24"/>
    </w:rPr>
  </w:style>
  <w:style w:type="paragraph" w:styleId="9">
    <w:name w:val="Body Text 2"/>
    <w:basedOn w:val="1"/>
    <w:qFormat/>
    <w:uiPriority w:val="0"/>
    <w:pPr>
      <w:spacing w:after="120" w:line="480" w:lineRule="auto"/>
    </w:pPr>
  </w:style>
  <w:style w:type="paragraph" w:customStyle="1" w:styleId="12">
    <w:name w:val="正文（缩进）"/>
    <w:basedOn w:val="1"/>
    <w:qFormat/>
    <w:uiPriority w:val="99"/>
    <w:pPr>
      <w:ind w:firstLine="480"/>
    </w:pPr>
  </w:style>
  <w:style w:type="paragraph" w:customStyle="1" w:styleId="13">
    <w:name w:val="标题 3_0_0"/>
    <w:basedOn w:val="14"/>
    <w:next w:val="14"/>
    <w:qFormat/>
    <w:uiPriority w:val="0"/>
    <w:pPr>
      <w:keepNext/>
      <w:keepLines/>
      <w:spacing w:before="260" w:after="260" w:line="413" w:lineRule="auto"/>
      <w:outlineLvl w:val="2"/>
    </w:pPr>
    <w:rPr>
      <w:rFonts w:ascii="Times New Roman" w:hAnsi="Times New Roman"/>
      <w:b/>
      <w:kern w:val="0"/>
      <w:sz w:val="32"/>
      <w:szCs w:val="20"/>
    </w:rPr>
  </w:style>
  <w:style w:type="paragraph" w:customStyle="1" w:styleId="14">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
    <w:name w:val="标题 4_0_0"/>
    <w:basedOn w:val="14"/>
    <w:next w:val="14"/>
    <w:qFormat/>
    <w:uiPriority w:val="0"/>
    <w:pPr>
      <w:keepNext/>
      <w:keepLines/>
      <w:spacing w:before="280" w:after="290" w:line="372" w:lineRule="auto"/>
      <w:outlineLvl w:val="3"/>
    </w:pPr>
    <w:rPr>
      <w:rFonts w:ascii="Cambria" w:hAnsi="Cambria"/>
      <w:b/>
      <w:kern w:val="0"/>
      <w:sz w:val="28"/>
      <w:szCs w:val="20"/>
    </w:rPr>
  </w:style>
  <w:style w:type="paragraph" w:customStyle="1" w:styleId="16">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character" w:customStyle="1" w:styleId="17">
    <w:name w:val="页脚 Char"/>
    <w:basedOn w:val="11"/>
    <w:link w:val="6"/>
    <w:qFormat/>
    <w:uiPriority w:val="99"/>
    <w:rPr>
      <w:kern w:val="2"/>
      <w:sz w:val="18"/>
      <w:szCs w:val="18"/>
    </w:rPr>
  </w:style>
  <w:style w:type="paragraph" w:styleId="1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8" Type="http://schemas.openxmlformats.org/officeDocument/2006/relationships/fontTable" Target="fontTable.xml"/><Relationship Id="rId37" Type="http://schemas.openxmlformats.org/officeDocument/2006/relationships/numbering" Target="numbering.xml"/><Relationship Id="rId36" Type="http://schemas.openxmlformats.org/officeDocument/2006/relationships/customXml" Target="../customXml/item1.xml"/><Relationship Id="rId35" Type="http://schemas.openxmlformats.org/officeDocument/2006/relationships/image" Target="media/image30.png"/><Relationship Id="rId34" Type="http://schemas.openxmlformats.org/officeDocument/2006/relationships/image" Target="media/image29.png"/><Relationship Id="rId33" Type="http://schemas.openxmlformats.org/officeDocument/2006/relationships/image" Target="media/image28.png"/><Relationship Id="rId32" Type="http://schemas.openxmlformats.org/officeDocument/2006/relationships/image" Target="media/image27.png"/><Relationship Id="rId31" Type="http://schemas.openxmlformats.org/officeDocument/2006/relationships/image" Target="media/image26.png"/><Relationship Id="rId30" Type="http://schemas.openxmlformats.org/officeDocument/2006/relationships/image" Target="media/image25.png"/><Relationship Id="rId3" Type="http://schemas.openxmlformats.org/officeDocument/2006/relationships/header" Target="header1.xml"/><Relationship Id="rId29" Type="http://schemas.openxmlformats.org/officeDocument/2006/relationships/image" Target="media/image24.png"/><Relationship Id="rId28" Type="http://schemas.openxmlformats.org/officeDocument/2006/relationships/image" Target="media/image23.png"/><Relationship Id="rId27" Type="http://schemas.openxmlformats.org/officeDocument/2006/relationships/image" Target="media/image22.png"/><Relationship Id="rId26" Type="http://schemas.openxmlformats.org/officeDocument/2006/relationships/image" Target="media/image21.png"/><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2952</Words>
  <Characters>16829</Characters>
  <Lines>140</Lines>
  <Paragraphs>39</Paragraphs>
  <TotalTime>5</TotalTime>
  <ScaleCrop>false</ScaleCrop>
  <LinksUpToDate>false</LinksUpToDate>
  <CharactersWithSpaces>19742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2021-05-16T08:38:00Z</dcterms:created>
  <dc:creator>联想</dc:creator>
  <cp:lastModifiedBy>Lenovo</cp:lastModifiedBy>
  <cp:lastPrinted>2021-05-24T06:08:00Z</cp:lastPrinted>
  <dcterms:modified xsi:type="dcterms:W3CDTF">2021-07-14T03:01:17Z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86B5995532E2486AAFA8CF1045C92CD4</vt:lpwstr>
  </property>
</Properties>
</file>