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900"/>
        </w:tabs>
        <w:adjustRightInd w:val="0"/>
        <w:snapToGrid w:val="0"/>
        <w:spacing w:line="360" w:lineRule="auto"/>
        <w:jc w:val="center"/>
        <w:rPr>
          <w:rFonts w:ascii="宋体" w:hAnsi="宋体" w:cs="宋体"/>
          <w:b/>
          <w:sz w:val="24"/>
          <w:szCs w:val="24"/>
        </w:rPr>
      </w:pPr>
    </w:p>
    <w:p>
      <w:pPr>
        <w:adjustRightInd w:val="0"/>
        <w:snapToGrid w:val="0"/>
        <w:spacing w:line="360" w:lineRule="auto"/>
        <w:jc w:val="center"/>
        <w:rPr>
          <w:rFonts w:ascii="宋体" w:hAnsi="宋体" w:cs="宋体"/>
          <w:b/>
          <w:sz w:val="24"/>
          <w:szCs w:val="24"/>
        </w:rPr>
      </w:pPr>
    </w:p>
    <w:p>
      <w:pPr>
        <w:adjustRightInd w:val="0"/>
        <w:snapToGrid w:val="0"/>
        <w:spacing w:line="360" w:lineRule="auto"/>
        <w:jc w:val="center"/>
        <w:rPr>
          <w:rFonts w:ascii="宋体" w:hAnsi="宋体" w:cs="宋体"/>
          <w:b/>
          <w:sz w:val="24"/>
          <w:szCs w:val="24"/>
        </w:rPr>
      </w:pPr>
    </w:p>
    <w:p>
      <w:pPr>
        <w:pStyle w:val="462"/>
        <w:spacing w:before="0" w:after="0"/>
        <w:ind w:firstLine="0"/>
        <w:jc w:val="center"/>
        <w:rPr>
          <w:rFonts w:ascii="宋体" w:hAnsi="宋体"/>
          <w:sz w:val="36"/>
          <w:szCs w:val="36"/>
          <w:lang w:val="zh-CN"/>
        </w:rPr>
      </w:pPr>
      <w:r>
        <w:rPr>
          <w:rFonts w:hint="eastAsia" w:ascii="宋体" w:hAnsi="宋体"/>
          <w:sz w:val="36"/>
          <w:szCs w:val="36"/>
          <w:lang w:val="zh-CN"/>
        </w:rPr>
        <w:t>华侨城梦幻之城售票平台项目</w:t>
      </w:r>
    </w:p>
    <w:p>
      <w:pPr>
        <w:snapToGrid w:val="0"/>
        <w:spacing w:line="360" w:lineRule="auto"/>
        <w:ind w:left="560"/>
        <w:jc w:val="center"/>
        <w:rPr>
          <w:rFonts w:ascii="宋体" w:hAnsi="宋体" w:cs="宋体"/>
          <w:b/>
          <w:kern w:val="0"/>
          <w:sz w:val="56"/>
          <w:szCs w:val="56"/>
        </w:rPr>
      </w:pPr>
      <w:r>
        <w:rPr>
          <w:rFonts w:hint="eastAsia" w:ascii="宋体" w:hAnsi="宋体" w:cs="宋体"/>
          <w:b/>
          <w:kern w:val="0"/>
          <w:sz w:val="56"/>
          <w:szCs w:val="56"/>
        </w:rPr>
        <w:t>招标文件</w:t>
      </w:r>
    </w:p>
    <w:p>
      <w:pPr>
        <w:spacing w:line="360" w:lineRule="auto"/>
        <w:ind w:firstLine="1446" w:firstLineChars="600"/>
        <w:rPr>
          <w:rFonts w:ascii="宋体" w:hAnsi="宋体" w:cs="宋体"/>
          <w:b/>
          <w:bCs/>
          <w:color w:val="0000FF"/>
          <w:sz w:val="24"/>
          <w:szCs w:val="24"/>
          <w:highlight w:val="yellow"/>
          <w:u w:val="single"/>
          <w:lang w:val="zh-CN"/>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rPr>
          <w:rFonts w:ascii="宋体" w:hAnsi="宋体" w:cs="宋体"/>
          <w:b/>
          <w:bCs/>
          <w:sz w:val="24"/>
          <w:szCs w:val="24"/>
          <w:lang w:val="zh-CN"/>
        </w:rPr>
      </w:pPr>
    </w:p>
    <w:p>
      <w:pPr>
        <w:snapToGrid w:val="0"/>
        <w:spacing w:line="360" w:lineRule="auto"/>
        <w:ind w:firstLine="1280" w:firstLineChars="400"/>
        <w:rPr>
          <w:rFonts w:ascii="宋体" w:hAnsi="宋体" w:cs="宋体"/>
          <w:kern w:val="0"/>
          <w:sz w:val="32"/>
          <w:szCs w:val="32"/>
        </w:rPr>
      </w:pPr>
      <w:r>
        <w:rPr>
          <w:rFonts w:hint="eastAsia" w:ascii="宋体" w:hAnsi="宋体" w:cs="宋体"/>
          <w:kern w:val="0"/>
          <w:sz w:val="32"/>
          <w:szCs w:val="32"/>
        </w:rPr>
        <w:t>招标人：扬州市民卡有限责任公司</w:t>
      </w:r>
    </w:p>
    <w:p>
      <w:pPr>
        <w:pStyle w:val="330"/>
        <w:snapToGrid w:val="0"/>
        <w:spacing w:line="360" w:lineRule="auto"/>
        <w:rPr>
          <w:rFonts w:hAnsi="宋体" w:cs="宋体"/>
          <w:color w:val="auto"/>
        </w:rPr>
      </w:pPr>
    </w:p>
    <w:p>
      <w:pPr>
        <w:snapToGrid w:val="0"/>
        <w:spacing w:line="360" w:lineRule="auto"/>
        <w:jc w:val="center"/>
        <w:rPr>
          <w:rFonts w:ascii="宋体" w:hAnsi="宋体" w:cs="宋体"/>
          <w:kern w:val="0"/>
          <w:sz w:val="32"/>
          <w:szCs w:val="32"/>
        </w:rPr>
      </w:pPr>
      <w:r>
        <w:rPr>
          <w:rFonts w:hint="eastAsia" w:ascii="宋体" w:hAnsi="宋体" w:cs="宋体"/>
          <w:kern w:val="0"/>
          <w:sz w:val="32"/>
          <w:szCs w:val="32"/>
        </w:rPr>
        <w:t xml:space="preserve">  招标代理机构：扬州市嘉诚造价咨询有限公司</w:t>
      </w:r>
    </w:p>
    <w:p>
      <w:pPr>
        <w:spacing w:line="360" w:lineRule="auto"/>
        <w:jc w:val="center"/>
        <w:rPr>
          <w:rFonts w:ascii="宋体" w:hAnsi="宋体" w:cs="宋体"/>
          <w:b/>
          <w:bCs/>
          <w:color w:val="000000"/>
          <w:w w:val="90"/>
          <w:kern w:val="0"/>
          <w:sz w:val="32"/>
          <w:szCs w:val="32"/>
        </w:rPr>
      </w:pPr>
      <w:bookmarkStart w:id="0" w:name="EB59c3faf64f2a4bd092a206fb1d0c3c03"/>
      <w:r>
        <w:rPr>
          <w:rFonts w:hint="eastAsia" w:ascii="宋体" w:hAnsi="宋体" w:cs="宋体"/>
          <w:b/>
          <w:bCs/>
          <w:color w:val="000000"/>
          <w:w w:val="90"/>
          <w:kern w:val="0"/>
          <w:sz w:val="32"/>
          <w:szCs w:val="32"/>
        </w:rPr>
        <w:t>2021年6月</w:t>
      </w:r>
      <w:r>
        <w:rPr>
          <w:rFonts w:hint="eastAsia" w:ascii="宋体" w:hAnsi="宋体" w:cs="宋体"/>
          <w:b/>
          <w:bCs/>
          <w:color w:val="000000"/>
          <w:w w:val="90"/>
          <w:kern w:val="0"/>
          <w:sz w:val="32"/>
          <w:szCs w:val="32"/>
          <w:lang w:val="en-US" w:eastAsia="zh-CN"/>
        </w:rPr>
        <w:t>18</w:t>
      </w:r>
      <w:r>
        <w:rPr>
          <w:rFonts w:hint="eastAsia" w:ascii="宋体" w:hAnsi="宋体" w:cs="宋体"/>
          <w:b/>
          <w:bCs/>
          <w:color w:val="000000"/>
          <w:w w:val="90"/>
          <w:kern w:val="0"/>
          <w:sz w:val="32"/>
          <w:szCs w:val="32"/>
        </w:rPr>
        <w:t xml:space="preserve"> 日</w:t>
      </w:r>
      <w:bookmarkEnd w:id="0"/>
    </w:p>
    <w:p>
      <w:pPr>
        <w:spacing w:line="360" w:lineRule="auto"/>
        <w:jc w:val="center"/>
        <w:rPr>
          <w:rFonts w:ascii="宋体" w:hAnsi="宋体" w:cs="宋体"/>
          <w:b/>
          <w:spacing w:val="20"/>
          <w:sz w:val="24"/>
          <w:szCs w:val="24"/>
        </w:rPr>
      </w:pPr>
    </w:p>
    <w:p>
      <w:pPr>
        <w:adjustRightInd w:val="0"/>
        <w:snapToGrid w:val="0"/>
        <w:spacing w:line="360" w:lineRule="auto"/>
        <w:ind w:left="-158" w:leftChars="-75"/>
        <w:rPr>
          <w:rFonts w:ascii="宋体" w:hAnsi="宋体" w:cs="宋体"/>
          <w:b/>
          <w:snapToGrid w:val="0"/>
          <w:sz w:val="24"/>
          <w:szCs w:val="24"/>
          <w:u w:val="single"/>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pStyle w:val="54"/>
        <w:spacing w:line="360" w:lineRule="auto"/>
        <w:ind w:firstLine="0"/>
        <w:rPr>
          <w:rFonts w:ascii="宋体" w:hAnsi="宋体" w:eastAsia="宋体" w:cs="宋体"/>
          <w:b/>
          <w:bCs/>
          <w:sz w:val="24"/>
        </w:rPr>
      </w:pPr>
    </w:p>
    <w:p>
      <w:pPr>
        <w:pStyle w:val="54"/>
        <w:spacing w:line="360" w:lineRule="auto"/>
        <w:rPr>
          <w:rFonts w:ascii="宋体" w:hAnsi="宋体" w:eastAsia="宋体" w:cs="宋体"/>
          <w:b/>
          <w:bCs/>
          <w:sz w:val="24"/>
        </w:rPr>
      </w:pPr>
    </w:p>
    <w:sdt>
      <w:sdtPr>
        <w:rPr>
          <w:rFonts w:ascii="宋体" w:hAnsi="宋体" w:eastAsiaTheme="minorEastAsia" w:cstheme="minorBidi"/>
          <w:sz w:val="28"/>
          <w:szCs w:val="24"/>
        </w:rPr>
        <w:id w:val="147451414"/>
        <w15:color w:val="DBDBDB"/>
        <w:docPartObj>
          <w:docPartGallery w:val="Table of Contents"/>
          <w:docPartUnique/>
        </w:docPartObj>
      </w:sdtPr>
      <w:sdtEndPr>
        <w:rPr>
          <w:rFonts w:ascii="宋体" w:hAnsi="宋体" w:cs="宋体" w:eastAsiaTheme="minorEastAsia"/>
          <w:sz w:val="28"/>
          <w:szCs w:val="24"/>
        </w:rPr>
      </w:sdtEndPr>
      <w:sdtContent>
        <w:p>
          <w:pPr>
            <w:spacing w:line="360" w:lineRule="auto"/>
            <w:jc w:val="center"/>
          </w:pPr>
          <w:r>
            <w:rPr>
              <w:rFonts w:ascii="宋体" w:hAnsi="宋体"/>
              <w:sz w:val="32"/>
              <w:szCs w:val="32"/>
            </w:rPr>
            <w:t>目录</w:t>
          </w:r>
        </w:p>
        <w:p>
          <w:pPr>
            <w:pStyle w:val="38"/>
            <w:tabs>
              <w:tab w:val="right" w:leader="dot" w:pos="8640"/>
            </w:tabs>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"_Toc19329" </w:instrText>
          </w:r>
          <w:r>
            <w:fldChar w:fldCharType="separate"/>
          </w:r>
          <w:r>
            <w:rPr>
              <w:rFonts w:hint="eastAsia" w:ascii="宋体" w:hAnsi="宋体"/>
              <w:snapToGrid w:val="0"/>
              <w:kern w:val="0"/>
              <w:szCs w:val="20"/>
            </w:rPr>
            <w:t>第一章 招标公告</w:t>
          </w:r>
          <w:r>
            <w:tab/>
          </w:r>
          <w:r>
            <w:fldChar w:fldCharType="begin"/>
          </w:r>
          <w:r>
            <w:instrText xml:space="preserve"> PAGEREF _Toc19329 \h </w:instrText>
          </w:r>
          <w:r>
            <w:fldChar w:fldCharType="separate"/>
          </w:r>
          <w:r>
            <w:t>3</w:t>
          </w:r>
          <w:r>
            <w:fldChar w:fldCharType="end"/>
          </w:r>
          <w:r>
            <w:fldChar w:fldCharType="end"/>
          </w:r>
        </w:p>
        <w:p>
          <w:pPr>
            <w:pStyle w:val="38"/>
            <w:tabs>
              <w:tab w:val="right" w:leader="dot" w:pos="8640"/>
            </w:tabs>
          </w:pPr>
          <w:r>
            <w:fldChar w:fldCharType="begin"/>
          </w:r>
          <w:r>
            <w:instrText xml:space="preserve"> HYPERLINK \l "_Toc11792" </w:instrText>
          </w:r>
          <w:r>
            <w:fldChar w:fldCharType="separate"/>
          </w:r>
          <w:r>
            <w:rPr>
              <w:rFonts w:hint="eastAsia" w:ascii="宋体" w:hAnsi="宋体"/>
              <w:snapToGrid w:val="0"/>
              <w:kern w:val="0"/>
              <w:szCs w:val="20"/>
            </w:rPr>
            <w:t>第二章 投标须知</w:t>
          </w:r>
          <w:r>
            <w:tab/>
          </w:r>
          <w:r>
            <w:fldChar w:fldCharType="begin"/>
          </w:r>
          <w:r>
            <w:instrText xml:space="preserve"> PAGEREF _Toc11792 \h </w:instrText>
          </w:r>
          <w:r>
            <w:fldChar w:fldCharType="separate"/>
          </w:r>
          <w:r>
            <w:t>5</w:t>
          </w:r>
          <w:r>
            <w:fldChar w:fldCharType="end"/>
          </w:r>
          <w:r>
            <w:fldChar w:fldCharType="end"/>
          </w:r>
        </w:p>
        <w:p>
          <w:pPr>
            <w:pStyle w:val="38"/>
            <w:tabs>
              <w:tab w:val="right" w:leader="dot" w:pos="8640"/>
            </w:tabs>
            <w:ind w:firstLine="420" w:firstLineChars="200"/>
          </w:pPr>
          <w:r>
            <w:fldChar w:fldCharType="begin"/>
          </w:r>
          <w:r>
            <w:instrText xml:space="preserve"> HYPERLINK \l "_Toc14303" </w:instrText>
          </w:r>
          <w:r>
            <w:fldChar w:fldCharType="separate"/>
          </w:r>
          <w:r>
            <w:rPr>
              <w:rFonts w:hint="eastAsia" w:ascii="宋体" w:hAnsi="宋体" w:cs="宋体"/>
            </w:rPr>
            <w:t>1.</w:t>
          </w:r>
          <w:r>
            <w:rPr>
              <w:rFonts w:hint="eastAsia" w:ascii="宋体" w:hAnsi="宋体" w:cs="宋体"/>
              <w:lang w:val="zh-CN"/>
            </w:rPr>
            <w:t>投标人须知前附表</w:t>
          </w:r>
          <w:r>
            <w:tab/>
          </w:r>
          <w:r>
            <w:fldChar w:fldCharType="begin"/>
          </w:r>
          <w:r>
            <w:instrText xml:space="preserve"> PAGEREF _Toc14303 \h </w:instrText>
          </w:r>
          <w:r>
            <w:fldChar w:fldCharType="separate"/>
          </w:r>
          <w:r>
            <w:t>5</w:t>
          </w:r>
          <w:r>
            <w:fldChar w:fldCharType="end"/>
          </w:r>
          <w:r>
            <w:fldChar w:fldCharType="end"/>
          </w:r>
        </w:p>
        <w:p>
          <w:pPr>
            <w:pStyle w:val="46"/>
            <w:tabs>
              <w:tab w:val="right" w:leader="dot" w:pos="8640"/>
            </w:tabs>
          </w:pPr>
          <w:r>
            <w:fldChar w:fldCharType="begin"/>
          </w:r>
          <w:r>
            <w:instrText xml:space="preserve"> HYPERLINK \l "_Toc7471" </w:instrText>
          </w:r>
          <w:r>
            <w:fldChar w:fldCharType="separate"/>
          </w:r>
          <w:r>
            <w:rPr>
              <w:rFonts w:hint="eastAsia" w:ascii="宋体" w:hAnsi="宋体" w:cs="宋体"/>
            </w:rPr>
            <w:t>2.招标文件</w:t>
          </w:r>
          <w:r>
            <w:tab/>
          </w:r>
          <w:r>
            <w:fldChar w:fldCharType="begin"/>
          </w:r>
          <w:r>
            <w:instrText xml:space="preserve"> PAGEREF _Toc7471 \h </w:instrText>
          </w:r>
          <w:r>
            <w:fldChar w:fldCharType="separate"/>
          </w:r>
          <w:r>
            <w:t>9</w:t>
          </w:r>
          <w:r>
            <w:fldChar w:fldCharType="end"/>
          </w:r>
          <w:r>
            <w:fldChar w:fldCharType="end"/>
          </w:r>
        </w:p>
        <w:p>
          <w:pPr>
            <w:pStyle w:val="46"/>
            <w:tabs>
              <w:tab w:val="right" w:leader="dot" w:pos="8640"/>
            </w:tabs>
          </w:pPr>
          <w:r>
            <w:fldChar w:fldCharType="begin"/>
          </w:r>
          <w:r>
            <w:instrText xml:space="preserve"> HYPERLINK \l "_Toc24442" </w:instrText>
          </w:r>
          <w:r>
            <w:fldChar w:fldCharType="separate"/>
          </w:r>
          <w:r>
            <w:rPr>
              <w:rFonts w:hint="eastAsia" w:ascii="宋体" w:hAnsi="宋体" w:cs="宋体"/>
            </w:rPr>
            <w:t>3.投标文件</w:t>
          </w:r>
          <w:r>
            <w:tab/>
          </w:r>
          <w:r>
            <w:fldChar w:fldCharType="begin"/>
          </w:r>
          <w:r>
            <w:instrText xml:space="preserve"> PAGEREF _Toc24442 \h </w:instrText>
          </w:r>
          <w:r>
            <w:fldChar w:fldCharType="separate"/>
          </w:r>
          <w:r>
            <w:t>9</w:t>
          </w:r>
          <w:r>
            <w:fldChar w:fldCharType="end"/>
          </w:r>
          <w:r>
            <w:fldChar w:fldCharType="end"/>
          </w:r>
        </w:p>
        <w:p>
          <w:pPr>
            <w:pStyle w:val="46"/>
            <w:tabs>
              <w:tab w:val="right" w:leader="dot" w:pos="8640"/>
            </w:tabs>
          </w:pPr>
          <w:r>
            <w:fldChar w:fldCharType="begin"/>
          </w:r>
          <w:r>
            <w:instrText xml:space="preserve"> HYPERLINK \l "_Toc4757" </w:instrText>
          </w:r>
          <w:r>
            <w:fldChar w:fldCharType="separate"/>
          </w:r>
          <w:r>
            <w:rPr>
              <w:rFonts w:hint="eastAsia" w:ascii="宋体" w:hAnsi="宋体" w:cs="宋体"/>
            </w:rPr>
            <w:t>4.投标</w:t>
          </w:r>
          <w:r>
            <w:tab/>
          </w:r>
          <w:r>
            <w:fldChar w:fldCharType="begin"/>
          </w:r>
          <w:r>
            <w:instrText xml:space="preserve"> PAGEREF _Toc4757 \h </w:instrText>
          </w:r>
          <w:r>
            <w:fldChar w:fldCharType="separate"/>
          </w:r>
          <w:r>
            <w:t>11</w:t>
          </w:r>
          <w:r>
            <w:fldChar w:fldCharType="end"/>
          </w:r>
          <w:r>
            <w:fldChar w:fldCharType="end"/>
          </w:r>
        </w:p>
        <w:p>
          <w:pPr>
            <w:pStyle w:val="46"/>
            <w:tabs>
              <w:tab w:val="right" w:leader="dot" w:pos="8640"/>
            </w:tabs>
          </w:pPr>
          <w:r>
            <w:fldChar w:fldCharType="begin"/>
          </w:r>
          <w:r>
            <w:instrText xml:space="preserve"> HYPERLINK \l "_Toc22850" </w:instrText>
          </w:r>
          <w:r>
            <w:fldChar w:fldCharType="separate"/>
          </w:r>
          <w:r>
            <w:rPr>
              <w:rFonts w:hint="eastAsia" w:ascii="宋体" w:hAnsi="宋体" w:cs="宋体"/>
            </w:rPr>
            <w:t>5.开标</w:t>
          </w:r>
          <w:r>
            <w:tab/>
          </w:r>
          <w:r>
            <w:fldChar w:fldCharType="begin"/>
          </w:r>
          <w:r>
            <w:instrText xml:space="preserve"> PAGEREF _Toc22850 \h </w:instrText>
          </w:r>
          <w:r>
            <w:fldChar w:fldCharType="separate"/>
          </w:r>
          <w:r>
            <w:t>12</w:t>
          </w:r>
          <w:r>
            <w:fldChar w:fldCharType="end"/>
          </w:r>
          <w:r>
            <w:fldChar w:fldCharType="end"/>
          </w:r>
        </w:p>
        <w:p>
          <w:pPr>
            <w:pStyle w:val="46"/>
            <w:tabs>
              <w:tab w:val="right" w:leader="dot" w:pos="8640"/>
            </w:tabs>
          </w:pPr>
          <w:r>
            <w:fldChar w:fldCharType="begin"/>
          </w:r>
          <w:r>
            <w:instrText xml:space="preserve"> HYPERLINK \l "_Toc15211" </w:instrText>
          </w:r>
          <w:r>
            <w:fldChar w:fldCharType="separate"/>
          </w:r>
          <w:r>
            <w:rPr>
              <w:rFonts w:hint="eastAsia" w:ascii="宋体" w:hAnsi="宋体" w:cs="宋体"/>
            </w:rPr>
            <w:t>6.评标</w:t>
          </w:r>
          <w:r>
            <w:tab/>
          </w:r>
          <w:r>
            <w:fldChar w:fldCharType="begin"/>
          </w:r>
          <w:r>
            <w:instrText xml:space="preserve"> PAGEREF _Toc15211 \h </w:instrText>
          </w:r>
          <w:r>
            <w:fldChar w:fldCharType="separate"/>
          </w:r>
          <w:r>
            <w:t>12</w:t>
          </w:r>
          <w:r>
            <w:fldChar w:fldCharType="end"/>
          </w:r>
          <w:r>
            <w:fldChar w:fldCharType="end"/>
          </w:r>
        </w:p>
        <w:p>
          <w:pPr>
            <w:pStyle w:val="46"/>
            <w:tabs>
              <w:tab w:val="right" w:leader="dot" w:pos="8640"/>
            </w:tabs>
          </w:pPr>
          <w:r>
            <w:fldChar w:fldCharType="begin"/>
          </w:r>
          <w:r>
            <w:instrText xml:space="preserve"> HYPERLINK \l "_Toc12239" </w:instrText>
          </w:r>
          <w:r>
            <w:fldChar w:fldCharType="separate"/>
          </w:r>
          <w:r>
            <w:rPr>
              <w:rFonts w:hint="eastAsia" w:ascii="宋体" w:hAnsi="宋体" w:cs="宋体"/>
            </w:rPr>
            <w:t>7.合同授予</w:t>
          </w:r>
          <w:r>
            <w:tab/>
          </w:r>
          <w:r>
            <w:fldChar w:fldCharType="begin"/>
          </w:r>
          <w:r>
            <w:instrText xml:space="preserve"> PAGEREF _Toc12239 \h </w:instrText>
          </w:r>
          <w:r>
            <w:fldChar w:fldCharType="separate"/>
          </w:r>
          <w:r>
            <w:t>14</w:t>
          </w:r>
          <w:r>
            <w:fldChar w:fldCharType="end"/>
          </w:r>
          <w:r>
            <w:fldChar w:fldCharType="end"/>
          </w:r>
        </w:p>
        <w:p>
          <w:pPr>
            <w:pStyle w:val="46"/>
            <w:tabs>
              <w:tab w:val="right" w:leader="dot" w:pos="8640"/>
            </w:tabs>
          </w:pPr>
          <w:r>
            <w:fldChar w:fldCharType="begin"/>
          </w:r>
          <w:r>
            <w:instrText xml:space="preserve"> HYPERLINK \l "_Toc2490" </w:instrText>
          </w:r>
          <w:r>
            <w:fldChar w:fldCharType="separate"/>
          </w:r>
          <w:r>
            <w:rPr>
              <w:rFonts w:hint="eastAsia" w:ascii="宋体" w:hAnsi="宋体" w:cs="宋体"/>
            </w:rPr>
            <w:t>8.纪律和监督</w:t>
          </w:r>
          <w:r>
            <w:tab/>
          </w:r>
          <w:r>
            <w:fldChar w:fldCharType="begin"/>
          </w:r>
          <w:r>
            <w:instrText xml:space="preserve"> PAGEREF _Toc2490 \h </w:instrText>
          </w:r>
          <w:r>
            <w:fldChar w:fldCharType="separate"/>
          </w:r>
          <w:r>
            <w:t>15</w:t>
          </w:r>
          <w:r>
            <w:fldChar w:fldCharType="end"/>
          </w:r>
          <w:r>
            <w:fldChar w:fldCharType="end"/>
          </w:r>
        </w:p>
        <w:p>
          <w:pPr>
            <w:pStyle w:val="46"/>
            <w:tabs>
              <w:tab w:val="right" w:leader="dot" w:pos="8640"/>
            </w:tabs>
          </w:pPr>
          <w:r>
            <w:fldChar w:fldCharType="begin"/>
          </w:r>
          <w:r>
            <w:instrText xml:space="preserve"> HYPERLINK \l "_Toc32680" </w:instrText>
          </w:r>
          <w:r>
            <w:fldChar w:fldCharType="separate"/>
          </w:r>
          <w:r>
            <w:rPr>
              <w:rFonts w:hint="eastAsia" w:ascii="宋体" w:hAnsi="宋体" w:cs="宋体"/>
            </w:rPr>
            <w:t>9.是否采用电子招标投标</w:t>
          </w:r>
          <w:r>
            <w:tab/>
          </w:r>
          <w:r>
            <w:fldChar w:fldCharType="begin"/>
          </w:r>
          <w:r>
            <w:instrText xml:space="preserve"> PAGEREF _Toc32680 \h </w:instrText>
          </w:r>
          <w:r>
            <w:fldChar w:fldCharType="separate"/>
          </w:r>
          <w:r>
            <w:t>16</w:t>
          </w:r>
          <w:r>
            <w:fldChar w:fldCharType="end"/>
          </w:r>
          <w:r>
            <w:fldChar w:fldCharType="end"/>
          </w:r>
        </w:p>
        <w:p>
          <w:pPr>
            <w:pStyle w:val="46"/>
            <w:tabs>
              <w:tab w:val="right" w:leader="dot" w:pos="8640"/>
            </w:tabs>
          </w:pPr>
          <w:r>
            <w:fldChar w:fldCharType="begin"/>
          </w:r>
          <w:r>
            <w:instrText xml:space="preserve"> HYPERLINK \l "_Toc22527" </w:instrText>
          </w:r>
          <w:r>
            <w:fldChar w:fldCharType="separate"/>
          </w:r>
          <w:r>
            <w:rPr>
              <w:rFonts w:hint="eastAsia" w:ascii="宋体" w:hAnsi="宋体" w:cs="宋体"/>
            </w:rPr>
            <w:t>10.需要补充的其他内容</w:t>
          </w:r>
          <w:r>
            <w:tab/>
          </w:r>
          <w:r>
            <w:fldChar w:fldCharType="begin"/>
          </w:r>
          <w:r>
            <w:instrText xml:space="preserve"> PAGEREF _Toc22527 \h </w:instrText>
          </w:r>
          <w:r>
            <w:fldChar w:fldCharType="separate"/>
          </w:r>
          <w:r>
            <w:t>16</w:t>
          </w:r>
          <w:r>
            <w:fldChar w:fldCharType="end"/>
          </w:r>
          <w:r>
            <w:fldChar w:fldCharType="end"/>
          </w:r>
        </w:p>
        <w:p>
          <w:pPr>
            <w:pStyle w:val="38"/>
            <w:tabs>
              <w:tab w:val="right" w:leader="dot" w:pos="8640"/>
            </w:tabs>
          </w:pPr>
          <w:r>
            <w:fldChar w:fldCharType="begin"/>
          </w:r>
          <w:r>
            <w:instrText xml:space="preserve"> HYPERLINK \l "_Toc4357" </w:instrText>
          </w:r>
          <w:r>
            <w:fldChar w:fldCharType="separate"/>
          </w:r>
          <w:r>
            <w:rPr>
              <w:rFonts w:hint="eastAsia" w:ascii="宋体" w:hAnsi="宋体"/>
              <w:snapToGrid w:val="0"/>
              <w:kern w:val="0"/>
              <w:szCs w:val="20"/>
            </w:rPr>
            <w:t>第三章 项目需求</w:t>
          </w:r>
          <w:r>
            <w:tab/>
          </w:r>
          <w:r>
            <w:fldChar w:fldCharType="begin"/>
          </w:r>
          <w:r>
            <w:instrText xml:space="preserve"> PAGEREF _Toc4357 \h </w:instrText>
          </w:r>
          <w:r>
            <w:fldChar w:fldCharType="separate"/>
          </w:r>
          <w:r>
            <w:t>17</w:t>
          </w:r>
          <w:r>
            <w:fldChar w:fldCharType="end"/>
          </w:r>
          <w:r>
            <w:fldChar w:fldCharType="end"/>
          </w:r>
        </w:p>
        <w:p>
          <w:pPr>
            <w:pStyle w:val="46"/>
            <w:tabs>
              <w:tab w:val="right" w:leader="dot" w:pos="8640"/>
            </w:tabs>
          </w:pPr>
          <w:r>
            <w:fldChar w:fldCharType="begin"/>
          </w:r>
          <w:r>
            <w:instrText xml:space="preserve"> HYPERLINK \l "_Toc3712" </w:instrText>
          </w:r>
          <w:r>
            <w:fldChar w:fldCharType="separate"/>
          </w:r>
          <w:r>
            <w:rPr>
              <w:rFonts w:hint="eastAsia" w:ascii="宋体" w:hAnsi="宋体" w:cs="宋体"/>
            </w:rPr>
            <w:t>1项目情况</w:t>
          </w:r>
          <w:r>
            <w:tab/>
          </w:r>
          <w:r>
            <w:fldChar w:fldCharType="begin"/>
          </w:r>
          <w:r>
            <w:instrText xml:space="preserve"> PAGEREF _Toc3712 \h </w:instrText>
          </w:r>
          <w:r>
            <w:fldChar w:fldCharType="separate"/>
          </w:r>
          <w:r>
            <w:t>17</w:t>
          </w:r>
          <w:r>
            <w:fldChar w:fldCharType="end"/>
          </w:r>
          <w:r>
            <w:fldChar w:fldCharType="end"/>
          </w:r>
        </w:p>
        <w:p>
          <w:pPr>
            <w:pStyle w:val="46"/>
            <w:tabs>
              <w:tab w:val="right" w:leader="dot" w:pos="8640"/>
            </w:tabs>
          </w:pPr>
          <w:r>
            <w:fldChar w:fldCharType="begin"/>
          </w:r>
          <w:r>
            <w:instrText xml:space="preserve"> HYPERLINK \l "_Toc4187" </w:instrText>
          </w:r>
          <w:r>
            <w:fldChar w:fldCharType="separate"/>
          </w:r>
          <w:r>
            <w:rPr>
              <w:rFonts w:hint="eastAsia" w:ascii="宋体" w:hAnsi="宋体" w:cs="宋体"/>
            </w:rPr>
            <w:t>2项目需求</w:t>
          </w:r>
          <w:r>
            <w:tab/>
          </w:r>
          <w:r>
            <w:fldChar w:fldCharType="begin"/>
          </w:r>
          <w:r>
            <w:instrText xml:space="preserve"> PAGEREF _Toc4187 \h </w:instrText>
          </w:r>
          <w:r>
            <w:fldChar w:fldCharType="separate"/>
          </w:r>
          <w:r>
            <w:t>17</w:t>
          </w:r>
          <w:r>
            <w:fldChar w:fldCharType="end"/>
          </w:r>
          <w:r>
            <w:fldChar w:fldCharType="end"/>
          </w:r>
        </w:p>
        <w:p>
          <w:pPr>
            <w:pStyle w:val="29"/>
            <w:tabs>
              <w:tab w:val="right" w:leader="dot" w:pos="8640"/>
            </w:tabs>
          </w:pPr>
          <w:r>
            <w:fldChar w:fldCharType="begin"/>
          </w:r>
          <w:r>
            <w:instrText xml:space="preserve"> HYPERLINK \l "_Toc23" </w:instrText>
          </w:r>
          <w:r>
            <w:fldChar w:fldCharType="separate"/>
          </w:r>
          <w:r>
            <w:rPr>
              <w:rFonts w:hint="eastAsia" w:ascii="宋体" w:hAnsi="宋体" w:cs="宋体"/>
            </w:rPr>
            <w:t>2.1线上售票平台</w:t>
          </w:r>
          <w:r>
            <w:tab/>
          </w:r>
          <w:r>
            <w:fldChar w:fldCharType="begin"/>
          </w:r>
          <w:r>
            <w:instrText xml:space="preserve"> PAGEREF _Toc23 \h </w:instrText>
          </w:r>
          <w:r>
            <w:fldChar w:fldCharType="separate"/>
          </w:r>
          <w:r>
            <w:t>17</w:t>
          </w:r>
          <w:r>
            <w:fldChar w:fldCharType="end"/>
          </w:r>
          <w:r>
            <w:fldChar w:fldCharType="end"/>
          </w:r>
        </w:p>
        <w:p>
          <w:pPr>
            <w:pStyle w:val="29"/>
            <w:tabs>
              <w:tab w:val="right" w:leader="dot" w:pos="8640"/>
            </w:tabs>
          </w:pPr>
          <w:r>
            <w:fldChar w:fldCharType="begin"/>
          </w:r>
          <w:r>
            <w:instrText xml:space="preserve"> HYPERLINK \l "_Toc25705" </w:instrText>
          </w:r>
          <w:r>
            <w:fldChar w:fldCharType="separate"/>
          </w:r>
          <w:r>
            <w:rPr>
              <w:rFonts w:hint="eastAsia" w:ascii="宋体" w:hAnsi="宋体" w:cs="宋体"/>
            </w:rPr>
            <w:t>2.2售票管理平台</w:t>
          </w:r>
          <w:r>
            <w:tab/>
          </w:r>
          <w:r>
            <w:fldChar w:fldCharType="begin"/>
          </w:r>
          <w:r>
            <w:instrText xml:space="preserve"> PAGEREF _Toc25705 \h </w:instrText>
          </w:r>
          <w:r>
            <w:fldChar w:fldCharType="separate"/>
          </w:r>
          <w:r>
            <w:t>17</w:t>
          </w:r>
          <w:r>
            <w:fldChar w:fldCharType="end"/>
          </w:r>
          <w:r>
            <w:fldChar w:fldCharType="end"/>
          </w:r>
        </w:p>
        <w:p>
          <w:pPr>
            <w:pStyle w:val="29"/>
            <w:tabs>
              <w:tab w:val="right" w:leader="dot" w:pos="8640"/>
            </w:tabs>
          </w:pPr>
          <w:r>
            <w:fldChar w:fldCharType="begin"/>
          </w:r>
          <w:r>
            <w:instrText xml:space="preserve"> HYPERLINK \l "_Toc8850" </w:instrText>
          </w:r>
          <w:r>
            <w:fldChar w:fldCharType="separate"/>
          </w:r>
          <w:r>
            <w:rPr>
              <w:rFonts w:hint="eastAsia" w:ascii="宋体" w:hAnsi="宋体" w:cs="宋体"/>
            </w:rPr>
            <w:t>2.3第三方接口对接</w:t>
          </w:r>
          <w:r>
            <w:tab/>
          </w:r>
          <w:r>
            <w:fldChar w:fldCharType="begin"/>
          </w:r>
          <w:r>
            <w:instrText xml:space="preserve"> PAGEREF _Toc8850 \h </w:instrText>
          </w:r>
          <w:r>
            <w:fldChar w:fldCharType="separate"/>
          </w:r>
          <w:r>
            <w:t>18</w:t>
          </w:r>
          <w:r>
            <w:fldChar w:fldCharType="end"/>
          </w:r>
          <w:r>
            <w:fldChar w:fldCharType="end"/>
          </w:r>
        </w:p>
        <w:p>
          <w:pPr>
            <w:pStyle w:val="46"/>
            <w:tabs>
              <w:tab w:val="right" w:leader="dot" w:pos="8640"/>
            </w:tabs>
          </w:pPr>
          <w:r>
            <w:fldChar w:fldCharType="begin"/>
          </w:r>
          <w:r>
            <w:instrText xml:space="preserve"> HYPERLINK \l "_Toc21929" </w:instrText>
          </w:r>
          <w:r>
            <w:fldChar w:fldCharType="separate"/>
          </w:r>
          <w:r>
            <w:rPr>
              <w:rFonts w:hint="eastAsia" w:ascii="宋体" w:hAnsi="宋体" w:cs="宋体"/>
            </w:rPr>
            <w:t>3建设原则</w:t>
          </w:r>
          <w:r>
            <w:tab/>
          </w:r>
          <w:r>
            <w:fldChar w:fldCharType="begin"/>
          </w:r>
          <w:r>
            <w:instrText xml:space="preserve"> PAGEREF _Toc21929 \h </w:instrText>
          </w:r>
          <w:r>
            <w:fldChar w:fldCharType="separate"/>
          </w:r>
          <w:r>
            <w:t>18</w:t>
          </w:r>
          <w:r>
            <w:fldChar w:fldCharType="end"/>
          </w:r>
          <w:r>
            <w:fldChar w:fldCharType="end"/>
          </w:r>
        </w:p>
        <w:p>
          <w:pPr>
            <w:pStyle w:val="29"/>
            <w:tabs>
              <w:tab w:val="right" w:leader="dot" w:pos="8640"/>
            </w:tabs>
          </w:pPr>
          <w:r>
            <w:fldChar w:fldCharType="begin"/>
          </w:r>
          <w:r>
            <w:instrText xml:space="preserve"> HYPERLINK \l "_Toc9947" </w:instrText>
          </w:r>
          <w:r>
            <w:fldChar w:fldCharType="separate"/>
          </w:r>
          <w:r>
            <w:rPr>
              <w:rFonts w:hint="eastAsia" w:ascii="宋体" w:hAnsi="宋体" w:cs="宋体"/>
            </w:rPr>
            <w:t>3.1高效性</w:t>
          </w:r>
          <w:r>
            <w:tab/>
          </w:r>
          <w:r>
            <w:fldChar w:fldCharType="begin"/>
          </w:r>
          <w:r>
            <w:instrText xml:space="preserve"> PAGEREF _Toc9947 \h </w:instrText>
          </w:r>
          <w:r>
            <w:fldChar w:fldCharType="separate"/>
          </w:r>
          <w:r>
            <w:t>18</w:t>
          </w:r>
          <w:r>
            <w:fldChar w:fldCharType="end"/>
          </w:r>
          <w:r>
            <w:fldChar w:fldCharType="end"/>
          </w:r>
        </w:p>
        <w:p>
          <w:pPr>
            <w:pStyle w:val="29"/>
            <w:tabs>
              <w:tab w:val="right" w:leader="dot" w:pos="8640"/>
            </w:tabs>
          </w:pPr>
          <w:r>
            <w:fldChar w:fldCharType="begin"/>
          </w:r>
          <w:r>
            <w:instrText xml:space="preserve"> HYPERLINK \l "_Toc6738" </w:instrText>
          </w:r>
          <w:r>
            <w:fldChar w:fldCharType="separate"/>
          </w:r>
          <w:r>
            <w:rPr>
              <w:rFonts w:hint="eastAsia" w:ascii="宋体" w:hAnsi="宋体" w:cs="宋体"/>
            </w:rPr>
            <w:t>3.2安全性</w:t>
          </w:r>
          <w:r>
            <w:tab/>
          </w:r>
          <w:r>
            <w:fldChar w:fldCharType="begin"/>
          </w:r>
          <w:r>
            <w:instrText xml:space="preserve"> PAGEREF _Toc6738 \h </w:instrText>
          </w:r>
          <w:r>
            <w:fldChar w:fldCharType="separate"/>
          </w:r>
          <w:r>
            <w:t>18</w:t>
          </w:r>
          <w:r>
            <w:fldChar w:fldCharType="end"/>
          </w:r>
          <w:r>
            <w:fldChar w:fldCharType="end"/>
          </w:r>
        </w:p>
        <w:p>
          <w:pPr>
            <w:pStyle w:val="29"/>
            <w:tabs>
              <w:tab w:val="right" w:leader="dot" w:pos="8640"/>
            </w:tabs>
          </w:pPr>
          <w:r>
            <w:fldChar w:fldCharType="begin"/>
          </w:r>
          <w:r>
            <w:instrText xml:space="preserve"> HYPERLINK \l "_Toc22395" </w:instrText>
          </w:r>
          <w:r>
            <w:fldChar w:fldCharType="separate"/>
          </w:r>
          <w:r>
            <w:rPr>
              <w:rFonts w:hint="eastAsia" w:ascii="宋体" w:hAnsi="宋体" w:cs="宋体"/>
            </w:rPr>
            <w:t>3.3可扩展性</w:t>
          </w:r>
          <w:r>
            <w:tab/>
          </w:r>
          <w:r>
            <w:fldChar w:fldCharType="begin"/>
          </w:r>
          <w:r>
            <w:instrText xml:space="preserve"> PAGEREF _Toc22395 \h </w:instrText>
          </w:r>
          <w:r>
            <w:fldChar w:fldCharType="separate"/>
          </w:r>
          <w:r>
            <w:t>18</w:t>
          </w:r>
          <w:r>
            <w:fldChar w:fldCharType="end"/>
          </w:r>
          <w:r>
            <w:fldChar w:fldCharType="end"/>
          </w:r>
        </w:p>
        <w:p>
          <w:pPr>
            <w:pStyle w:val="29"/>
            <w:tabs>
              <w:tab w:val="right" w:leader="dot" w:pos="8640"/>
            </w:tabs>
          </w:pPr>
          <w:r>
            <w:fldChar w:fldCharType="begin"/>
          </w:r>
          <w:r>
            <w:instrText xml:space="preserve"> HYPERLINK \l "_Toc13125" </w:instrText>
          </w:r>
          <w:r>
            <w:fldChar w:fldCharType="separate"/>
          </w:r>
          <w:r>
            <w:rPr>
              <w:rFonts w:hint="eastAsia" w:ascii="宋体" w:hAnsi="宋体" w:cs="宋体"/>
            </w:rPr>
            <w:t>3.4通用性</w:t>
          </w:r>
          <w:r>
            <w:tab/>
          </w:r>
          <w:r>
            <w:fldChar w:fldCharType="begin"/>
          </w:r>
          <w:r>
            <w:instrText xml:space="preserve"> PAGEREF _Toc13125 \h </w:instrText>
          </w:r>
          <w:r>
            <w:fldChar w:fldCharType="separate"/>
          </w:r>
          <w:r>
            <w:t>19</w:t>
          </w:r>
          <w:r>
            <w:fldChar w:fldCharType="end"/>
          </w:r>
          <w:r>
            <w:fldChar w:fldCharType="end"/>
          </w:r>
        </w:p>
        <w:p>
          <w:pPr>
            <w:pStyle w:val="29"/>
            <w:tabs>
              <w:tab w:val="right" w:leader="dot" w:pos="8640"/>
            </w:tabs>
          </w:pPr>
          <w:r>
            <w:fldChar w:fldCharType="begin"/>
          </w:r>
          <w:r>
            <w:instrText xml:space="preserve"> HYPERLINK \l "_Toc6211" </w:instrText>
          </w:r>
          <w:r>
            <w:fldChar w:fldCharType="separate"/>
          </w:r>
          <w:r>
            <w:rPr>
              <w:rFonts w:hint="eastAsia" w:ascii="宋体" w:hAnsi="宋体" w:cs="宋体"/>
            </w:rPr>
            <w:t>3.5先进性</w:t>
          </w:r>
          <w:r>
            <w:tab/>
          </w:r>
          <w:r>
            <w:fldChar w:fldCharType="begin"/>
          </w:r>
          <w:r>
            <w:instrText xml:space="preserve"> PAGEREF _Toc6211 \h </w:instrText>
          </w:r>
          <w:r>
            <w:fldChar w:fldCharType="separate"/>
          </w:r>
          <w:r>
            <w:t>19</w:t>
          </w:r>
          <w:r>
            <w:fldChar w:fldCharType="end"/>
          </w:r>
          <w:r>
            <w:fldChar w:fldCharType="end"/>
          </w:r>
        </w:p>
        <w:p>
          <w:pPr>
            <w:pStyle w:val="29"/>
            <w:tabs>
              <w:tab w:val="right" w:leader="dot" w:pos="8640"/>
            </w:tabs>
          </w:pPr>
          <w:r>
            <w:fldChar w:fldCharType="begin"/>
          </w:r>
          <w:r>
            <w:instrText xml:space="preserve"> HYPERLINK \l "_Toc10662" </w:instrText>
          </w:r>
          <w:r>
            <w:fldChar w:fldCharType="separate"/>
          </w:r>
          <w:r>
            <w:rPr>
              <w:rFonts w:hint="eastAsia" w:ascii="宋体" w:hAnsi="宋体" w:cs="宋体"/>
            </w:rPr>
            <w:t>3.6可管理性</w:t>
          </w:r>
          <w:r>
            <w:tab/>
          </w:r>
          <w:r>
            <w:fldChar w:fldCharType="begin"/>
          </w:r>
          <w:r>
            <w:instrText xml:space="preserve"> PAGEREF _Toc10662 \h </w:instrText>
          </w:r>
          <w:r>
            <w:fldChar w:fldCharType="separate"/>
          </w:r>
          <w:r>
            <w:t>19</w:t>
          </w:r>
          <w:r>
            <w:fldChar w:fldCharType="end"/>
          </w:r>
          <w:r>
            <w:fldChar w:fldCharType="end"/>
          </w:r>
        </w:p>
        <w:p>
          <w:pPr>
            <w:pStyle w:val="46"/>
            <w:tabs>
              <w:tab w:val="right" w:leader="dot" w:pos="8640"/>
            </w:tabs>
          </w:pPr>
          <w:r>
            <w:fldChar w:fldCharType="begin"/>
          </w:r>
          <w:r>
            <w:instrText xml:space="preserve"> HYPERLINK \l "_Toc30743" </w:instrText>
          </w:r>
          <w:r>
            <w:fldChar w:fldCharType="separate"/>
          </w:r>
          <w:r>
            <w:rPr>
              <w:rFonts w:hint="eastAsia" w:ascii="宋体" w:hAnsi="宋体" w:cs="宋体"/>
            </w:rPr>
            <w:t>4建设内容</w:t>
          </w:r>
          <w:r>
            <w:tab/>
          </w:r>
          <w:r>
            <w:fldChar w:fldCharType="begin"/>
          </w:r>
          <w:r>
            <w:instrText xml:space="preserve"> PAGEREF _Toc30743 \h </w:instrText>
          </w:r>
          <w:r>
            <w:fldChar w:fldCharType="separate"/>
          </w:r>
          <w:r>
            <w:t>19</w:t>
          </w:r>
          <w:r>
            <w:fldChar w:fldCharType="end"/>
          </w:r>
          <w:r>
            <w:fldChar w:fldCharType="end"/>
          </w:r>
        </w:p>
        <w:p>
          <w:pPr>
            <w:pStyle w:val="29"/>
            <w:tabs>
              <w:tab w:val="right" w:leader="dot" w:pos="8640"/>
            </w:tabs>
          </w:pPr>
          <w:r>
            <w:fldChar w:fldCharType="begin"/>
          </w:r>
          <w:r>
            <w:instrText xml:space="preserve"> HYPERLINK \l "_Toc31210" </w:instrText>
          </w:r>
          <w:r>
            <w:fldChar w:fldCharType="separate"/>
          </w:r>
          <w:r>
            <w:rPr>
              <w:rFonts w:hint="eastAsia" w:ascii="宋体" w:hAnsi="宋体" w:cs="宋体"/>
            </w:rPr>
            <w:t>4.1总体架构</w:t>
          </w:r>
          <w:r>
            <w:tab/>
          </w:r>
          <w:r>
            <w:fldChar w:fldCharType="begin"/>
          </w:r>
          <w:r>
            <w:instrText xml:space="preserve"> PAGEREF _Toc31210 \h </w:instrText>
          </w:r>
          <w:r>
            <w:fldChar w:fldCharType="separate"/>
          </w:r>
          <w:r>
            <w:t>19</w:t>
          </w:r>
          <w:r>
            <w:fldChar w:fldCharType="end"/>
          </w:r>
          <w:r>
            <w:fldChar w:fldCharType="end"/>
          </w:r>
        </w:p>
        <w:p>
          <w:pPr>
            <w:pStyle w:val="29"/>
            <w:tabs>
              <w:tab w:val="right" w:leader="dot" w:pos="8640"/>
            </w:tabs>
          </w:pPr>
          <w:r>
            <w:fldChar w:fldCharType="begin"/>
          </w:r>
          <w:r>
            <w:instrText xml:space="preserve"> HYPERLINK \l "_Toc3629" </w:instrText>
          </w:r>
          <w:r>
            <w:fldChar w:fldCharType="separate"/>
          </w:r>
          <w:r>
            <w:rPr>
              <w:rFonts w:hint="eastAsia" w:ascii="宋体" w:hAnsi="宋体" w:cs="宋体"/>
            </w:rPr>
            <w:t>4.2 线上售票平台建设</w:t>
          </w:r>
          <w:r>
            <w:tab/>
          </w:r>
          <w:r>
            <w:fldChar w:fldCharType="begin"/>
          </w:r>
          <w:r>
            <w:instrText xml:space="preserve"> PAGEREF _Toc3629 \h </w:instrText>
          </w:r>
          <w:r>
            <w:fldChar w:fldCharType="separate"/>
          </w:r>
          <w:r>
            <w:t>20</w:t>
          </w:r>
          <w:r>
            <w:fldChar w:fldCharType="end"/>
          </w:r>
          <w:r>
            <w:fldChar w:fldCharType="end"/>
          </w:r>
        </w:p>
        <w:p>
          <w:pPr>
            <w:pStyle w:val="29"/>
            <w:tabs>
              <w:tab w:val="right" w:leader="dot" w:pos="8640"/>
            </w:tabs>
          </w:pPr>
          <w:r>
            <w:fldChar w:fldCharType="begin"/>
          </w:r>
          <w:r>
            <w:instrText xml:space="preserve"> HYPERLINK \l "_Toc8351" </w:instrText>
          </w:r>
          <w:r>
            <w:fldChar w:fldCharType="separate"/>
          </w:r>
          <w:r>
            <w:rPr>
              <w:rFonts w:hint="eastAsia" w:ascii="宋体" w:hAnsi="宋体" w:cs="宋体"/>
            </w:rPr>
            <w:t>4.3 后台管理平台建设</w:t>
          </w:r>
          <w:r>
            <w:tab/>
          </w:r>
          <w:r>
            <w:fldChar w:fldCharType="begin"/>
          </w:r>
          <w:r>
            <w:instrText xml:space="preserve"> PAGEREF _Toc8351 \h </w:instrText>
          </w:r>
          <w:r>
            <w:fldChar w:fldCharType="separate"/>
          </w:r>
          <w:r>
            <w:t>22</w:t>
          </w:r>
          <w:r>
            <w:fldChar w:fldCharType="end"/>
          </w:r>
          <w:r>
            <w:fldChar w:fldCharType="end"/>
          </w:r>
        </w:p>
        <w:p>
          <w:pPr>
            <w:pStyle w:val="29"/>
            <w:tabs>
              <w:tab w:val="right" w:leader="dot" w:pos="8640"/>
            </w:tabs>
          </w:pPr>
          <w:r>
            <w:fldChar w:fldCharType="begin"/>
          </w:r>
          <w:r>
            <w:instrText xml:space="preserve"> HYPERLINK \l "_Toc26183" </w:instrText>
          </w:r>
          <w:r>
            <w:fldChar w:fldCharType="separate"/>
          </w:r>
          <w:r>
            <w:rPr>
              <w:rFonts w:hint="eastAsia" w:ascii="宋体" w:hAnsi="宋体" w:cs="宋体"/>
            </w:rPr>
            <w:t>4.4安全控制</w:t>
          </w:r>
          <w:r>
            <w:tab/>
          </w:r>
          <w:r>
            <w:fldChar w:fldCharType="begin"/>
          </w:r>
          <w:r>
            <w:instrText xml:space="preserve"> PAGEREF _Toc26183 \h </w:instrText>
          </w:r>
          <w:r>
            <w:fldChar w:fldCharType="separate"/>
          </w:r>
          <w:r>
            <w:t>23</w:t>
          </w:r>
          <w:r>
            <w:fldChar w:fldCharType="end"/>
          </w:r>
          <w:r>
            <w:fldChar w:fldCharType="end"/>
          </w:r>
        </w:p>
        <w:p>
          <w:pPr>
            <w:pStyle w:val="38"/>
            <w:tabs>
              <w:tab w:val="right" w:leader="dot" w:pos="8640"/>
            </w:tabs>
          </w:pPr>
          <w:r>
            <w:fldChar w:fldCharType="begin"/>
          </w:r>
          <w:r>
            <w:instrText xml:space="preserve"> HYPERLINK \l "_Toc233" </w:instrText>
          </w:r>
          <w:r>
            <w:fldChar w:fldCharType="separate"/>
          </w:r>
          <w:r>
            <w:rPr>
              <w:rFonts w:hint="eastAsia" w:ascii="宋体" w:hAnsi="宋体" w:cs="宋体"/>
            </w:rPr>
            <w:t>第四章 评审方法和程序</w:t>
          </w:r>
          <w:r>
            <w:tab/>
          </w:r>
          <w:r>
            <w:fldChar w:fldCharType="begin"/>
          </w:r>
          <w:r>
            <w:instrText xml:space="preserve"> PAGEREF _Toc233 \h </w:instrText>
          </w:r>
          <w:r>
            <w:fldChar w:fldCharType="separate"/>
          </w:r>
          <w:r>
            <w:t>24</w:t>
          </w:r>
          <w:r>
            <w:fldChar w:fldCharType="end"/>
          </w:r>
          <w:r>
            <w:fldChar w:fldCharType="end"/>
          </w:r>
        </w:p>
        <w:p>
          <w:pPr>
            <w:pStyle w:val="38"/>
            <w:tabs>
              <w:tab w:val="right" w:leader="dot" w:pos="8640"/>
            </w:tabs>
          </w:pPr>
          <w:r>
            <w:fldChar w:fldCharType="begin"/>
          </w:r>
          <w:r>
            <w:instrText xml:space="preserve"> HYPERLINK \l "_Toc18324" </w:instrText>
          </w:r>
          <w:r>
            <w:fldChar w:fldCharType="separate"/>
          </w:r>
          <w:r>
            <w:rPr>
              <w:rFonts w:hint="eastAsia" w:ascii="宋体" w:hAnsi="宋体" w:cs="宋体"/>
            </w:rPr>
            <w:t xml:space="preserve">第五章 </w:t>
          </w:r>
          <w:r>
            <w:rPr>
              <w:rFonts w:hint="eastAsia" w:ascii="宋体" w:hAnsi="宋体" w:cs="宋体"/>
              <w:lang w:val="zh-CN"/>
            </w:rPr>
            <w:t>合同条款及格式</w:t>
          </w:r>
          <w:r>
            <w:tab/>
          </w:r>
          <w:r>
            <w:fldChar w:fldCharType="begin"/>
          </w:r>
          <w:r>
            <w:instrText xml:space="preserve"> PAGEREF _Toc18324 \h </w:instrText>
          </w:r>
          <w:r>
            <w:fldChar w:fldCharType="separate"/>
          </w:r>
          <w:r>
            <w:t>29</w:t>
          </w:r>
          <w:r>
            <w:fldChar w:fldCharType="end"/>
          </w:r>
          <w:r>
            <w:fldChar w:fldCharType="end"/>
          </w:r>
        </w:p>
        <w:p>
          <w:pPr>
            <w:pStyle w:val="38"/>
            <w:tabs>
              <w:tab w:val="right" w:leader="dot" w:pos="8640"/>
            </w:tabs>
          </w:pPr>
          <w:r>
            <w:fldChar w:fldCharType="begin"/>
          </w:r>
          <w:r>
            <w:instrText xml:space="preserve"> HYPERLINK \l "_Toc4778" </w:instrText>
          </w:r>
          <w:r>
            <w:fldChar w:fldCharType="separate"/>
          </w:r>
          <w:r>
            <w:rPr>
              <w:rFonts w:hint="eastAsia" w:ascii="宋体" w:hAnsi="宋体" w:cs="宋体"/>
            </w:rPr>
            <w:t>第六章 响应文件组成</w:t>
          </w:r>
          <w:r>
            <w:tab/>
          </w:r>
          <w:r>
            <w:fldChar w:fldCharType="begin"/>
          </w:r>
          <w:r>
            <w:instrText xml:space="preserve"> PAGEREF _Toc4778 \h </w:instrText>
          </w:r>
          <w:r>
            <w:fldChar w:fldCharType="separate"/>
          </w:r>
          <w:r>
            <w:t>42</w:t>
          </w:r>
          <w:r>
            <w:fldChar w:fldCharType="end"/>
          </w:r>
          <w:r>
            <w:fldChar w:fldCharType="end"/>
          </w:r>
        </w:p>
        <w:p>
          <w:pPr>
            <w:pStyle w:val="22"/>
            <w:adjustRightInd w:val="0"/>
            <w:snapToGrid w:val="0"/>
            <w:spacing w:line="360" w:lineRule="auto"/>
            <w:rPr>
              <w:rFonts w:ascii="宋体" w:hAnsi="宋体" w:eastAsia="宋体" w:cs="宋体"/>
              <w:sz w:val="24"/>
            </w:rPr>
          </w:pPr>
          <w:r>
            <w:rPr>
              <w:rFonts w:hint="eastAsia" w:ascii="宋体" w:hAnsi="宋体" w:eastAsia="宋体" w:cs="宋体"/>
            </w:rPr>
            <w:fldChar w:fldCharType="end"/>
          </w:r>
        </w:p>
      </w:sdtContent>
    </w:sdt>
    <w:p>
      <w:pPr>
        <w:adjustRightInd w:val="0"/>
        <w:snapToGrid w:val="0"/>
        <w:spacing w:line="360" w:lineRule="auto"/>
        <w:rPr>
          <w:rFonts w:ascii="宋体" w:hAnsi="宋体" w:cs="宋体"/>
          <w:sz w:val="24"/>
          <w:szCs w:val="24"/>
        </w:rPr>
      </w:pPr>
    </w:p>
    <w:p>
      <w:pPr>
        <w:adjustRightInd w:val="0"/>
        <w:snapToGrid w:val="0"/>
        <w:spacing w:line="360" w:lineRule="auto"/>
        <w:jc w:val="center"/>
        <w:rPr>
          <w:rFonts w:ascii="宋体" w:hAnsi="宋体" w:cs="宋体"/>
          <w:b/>
          <w:sz w:val="24"/>
          <w:szCs w:val="24"/>
        </w:rPr>
      </w:pPr>
      <w:r>
        <w:rPr>
          <w:rFonts w:hint="eastAsia" w:ascii="宋体" w:hAnsi="宋体" w:cs="宋体"/>
          <w:bCs/>
          <w:sz w:val="24"/>
          <w:szCs w:val="24"/>
        </w:rPr>
        <w:t xml:space="preserve"> </w:t>
      </w:r>
    </w:p>
    <w:p>
      <w:pPr>
        <w:tabs>
          <w:tab w:val="left" w:pos="7740"/>
        </w:tabs>
        <w:adjustRightInd w:val="0"/>
        <w:snapToGrid w:val="0"/>
        <w:spacing w:line="360" w:lineRule="auto"/>
        <w:ind w:firstLine="480" w:firstLineChars="200"/>
        <w:rPr>
          <w:rFonts w:ascii="宋体" w:hAnsi="宋体" w:cs="宋体"/>
          <w:bCs/>
          <w:sz w:val="24"/>
          <w:szCs w:val="24"/>
        </w:rPr>
      </w:pPr>
    </w:p>
    <w:p>
      <w:pPr>
        <w:tabs>
          <w:tab w:val="left" w:pos="7740"/>
        </w:tabs>
        <w:adjustRightInd w:val="0"/>
        <w:snapToGrid w:val="0"/>
        <w:spacing w:line="360" w:lineRule="auto"/>
        <w:ind w:firstLine="2671" w:firstLineChars="1113"/>
        <w:rPr>
          <w:rFonts w:ascii="宋体" w:hAnsi="宋体" w:cs="宋体"/>
          <w:bCs/>
          <w:sz w:val="24"/>
          <w:szCs w:val="24"/>
        </w:rPr>
      </w:pPr>
    </w:p>
    <w:p>
      <w:pPr>
        <w:adjustRightInd w:val="0"/>
        <w:snapToGrid w:val="0"/>
        <w:spacing w:line="360" w:lineRule="auto"/>
        <w:rPr>
          <w:rFonts w:ascii="宋体" w:hAnsi="宋体" w:cs="宋体"/>
          <w:sz w:val="24"/>
          <w:szCs w:val="24"/>
        </w:rPr>
      </w:pPr>
    </w:p>
    <w:p>
      <w:pPr>
        <w:pStyle w:val="125"/>
        <w:ind w:firstLine="0"/>
        <w:rPr>
          <w:rFonts w:ascii="宋体" w:hAnsi="宋体" w:cs="宋体"/>
          <w:sz w:val="24"/>
          <w:szCs w:val="24"/>
        </w:rPr>
      </w:pPr>
    </w:p>
    <w:p>
      <w:pPr>
        <w:pStyle w:val="52"/>
        <w:spacing w:before="0" w:after="0" w:line="360" w:lineRule="auto"/>
        <w:rPr>
          <w:rFonts w:ascii="宋体" w:hAnsi="宋体" w:eastAsia="宋体" w:cs="Times New Roman"/>
          <w:snapToGrid w:val="0"/>
          <w:kern w:val="0"/>
          <w:sz w:val="44"/>
          <w:szCs w:val="20"/>
        </w:rPr>
      </w:pPr>
      <w:bookmarkStart w:id="1" w:name="OLE_LINK1"/>
      <w:r>
        <w:rPr>
          <w:rFonts w:hint="eastAsia" w:ascii="宋体" w:hAnsi="宋体" w:eastAsia="宋体" w:cs="宋体"/>
          <w:sz w:val="24"/>
        </w:rPr>
        <w:br w:type="page"/>
      </w:r>
      <w:bookmarkStart w:id="2" w:name="_Toc19329"/>
      <w:r>
        <w:rPr>
          <w:rFonts w:hint="eastAsia" w:ascii="宋体" w:hAnsi="宋体" w:eastAsia="宋体" w:cs="Times New Roman"/>
          <w:snapToGrid w:val="0"/>
          <w:kern w:val="0"/>
          <w:sz w:val="44"/>
          <w:szCs w:val="20"/>
        </w:rPr>
        <w:t>第一章 招标公告</w:t>
      </w:r>
      <w:bookmarkEnd w:id="2"/>
    </w:p>
    <w:p>
      <w:pPr>
        <w:snapToGrid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扬州市嘉诚造价咨询有限公司（以下简称“招标代理”）受扬州市民卡有限责任公司（以下简称“采购人”）的委托，就华侨城梦幻之城售票平台项目进行招标采购，现采用公开招标方式，符合资格条件的供应商均可参与投标。现公告如下：</w:t>
      </w:r>
    </w:p>
    <w:p>
      <w:pPr>
        <w:snapToGrid w:val="0"/>
        <w:spacing w:line="360" w:lineRule="auto"/>
        <w:ind w:firstLine="555"/>
        <w:contextualSpacing/>
        <w:rPr>
          <w:rFonts w:ascii="宋体" w:hAnsi="宋体" w:cs="宋体"/>
          <w:sz w:val="24"/>
          <w:szCs w:val="24"/>
        </w:rPr>
      </w:pPr>
      <w:r>
        <w:rPr>
          <w:rFonts w:hint="eastAsia" w:ascii="宋体" w:hAnsi="宋体" w:cs="宋体"/>
          <w:b/>
          <w:sz w:val="24"/>
          <w:szCs w:val="24"/>
        </w:rPr>
        <w:t>一、项目名称及编号</w:t>
      </w:r>
      <w:r>
        <w:rPr>
          <w:rFonts w:hint="eastAsia" w:ascii="宋体" w:hAnsi="宋体" w:cs="宋体"/>
          <w:sz w:val="24"/>
          <w:szCs w:val="24"/>
        </w:rPr>
        <w:t>：</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lang w:val="zh-CN"/>
        </w:rPr>
        <w:t>华侨城梦幻之城售票平台项目。</w:t>
      </w:r>
    </w:p>
    <w:p>
      <w:pPr>
        <w:snapToGrid w:val="0"/>
        <w:spacing w:line="360" w:lineRule="auto"/>
        <w:ind w:firstLine="470" w:firstLineChars="196"/>
        <w:contextualSpacing/>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采购文件编号：</w:t>
      </w:r>
      <w:r>
        <w:rPr>
          <w:rFonts w:hint="eastAsia" w:ascii="宋体" w:hAnsi="宋体" w:cs="宋体"/>
          <w:color w:val="auto"/>
          <w:sz w:val="24"/>
          <w:szCs w:val="24"/>
          <w:lang w:val="en-US" w:eastAsia="zh-CN"/>
        </w:rPr>
        <w:t>/</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二、项目基本情况：</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1、本项目采购招标控制价：</w:t>
      </w:r>
      <w:r>
        <w:rPr>
          <w:rFonts w:hint="eastAsia" w:ascii="宋体" w:hAnsi="宋体" w:cs="宋体"/>
          <w:color w:val="FF0000"/>
          <w:sz w:val="24"/>
          <w:szCs w:val="24"/>
          <w:u w:val="single"/>
        </w:rPr>
        <w:t>本项目设置最高限价13.5万元</w:t>
      </w:r>
      <w:r>
        <w:rPr>
          <w:rFonts w:hint="eastAsia" w:ascii="宋体" w:hAnsi="宋体" w:cs="宋体"/>
          <w:sz w:val="24"/>
          <w:szCs w:val="24"/>
        </w:rPr>
        <w:t>。</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2、项目建设履行期限：</w:t>
      </w:r>
      <w:r>
        <w:rPr>
          <w:rFonts w:hint="eastAsia" w:ascii="宋体" w:hAnsi="宋体" w:cs="宋体"/>
          <w:sz w:val="24"/>
          <w:szCs w:val="24"/>
          <w:u w:val="single"/>
        </w:rPr>
        <w:t>合同约定时间</w:t>
      </w:r>
      <w:r>
        <w:rPr>
          <w:rFonts w:hint="eastAsia" w:ascii="宋体" w:hAnsi="宋体" w:cs="宋体"/>
          <w:sz w:val="24"/>
          <w:szCs w:val="24"/>
        </w:rPr>
        <w:t>。</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3、本项目</w:t>
      </w:r>
      <w:r>
        <w:rPr>
          <w:rFonts w:hint="eastAsia" w:ascii="宋体" w:hAnsi="宋体" w:cs="宋体"/>
          <w:b/>
          <w:bCs/>
          <w:sz w:val="24"/>
          <w:szCs w:val="24"/>
          <w:u w:val="single"/>
        </w:rPr>
        <w:t>不接受</w:t>
      </w:r>
      <w:r>
        <w:rPr>
          <w:rFonts w:hint="eastAsia" w:ascii="宋体" w:hAnsi="宋体" w:cs="宋体"/>
          <w:sz w:val="24"/>
          <w:szCs w:val="24"/>
        </w:rPr>
        <w:t>联合体。</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三、项目需求说明：</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项目需求说明详</w:t>
      </w:r>
      <w:r>
        <w:rPr>
          <w:rFonts w:hint="eastAsia" w:ascii="宋体" w:hAnsi="宋体" w:cs="宋体"/>
          <w:sz w:val="24"/>
          <w:szCs w:val="24"/>
          <w:lang w:val="zh-CN"/>
        </w:rPr>
        <w:t>见第三部分项目需求，</w:t>
      </w:r>
      <w:r>
        <w:rPr>
          <w:rFonts w:hint="eastAsia" w:ascii="宋体" w:hAnsi="宋体" w:cs="宋体"/>
          <w:kern w:val="0"/>
          <w:sz w:val="24"/>
          <w:szCs w:val="24"/>
          <w:lang w:val="zh-CN"/>
        </w:rPr>
        <w:t>请仔细研究。</w:t>
      </w:r>
    </w:p>
    <w:p>
      <w:pPr>
        <w:snapToGrid w:val="0"/>
        <w:spacing w:line="360" w:lineRule="auto"/>
        <w:ind w:firstLine="482" w:firstLineChars="200"/>
        <w:contextualSpacing/>
        <w:rPr>
          <w:rFonts w:ascii="宋体" w:hAnsi="宋体" w:cs="宋体"/>
          <w:sz w:val="24"/>
          <w:szCs w:val="24"/>
        </w:rPr>
      </w:pPr>
      <w:r>
        <w:rPr>
          <w:rFonts w:hint="eastAsia" w:ascii="宋体" w:hAnsi="宋体" w:cs="宋体"/>
          <w:b/>
          <w:sz w:val="24"/>
          <w:szCs w:val="24"/>
        </w:rPr>
        <w:t>四、供应商资格要求</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（一）符合《政府采购法》第二十二条第一款规定的条件，并提供下列材料：</w:t>
      </w:r>
    </w:p>
    <w:p>
      <w:pPr>
        <w:spacing w:line="360" w:lineRule="auto"/>
        <w:ind w:firstLine="480" w:firstLineChars="200"/>
        <w:jc w:val="left"/>
        <w:rPr>
          <w:rFonts w:ascii="宋体" w:hAnsi="宋体" w:cs="宋体"/>
          <w:color w:val="000000"/>
          <w:sz w:val="24"/>
          <w:szCs w:val="24"/>
          <w:u w:val="single"/>
        </w:rPr>
      </w:pPr>
      <w:bookmarkStart w:id="3" w:name="_Hlk49243416"/>
      <w:r>
        <w:rPr>
          <w:rFonts w:hint="eastAsia" w:ascii="宋体" w:hAnsi="宋体" w:cs="宋体"/>
          <w:color w:val="000000"/>
          <w:sz w:val="24"/>
          <w:szCs w:val="24"/>
          <w:u w:val="single"/>
        </w:rPr>
        <w:t>（1）投标函</w:t>
      </w:r>
      <w:r>
        <w:rPr>
          <w:rFonts w:hint="eastAsia" w:ascii="宋体" w:hAnsi="宋体" w:cs="宋体"/>
          <w:b/>
          <w:color w:val="000000"/>
          <w:sz w:val="24"/>
          <w:szCs w:val="24"/>
          <w:u w:val="single"/>
        </w:rPr>
        <w:t xml:space="preserve">(原件) </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（2）资格声明</w:t>
      </w:r>
      <w:r>
        <w:rPr>
          <w:rFonts w:hint="eastAsia" w:ascii="宋体" w:hAnsi="宋体" w:cs="宋体"/>
          <w:b/>
          <w:bCs/>
          <w:color w:val="000000"/>
          <w:sz w:val="24"/>
          <w:szCs w:val="24"/>
          <w:u w:val="single"/>
        </w:rPr>
        <w:t>(原件)</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（3）若法定代表人参加投标的，须提供本人身份证复印件；若授权代表参加的，须提供《法人授权书》原件和授权代表身份证复印件。</w:t>
      </w:r>
    </w:p>
    <w:p>
      <w:pPr>
        <w:spacing w:line="360" w:lineRule="auto"/>
        <w:ind w:firstLine="480" w:firstLineChars="200"/>
        <w:jc w:val="left"/>
        <w:rPr>
          <w:sz w:val="24"/>
          <w:szCs w:val="24"/>
        </w:rPr>
      </w:pPr>
      <w:r>
        <w:rPr>
          <w:rFonts w:hint="eastAsia" w:ascii="宋体" w:hAnsi="宋体" w:cs="宋体"/>
          <w:color w:val="000000"/>
          <w:sz w:val="24"/>
          <w:szCs w:val="24"/>
          <w:u w:val="single"/>
        </w:rPr>
        <w:t>（4）营业执照副本</w:t>
      </w:r>
      <w:r>
        <w:rPr>
          <w:rFonts w:hint="eastAsia" w:ascii="宋体" w:hAnsi="宋体" w:cs="宋体"/>
          <w:b/>
          <w:bCs/>
          <w:color w:val="000000"/>
          <w:sz w:val="24"/>
          <w:szCs w:val="24"/>
          <w:u w:val="single"/>
        </w:rPr>
        <w:t xml:space="preserve">(复印件加盖供应商公章) </w:t>
      </w:r>
    </w:p>
    <w:p>
      <w:pPr>
        <w:spacing w:line="360" w:lineRule="auto"/>
        <w:ind w:firstLine="480" w:firstLineChars="200"/>
        <w:jc w:val="left"/>
        <w:rPr>
          <w:rFonts w:ascii="宋体" w:hAnsi="宋体" w:cs="宋体"/>
          <w:bCs/>
          <w:color w:val="000000"/>
          <w:sz w:val="24"/>
          <w:szCs w:val="24"/>
          <w:u w:val="single"/>
        </w:rPr>
      </w:pPr>
      <w:r>
        <w:rPr>
          <w:rFonts w:hint="eastAsia" w:ascii="宋体" w:hAnsi="宋体" w:cs="宋体"/>
          <w:color w:val="000000"/>
          <w:sz w:val="24"/>
          <w:szCs w:val="24"/>
          <w:u w:val="single"/>
        </w:rPr>
        <w:t>（5）依法缴纳职工社会保障资金的证明材料(复印件加盖供应商公章)( 提供2021年3月-2021年5月三个月内由税务、银行或社会保险基金管理三个部门中任意一部门出具的连续三个月缴纳职工社会保障资金的缴款凭证或缴款证明)</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（6）供应商202</w:t>
      </w:r>
      <w:r>
        <w:rPr>
          <w:rFonts w:ascii="宋体" w:hAnsi="宋体" w:cs="宋体"/>
          <w:color w:val="000000"/>
          <w:sz w:val="24"/>
          <w:szCs w:val="24"/>
          <w:u w:val="single"/>
        </w:rPr>
        <w:t>1</w:t>
      </w:r>
      <w:r>
        <w:rPr>
          <w:rFonts w:hint="eastAsia" w:ascii="宋体" w:hAnsi="宋体" w:cs="宋体"/>
          <w:color w:val="000000"/>
          <w:sz w:val="24"/>
          <w:szCs w:val="24"/>
          <w:u w:val="single"/>
        </w:rPr>
        <w:t>年3月-2021年5月三个月内任意一份依法纳税的缴款凭证</w:t>
      </w:r>
      <w:r>
        <w:rPr>
          <w:rFonts w:hint="eastAsia" w:ascii="宋体" w:hAnsi="宋体" w:cs="宋体"/>
          <w:b/>
          <w:bCs/>
          <w:color w:val="000000"/>
          <w:sz w:val="24"/>
          <w:szCs w:val="24"/>
          <w:u w:val="single"/>
        </w:rPr>
        <w:t>(复印件加盖供应商公章)</w:t>
      </w:r>
    </w:p>
    <w:p>
      <w:pPr>
        <w:spacing w:line="360" w:lineRule="auto"/>
        <w:ind w:firstLine="480" w:firstLineChars="200"/>
        <w:jc w:val="left"/>
        <w:rPr>
          <w:rFonts w:ascii="宋体" w:hAnsi="宋体" w:cs="宋体"/>
          <w:b/>
          <w:bCs/>
          <w:color w:val="000000"/>
          <w:sz w:val="24"/>
          <w:szCs w:val="24"/>
          <w:u w:val="single"/>
        </w:rPr>
      </w:pPr>
      <w:r>
        <w:rPr>
          <w:rFonts w:hint="eastAsia" w:ascii="宋体" w:hAnsi="宋体" w:cs="宋体"/>
          <w:color w:val="000000"/>
          <w:sz w:val="24"/>
          <w:szCs w:val="24"/>
          <w:u w:val="single"/>
        </w:rPr>
        <w:t>（7）与第（6）条相对应的纳税申报表或经会计师事务所审计的</w:t>
      </w:r>
      <w:r>
        <w:rPr>
          <w:rFonts w:ascii="宋体" w:hAnsi="宋体" w:cs="宋体"/>
          <w:color w:val="000000"/>
          <w:sz w:val="24"/>
          <w:szCs w:val="24"/>
          <w:u w:val="single"/>
        </w:rPr>
        <w:t>2020</w:t>
      </w:r>
      <w:r>
        <w:rPr>
          <w:rFonts w:hint="eastAsia" w:ascii="宋体" w:hAnsi="宋体" w:cs="宋体"/>
          <w:color w:val="000000"/>
          <w:sz w:val="24"/>
          <w:szCs w:val="24"/>
          <w:u w:val="single"/>
        </w:rPr>
        <w:t>年度财务报告</w:t>
      </w:r>
      <w:r>
        <w:rPr>
          <w:rFonts w:hint="eastAsia" w:ascii="宋体" w:hAnsi="宋体" w:cs="宋体"/>
          <w:b/>
          <w:bCs/>
          <w:color w:val="000000"/>
          <w:sz w:val="24"/>
          <w:szCs w:val="24"/>
          <w:u w:val="single"/>
        </w:rPr>
        <w:t xml:space="preserve"> (</w:t>
      </w:r>
      <w:r>
        <w:rPr>
          <w:rFonts w:hint="eastAsia" w:ascii="宋体" w:hAnsi="宋体" w:cs="宋体"/>
          <w:sz w:val="24"/>
          <w:szCs w:val="24"/>
        </w:rPr>
        <w:t>提供</w:t>
      </w:r>
      <w:r>
        <w:rPr>
          <w:rFonts w:hint="eastAsia" w:ascii="宋体" w:hAnsi="宋体" w:cs="宋体"/>
          <w:b/>
          <w:bCs/>
          <w:color w:val="000000"/>
          <w:sz w:val="24"/>
          <w:szCs w:val="24"/>
          <w:u w:val="single"/>
        </w:rPr>
        <w:t>复印件加盖供应商公章)</w:t>
      </w:r>
    </w:p>
    <w:p>
      <w:pPr>
        <w:spacing w:line="360" w:lineRule="auto"/>
        <w:ind w:firstLine="480" w:firstLineChars="200"/>
        <w:jc w:val="left"/>
        <w:rPr>
          <w:rFonts w:ascii="宋体" w:hAnsi="宋体" w:cs="宋体"/>
          <w:b/>
          <w:bCs/>
          <w:color w:val="000000"/>
          <w:sz w:val="24"/>
          <w:szCs w:val="24"/>
          <w:u w:val="single"/>
        </w:rPr>
      </w:pPr>
      <w:r>
        <w:rPr>
          <w:rFonts w:hint="eastAsia" w:ascii="宋体" w:hAnsi="宋体" w:cs="宋体"/>
          <w:color w:val="000000"/>
          <w:sz w:val="24"/>
          <w:szCs w:val="24"/>
          <w:u w:val="single"/>
        </w:rPr>
        <w:t>（8）投标人政府采购活动近3年内在经营活动中没有重大违法记录的书面声明</w:t>
      </w:r>
      <w:r>
        <w:rPr>
          <w:rFonts w:hint="eastAsia" w:ascii="宋体" w:hAnsi="宋体" w:cs="宋体"/>
          <w:b/>
          <w:bCs/>
          <w:color w:val="000000"/>
          <w:sz w:val="24"/>
          <w:szCs w:val="24"/>
          <w:u w:val="single"/>
        </w:rPr>
        <w:t>（原件）</w:t>
      </w:r>
    </w:p>
    <w:bookmarkEnd w:id="3"/>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（二）采购人其他要求：</w:t>
      </w:r>
    </w:p>
    <w:p>
      <w:pPr>
        <w:autoSpaceDE w:val="0"/>
        <w:autoSpaceDN w:val="0"/>
        <w:adjustRightInd w:val="0"/>
        <w:snapToGrid w:val="0"/>
        <w:spacing w:line="360" w:lineRule="auto"/>
        <w:ind w:firstLine="465"/>
        <w:contextualSpacing/>
        <w:jc w:val="left"/>
        <w:rPr>
          <w:rFonts w:ascii="宋体" w:hAnsi="宋体" w:cs="宋体"/>
          <w:sz w:val="24"/>
          <w:szCs w:val="24"/>
        </w:rPr>
      </w:pPr>
      <w:r>
        <w:rPr>
          <w:rFonts w:hint="eastAsia" w:ascii="宋体" w:hAnsi="宋体" w:cs="宋体"/>
          <w:sz w:val="24"/>
          <w:szCs w:val="24"/>
        </w:rPr>
        <w:t>项目</w:t>
      </w:r>
      <w:r>
        <w:rPr>
          <w:rFonts w:hint="eastAsia" w:ascii="宋体" w:hAnsi="宋体" w:cs="宋体"/>
          <w:b/>
          <w:bCs/>
          <w:sz w:val="24"/>
          <w:szCs w:val="24"/>
          <w:u w:val="single"/>
        </w:rPr>
        <w:t>不接受</w:t>
      </w:r>
      <w:r>
        <w:rPr>
          <w:rFonts w:hint="eastAsia" w:ascii="宋体" w:hAnsi="宋体" w:cs="宋体"/>
          <w:sz w:val="24"/>
          <w:szCs w:val="24"/>
        </w:rPr>
        <w:t>联合体形式的投标及任何形式的分包或转包。</w:t>
      </w:r>
    </w:p>
    <w:p>
      <w:pPr>
        <w:snapToGrid w:val="0"/>
        <w:spacing w:line="360" w:lineRule="auto"/>
        <w:ind w:firstLine="555"/>
        <w:contextualSpacing/>
        <w:rPr>
          <w:rFonts w:ascii="宋体" w:hAnsi="宋体" w:cs="宋体"/>
          <w:b/>
          <w:sz w:val="24"/>
          <w:szCs w:val="24"/>
        </w:rPr>
      </w:pPr>
      <w:r>
        <w:rPr>
          <w:rFonts w:hint="eastAsia" w:ascii="宋体" w:hAnsi="宋体" w:cs="宋体"/>
          <w:b/>
          <w:sz w:val="24"/>
          <w:szCs w:val="24"/>
        </w:rPr>
        <w:t>五、公告期限</w:t>
      </w:r>
    </w:p>
    <w:p>
      <w:pPr>
        <w:snapToGrid w:val="0"/>
        <w:spacing w:line="360" w:lineRule="auto"/>
        <w:ind w:firstLine="555"/>
        <w:contextualSpacing/>
        <w:rPr>
          <w:rFonts w:ascii="宋体" w:hAnsi="宋体" w:cs="宋体"/>
          <w:sz w:val="24"/>
          <w:szCs w:val="24"/>
        </w:rPr>
      </w:pPr>
      <w:r>
        <w:rPr>
          <w:rFonts w:hint="eastAsia" w:ascii="宋体" w:hAnsi="宋体" w:cs="宋体"/>
          <w:sz w:val="24"/>
          <w:szCs w:val="24"/>
        </w:rPr>
        <w:t>自公告在“</w:t>
      </w:r>
      <w:r>
        <w:rPr>
          <w:rFonts w:hint="eastAsia" w:ascii="宋体" w:hAnsi="宋体" w:cs="宋体"/>
          <w:sz w:val="24"/>
          <w:szCs w:val="24"/>
          <w:u w:val="single"/>
        </w:rPr>
        <w:t>扬州市城建国有资产控股(集团）有限责任公司</w:t>
      </w:r>
      <w:r>
        <w:rPr>
          <w:rFonts w:hint="eastAsia" w:ascii="宋体" w:hAnsi="宋体" w:cs="宋体"/>
          <w:sz w:val="24"/>
          <w:szCs w:val="24"/>
        </w:rPr>
        <w:t>”网站发布之日起5日。</w:t>
      </w:r>
    </w:p>
    <w:p>
      <w:pPr>
        <w:spacing w:line="360" w:lineRule="auto"/>
        <w:ind w:firstLine="482" w:firstLineChars="200"/>
        <w:rPr>
          <w:rFonts w:ascii="宋体" w:hAnsi="宋体" w:cs="宋体"/>
          <w:b/>
          <w:bCs/>
          <w:color w:val="000000"/>
          <w:sz w:val="24"/>
          <w:szCs w:val="24"/>
        </w:rPr>
      </w:pPr>
      <w:bookmarkStart w:id="4" w:name="_Toc28359004"/>
      <w:bookmarkStart w:id="5" w:name="_Toc35393792"/>
      <w:bookmarkStart w:id="6" w:name="_Toc28359081"/>
      <w:bookmarkStart w:id="7" w:name="_Toc35393623"/>
      <w:r>
        <w:rPr>
          <w:rFonts w:hint="eastAsia" w:ascii="宋体" w:hAnsi="宋体" w:cs="宋体"/>
          <w:b/>
          <w:bCs/>
          <w:color w:val="000000"/>
          <w:sz w:val="24"/>
          <w:szCs w:val="24"/>
        </w:rPr>
        <w:t>六、获取招标文件</w:t>
      </w:r>
      <w:bookmarkEnd w:id="4"/>
      <w:bookmarkEnd w:id="5"/>
      <w:bookmarkEnd w:id="6"/>
      <w:bookmarkEnd w:id="7"/>
    </w:p>
    <w:p>
      <w:pPr>
        <w:adjustRightInd w:val="0"/>
        <w:snapToGrid w:val="0"/>
        <w:spacing w:line="360" w:lineRule="auto"/>
        <w:ind w:firstLine="480" w:firstLineChars="200"/>
        <w:rPr>
          <w:rFonts w:ascii="宋体" w:hAnsi="宋体" w:cs="宋体"/>
          <w:iCs/>
          <w:sz w:val="24"/>
          <w:szCs w:val="24"/>
          <w:u w:val="single"/>
        </w:rPr>
      </w:pPr>
      <w:r>
        <w:rPr>
          <w:rFonts w:hint="eastAsia" w:ascii="宋体" w:hAnsi="宋体" w:cs="宋体"/>
          <w:iCs/>
          <w:sz w:val="24"/>
          <w:szCs w:val="24"/>
        </w:rPr>
        <w:t>获取时间：</w:t>
      </w:r>
      <w:r>
        <w:rPr>
          <w:rFonts w:hint="eastAsia" w:ascii="宋体" w:hAnsi="宋体" w:cs="宋体"/>
          <w:iCs/>
          <w:sz w:val="24"/>
          <w:szCs w:val="24"/>
          <w:u w:val="single"/>
        </w:rPr>
        <w:t xml:space="preserve">2021年 </w:t>
      </w:r>
      <w:r>
        <w:rPr>
          <w:rFonts w:hint="eastAsia" w:ascii="宋体" w:hAnsi="宋体" w:cs="宋体"/>
          <w:iCs/>
          <w:sz w:val="24"/>
          <w:szCs w:val="24"/>
          <w:u w:val="single"/>
          <w:lang w:val="en-US" w:eastAsia="zh-CN"/>
        </w:rPr>
        <w:t>6</w:t>
      </w:r>
      <w:r>
        <w:rPr>
          <w:rFonts w:hint="eastAsia" w:ascii="宋体" w:hAnsi="宋体" w:cs="宋体"/>
          <w:iCs/>
          <w:sz w:val="24"/>
          <w:szCs w:val="24"/>
          <w:u w:val="single"/>
        </w:rPr>
        <w:t>月</w:t>
      </w:r>
      <w:r>
        <w:rPr>
          <w:rFonts w:hint="eastAsia" w:ascii="宋体" w:hAnsi="宋体" w:cs="宋体"/>
          <w:iCs/>
          <w:sz w:val="24"/>
          <w:szCs w:val="24"/>
          <w:u w:val="single"/>
          <w:lang w:val="en-US" w:eastAsia="zh-CN"/>
        </w:rPr>
        <w:t>18</w:t>
      </w:r>
      <w:r>
        <w:rPr>
          <w:rFonts w:hint="eastAsia" w:ascii="宋体" w:hAnsi="宋体" w:cs="宋体"/>
          <w:iCs/>
          <w:sz w:val="24"/>
          <w:szCs w:val="24"/>
          <w:u w:val="single"/>
        </w:rPr>
        <w:t xml:space="preserve"> 日至2021年</w:t>
      </w:r>
      <w:r>
        <w:rPr>
          <w:rFonts w:ascii="宋体" w:hAnsi="宋体" w:cs="宋体"/>
          <w:iCs/>
          <w:sz w:val="24"/>
          <w:szCs w:val="24"/>
          <w:u w:val="single"/>
        </w:rPr>
        <w:t>6</w:t>
      </w:r>
      <w:r>
        <w:rPr>
          <w:rFonts w:hint="eastAsia" w:ascii="宋体" w:hAnsi="宋体" w:cs="宋体"/>
          <w:iCs/>
          <w:sz w:val="24"/>
          <w:szCs w:val="24"/>
          <w:u w:val="single"/>
        </w:rPr>
        <w:t>月</w:t>
      </w:r>
      <w:r>
        <w:rPr>
          <w:rFonts w:hint="eastAsia" w:ascii="宋体" w:hAnsi="宋体" w:cs="宋体"/>
          <w:iCs/>
          <w:sz w:val="24"/>
          <w:szCs w:val="24"/>
          <w:u w:val="single"/>
          <w:lang w:val="en-US" w:eastAsia="zh-CN"/>
        </w:rPr>
        <w:t>24</w:t>
      </w:r>
      <w:r>
        <w:rPr>
          <w:rFonts w:hint="eastAsia" w:ascii="宋体" w:hAnsi="宋体" w:cs="宋体"/>
          <w:iCs/>
          <w:sz w:val="24"/>
          <w:szCs w:val="24"/>
          <w:u w:val="single"/>
        </w:rPr>
        <w:t>日</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iCs/>
          <w:sz w:val="24"/>
          <w:szCs w:val="24"/>
        </w:rPr>
        <w:t>获取方式：</w:t>
      </w:r>
      <w:r>
        <w:rPr>
          <w:rFonts w:hint="eastAsia" w:ascii="宋体" w:hAnsi="宋体" w:cs="宋体"/>
          <w:sz w:val="24"/>
          <w:szCs w:val="24"/>
          <w:u w:val="single"/>
        </w:rPr>
        <w:t>扬州市城建国有资产控股（集团）有限责任公司网站（http://www.yzckjt.com/main.htm）自行下载。</w:t>
      </w:r>
    </w:p>
    <w:p>
      <w:pPr>
        <w:spacing w:line="360" w:lineRule="auto"/>
        <w:ind w:firstLine="480" w:firstLineChars="200"/>
        <w:rPr>
          <w:rFonts w:ascii="宋体" w:hAnsi="宋体" w:cs="宋体"/>
          <w:iCs/>
          <w:sz w:val="24"/>
          <w:szCs w:val="24"/>
        </w:rPr>
      </w:pPr>
      <w:r>
        <w:rPr>
          <w:rFonts w:hint="eastAsia" w:ascii="宋体" w:hAnsi="宋体" w:cs="宋体"/>
          <w:iCs/>
          <w:sz w:val="24"/>
          <w:szCs w:val="24"/>
        </w:rPr>
        <w:t>注：投标人获取招标文件后，需按《供应商参加投标确认函》的要求报名确认。</w:t>
      </w:r>
    </w:p>
    <w:p>
      <w:pPr>
        <w:spacing w:line="360" w:lineRule="auto"/>
        <w:ind w:firstLine="482" w:firstLineChars="200"/>
        <w:rPr>
          <w:rFonts w:ascii="宋体" w:hAnsi="宋体" w:cs="宋体"/>
          <w:b/>
          <w:bCs/>
          <w:sz w:val="24"/>
          <w:szCs w:val="24"/>
        </w:rPr>
      </w:pPr>
      <w:bookmarkStart w:id="8" w:name="_Toc28359082"/>
      <w:bookmarkStart w:id="9" w:name="_Toc28359005"/>
      <w:bookmarkStart w:id="10" w:name="_Toc35393793"/>
      <w:bookmarkStart w:id="11" w:name="_Toc35393624"/>
      <w:r>
        <w:rPr>
          <w:rFonts w:hint="eastAsia" w:ascii="宋体" w:hAnsi="宋体" w:cs="宋体"/>
          <w:b/>
          <w:bCs/>
          <w:sz w:val="24"/>
          <w:szCs w:val="24"/>
        </w:rPr>
        <w:t>七、提交投标文件</w:t>
      </w:r>
      <w:bookmarkEnd w:id="8"/>
      <w:bookmarkEnd w:id="9"/>
      <w:r>
        <w:rPr>
          <w:rFonts w:hint="eastAsia" w:ascii="宋体" w:hAnsi="宋体" w:cs="宋体"/>
          <w:b/>
          <w:bCs/>
          <w:sz w:val="24"/>
          <w:szCs w:val="24"/>
        </w:rPr>
        <w:t>截止时间和地点</w:t>
      </w:r>
      <w:bookmarkEnd w:id="10"/>
      <w:bookmarkEnd w:id="11"/>
    </w:p>
    <w:p>
      <w:pPr>
        <w:spacing w:line="360" w:lineRule="auto"/>
        <w:ind w:firstLine="480" w:firstLineChars="200"/>
        <w:rPr>
          <w:rFonts w:ascii="宋体" w:hAnsi="宋体"/>
          <w:sz w:val="24"/>
          <w:szCs w:val="24"/>
        </w:rPr>
      </w:pPr>
      <w:r>
        <w:rPr>
          <w:rFonts w:hint="eastAsia" w:ascii="宋体" w:hAnsi="宋体" w:cs="宋体"/>
          <w:sz w:val="24"/>
          <w:szCs w:val="24"/>
        </w:rPr>
        <w:t>投标文件接收截止时间</w:t>
      </w:r>
      <w:r>
        <w:rPr>
          <w:rFonts w:hint="eastAsia" w:ascii="宋体" w:hAnsi="宋体"/>
          <w:sz w:val="24"/>
          <w:szCs w:val="24"/>
        </w:rPr>
        <w:t>：</w:t>
      </w:r>
      <w:r>
        <w:rPr>
          <w:rFonts w:hint="eastAsia" w:ascii="宋体" w:hAnsi="宋体"/>
          <w:sz w:val="24"/>
          <w:szCs w:val="24"/>
          <w:u w:val="single"/>
        </w:rPr>
        <w:t>2021年</w:t>
      </w:r>
      <w:r>
        <w:rPr>
          <w:rFonts w:ascii="宋体" w:hAnsi="宋体"/>
          <w:sz w:val="24"/>
          <w:szCs w:val="24"/>
          <w:u w:val="single"/>
        </w:rPr>
        <w:t>6</w:t>
      </w:r>
      <w:r>
        <w:rPr>
          <w:rFonts w:hint="eastAsia" w:ascii="宋体" w:hAnsi="宋体"/>
          <w:sz w:val="24"/>
          <w:szCs w:val="24"/>
          <w:u w:val="single"/>
        </w:rPr>
        <w:t xml:space="preserve">月 </w:t>
      </w:r>
      <w:r>
        <w:rPr>
          <w:rFonts w:hint="eastAsia" w:ascii="宋体" w:hAnsi="宋体"/>
          <w:sz w:val="24"/>
          <w:szCs w:val="24"/>
          <w:u w:val="single"/>
          <w:lang w:val="en-US" w:eastAsia="zh-CN"/>
        </w:rPr>
        <w:t>28</w:t>
      </w:r>
      <w:r>
        <w:rPr>
          <w:rFonts w:hint="eastAsia" w:ascii="宋体" w:hAnsi="宋体"/>
          <w:sz w:val="24"/>
          <w:szCs w:val="24"/>
          <w:u w:val="single"/>
        </w:rPr>
        <w:t>日上</w:t>
      </w:r>
      <w:r>
        <w:rPr>
          <w:rFonts w:ascii="宋体" w:hAnsi="宋体"/>
          <w:sz w:val="24"/>
          <w:szCs w:val="24"/>
          <w:u w:val="single"/>
        </w:rPr>
        <w:t xml:space="preserve">午 </w:t>
      </w:r>
      <w:r>
        <w:rPr>
          <w:rFonts w:hint="eastAsia" w:ascii="宋体" w:hAnsi="宋体"/>
          <w:sz w:val="24"/>
          <w:szCs w:val="24"/>
          <w:u w:val="single"/>
        </w:rPr>
        <w:t>9</w:t>
      </w:r>
      <w:r>
        <w:rPr>
          <w:rFonts w:ascii="宋体" w:hAnsi="宋体"/>
          <w:sz w:val="24"/>
          <w:szCs w:val="24"/>
          <w:u w:val="single"/>
        </w:rPr>
        <w:t>:30</w:t>
      </w:r>
      <w:r>
        <w:rPr>
          <w:rFonts w:hint="eastAsia" w:ascii="宋体" w:hAnsi="宋体" w:cs="宋体"/>
          <w:sz w:val="24"/>
          <w:szCs w:val="24"/>
          <w:u w:val="single"/>
        </w:rPr>
        <w:t>（北京时间）</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u w:val="single"/>
        </w:rPr>
        <w:t>2021年</w:t>
      </w:r>
      <w:r>
        <w:rPr>
          <w:rFonts w:ascii="宋体" w:hAnsi="宋体"/>
          <w:sz w:val="24"/>
          <w:szCs w:val="24"/>
          <w:u w:val="single"/>
        </w:rPr>
        <w:t>6</w:t>
      </w:r>
      <w:r>
        <w:rPr>
          <w:rFonts w:hint="eastAsia" w:ascii="宋体" w:hAnsi="宋体"/>
          <w:sz w:val="24"/>
          <w:szCs w:val="24"/>
          <w:u w:val="single"/>
        </w:rPr>
        <w:t>月</w:t>
      </w:r>
      <w:r>
        <w:rPr>
          <w:rFonts w:hint="eastAsia" w:ascii="宋体" w:hAnsi="宋体"/>
          <w:sz w:val="24"/>
          <w:szCs w:val="24"/>
          <w:u w:val="single"/>
          <w:lang w:val="en-US" w:eastAsia="zh-CN"/>
        </w:rPr>
        <w:t>28</w:t>
      </w:r>
      <w:r>
        <w:rPr>
          <w:rFonts w:hint="eastAsia" w:ascii="宋体" w:hAnsi="宋体"/>
          <w:sz w:val="24"/>
          <w:szCs w:val="24"/>
          <w:u w:val="single"/>
        </w:rPr>
        <w:t>日上</w:t>
      </w:r>
      <w:r>
        <w:rPr>
          <w:rFonts w:ascii="宋体" w:hAnsi="宋体"/>
          <w:sz w:val="24"/>
          <w:szCs w:val="24"/>
          <w:u w:val="single"/>
        </w:rPr>
        <w:t>午 9:30</w:t>
      </w:r>
      <w:r>
        <w:rPr>
          <w:rFonts w:hint="eastAsia" w:ascii="宋体" w:hAnsi="宋体" w:cs="宋体"/>
          <w:sz w:val="24"/>
          <w:szCs w:val="24"/>
          <w:u w:val="single"/>
        </w:rPr>
        <w:t>（北京时间）</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地点：扬州市史可法路58-21号城建置业办公楼三楼会议</w:t>
      </w:r>
      <w:r>
        <w:rPr>
          <w:rFonts w:hint="eastAsia" w:ascii="宋体" w:hAnsi="宋体" w:cs="宋体"/>
          <w:color w:val="333333"/>
          <w:sz w:val="24"/>
          <w:szCs w:val="24"/>
        </w:rPr>
        <w:t>室</w:t>
      </w:r>
    </w:p>
    <w:p>
      <w:pPr>
        <w:snapToGrid w:val="0"/>
        <w:spacing w:line="360" w:lineRule="auto"/>
        <w:ind w:firstLine="555"/>
        <w:contextualSpacing/>
        <w:rPr>
          <w:rFonts w:ascii="宋体" w:hAnsi="宋体" w:cs="宋体"/>
          <w:b/>
          <w:sz w:val="24"/>
          <w:szCs w:val="24"/>
        </w:rPr>
      </w:pPr>
      <w:r>
        <w:rPr>
          <w:rFonts w:hint="eastAsia" w:ascii="宋体" w:hAnsi="宋体" w:cs="宋体"/>
          <w:b/>
          <w:sz w:val="24"/>
          <w:szCs w:val="24"/>
        </w:rPr>
        <w:t>八、投标保证金</w:t>
      </w:r>
    </w:p>
    <w:p>
      <w:pPr>
        <w:snapToGrid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本项目</w:t>
      </w:r>
      <w:r>
        <w:rPr>
          <w:rFonts w:hint="eastAsia" w:ascii="宋体" w:hAnsi="宋体" w:cs="宋体"/>
          <w:b/>
          <w:bCs/>
          <w:sz w:val="24"/>
          <w:szCs w:val="24"/>
          <w:u w:val="single"/>
        </w:rPr>
        <w:t>不设</w:t>
      </w:r>
      <w:r>
        <w:rPr>
          <w:rFonts w:hint="eastAsia" w:ascii="宋体" w:hAnsi="宋体" w:cs="宋体"/>
          <w:sz w:val="24"/>
          <w:szCs w:val="24"/>
        </w:rPr>
        <w:t>投标保证金</w:t>
      </w:r>
      <w:r>
        <w:rPr>
          <w:rFonts w:hint="eastAsia" w:ascii="宋体" w:hAnsi="宋体" w:cs="宋体"/>
          <w:sz w:val="24"/>
          <w:szCs w:val="24"/>
          <w:lang w:val="zh-CN"/>
        </w:rPr>
        <w:t>。</w:t>
      </w:r>
    </w:p>
    <w:p>
      <w:pPr>
        <w:pStyle w:val="50"/>
        <w:spacing w:before="0" w:beforeAutospacing="0" w:after="0" w:afterAutospacing="0" w:line="360" w:lineRule="auto"/>
        <w:ind w:firstLine="420"/>
        <w:rPr>
          <w:color w:val="333333"/>
        </w:rPr>
      </w:pPr>
      <w:r>
        <w:rPr>
          <w:rFonts w:hint="eastAsia"/>
          <w:b/>
          <w:color w:val="333333"/>
        </w:rPr>
        <w:t>九、监督部门</w:t>
      </w:r>
    </w:p>
    <w:p>
      <w:pPr>
        <w:pStyle w:val="50"/>
        <w:spacing w:before="0" w:beforeAutospacing="0" w:after="0" w:afterAutospacing="0" w:line="360" w:lineRule="auto"/>
        <w:ind w:firstLine="420"/>
        <w:rPr>
          <w:color w:val="333333"/>
        </w:rPr>
      </w:pPr>
      <w:r>
        <w:rPr>
          <w:rFonts w:hint="eastAsia"/>
          <w:color w:val="333333"/>
        </w:rPr>
        <w:t>本招标项目的监督部门为扬州市城建国有资产控股（集团）有限公司纪检监察室。</w:t>
      </w:r>
    </w:p>
    <w:p>
      <w:pPr>
        <w:pStyle w:val="50"/>
        <w:spacing w:before="0" w:beforeAutospacing="0" w:after="0" w:afterAutospacing="0" w:line="360" w:lineRule="auto"/>
        <w:ind w:firstLine="420"/>
        <w:rPr>
          <w:lang w:val="zh-CN"/>
        </w:rPr>
      </w:pPr>
      <w:r>
        <w:rPr>
          <w:rFonts w:hint="eastAsia"/>
          <w:color w:val="333333"/>
        </w:rPr>
        <w:t>电话：0514-87111559</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十、本项目联系事项</w:t>
      </w:r>
    </w:p>
    <w:p>
      <w:pPr>
        <w:pStyle w:val="50"/>
        <w:spacing w:before="0" w:beforeAutospacing="0" w:after="0" w:afterAutospacing="0" w:line="360" w:lineRule="auto"/>
        <w:ind w:firstLine="420"/>
        <w:rPr>
          <w:color w:val="333333"/>
        </w:rPr>
      </w:pPr>
      <w:r>
        <w:rPr>
          <w:rFonts w:hint="eastAsia"/>
          <w:b/>
          <w:color w:val="333333"/>
        </w:rPr>
        <w:t>招标人：扬州市民卡有限责任公司</w:t>
      </w:r>
    </w:p>
    <w:p>
      <w:pPr>
        <w:pStyle w:val="50"/>
        <w:spacing w:before="0" w:beforeAutospacing="0" w:after="0" w:afterAutospacing="0" w:line="360" w:lineRule="auto"/>
        <w:ind w:firstLine="420"/>
        <w:rPr>
          <w:color w:val="333333"/>
        </w:rPr>
      </w:pPr>
      <w:r>
        <w:rPr>
          <w:rFonts w:hint="eastAsia"/>
          <w:color w:val="333333"/>
        </w:rPr>
        <w:t>地   址：扬州市史可法路5</w:t>
      </w:r>
      <w:r>
        <w:rPr>
          <w:color w:val="333333"/>
        </w:rPr>
        <w:t>8</w:t>
      </w:r>
      <w:r>
        <w:rPr>
          <w:rFonts w:hint="eastAsia"/>
          <w:color w:val="333333"/>
        </w:rPr>
        <w:t>号</w:t>
      </w:r>
    </w:p>
    <w:p>
      <w:pPr>
        <w:pStyle w:val="50"/>
        <w:spacing w:before="0" w:beforeAutospacing="0" w:after="0" w:afterAutospacing="0" w:line="360" w:lineRule="auto"/>
        <w:ind w:firstLine="420"/>
        <w:rPr>
          <w:color w:val="auto"/>
        </w:rPr>
      </w:pPr>
      <w:r>
        <w:rPr>
          <w:rFonts w:hint="eastAsia"/>
          <w:color w:val="auto"/>
        </w:rPr>
        <w:t>联系人：李兴华</w:t>
      </w:r>
    </w:p>
    <w:p>
      <w:pPr>
        <w:pStyle w:val="50"/>
        <w:spacing w:before="0" w:beforeAutospacing="0" w:after="0" w:afterAutospacing="0" w:line="360" w:lineRule="auto"/>
        <w:ind w:firstLine="420"/>
        <w:rPr>
          <w:color w:val="auto"/>
        </w:rPr>
      </w:pPr>
      <w:r>
        <w:rPr>
          <w:rFonts w:hint="eastAsia"/>
          <w:color w:val="auto"/>
        </w:rPr>
        <w:t>电   话：15050762933</w:t>
      </w:r>
      <w:r>
        <w:rPr>
          <w:rFonts w:hint="eastAsia"/>
          <w:b/>
          <w:color w:val="auto"/>
        </w:rPr>
        <w:t> </w:t>
      </w:r>
    </w:p>
    <w:p>
      <w:pPr>
        <w:pStyle w:val="50"/>
        <w:spacing w:before="0" w:beforeAutospacing="0" w:after="0" w:afterAutospacing="0" w:line="360" w:lineRule="auto"/>
        <w:ind w:firstLine="420"/>
        <w:rPr>
          <w:color w:val="333333"/>
        </w:rPr>
      </w:pPr>
      <w:r>
        <w:rPr>
          <w:rFonts w:hint="eastAsia"/>
          <w:b/>
          <w:color w:val="333333"/>
        </w:rPr>
        <w:t>招标代理机构：扬州市嘉诚造价咨询有限公司</w:t>
      </w:r>
    </w:p>
    <w:p>
      <w:pPr>
        <w:pStyle w:val="50"/>
        <w:spacing w:before="0" w:beforeAutospacing="0" w:after="0" w:afterAutospacing="0" w:line="360" w:lineRule="auto"/>
        <w:ind w:firstLine="420"/>
        <w:rPr>
          <w:color w:val="333333"/>
        </w:rPr>
      </w:pPr>
      <w:r>
        <w:rPr>
          <w:rFonts w:hint="eastAsia"/>
          <w:color w:val="333333"/>
        </w:rPr>
        <w:t>地   址：扬州市史可法路58-21号城建置业办公楼三楼</w:t>
      </w:r>
    </w:p>
    <w:p>
      <w:pPr>
        <w:pStyle w:val="50"/>
        <w:spacing w:before="0" w:beforeAutospacing="0" w:after="0" w:afterAutospacing="0" w:line="360" w:lineRule="auto"/>
        <w:ind w:firstLine="420"/>
        <w:rPr>
          <w:color w:val="333333"/>
        </w:rPr>
      </w:pPr>
      <w:r>
        <w:rPr>
          <w:rFonts w:hint="eastAsia"/>
          <w:color w:val="333333"/>
        </w:rPr>
        <w:t>联系人：聂一杰</w:t>
      </w:r>
    </w:p>
    <w:p>
      <w:pPr>
        <w:pStyle w:val="50"/>
        <w:spacing w:before="0" w:beforeAutospacing="0" w:after="0" w:afterAutospacing="0" w:line="360" w:lineRule="auto"/>
        <w:ind w:firstLine="420"/>
        <w:rPr>
          <w:color w:val="333333"/>
        </w:rPr>
      </w:pPr>
      <w:r>
        <w:rPr>
          <w:rFonts w:hint="eastAsia"/>
          <w:color w:val="333333"/>
        </w:rPr>
        <w:t>电   话：17751367276</w:t>
      </w:r>
    </w:p>
    <w:p>
      <w:pPr>
        <w:pStyle w:val="50"/>
        <w:spacing w:before="0" w:beforeAutospacing="0" w:after="0" w:afterAutospacing="0" w:line="360" w:lineRule="auto"/>
        <w:ind w:firstLine="420"/>
      </w:pPr>
      <w:r>
        <w:rPr>
          <w:rFonts w:hint="eastAsia"/>
          <w:color w:val="333333"/>
        </w:rPr>
        <w:t>电子邮件：</w:t>
      </w:r>
      <w:r>
        <w:fldChar w:fldCharType="begin"/>
      </w:r>
      <w:r>
        <w:instrText xml:space="preserve"> HYPERLINK "mailto:1054684344@qq.com    " </w:instrText>
      </w:r>
      <w:r>
        <w:fldChar w:fldCharType="separate"/>
      </w:r>
      <w:r>
        <w:rPr>
          <w:rStyle w:val="66"/>
          <w:rFonts w:hint="eastAsia"/>
          <w:color w:val="333333"/>
        </w:rPr>
        <w:t>1054684344@qq.com    </w:t>
      </w:r>
      <w:r>
        <w:rPr>
          <w:rStyle w:val="66"/>
          <w:color w:val="333333"/>
        </w:rPr>
        <w:fldChar w:fldCharType="end"/>
      </w:r>
      <w:bookmarkStart w:id="12" w:name="_Toc523208568"/>
    </w:p>
    <w:p>
      <w:pPr>
        <w:pStyle w:val="52"/>
        <w:spacing w:before="0" w:after="0" w:line="360" w:lineRule="auto"/>
        <w:outlineLvl w:val="9"/>
        <w:rPr>
          <w:rFonts w:ascii="宋体" w:hAnsi="宋体" w:eastAsia="宋体" w:cs="Times New Roman"/>
          <w:snapToGrid w:val="0"/>
          <w:kern w:val="0"/>
          <w:sz w:val="44"/>
          <w:szCs w:val="20"/>
        </w:rPr>
      </w:pPr>
    </w:p>
    <w:p>
      <w:pPr>
        <w:pStyle w:val="52"/>
        <w:spacing w:before="0" w:after="0" w:line="360" w:lineRule="auto"/>
        <w:jc w:val="both"/>
        <w:outlineLvl w:val="9"/>
        <w:rPr>
          <w:rFonts w:ascii="宋体" w:hAnsi="宋体" w:eastAsia="宋体" w:cs="Times New Roman"/>
          <w:snapToGrid w:val="0"/>
          <w:kern w:val="0"/>
          <w:sz w:val="44"/>
          <w:szCs w:val="20"/>
        </w:rPr>
      </w:pPr>
    </w:p>
    <w:p>
      <w:pPr>
        <w:pStyle w:val="52"/>
        <w:spacing w:before="0" w:after="0" w:line="360" w:lineRule="auto"/>
        <w:rPr>
          <w:rFonts w:ascii="宋体" w:hAnsi="宋体" w:eastAsia="宋体" w:cs="宋体"/>
          <w:sz w:val="24"/>
        </w:rPr>
      </w:pPr>
      <w:bookmarkStart w:id="13" w:name="_Toc11792"/>
      <w:r>
        <w:rPr>
          <w:rFonts w:hint="eastAsia" w:ascii="宋体" w:hAnsi="宋体" w:eastAsia="宋体" w:cs="Times New Roman"/>
          <w:snapToGrid w:val="0"/>
          <w:kern w:val="0"/>
          <w:sz w:val="44"/>
          <w:szCs w:val="20"/>
        </w:rPr>
        <w:t>第二章 投标须知</w:t>
      </w:r>
      <w:bookmarkEnd w:id="12"/>
      <w:bookmarkEnd w:id="13"/>
      <w:bookmarkStart w:id="14" w:name="_Toc6245"/>
      <w:bookmarkStart w:id="15" w:name="_Toc9542"/>
      <w:bookmarkStart w:id="16" w:name="_Toc3287"/>
      <w:bookmarkStart w:id="17" w:name="_Toc31808"/>
      <w:bookmarkStart w:id="18" w:name="_Toc40699919"/>
    </w:p>
    <w:p>
      <w:pPr>
        <w:pStyle w:val="52"/>
        <w:spacing w:before="0" w:after="0" w:line="360" w:lineRule="auto"/>
        <w:jc w:val="both"/>
        <w:outlineLvl w:val="9"/>
        <w:rPr>
          <w:rFonts w:ascii="宋体" w:hAnsi="宋体" w:eastAsia="宋体" w:cs="宋体"/>
          <w:sz w:val="24"/>
        </w:rPr>
      </w:pPr>
      <w:bookmarkStart w:id="19" w:name="_Toc14303"/>
      <w:r>
        <w:rPr>
          <w:rFonts w:hint="eastAsia" w:ascii="宋体" w:hAnsi="宋体" w:eastAsia="宋体" w:cs="宋体"/>
          <w:sz w:val="24"/>
        </w:rPr>
        <w:t>1</w:t>
      </w:r>
      <w:r>
        <w:rPr>
          <w:rFonts w:hint="eastAsia" w:ascii="宋体" w:hAnsi="宋体" w:eastAsia="黑体" w:cs="宋体"/>
          <w:b w:val="0"/>
          <w:bCs/>
          <w:szCs w:val="32"/>
        </w:rPr>
        <w:t>、</w:t>
      </w:r>
      <w:r>
        <w:rPr>
          <w:rFonts w:hint="eastAsia" w:ascii="宋体" w:hAnsi="宋体" w:eastAsia="黑体" w:cs="宋体"/>
          <w:b w:val="0"/>
          <w:bCs/>
          <w:szCs w:val="32"/>
          <w:lang w:val="zh-CN"/>
        </w:rPr>
        <w:t>投标人须知前附表</w:t>
      </w:r>
      <w:bookmarkEnd w:id="14"/>
      <w:bookmarkEnd w:id="15"/>
      <w:bookmarkEnd w:id="16"/>
      <w:bookmarkEnd w:id="17"/>
      <w:bookmarkEnd w:id="18"/>
      <w:bookmarkEnd w:id="19"/>
    </w:p>
    <w:tbl>
      <w:tblPr>
        <w:tblStyle w:val="56"/>
        <w:tblpPr w:leftFromText="180" w:rightFromText="180" w:vertAnchor="text" w:horzAnchor="page" w:tblpX="1768" w:tblpY="51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snapToGrid w:val="0"/>
              <w:spacing w:line="360" w:lineRule="auto"/>
              <w:jc w:val="center"/>
              <w:rPr>
                <w:rFonts w:ascii="宋体" w:hAnsi="宋体" w:cs="宋体"/>
                <w:b/>
                <w:kern w:val="0"/>
              </w:rPr>
            </w:pPr>
            <w:r>
              <w:rPr>
                <w:rFonts w:hint="eastAsia" w:ascii="宋体" w:hAnsi="宋体" w:cs="宋体"/>
                <w:b/>
                <w:kern w:val="0"/>
              </w:rPr>
              <w:t>条款号</w:t>
            </w:r>
          </w:p>
        </w:tc>
        <w:tc>
          <w:tcPr>
            <w:tcW w:w="1843" w:type="dxa"/>
            <w:vAlign w:val="center"/>
          </w:tcPr>
          <w:p>
            <w:pPr>
              <w:snapToGrid w:val="0"/>
              <w:spacing w:line="360" w:lineRule="auto"/>
              <w:jc w:val="center"/>
              <w:rPr>
                <w:rFonts w:ascii="宋体" w:hAnsi="宋体" w:cs="宋体"/>
                <w:b/>
                <w:kern w:val="0"/>
              </w:rPr>
            </w:pPr>
            <w:r>
              <w:rPr>
                <w:rFonts w:hint="eastAsia" w:ascii="宋体" w:hAnsi="宋体" w:cs="宋体"/>
                <w:b/>
                <w:kern w:val="0"/>
              </w:rPr>
              <w:t>条款名称</w:t>
            </w:r>
          </w:p>
        </w:tc>
        <w:tc>
          <w:tcPr>
            <w:tcW w:w="5726" w:type="dxa"/>
            <w:vAlign w:val="center"/>
          </w:tcPr>
          <w:p>
            <w:pPr>
              <w:snapToGrid w:val="0"/>
              <w:spacing w:line="360" w:lineRule="auto"/>
              <w:jc w:val="center"/>
              <w:rPr>
                <w:rFonts w:ascii="宋体" w:hAnsi="宋体" w:cs="宋体"/>
                <w:b/>
                <w:kern w:val="0"/>
              </w:rPr>
            </w:pPr>
            <w:r>
              <w:rPr>
                <w:rFonts w:hint="eastAsia" w:ascii="宋体" w:hAnsi="宋体" w:cs="宋体"/>
                <w:b/>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1.1.1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招标人</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名称：详见招标公告第十条  </w:t>
            </w:r>
          </w:p>
          <w:p>
            <w:pPr>
              <w:snapToGrid w:val="0"/>
              <w:spacing w:line="360" w:lineRule="auto"/>
              <w:rPr>
                <w:rFonts w:ascii="宋体" w:hAnsi="宋体" w:cs="宋体"/>
                <w:kern w:val="0"/>
              </w:rPr>
            </w:pPr>
            <w:r>
              <w:rPr>
                <w:rFonts w:hint="eastAsia" w:ascii="宋体" w:hAnsi="宋体" w:cs="宋体"/>
                <w:kern w:val="0"/>
              </w:rPr>
              <w:t xml:space="preserve">地址：详见招标公告第十条  </w:t>
            </w:r>
          </w:p>
          <w:p>
            <w:pPr>
              <w:snapToGrid w:val="0"/>
              <w:spacing w:line="360" w:lineRule="auto"/>
              <w:rPr>
                <w:rFonts w:ascii="宋体" w:hAnsi="宋体" w:cs="宋体"/>
                <w:kern w:val="0"/>
              </w:rPr>
            </w:pPr>
            <w:r>
              <w:rPr>
                <w:rFonts w:hint="eastAsia" w:ascii="宋体" w:hAnsi="宋体" w:cs="宋体"/>
                <w:kern w:val="0"/>
              </w:rPr>
              <w:t xml:space="preserve">联系人：详见招标公告第十条 </w:t>
            </w:r>
          </w:p>
          <w:p>
            <w:pPr>
              <w:snapToGrid w:val="0"/>
              <w:spacing w:line="360" w:lineRule="auto"/>
              <w:rPr>
                <w:rFonts w:ascii="宋体" w:hAnsi="宋体" w:cs="宋体"/>
                <w:kern w:val="0"/>
              </w:rPr>
            </w:pPr>
            <w:r>
              <w:rPr>
                <w:rFonts w:hint="eastAsia" w:ascii="宋体" w:hAnsi="宋体" w:cs="宋体"/>
                <w:kern w:val="0"/>
              </w:rPr>
              <w:t xml:space="preserve">电话：详见招标公告第十条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1.1.2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招标代理机构</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名称：详见招标公告第十条  </w:t>
            </w:r>
          </w:p>
          <w:p>
            <w:pPr>
              <w:snapToGrid w:val="0"/>
              <w:spacing w:line="360" w:lineRule="auto"/>
              <w:rPr>
                <w:rFonts w:ascii="宋体" w:hAnsi="宋体" w:cs="宋体"/>
                <w:kern w:val="0"/>
              </w:rPr>
            </w:pPr>
            <w:r>
              <w:rPr>
                <w:rFonts w:hint="eastAsia" w:ascii="宋体" w:hAnsi="宋体" w:cs="宋体"/>
                <w:kern w:val="0"/>
              </w:rPr>
              <w:t xml:space="preserve">地址：详见招标公告第十条 </w:t>
            </w:r>
          </w:p>
          <w:p>
            <w:pPr>
              <w:snapToGrid w:val="0"/>
              <w:spacing w:line="360" w:lineRule="auto"/>
              <w:rPr>
                <w:rFonts w:ascii="宋体" w:hAnsi="宋体" w:cs="宋体"/>
                <w:kern w:val="0"/>
              </w:rPr>
            </w:pPr>
            <w:r>
              <w:rPr>
                <w:rFonts w:hint="eastAsia" w:ascii="宋体" w:hAnsi="宋体" w:cs="宋体"/>
                <w:kern w:val="0"/>
              </w:rPr>
              <w:t xml:space="preserve">联系人：详见招标公告第十条 </w:t>
            </w:r>
          </w:p>
          <w:p>
            <w:pPr>
              <w:snapToGrid w:val="0"/>
              <w:spacing w:line="360" w:lineRule="auto"/>
              <w:rPr>
                <w:rFonts w:ascii="宋体" w:hAnsi="宋体" w:cs="宋体"/>
                <w:kern w:val="0"/>
              </w:rPr>
            </w:pPr>
            <w:r>
              <w:rPr>
                <w:rFonts w:hint="eastAsia" w:ascii="宋体" w:hAnsi="宋体" w:cs="宋体"/>
                <w:kern w:val="0"/>
              </w:rPr>
              <w:t xml:space="preserve">电话：详见招标公告第十条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1.1.3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招标项目名称</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详见招标公告第一条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1.2.1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资金来源及比例</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1.2.2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资金落实情况</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1.3.1</w:t>
            </w:r>
          </w:p>
        </w:tc>
        <w:tc>
          <w:tcPr>
            <w:tcW w:w="1843" w:type="dxa"/>
            <w:vAlign w:val="center"/>
          </w:tcPr>
          <w:p>
            <w:pPr>
              <w:snapToGrid w:val="0"/>
              <w:spacing w:line="360" w:lineRule="auto"/>
              <w:ind w:firstLine="210" w:firstLineChars="100"/>
              <w:rPr>
                <w:rFonts w:ascii="宋体" w:hAnsi="宋体" w:cs="宋体"/>
                <w:kern w:val="0"/>
              </w:rPr>
            </w:pPr>
            <w:r>
              <w:rPr>
                <w:rFonts w:hint="eastAsia" w:ascii="宋体" w:hAnsi="宋体" w:cs="宋体"/>
                <w:kern w:val="0"/>
              </w:rPr>
              <w:t>招标范围</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1.3.2</w:t>
            </w:r>
          </w:p>
        </w:tc>
        <w:tc>
          <w:tcPr>
            <w:tcW w:w="1843" w:type="dxa"/>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交货期</w:t>
            </w:r>
          </w:p>
        </w:tc>
        <w:tc>
          <w:tcPr>
            <w:tcW w:w="5726" w:type="dxa"/>
            <w:vAlign w:val="center"/>
          </w:tcPr>
          <w:p>
            <w:pPr>
              <w:snapToGrid w:val="0"/>
              <w:spacing w:line="360" w:lineRule="auto"/>
              <w:rPr>
                <w:rFonts w:ascii="宋体" w:hAnsi="宋体" w:cs="宋体"/>
                <w:kern w:val="0"/>
                <w:highlight w:val="none"/>
              </w:rPr>
            </w:pPr>
            <w:bookmarkStart w:id="20" w:name="EBd303dd7051634c139d1ab4bfb317adf6"/>
            <w:r>
              <w:rPr>
                <w:rFonts w:hint="eastAsia" w:ascii="宋体" w:hAnsi="宋体" w:cs="宋体"/>
                <w:kern w:val="0"/>
                <w:highlight w:val="none"/>
              </w:rPr>
              <w:t>合同签订后</w:t>
            </w:r>
            <w:r>
              <w:rPr>
                <w:rFonts w:hint="eastAsia" w:ascii="宋体" w:hAnsi="宋体" w:cs="宋体"/>
                <w:color w:val="000000"/>
                <w:kern w:val="0"/>
                <w:highlight w:val="none"/>
              </w:rPr>
              <w:t>15</w:t>
            </w:r>
            <w:r>
              <w:rPr>
                <w:rFonts w:hint="eastAsia" w:ascii="宋体" w:hAnsi="宋体" w:cs="宋体"/>
                <w:kern w:val="0"/>
                <w:highlight w:val="none"/>
              </w:rPr>
              <w:t>个自然日内完成供货、安装及调试</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1.3.3</w:t>
            </w:r>
          </w:p>
        </w:tc>
        <w:tc>
          <w:tcPr>
            <w:tcW w:w="1843" w:type="dxa"/>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免费维保期</w:t>
            </w:r>
          </w:p>
        </w:tc>
        <w:tc>
          <w:tcPr>
            <w:tcW w:w="5726" w:type="dxa"/>
            <w:vAlign w:val="center"/>
          </w:tcPr>
          <w:p>
            <w:pPr>
              <w:snapToGrid w:val="0"/>
              <w:spacing w:line="360" w:lineRule="auto"/>
              <w:rPr>
                <w:rFonts w:ascii="宋体" w:hAnsi="宋体" w:cs="宋体"/>
                <w:kern w:val="0"/>
                <w:highlight w:val="none"/>
              </w:rPr>
            </w:pPr>
            <w:bookmarkStart w:id="21" w:name="EB64058f0c5d5f47ae8f4fa5bee914b485"/>
            <w:r>
              <w:rPr>
                <w:rFonts w:hint="eastAsia" w:ascii="宋体" w:hAnsi="宋体" w:cs="宋体"/>
                <w:kern w:val="0"/>
                <w:highlight w:val="none"/>
              </w:rPr>
              <w:t>1年</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1.3.4</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技术性能指标</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详见第三章项目需求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1.4.1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投标人资质条件、能力、信誉</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详见招标公告第四条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1.4.2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是否接受联合体投标</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1.4.3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投标人不得存在的其他情形</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1.5.1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投标预备会</w:t>
            </w:r>
          </w:p>
        </w:tc>
        <w:tc>
          <w:tcPr>
            <w:tcW w:w="5726" w:type="dxa"/>
            <w:vAlign w:val="center"/>
          </w:tcPr>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不召开</w:t>
            </w:r>
          </w:p>
          <w:p>
            <w:pPr>
              <w:snapToGrid w:val="0"/>
              <w:spacing w:line="360" w:lineRule="auto"/>
              <w:rPr>
                <w:rFonts w:ascii="宋体" w:hAnsi="宋体" w:cs="宋体"/>
                <w:kern w:val="0"/>
              </w:rPr>
            </w:pPr>
            <w:r>
              <w:rPr>
                <w:rFonts w:hint="eastAsia" w:ascii="宋体" w:hAnsi="宋体" w:cs="宋体"/>
                <w:kern w:val="0"/>
              </w:rPr>
              <w:t>□召开，召开时间：</w:t>
            </w:r>
          </w:p>
          <w:p>
            <w:pPr>
              <w:snapToGrid w:val="0"/>
              <w:spacing w:line="360" w:lineRule="auto"/>
              <w:rPr>
                <w:rFonts w:ascii="宋体" w:hAnsi="宋体" w:cs="宋体"/>
                <w:kern w:val="0"/>
              </w:rPr>
            </w:pPr>
            <w:r>
              <w:rPr>
                <w:rFonts w:hint="eastAsia" w:ascii="宋体" w:hAnsi="宋体" w:cs="宋体"/>
                <w:kern w:val="0"/>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1.6.1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分包</w:t>
            </w:r>
          </w:p>
        </w:tc>
        <w:tc>
          <w:tcPr>
            <w:tcW w:w="5726" w:type="dxa"/>
            <w:vAlign w:val="center"/>
          </w:tcPr>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不允许</w:t>
            </w:r>
          </w:p>
          <w:p>
            <w:pPr>
              <w:snapToGrid w:val="0"/>
              <w:spacing w:line="360" w:lineRule="auto"/>
              <w:rPr>
                <w:rFonts w:ascii="宋体" w:hAnsi="宋体" w:cs="宋体"/>
                <w:kern w:val="0"/>
              </w:rPr>
            </w:pPr>
            <w:r>
              <w:rPr>
                <w:rFonts w:hint="eastAsia" w:ascii="宋体" w:hAnsi="宋体" w:cs="宋体"/>
                <w:kern w:val="0"/>
              </w:rPr>
              <w:t>□允许，分包要求：部分工作内容，在征得招标人同意后可以进行合法分包。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1.6.2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实质性要求和条件</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投标文件应当对招标文件有关交货期、投标有效期、质量要求、技术标准和要求、招标范围等实质性内容作出响应。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1.6.3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其他可以被接受的技术支持资料</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1.6.4</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偏差</w:t>
            </w:r>
          </w:p>
        </w:tc>
        <w:tc>
          <w:tcPr>
            <w:tcW w:w="5726" w:type="dxa"/>
            <w:vAlign w:val="center"/>
          </w:tcPr>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不允许</w:t>
            </w:r>
          </w:p>
          <w:p>
            <w:pPr>
              <w:snapToGrid w:val="0"/>
              <w:spacing w:line="360" w:lineRule="auto"/>
              <w:rPr>
                <w:rFonts w:ascii="宋体" w:hAnsi="宋体" w:cs="宋体"/>
                <w:kern w:val="0"/>
              </w:rPr>
            </w:pPr>
            <w:r>
              <w:rPr>
                <w:rFonts w:hint="eastAsia" w:ascii="宋体" w:hAnsi="宋体" w:cs="宋体"/>
                <w:kern w:val="0"/>
              </w:rPr>
              <w:t>□允许，偏差范围：无限制</w:t>
            </w:r>
          </w:p>
          <w:p>
            <w:pPr>
              <w:snapToGrid w:val="0"/>
              <w:spacing w:line="360" w:lineRule="auto"/>
              <w:rPr>
                <w:rFonts w:ascii="宋体" w:hAnsi="宋体" w:cs="宋体"/>
                <w:kern w:val="0"/>
              </w:rPr>
            </w:pPr>
            <w:r>
              <w:rPr>
                <w:rFonts w:hint="eastAsia" w:ascii="宋体" w:hAnsi="宋体" w:cs="宋体"/>
                <w:kern w:val="0"/>
              </w:rPr>
              <w:t>最高项数：无限制</w:t>
            </w:r>
          </w:p>
          <w:p>
            <w:pPr>
              <w:snapToGrid w:val="0"/>
              <w:spacing w:line="360" w:lineRule="auto"/>
              <w:rPr>
                <w:rFonts w:ascii="宋体" w:hAnsi="宋体" w:cs="宋体"/>
                <w:kern w:val="0"/>
              </w:rPr>
            </w:pPr>
            <w:r>
              <w:rPr>
                <w:rFonts w:hint="eastAsia" w:ascii="宋体" w:hAnsi="宋体" w:cs="宋体"/>
                <w:b/>
                <w:bCs/>
                <w:kern w:val="0"/>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2.1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构成招标文件的其他资料</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2.2.1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投标人要求澄清招标文件</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任何要求对招标文件澄清的投标人，均应及时通过邮件方式提出，采购代理机构对规定时间内收到的澄清将予以答复，答复不包括问题的来源。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2.2.2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招标文件澄清发出的形式</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通过</w:t>
            </w:r>
            <w:r>
              <w:rPr>
                <w:rFonts w:hint="eastAsia" w:ascii="宋体" w:hAnsi="宋体" w:cs="宋体"/>
                <w:kern w:val="0"/>
                <w:u w:val="single"/>
              </w:rPr>
              <w:t>扬州市城建国有资产控股(集团）有限责任公司网站</w:t>
            </w:r>
            <w:r>
              <w:rPr>
                <w:rFonts w:hint="eastAsia" w:ascii="宋体" w:hAnsi="宋体" w:cs="宋体"/>
                <w:kern w:val="0"/>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2.2.3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投标人确认收到招标文件澄清</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时间：收到后1日</w:t>
            </w:r>
          </w:p>
          <w:p>
            <w:pPr>
              <w:snapToGrid w:val="0"/>
              <w:spacing w:line="360" w:lineRule="auto"/>
              <w:rPr>
                <w:rFonts w:ascii="宋体" w:hAnsi="宋体" w:cs="宋体"/>
                <w:kern w:val="0"/>
              </w:rPr>
            </w:pPr>
            <w:r>
              <w:rPr>
                <w:rFonts w:hint="eastAsia" w:ascii="宋体" w:hAnsi="宋体" w:cs="宋体"/>
                <w:kern w:val="0"/>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2.3.1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招标文件修改发出的形式</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通过</w:t>
            </w:r>
            <w:r>
              <w:rPr>
                <w:rFonts w:hint="eastAsia" w:ascii="宋体" w:hAnsi="宋体" w:cs="宋体"/>
                <w:kern w:val="0"/>
                <w:u w:val="single"/>
              </w:rPr>
              <w:t>扬州市城建国有资产控股(集团）有限责任公司网站</w:t>
            </w:r>
            <w:r>
              <w:rPr>
                <w:rFonts w:hint="eastAsia" w:ascii="宋体" w:hAnsi="宋体" w:cs="宋体"/>
                <w:kern w:val="0"/>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2.3.2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投标人确认收到招标文件修改</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时间：收到后1日</w:t>
            </w:r>
          </w:p>
          <w:p>
            <w:pPr>
              <w:snapToGrid w:val="0"/>
              <w:spacing w:line="360" w:lineRule="auto"/>
              <w:rPr>
                <w:rFonts w:ascii="宋体" w:hAnsi="宋体" w:cs="宋体"/>
                <w:kern w:val="0"/>
              </w:rPr>
            </w:pPr>
            <w:r>
              <w:rPr>
                <w:rFonts w:hint="eastAsia" w:ascii="宋体" w:hAnsi="宋体" w:cs="宋体"/>
                <w:kern w:val="0"/>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3.1.1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构成投标文件的其他资料</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3.2.1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增值税税金的计算方法</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3.2.2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最高投标限价</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sym w:font="Wingdings 2" w:char="00A3"/>
            </w:r>
            <w:r>
              <w:rPr>
                <w:rFonts w:hint="eastAsia" w:ascii="宋体" w:hAnsi="宋体" w:cs="宋体"/>
                <w:kern w:val="0"/>
              </w:rPr>
              <w:t>无</w:t>
            </w:r>
          </w:p>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有，</w:t>
            </w:r>
            <w:r>
              <w:rPr>
                <w:rFonts w:hint="eastAsia" w:ascii="宋体" w:hAnsi="宋体" w:cs="宋体"/>
                <w:color w:val="FF0000"/>
                <w:kern w:val="0"/>
                <w:u w:val="single"/>
              </w:rPr>
              <w:t>最高投标限价：13.5万元</w:t>
            </w:r>
            <w:r>
              <w:rPr>
                <w:rFonts w:hint="eastAsia" w:ascii="宋体" w:hAnsi="宋体" w:cs="宋体"/>
                <w:kern w:val="0"/>
              </w:rPr>
              <w:t>，投标报价超过者按否决投标处理。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3.2.3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投标报价的其他要求</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3.3.1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投标有效期</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3.4.1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投标保证金</w:t>
            </w:r>
          </w:p>
        </w:tc>
        <w:tc>
          <w:tcPr>
            <w:tcW w:w="5726" w:type="dxa"/>
            <w:vAlign w:val="center"/>
          </w:tcPr>
          <w:p>
            <w:pPr>
              <w:snapToGrid w:val="0"/>
              <w:spacing w:line="360" w:lineRule="auto"/>
            </w:pPr>
            <w:r>
              <w:rPr>
                <w:rFonts w:hint="eastAsia"/>
              </w:rPr>
              <w:t>是否要求投标人递交投标保证金：</w:t>
            </w:r>
          </w:p>
          <w:p>
            <w:pPr>
              <w:snapToGrid w:val="0"/>
              <w:spacing w:line="360" w:lineRule="auto"/>
            </w:pPr>
            <w:r>
              <w:rPr>
                <w:rFonts w:hint="eastAsia" w:ascii="宋体" w:hAnsi="宋体" w:cs="宋体"/>
                <w:kern w:val="0"/>
              </w:rPr>
              <w:sym w:font="Wingdings 2" w:char="00A3"/>
            </w:r>
            <w:r>
              <w:rPr>
                <w:rFonts w:hint="eastAsia"/>
              </w:rPr>
              <w:t>要求</w:t>
            </w:r>
          </w:p>
          <w:p>
            <w:pPr>
              <w:snapToGrid w:val="0"/>
              <w:spacing w:line="360" w:lineRule="auto"/>
            </w:pPr>
            <w:r>
              <w:rPr>
                <w:rFonts w:hint="eastAsia" w:ascii="宋体" w:hAnsi="宋体" w:cs="宋体"/>
                <w:kern w:val="0"/>
                <w:sz w:val="24"/>
                <w:szCs w:val="24"/>
                <w:shd w:val="clear" w:color="auto" w:fill="FFFFFF"/>
              </w:rPr>
              <w:t>■</w:t>
            </w:r>
            <w:r>
              <w:rPr>
                <w:rFonts w:hint="eastAsia" w:ascii="宋体" w:hAnsi="宋体" w:cs="宋体"/>
                <w:b/>
                <w:bCs/>
                <w:color w:val="0000FF"/>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3.5</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资格审查资料的特殊要求</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□无</w:t>
            </w:r>
          </w:p>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有，具体要求：详见招标公告第四条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3.6.1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是否允许递交备选投标方案</w:t>
            </w:r>
          </w:p>
        </w:tc>
        <w:tc>
          <w:tcPr>
            <w:tcW w:w="5726" w:type="dxa"/>
            <w:vAlign w:val="center"/>
          </w:tcPr>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不允许</w:t>
            </w:r>
          </w:p>
          <w:p>
            <w:pPr>
              <w:snapToGrid w:val="0"/>
              <w:spacing w:line="360" w:lineRule="auto"/>
              <w:rPr>
                <w:rFonts w:ascii="宋体" w:hAnsi="宋体" w:cs="宋体"/>
                <w:kern w:val="0"/>
              </w:rPr>
            </w:pPr>
            <w:r>
              <w:rPr>
                <w:rFonts w:hint="eastAsia" w:ascii="宋体" w:hAnsi="宋体" w:cs="宋体"/>
                <w:kern w:val="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3.7.1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投标文件份数及其他要求</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投标文件正本份数：1份</w:t>
            </w:r>
          </w:p>
          <w:p>
            <w:pPr>
              <w:snapToGrid w:val="0"/>
              <w:spacing w:line="360" w:lineRule="auto"/>
              <w:rPr>
                <w:rFonts w:ascii="宋体" w:hAnsi="宋体" w:cs="宋体"/>
                <w:kern w:val="0"/>
              </w:rPr>
            </w:pPr>
            <w:r>
              <w:rPr>
                <w:rFonts w:hint="eastAsia" w:ascii="宋体" w:hAnsi="宋体" w:cs="宋体"/>
                <w:kern w:val="0"/>
              </w:rPr>
              <w:t>投标文件副本份数：2份</w:t>
            </w:r>
          </w:p>
          <w:p>
            <w:pPr>
              <w:snapToGrid w:val="0"/>
              <w:spacing w:line="360" w:lineRule="auto"/>
              <w:rPr>
                <w:rFonts w:ascii="宋体" w:hAnsi="宋体" w:cs="宋体"/>
                <w:color w:val="0000FF"/>
                <w:kern w:val="0"/>
              </w:rPr>
            </w:pPr>
            <w:r>
              <w:rPr>
                <w:rFonts w:hint="eastAsia" w:ascii="宋体" w:hAnsi="宋体" w:cs="宋体"/>
                <w:color w:val="0000FF"/>
                <w:kern w:val="0"/>
              </w:rPr>
              <w:t>是否要求提交电子版文件：是</w:t>
            </w:r>
          </w:p>
          <w:p>
            <w:pPr>
              <w:snapToGrid w:val="0"/>
              <w:spacing w:line="360" w:lineRule="auto"/>
              <w:rPr>
                <w:rFonts w:ascii="宋体" w:hAnsi="宋体" w:cs="宋体"/>
                <w:kern w:val="0"/>
              </w:rPr>
            </w:pPr>
            <w:r>
              <w:rPr>
                <w:rFonts w:hint="eastAsia" w:ascii="宋体" w:hAnsi="宋体" w:cs="宋体"/>
                <w:kern w:val="0"/>
              </w:rPr>
              <w:t>其他要求：电子版文件一般应为PDF格式、U盘形式，随纸质投标文件一并提交。电子版文件用于辅助评标和平台存档，投标人需承担电子版文件和纸质正本文件不一致造成的不利后果。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3.7.2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投标文件是否需分册装订</w:t>
            </w:r>
          </w:p>
        </w:tc>
        <w:tc>
          <w:tcPr>
            <w:tcW w:w="5726" w:type="dxa"/>
            <w:vAlign w:val="center"/>
          </w:tcPr>
          <w:p>
            <w:pPr>
              <w:snapToGrid w:val="0"/>
              <w:spacing w:line="360" w:lineRule="auto"/>
            </w:pPr>
            <w:r>
              <w:rPr>
                <w:rFonts w:hint="eastAsia"/>
              </w:rPr>
              <w:t>□不需要</w:t>
            </w:r>
          </w:p>
          <w:p>
            <w:pPr>
              <w:snapToGrid w:val="0"/>
              <w:spacing w:line="360" w:lineRule="auto"/>
            </w:pPr>
            <w:r>
              <w:rPr>
                <w:rFonts w:hint="eastAsia"/>
              </w:rPr>
              <w:t>■需要，分册装订要求：</w:t>
            </w:r>
          </w:p>
          <w:p>
            <w:pPr>
              <w:snapToGrid w:val="0"/>
              <w:spacing w:line="360" w:lineRule="auto"/>
              <w:rPr>
                <w:rFonts w:ascii="宋体" w:hAnsi="宋体" w:cs="宋体"/>
                <w:kern w:val="0"/>
              </w:rPr>
            </w:pPr>
            <w:r>
              <w:rPr>
                <w:rFonts w:hint="eastAsia" w:ascii="宋体" w:hAnsi="宋体" w:cs="宋体"/>
                <w:kern w:val="0"/>
              </w:rPr>
              <w:t>装订要求：除特别说明外，全套投标文件的书面部分均使用A4规格纸张无线胶装方式装订，不得采用活页夹等可随时拆换的方式装订。</w:t>
            </w:r>
          </w:p>
          <w:p>
            <w:pPr>
              <w:snapToGrid w:val="0"/>
              <w:spacing w:line="360" w:lineRule="auto"/>
            </w:pPr>
            <w:r>
              <w:rPr>
                <w:rFonts w:hint="eastAsia" w:ascii="宋体" w:hAnsi="宋体" w:cs="宋体"/>
                <w:kern w:val="0"/>
              </w:rPr>
              <w:t>密封要求：投标人应将投标文件正本和副本分别密封包装。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4.1.1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封套上应载明的信息</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（项目名称）（设备名称）采购招标项目投标文件</w:t>
            </w:r>
          </w:p>
          <w:p>
            <w:pPr>
              <w:snapToGrid w:val="0"/>
              <w:spacing w:line="360" w:lineRule="auto"/>
              <w:rPr>
                <w:rFonts w:ascii="宋体" w:hAnsi="宋体" w:cs="宋体"/>
                <w:kern w:val="0"/>
              </w:rPr>
            </w:pPr>
            <w:r>
              <w:rPr>
                <w:rFonts w:hint="eastAsia" w:ascii="宋体" w:hAnsi="宋体" w:cs="宋体"/>
                <w:kern w:val="0"/>
              </w:rPr>
              <w:t>招标编号：</w:t>
            </w:r>
          </w:p>
          <w:p>
            <w:pPr>
              <w:snapToGrid w:val="0"/>
              <w:spacing w:line="360" w:lineRule="auto"/>
              <w:rPr>
                <w:rFonts w:ascii="宋体" w:hAnsi="宋体" w:cs="宋体"/>
                <w:kern w:val="0"/>
              </w:rPr>
            </w:pPr>
            <w:r>
              <w:rPr>
                <w:rFonts w:hint="eastAsia" w:ascii="宋体" w:hAnsi="宋体" w:cs="宋体"/>
                <w:kern w:val="0"/>
              </w:rPr>
              <w:t>标段名称：</w:t>
            </w:r>
          </w:p>
          <w:p>
            <w:pPr>
              <w:snapToGrid w:val="0"/>
              <w:spacing w:line="360" w:lineRule="auto"/>
              <w:rPr>
                <w:rFonts w:ascii="宋体" w:hAnsi="宋体" w:cs="宋体"/>
                <w:kern w:val="0"/>
              </w:rPr>
            </w:pPr>
            <w:r>
              <w:rPr>
                <w:rFonts w:hint="eastAsia" w:ascii="宋体" w:hAnsi="宋体" w:cs="宋体"/>
                <w:kern w:val="0"/>
              </w:rPr>
              <w:t>标段编号：</w:t>
            </w:r>
          </w:p>
          <w:p>
            <w:pPr>
              <w:snapToGrid w:val="0"/>
              <w:spacing w:line="360" w:lineRule="auto"/>
              <w:rPr>
                <w:rFonts w:ascii="宋体" w:hAnsi="宋体" w:cs="宋体"/>
                <w:kern w:val="0"/>
              </w:rPr>
            </w:pPr>
            <w:r>
              <w:rPr>
                <w:rFonts w:hint="eastAsia" w:ascii="宋体" w:hAnsi="宋体" w:cs="宋体"/>
                <w:kern w:val="0"/>
              </w:rPr>
              <w:t xml:space="preserve">在 </w:t>
            </w:r>
            <w:r>
              <w:rPr>
                <w:rFonts w:hint="eastAsia" w:ascii="宋体" w:hAnsi="宋体" w:cs="宋体"/>
                <w:kern w:val="0"/>
              </w:rPr>
              <w:tab/>
            </w:r>
            <w:r>
              <w:rPr>
                <w:rFonts w:hint="eastAsia" w:ascii="宋体" w:hAnsi="宋体" w:cs="宋体"/>
                <w:kern w:val="0"/>
              </w:rPr>
              <w:t xml:space="preserve">年 </w:t>
            </w:r>
            <w:r>
              <w:rPr>
                <w:rFonts w:hint="eastAsia" w:ascii="宋体" w:hAnsi="宋体" w:cs="宋体"/>
                <w:kern w:val="0"/>
              </w:rPr>
              <w:tab/>
            </w:r>
            <w:r>
              <w:rPr>
                <w:rFonts w:hint="eastAsia" w:ascii="宋体" w:hAnsi="宋体" w:cs="宋体"/>
                <w:kern w:val="0"/>
              </w:rPr>
              <w:t xml:space="preserve">月 </w:t>
            </w:r>
            <w:r>
              <w:rPr>
                <w:rFonts w:hint="eastAsia" w:ascii="宋体" w:hAnsi="宋体" w:cs="宋体"/>
                <w:kern w:val="0"/>
              </w:rPr>
              <w:tab/>
            </w:r>
            <w:r>
              <w:rPr>
                <w:rFonts w:hint="eastAsia" w:ascii="宋体" w:hAnsi="宋体" w:cs="宋体"/>
                <w:kern w:val="0"/>
              </w:rPr>
              <w:t xml:space="preserve">日 </w:t>
            </w:r>
            <w:r>
              <w:rPr>
                <w:rFonts w:hint="eastAsia" w:ascii="宋体" w:hAnsi="宋体" w:cs="宋体"/>
                <w:kern w:val="0"/>
              </w:rPr>
              <w:tab/>
            </w:r>
            <w:r>
              <w:rPr>
                <w:rFonts w:hint="eastAsia" w:ascii="宋体" w:hAnsi="宋体" w:cs="宋体"/>
                <w:kern w:val="0"/>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4.2.1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投标截止时间</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4.2.2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递交投标文件地点</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4.2.3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投标文件是否退还</w:t>
            </w:r>
          </w:p>
        </w:tc>
        <w:tc>
          <w:tcPr>
            <w:tcW w:w="5726" w:type="dxa"/>
            <w:vAlign w:val="center"/>
          </w:tcPr>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kern w:val="0"/>
              </w:rPr>
              <w:t>否</w:t>
            </w:r>
          </w:p>
          <w:p>
            <w:pPr>
              <w:snapToGrid w:val="0"/>
              <w:spacing w:line="360" w:lineRule="auto"/>
              <w:rPr>
                <w:rFonts w:ascii="宋体" w:hAnsi="宋体" w:cs="宋体"/>
                <w:kern w:val="0"/>
              </w:rPr>
            </w:pPr>
            <w:r>
              <w:rPr>
                <w:rFonts w:hint="eastAsia" w:ascii="宋体" w:hAnsi="宋体" w:cs="宋体"/>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5.1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开标时间和地点</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 xml:space="preserve">开标时间：详见招标公告第七条  </w:t>
            </w:r>
          </w:p>
          <w:p>
            <w:pPr>
              <w:snapToGrid w:val="0"/>
              <w:spacing w:line="360" w:lineRule="auto"/>
              <w:rPr>
                <w:rFonts w:ascii="宋体" w:hAnsi="宋体" w:cs="宋体"/>
                <w:kern w:val="0"/>
              </w:rPr>
            </w:pPr>
            <w:r>
              <w:rPr>
                <w:rFonts w:hint="eastAsia" w:ascii="宋体" w:hAnsi="宋体" w:cs="宋体"/>
                <w:kern w:val="0"/>
              </w:rPr>
              <w:t xml:space="preserve">开标地点：详见招标公告第七条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5.2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开标程序</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6.1.1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评标委员会的组建</w:t>
            </w:r>
          </w:p>
        </w:tc>
        <w:tc>
          <w:tcPr>
            <w:tcW w:w="5726" w:type="dxa"/>
            <w:vAlign w:val="center"/>
          </w:tcPr>
          <w:p>
            <w:pPr>
              <w:snapToGrid w:val="0"/>
              <w:spacing w:line="360" w:lineRule="auto"/>
              <w:rPr>
                <w:rFonts w:ascii="宋体" w:hAnsi="宋体" w:cs="宋体"/>
                <w:kern w:val="0"/>
              </w:rPr>
            </w:pPr>
            <w:r>
              <w:rPr>
                <w:rFonts w:hint="eastAsia" w:ascii="宋体" w:hAnsi="宋体" w:cs="宋体"/>
                <w:color w:val="0000FF"/>
                <w:kern w:val="0"/>
              </w:rPr>
              <w:t>评标委员会构成：</w:t>
            </w:r>
            <w:r>
              <w:rPr>
                <w:rFonts w:hint="eastAsia" w:ascii="宋体" w:hAnsi="宋体" w:cs="宋体"/>
                <w:color w:val="0000FF"/>
                <w:kern w:val="0"/>
                <w:lang w:val="en-US" w:eastAsia="zh-CN"/>
              </w:rPr>
              <w:t>3</w:t>
            </w:r>
            <w:r>
              <w:rPr>
                <w:rFonts w:hint="eastAsia" w:ascii="宋体" w:hAnsi="宋体" w:cs="宋体"/>
                <w:color w:val="0000FF"/>
                <w:kern w:val="0"/>
              </w:rPr>
              <w:t>人（其中含招标人代表1人）。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6.1.2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评标委员会推荐中标候选人的人数</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6.1.3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评分办法</w:t>
            </w:r>
          </w:p>
        </w:tc>
        <w:tc>
          <w:tcPr>
            <w:tcW w:w="5726" w:type="dxa"/>
            <w:vAlign w:val="center"/>
          </w:tcPr>
          <w:p>
            <w:pPr>
              <w:snapToGrid w:val="0"/>
              <w:spacing w:line="360" w:lineRule="auto"/>
              <w:rPr>
                <w:rFonts w:ascii="宋体" w:hAnsi="宋体" w:cs="宋体"/>
                <w:kern w:val="0"/>
              </w:rPr>
            </w:pPr>
            <w:bookmarkStart w:id="22" w:name="EB3aa1594205114bf380f53331102b3aeb"/>
            <w:r>
              <w:rPr>
                <w:rFonts w:hint="eastAsia" w:ascii="宋体" w:hAnsi="宋体" w:cs="宋体"/>
                <w:kern w:val="0"/>
                <w:u w:val="single"/>
              </w:rPr>
              <w:t>综合评分法：</w:t>
            </w:r>
            <w:r>
              <w:rPr>
                <w:rFonts w:hint="eastAsia" w:ascii="宋体" w:hAnsi="宋体" w:cs="宋体"/>
                <w:kern w:val="0"/>
              </w:rPr>
              <w:t>按照综合评分由高到低的顺序推荐中标候选人。</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7.1</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中标候选人公示媒介及期限</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公示媒介：</w:t>
            </w:r>
            <w:r>
              <w:rPr>
                <w:rFonts w:hint="eastAsia" w:ascii="宋体" w:hAnsi="宋体" w:cs="宋体"/>
                <w:kern w:val="0"/>
                <w:u w:val="single"/>
              </w:rPr>
              <w:t>扬州市城建国有资产控股(集团）有限责任公司网站</w:t>
            </w:r>
          </w:p>
          <w:p>
            <w:pPr>
              <w:snapToGrid w:val="0"/>
              <w:spacing w:line="360" w:lineRule="auto"/>
              <w:rPr>
                <w:rFonts w:ascii="宋体" w:hAnsi="宋体" w:cs="宋体"/>
                <w:kern w:val="0"/>
              </w:rPr>
            </w:pPr>
            <w:r>
              <w:rPr>
                <w:rFonts w:hint="eastAsia" w:ascii="宋体" w:hAnsi="宋体" w:cs="宋体"/>
                <w:kern w:val="0"/>
              </w:rPr>
              <w:t>公示期限：不少于3个工作日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7.2</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是否授权评标委员会确定中标人</w:t>
            </w:r>
          </w:p>
        </w:tc>
        <w:tc>
          <w:tcPr>
            <w:tcW w:w="5726" w:type="dxa"/>
            <w:vAlign w:val="center"/>
          </w:tcPr>
          <w:p>
            <w:pPr>
              <w:snapToGrid w:val="0"/>
              <w:spacing w:line="360" w:lineRule="auto"/>
              <w:rPr>
                <w:rFonts w:ascii="宋体" w:hAnsi="宋体" w:cs="宋体"/>
                <w:b/>
                <w:bCs/>
                <w:color w:val="0000FF"/>
                <w:kern w:val="0"/>
              </w:rPr>
            </w:pPr>
            <w:r>
              <w:rPr>
                <w:rFonts w:hint="eastAsia" w:ascii="宋体" w:hAnsi="宋体" w:cs="宋体"/>
                <w:b/>
                <w:bCs/>
                <w:color w:val="0000FF"/>
                <w:kern w:val="0"/>
              </w:rPr>
              <w:sym w:font="Wingdings 2" w:char="0052"/>
            </w:r>
            <w:r>
              <w:rPr>
                <w:rFonts w:hint="eastAsia" w:ascii="宋体" w:hAnsi="宋体" w:cs="宋体"/>
                <w:b/>
                <w:bCs/>
                <w:color w:val="0000FF"/>
                <w:kern w:val="0"/>
              </w:rPr>
              <w:t>是</w:t>
            </w:r>
          </w:p>
          <w:p>
            <w:pPr>
              <w:snapToGrid w:val="0"/>
              <w:spacing w:line="360" w:lineRule="auto"/>
              <w:rPr>
                <w:rFonts w:ascii="宋体" w:hAnsi="宋体" w:cs="宋体"/>
                <w:kern w:val="0"/>
              </w:rPr>
            </w:pPr>
            <w:r>
              <w:rPr>
                <w:rFonts w:hint="eastAsia" w:ascii="宋体" w:hAnsi="宋体" w:cs="宋体"/>
                <w:kern w:val="0"/>
              </w:rPr>
              <w:sym w:font="Wingdings 2" w:char="00A3"/>
            </w:r>
            <w:r>
              <w:rPr>
                <w:rFonts w:hint="eastAsia" w:ascii="宋体" w:hAnsi="宋体" w:cs="宋体"/>
                <w:kern w:val="0"/>
              </w:rPr>
              <w:t>否，招标人确定排名第一中标候选人为中标人（入围供应商）。若其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7.3</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履约保证金</w:t>
            </w:r>
          </w:p>
        </w:tc>
        <w:tc>
          <w:tcPr>
            <w:tcW w:w="5726" w:type="dxa"/>
            <w:vAlign w:val="center"/>
          </w:tcPr>
          <w:p>
            <w:pPr>
              <w:snapToGrid w:val="0"/>
              <w:spacing w:line="360" w:lineRule="auto"/>
              <w:rPr>
                <w:rFonts w:ascii="宋体" w:hAnsi="宋体" w:cs="宋体"/>
                <w:kern w:val="0"/>
              </w:rPr>
            </w:pPr>
            <w:r>
              <w:rPr>
                <w:rFonts w:hint="eastAsia" w:ascii="宋体" w:hAnsi="宋体" w:cs="宋体"/>
                <w:kern w:val="0"/>
              </w:rPr>
              <w:t>是否要求中标人提交履约保证金：</w:t>
            </w:r>
          </w:p>
          <w:p>
            <w:pPr>
              <w:snapToGrid w:val="0"/>
              <w:spacing w:line="360" w:lineRule="auto"/>
              <w:rPr>
                <w:rFonts w:ascii="宋体" w:hAnsi="宋体" w:cs="宋体"/>
                <w:kern w:val="0"/>
              </w:rPr>
            </w:pPr>
            <w:r>
              <w:rPr>
                <w:rFonts w:hint="eastAsia" w:ascii="宋体" w:hAnsi="宋体" w:cs="宋体"/>
                <w:kern w:val="0"/>
              </w:rPr>
              <w:t>□要求，履约保证金的形式：</w:t>
            </w:r>
            <w:r>
              <w:rPr>
                <w:rFonts w:hint="eastAsia" w:ascii="宋体" w:hAnsi="宋体" w:cs="宋体"/>
                <w:szCs w:val="21"/>
                <w:u w:val="single"/>
              </w:rPr>
              <w:t>/</w:t>
            </w:r>
          </w:p>
          <w:p>
            <w:pPr>
              <w:snapToGrid w:val="0"/>
              <w:spacing w:line="360" w:lineRule="auto"/>
              <w:rPr>
                <w:rFonts w:ascii="宋体" w:hAnsi="宋体" w:cs="宋体"/>
                <w:kern w:val="0"/>
              </w:rPr>
            </w:pPr>
            <w:r>
              <w:rPr>
                <w:rFonts w:hint="eastAsia" w:ascii="宋体" w:hAnsi="宋体" w:cs="宋体"/>
                <w:kern w:val="0"/>
              </w:rPr>
              <w:t>履约保证金的金额：</w:t>
            </w:r>
            <w:r>
              <w:rPr>
                <w:rFonts w:hint="eastAsia" w:ascii="宋体" w:hAnsi="宋体"/>
                <w:bCs/>
                <w:szCs w:val="21"/>
                <w:u w:val="single"/>
              </w:rPr>
              <w:t>/</w:t>
            </w:r>
          </w:p>
          <w:p>
            <w:pPr>
              <w:snapToGrid w:val="0"/>
              <w:spacing w:line="360" w:lineRule="auto"/>
              <w:rPr>
                <w:rFonts w:ascii="宋体" w:hAnsi="宋体" w:cs="宋体"/>
                <w:kern w:val="0"/>
              </w:rPr>
            </w:pPr>
            <w:r>
              <w:rPr>
                <w:rFonts w:hint="eastAsia" w:ascii="宋体" w:hAnsi="宋体" w:cs="宋体"/>
                <w:kern w:val="0"/>
                <w:sz w:val="24"/>
                <w:szCs w:val="24"/>
                <w:shd w:val="clear" w:color="auto" w:fill="FFFFFF"/>
              </w:rPr>
              <w:t>■</w:t>
            </w:r>
            <w:r>
              <w:rPr>
                <w:rFonts w:hint="eastAsia" w:ascii="宋体" w:hAnsi="宋体" w:cs="宋体"/>
                <w:color w:val="0000FF"/>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8</w:t>
            </w:r>
          </w:p>
        </w:tc>
        <w:tc>
          <w:tcPr>
            <w:tcW w:w="1843" w:type="dxa"/>
            <w:vAlign w:val="center"/>
          </w:tcPr>
          <w:p>
            <w:pPr>
              <w:snapToGrid w:val="0"/>
              <w:spacing w:line="360" w:lineRule="auto"/>
              <w:jc w:val="center"/>
              <w:rPr>
                <w:rFonts w:ascii="宋体" w:hAnsi="宋体" w:cs="宋体"/>
                <w:kern w:val="0"/>
              </w:rPr>
            </w:pPr>
            <w:r>
              <w:rPr>
                <w:rFonts w:hint="eastAsia" w:ascii="宋体" w:hAnsi="宋体"/>
                <w:szCs w:val="21"/>
              </w:rPr>
              <w:t>合同方式</w:t>
            </w:r>
          </w:p>
        </w:tc>
        <w:tc>
          <w:tcPr>
            <w:tcW w:w="5726" w:type="dxa"/>
            <w:vAlign w:val="center"/>
          </w:tcPr>
          <w:p>
            <w:pPr>
              <w:snapToGrid w:val="0"/>
              <w:spacing w:line="360" w:lineRule="auto"/>
              <w:rPr>
                <w:rFonts w:ascii="宋体" w:hAnsi="宋体" w:cs="宋体"/>
                <w:kern w:val="0"/>
              </w:rPr>
            </w:pPr>
            <w:r>
              <w:rPr>
                <w:rFonts w:hint="eastAsia" w:ascii="宋体" w:hAnsi="宋体"/>
                <w:snapToGrid w:val="0"/>
                <w:szCs w:val="21"/>
              </w:rPr>
              <w:t>本合同价款采用</w:t>
            </w:r>
            <w:r>
              <w:rPr>
                <w:rFonts w:hint="eastAsia" w:ascii="宋体" w:hAnsi="宋体"/>
                <w:snapToGrid w:val="0"/>
                <w:color w:val="FF0000"/>
                <w:szCs w:val="21"/>
                <w:u w:val="single"/>
              </w:rPr>
              <w:t xml:space="preserve"> </w:t>
            </w:r>
            <w:r>
              <w:rPr>
                <w:rFonts w:hint="eastAsia" w:ascii="宋体" w:hAnsi="宋体"/>
                <w:b/>
                <w:snapToGrid w:val="0"/>
                <w:color w:val="FF0000"/>
                <w:szCs w:val="21"/>
                <w:u w:val="single"/>
              </w:rPr>
              <w:t>固定总价合同</w:t>
            </w:r>
            <w:r>
              <w:rPr>
                <w:rFonts w:hint="eastAsia" w:ascii="宋体" w:hAnsi="宋体"/>
                <w:b/>
                <w:snapToGrid w:val="0"/>
                <w:szCs w:val="21"/>
                <w:u w:val="single"/>
              </w:rPr>
              <w:t xml:space="preserve"> </w:t>
            </w:r>
            <w:r>
              <w:rPr>
                <w:rFonts w:hint="eastAsia" w:ascii="宋体" w:hAnsi="宋体"/>
                <w:snapToGrid w:val="0"/>
                <w:szCs w:val="21"/>
              </w:rPr>
              <w:t>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rPr>
            </w:pPr>
            <w:r>
              <w:rPr>
                <w:rFonts w:hint="eastAsia" w:ascii="宋体" w:hAnsi="宋体"/>
                <w:snapToGrid w:val="0"/>
                <w:szCs w:val="21"/>
              </w:rPr>
              <w:t>9</w:t>
            </w:r>
          </w:p>
        </w:tc>
        <w:tc>
          <w:tcPr>
            <w:tcW w:w="1843" w:type="dxa"/>
            <w:vAlign w:val="center"/>
          </w:tcPr>
          <w:p>
            <w:pPr>
              <w:snapToGrid w:val="0"/>
              <w:spacing w:line="360" w:lineRule="auto"/>
              <w:jc w:val="center"/>
              <w:rPr>
                <w:rFonts w:ascii="宋体" w:hAnsi="宋体" w:cs="宋体"/>
                <w:kern w:val="0"/>
              </w:rPr>
            </w:pPr>
            <w:r>
              <w:rPr>
                <w:rFonts w:hint="eastAsia" w:ascii="宋体" w:hAnsi="宋体"/>
                <w:snapToGrid w:val="0"/>
                <w:color w:val="0000FF"/>
                <w:szCs w:val="21"/>
                <w:highlight w:val="none"/>
                <w:lang w:eastAsia="zh-CN"/>
              </w:rPr>
              <w:t>项目款</w:t>
            </w:r>
            <w:r>
              <w:rPr>
                <w:rFonts w:hint="eastAsia" w:ascii="宋体" w:hAnsi="宋体"/>
                <w:snapToGrid w:val="0"/>
                <w:color w:val="0000FF"/>
                <w:szCs w:val="21"/>
                <w:highlight w:val="none"/>
              </w:rPr>
              <w:t>支付</w:t>
            </w:r>
          </w:p>
        </w:tc>
        <w:tc>
          <w:tcPr>
            <w:tcW w:w="5726" w:type="dxa"/>
            <w:vAlign w:val="center"/>
          </w:tcPr>
          <w:p>
            <w:pPr>
              <w:numPr>
                <w:ilvl w:val="0"/>
                <w:numId w:val="7"/>
              </w:numPr>
            </w:pPr>
            <w:r>
              <w:rPr>
                <w:rFonts w:hint="eastAsia"/>
              </w:rPr>
              <w:t>中标价即为合同价。</w:t>
            </w:r>
          </w:p>
          <w:p>
            <w:pPr>
              <w:numPr>
                <w:ilvl w:val="0"/>
                <w:numId w:val="7"/>
              </w:numPr>
            </w:pPr>
            <w:r>
              <w:rPr>
                <w:rFonts w:hint="eastAsia"/>
              </w:rPr>
              <w:t>第一次付款：项目完成，由甲方组织验收工作，双方在验收报告上签字确认后，甲方收到乙方开具的</w:t>
            </w:r>
            <w:r>
              <w:rPr>
                <w:rFonts w:hint="eastAsia"/>
                <w:b/>
                <w:bCs/>
              </w:rPr>
              <w:t>税率为6%的增值税专用发票</w:t>
            </w:r>
            <w:r>
              <w:rPr>
                <w:rFonts w:hint="eastAsia"/>
              </w:rPr>
              <w:t>后的10个工作日内，甲方向乙方支付合同总金额的90 % 款</w:t>
            </w:r>
            <w:bookmarkStart w:id="251" w:name="_GoBack"/>
            <w:bookmarkEnd w:id="251"/>
            <w:r>
              <w:rPr>
                <w:rFonts w:hint="eastAsia"/>
              </w:rPr>
              <w:t>项。</w:t>
            </w:r>
          </w:p>
          <w:p>
            <w:pPr>
              <w:numPr>
                <w:ilvl w:val="0"/>
                <w:numId w:val="7"/>
              </w:numPr>
            </w:pPr>
            <w:r>
              <w:rPr>
                <w:rFonts w:hint="eastAsia"/>
              </w:rPr>
              <w:t>第二次付款：在项目验收一年后，甲方收到乙方开具的</w:t>
            </w:r>
            <w:r>
              <w:rPr>
                <w:rFonts w:hint="eastAsia"/>
                <w:b/>
                <w:bCs/>
              </w:rPr>
              <w:t>税率为6%的增值税专用发票</w:t>
            </w:r>
            <w:r>
              <w:rPr>
                <w:rFonts w:hint="eastAsia"/>
              </w:rPr>
              <w:t>后的10个工作日内，向乙方支付合同总金额的10%。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rPr>
            </w:pPr>
            <w:r>
              <w:rPr>
                <w:rFonts w:hint="eastAsia" w:ascii="宋体" w:hAnsi="宋体" w:cs="宋体"/>
                <w:kern w:val="0"/>
              </w:rPr>
              <w:t>10</w:t>
            </w:r>
          </w:p>
        </w:tc>
        <w:tc>
          <w:tcPr>
            <w:tcW w:w="1843" w:type="dxa"/>
            <w:vAlign w:val="center"/>
          </w:tcPr>
          <w:p>
            <w:pPr>
              <w:snapToGrid w:val="0"/>
              <w:spacing w:line="360" w:lineRule="auto"/>
              <w:jc w:val="center"/>
              <w:rPr>
                <w:rFonts w:ascii="宋体" w:hAnsi="宋体" w:cs="宋体"/>
                <w:kern w:val="0"/>
              </w:rPr>
            </w:pPr>
            <w:r>
              <w:rPr>
                <w:rFonts w:hint="eastAsia" w:ascii="宋体" w:hAnsi="宋体" w:cs="宋体"/>
                <w:kern w:val="0"/>
              </w:rPr>
              <w:t>其他</w:t>
            </w:r>
          </w:p>
        </w:tc>
        <w:tc>
          <w:tcPr>
            <w:tcW w:w="5726" w:type="dxa"/>
            <w:vAlign w:val="center"/>
          </w:tcPr>
          <w:p>
            <w:pPr>
              <w:snapToGrid w:val="0"/>
              <w:spacing w:line="360" w:lineRule="auto"/>
              <w:rPr>
                <w:rFonts w:ascii="宋体" w:hAnsi="宋体" w:cs="宋体"/>
                <w:b/>
                <w:bCs/>
                <w:color w:val="0000FF"/>
                <w:kern w:val="0"/>
              </w:rPr>
            </w:pPr>
            <w:r>
              <w:rPr>
                <w:rFonts w:hint="eastAsia" w:ascii="宋体" w:hAnsi="宋体" w:cs="宋体"/>
                <w:b/>
                <w:bCs/>
                <w:color w:val="0000FF"/>
                <w:kern w:val="0"/>
              </w:rPr>
              <w:t>10.1  招标服务费</w:t>
            </w:r>
          </w:p>
          <w:p>
            <w:pPr>
              <w:snapToGrid w:val="0"/>
              <w:spacing w:line="360" w:lineRule="auto"/>
              <w:ind w:firstLine="420" w:firstLineChars="200"/>
              <w:rPr>
                <w:rFonts w:ascii="宋体" w:hAnsi="宋体" w:cs="宋体"/>
                <w:kern w:val="0"/>
              </w:rPr>
            </w:pPr>
            <w:r>
              <w:rPr>
                <w:rFonts w:hint="eastAsia" w:ascii="宋体" w:hAnsi="宋体" w:cs="宋体"/>
                <w:color w:val="0000FF"/>
                <w:kern w:val="0"/>
              </w:rPr>
              <w:t>（1）招标代理费：</w:t>
            </w:r>
            <w:r>
              <w:rPr>
                <w:rFonts w:hint="eastAsia" w:ascii="宋体" w:hAnsi="宋体" w:cs="宋体"/>
                <w:kern w:val="0"/>
              </w:rPr>
              <w:t>本工程招标代理费由招标人按照委托代理合同的约定以发改委价格【2011】534号文服务类标准的7折支付给招标代理机构。</w:t>
            </w:r>
          </w:p>
          <w:p>
            <w:pPr>
              <w:snapToGrid w:val="0"/>
              <w:spacing w:line="360" w:lineRule="auto"/>
              <w:ind w:firstLine="420" w:firstLineChars="200"/>
              <w:rPr>
                <w:rFonts w:ascii="宋体" w:hAnsi="宋体" w:cs="宋体"/>
                <w:b/>
                <w:bCs/>
                <w:color w:val="0000FF"/>
                <w:kern w:val="0"/>
              </w:rPr>
            </w:pPr>
            <w:r>
              <w:rPr>
                <w:rFonts w:hint="eastAsia" w:ascii="宋体" w:hAnsi="宋体" w:cs="宋体"/>
                <w:color w:val="0000FF"/>
                <w:kern w:val="0"/>
              </w:rPr>
              <w:t>（2）专家评审费：</w:t>
            </w:r>
            <w:r>
              <w:rPr>
                <w:rFonts w:hint="eastAsia" w:ascii="宋体" w:hAnsi="宋体" w:cs="宋体"/>
                <w:kern w:val="0"/>
              </w:rPr>
              <w:t>评委费暂定</w:t>
            </w:r>
            <w:r>
              <w:rPr>
                <w:rFonts w:hint="eastAsia" w:ascii="宋体" w:hAnsi="宋体" w:cs="宋体"/>
                <w:kern w:val="0"/>
                <w:lang w:val="en-US" w:eastAsia="zh-CN"/>
              </w:rPr>
              <w:t>5</w:t>
            </w:r>
            <w:r>
              <w:rPr>
                <w:rFonts w:hint="eastAsia" w:ascii="宋体" w:hAnsi="宋体" w:cs="宋体"/>
                <w:kern w:val="0"/>
              </w:rPr>
              <w:t>00元/人，合计</w:t>
            </w:r>
            <w:r>
              <w:rPr>
                <w:rFonts w:hint="eastAsia" w:ascii="宋体" w:hAnsi="宋体" w:cs="宋体"/>
                <w:kern w:val="0"/>
                <w:lang w:val="en-US" w:eastAsia="zh-CN"/>
              </w:rPr>
              <w:t>1</w:t>
            </w:r>
            <w:r>
              <w:rPr>
                <w:rFonts w:hint="eastAsia" w:ascii="宋体" w:hAnsi="宋体" w:cs="宋体"/>
                <w:kern w:val="0"/>
              </w:rPr>
              <w:t>000元（评标委员会构成：</w:t>
            </w:r>
            <w:r>
              <w:rPr>
                <w:rFonts w:hint="eastAsia" w:ascii="宋体" w:hAnsi="宋体" w:cs="宋体"/>
                <w:kern w:val="0"/>
                <w:lang w:val="en-US" w:eastAsia="zh-CN"/>
              </w:rPr>
              <w:t>3</w:t>
            </w:r>
            <w:r>
              <w:rPr>
                <w:rFonts w:hint="eastAsia" w:ascii="宋体" w:hAnsi="宋体" w:cs="宋体"/>
                <w:kern w:val="0"/>
              </w:rPr>
              <w:t>人（其中含招标人代表1人）），由招标人在评标结束后以现金形式支付（</w:t>
            </w:r>
            <w:r>
              <w:rPr>
                <w:rFonts w:hint="eastAsia" w:ascii="宋体" w:hAnsi="宋体"/>
                <w:szCs w:val="21"/>
              </w:rPr>
              <w:t>按实结算</w:t>
            </w:r>
            <w:r>
              <w:rPr>
                <w:rFonts w:hint="eastAsia" w:ascii="宋体" w:hAnsi="宋体" w:cs="宋体"/>
                <w:kern w:val="0"/>
              </w:rPr>
              <w:t>）。</w:t>
            </w:r>
          </w:p>
          <w:p>
            <w:pPr>
              <w:snapToGrid w:val="0"/>
              <w:spacing w:line="360" w:lineRule="auto"/>
              <w:rPr>
                <w:rFonts w:ascii="宋体" w:hAnsi="宋体" w:cs="宋体"/>
                <w:kern w:val="0"/>
              </w:rPr>
            </w:pPr>
            <w:r>
              <w:rPr>
                <w:rFonts w:hint="eastAsia" w:ascii="宋体" w:hAnsi="宋体" w:cs="宋体"/>
                <w:kern w:val="0"/>
              </w:rPr>
              <w:t>10.2重新招标</w:t>
            </w:r>
          </w:p>
          <w:p>
            <w:pPr>
              <w:snapToGrid w:val="0"/>
              <w:spacing w:line="360" w:lineRule="auto"/>
              <w:rPr>
                <w:rFonts w:ascii="宋体" w:hAnsi="宋体" w:cs="宋体"/>
                <w:kern w:val="0"/>
              </w:rPr>
            </w:pPr>
            <w:r>
              <w:rPr>
                <w:rFonts w:hint="eastAsia" w:ascii="宋体" w:hAnsi="宋体" w:cs="宋体"/>
                <w:kern w:val="0"/>
              </w:rPr>
              <w:t>10.2.1有下列情形之一的，招标人将重新招标：</w:t>
            </w:r>
          </w:p>
          <w:p>
            <w:pPr>
              <w:snapToGrid w:val="0"/>
              <w:spacing w:line="360" w:lineRule="auto"/>
              <w:rPr>
                <w:rFonts w:ascii="宋体" w:hAnsi="宋体" w:cs="宋体"/>
                <w:kern w:val="0"/>
              </w:rPr>
            </w:pPr>
            <w:r>
              <w:rPr>
                <w:rFonts w:hint="eastAsia" w:ascii="宋体" w:hAnsi="宋体" w:cs="宋体"/>
                <w:kern w:val="0"/>
              </w:rPr>
              <w:t>（1）招标文件获取截止时间止，获取招标文件的潜在投标人少于3个的；</w:t>
            </w:r>
          </w:p>
          <w:p>
            <w:pPr>
              <w:snapToGrid w:val="0"/>
              <w:spacing w:line="360" w:lineRule="auto"/>
              <w:rPr>
                <w:rFonts w:ascii="宋体" w:hAnsi="宋体" w:cs="宋体"/>
                <w:kern w:val="0"/>
              </w:rPr>
            </w:pPr>
            <w:r>
              <w:rPr>
                <w:rFonts w:hint="eastAsia" w:ascii="宋体" w:hAnsi="宋体" w:cs="宋体"/>
                <w:kern w:val="0"/>
              </w:rPr>
              <w:t>（2）投标截止时间止，提交投标文件的投标人少于3个的；</w:t>
            </w:r>
          </w:p>
          <w:p>
            <w:pPr>
              <w:snapToGrid w:val="0"/>
              <w:spacing w:line="360" w:lineRule="auto"/>
              <w:rPr>
                <w:rFonts w:ascii="宋体" w:hAnsi="宋体" w:cs="宋体"/>
                <w:kern w:val="0"/>
              </w:rPr>
            </w:pPr>
            <w:r>
              <w:rPr>
                <w:rFonts w:hint="eastAsia" w:ascii="宋体" w:hAnsi="宋体" w:cs="宋体"/>
                <w:kern w:val="0"/>
              </w:rPr>
              <w:t>（3）经评标委员会评审后否决所有投标的；</w:t>
            </w:r>
          </w:p>
          <w:p>
            <w:pPr>
              <w:snapToGrid w:val="0"/>
              <w:spacing w:line="360" w:lineRule="auto"/>
              <w:rPr>
                <w:rFonts w:ascii="宋体" w:hAnsi="宋体" w:cs="宋体"/>
                <w:kern w:val="0"/>
              </w:rPr>
            </w:pPr>
            <w:r>
              <w:rPr>
                <w:rFonts w:hint="eastAsia" w:ascii="宋体" w:hAnsi="宋体" w:cs="宋体"/>
                <w:kern w:val="0"/>
              </w:rPr>
              <w:t>（4）评标委员会否决一部分投标后其他有效投标不足3个使得投标明显缺乏竞争，决定否决全部投标的；</w:t>
            </w:r>
          </w:p>
        </w:tc>
      </w:tr>
    </w:tbl>
    <w:p>
      <w:pPr>
        <w:pStyle w:val="5"/>
        <w:snapToGrid w:val="0"/>
        <w:spacing w:before="0" w:after="0" w:line="360" w:lineRule="auto"/>
        <w:rPr>
          <w:rFonts w:ascii="宋体" w:hAnsi="宋体" w:cs="宋体"/>
        </w:rPr>
      </w:pPr>
      <w:bookmarkStart w:id="23" w:name="_Toc10270"/>
      <w:bookmarkStart w:id="24" w:name="_Toc40699921"/>
      <w:bookmarkStart w:id="25" w:name="_Toc7471"/>
      <w:bookmarkStart w:id="26" w:name="_Toc27882"/>
      <w:bookmarkStart w:id="27" w:name="_Toc11015"/>
      <w:bookmarkStart w:id="28" w:name="_Toc27112"/>
      <w:bookmarkStart w:id="29" w:name="_Toc6265"/>
      <w:r>
        <w:rPr>
          <w:rFonts w:hint="eastAsia" w:ascii="宋体" w:hAnsi="宋体" w:cs="宋体"/>
        </w:rPr>
        <w:t>2.招标文件</w:t>
      </w:r>
      <w:bookmarkEnd w:id="23"/>
      <w:bookmarkEnd w:id="24"/>
      <w:bookmarkEnd w:id="25"/>
      <w:bookmarkEnd w:id="26"/>
      <w:bookmarkEnd w:id="27"/>
      <w:bookmarkEnd w:id="28"/>
      <w:bookmarkEnd w:id="29"/>
    </w:p>
    <w:p>
      <w:pPr>
        <w:snapToGrid w:val="0"/>
        <w:spacing w:line="360" w:lineRule="auto"/>
        <w:rPr>
          <w:rFonts w:ascii="宋体" w:hAnsi="宋体" w:cs="宋体"/>
          <w:kern w:val="0"/>
        </w:rPr>
      </w:pPr>
      <w:bookmarkStart w:id="30" w:name="_Toc20341"/>
      <w:bookmarkStart w:id="31" w:name="_Toc23403"/>
      <w:r>
        <w:rPr>
          <w:rFonts w:hint="eastAsia" w:ascii="宋体" w:hAnsi="宋体" w:cs="宋体"/>
          <w:kern w:val="0"/>
        </w:rPr>
        <w:t>2.1招标文件的组成</w:t>
      </w:r>
      <w:bookmarkEnd w:id="30"/>
      <w:bookmarkEnd w:id="31"/>
    </w:p>
    <w:p>
      <w:pPr>
        <w:snapToGrid w:val="0"/>
        <w:spacing w:line="360" w:lineRule="auto"/>
        <w:rPr>
          <w:rFonts w:ascii="宋体" w:hAnsi="宋体" w:cs="宋体"/>
          <w:kern w:val="0"/>
        </w:rPr>
      </w:pPr>
      <w:r>
        <w:rPr>
          <w:rFonts w:hint="eastAsia" w:ascii="宋体" w:hAnsi="宋体" w:cs="宋体"/>
          <w:kern w:val="0"/>
        </w:rPr>
        <w:t>本招标文件包括：</w:t>
      </w:r>
    </w:p>
    <w:p>
      <w:pPr>
        <w:snapToGrid w:val="0"/>
        <w:spacing w:line="360" w:lineRule="auto"/>
        <w:rPr>
          <w:rFonts w:ascii="宋体" w:hAnsi="宋体" w:cs="宋体"/>
          <w:kern w:val="0"/>
        </w:rPr>
      </w:pPr>
      <w:r>
        <w:rPr>
          <w:rFonts w:hint="eastAsia" w:ascii="宋体" w:hAnsi="宋体" w:cs="宋体"/>
          <w:kern w:val="0"/>
        </w:rPr>
        <w:t>（1）招标公告；</w:t>
      </w:r>
    </w:p>
    <w:p>
      <w:pPr>
        <w:snapToGrid w:val="0"/>
        <w:spacing w:line="360" w:lineRule="auto"/>
        <w:rPr>
          <w:rFonts w:ascii="宋体" w:hAnsi="宋体" w:cs="宋体"/>
          <w:kern w:val="0"/>
        </w:rPr>
      </w:pPr>
      <w:r>
        <w:rPr>
          <w:rFonts w:hint="eastAsia" w:ascii="宋体" w:hAnsi="宋体" w:cs="宋体"/>
          <w:kern w:val="0"/>
        </w:rPr>
        <w:t>（2）投标人须知；</w:t>
      </w:r>
    </w:p>
    <w:p>
      <w:pPr>
        <w:snapToGrid w:val="0"/>
        <w:spacing w:line="360" w:lineRule="auto"/>
        <w:rPr>
          <w:rFonts w:ascii="宋体" w:hAnsi="宋体" w:cs="宋体"/>
          <w:kern w:val="0"/>
        </w:rPr>
      </w:pPr>
      <w:r>
        <w:rPr>
          <w:rFonts w:hint="eastAsia" w:ascii="宋体" w:hAnsi="宋体" w:cs="宋体"/>
          <w:kern w:val="0"/>
        </w:rPr>
        <w:t>（3）评标办法；</w:t>
      </w:r>
    </w:p>
    <w:p>
      <w:pPr>
        <w:snapToGrid w:val="0"/>
        <w:spacing w:line="360" w:lineRule="auto"/>
        <w:rPr>
          <w:rFonts w:ascii="宋体" w:hAnsi="宋体" w:cs="宋体"/>
          <w:kern w:val="0"/>
        </w:rPr>
      </w:pPr>
      <w:r>
        <w:rPr>
          <w:rFonts w:hint="eastAsia" w:ascii="宋体" w:hAnsi="宋体" w:cs="宋体"/>
          <w:kern w:val="0"/>
        </w:rPr>
        <w:t>（4）合同条款及格式；</w:t>
      </w:r>
    </w:p>
    <w:p>
      <w:pPr>
        <w:snapToGrid w:val="0"/>
        <w:spacing w:line="360" w:lineRule="auto"/>
        <w:rPr>
          <w:rFonts w:ascii="宋体" w:hAnsi="宋体" w:cs="宋体"/>
          <w:kern w:val="0"/>
        </w:rPr>
      </w:pPr>
      <w:r>
        <w:rPr>
          <w:rFonts w:hint="eastAsia" w:ascii="宋体" w:hAnsi="宋体" w:cs="宋体"/>
          <w:kern w:val="0"/>
        </w:rPr>
        <w:t>（5）供货要求；</w:t>
      </w:r>
    </w:p>
    <w:p>
      <w:pPr>
        <w:snapToGrid w:val="0"/>
        <w:spacing w:line="360" w:lineRule="auto"/>
        <w:rPr>
          <w:rFonts w:ascii="宋体" w:hAnsi="宋体" w:cs="宋体"/>
          <w:kern w:val="0"/>
        </w:rPr>
      </w:pPr>
      <w:r>
        <w:rPr>
          <w:rFonts w:hint="eastAsia" w:ascii="宋体" w:hAnsi="宋体" w:cs="宋体"/>
          <w:kern w:val="0"/>
        </w:rPr>
        <w:t>（6）投标文件格式；</w:t>
      </w:r>
    </w:p>
    <w:p>
      <w:pPr>
        <w:snapToGrid w:val="0"/>
        <w:spacing w:line="360" w:lineRule="auto"/>
        <w:rPr>
          <w:rFonts w:ascii="宋体" w:hAnsi="宋体" w:cs="宋体"/>
          <w:kern w:val="0"/>
        </w:rPr>
      </w:pPr>
      <w:r>
        <w:rPr>
          <w:rFonts w:hint="eastAsia" w:ascii="宋体" w:hAnsi="宋体" w:cs="宋体"/>
          <w:kern w:val="0"/>
        </w:rPr>
        <w:t>（7）投标人须知前附表规定的其他资料。</w:t>
      </w:r>
    </w:p>
    <w:p>
      <w:pPr>
        <w:snapToGrid w:val="0"/>
        <w:spacing w:line="360" w:lineRule="auto"/>
        <w:rPr>
          <w:rFonts w:ascii="宋体" w:hAnsi="宋体" w:cs="宋体"/>
          <w:kern w:val="0"/>
        </w:rPr>
      </w:pPr>
      <w:r>
        <w:rPr>
          <w:rFonts w:hint="eastAsia" w:ascii="宋体" w:hAnsi="宋体" w:cs="宋体"/>
          <w:kern w:val="0"/>
        </w:rPr>
        <w:t>根据本章第1.9款、第2.2款和第2.3款对招标文件所作的澄清、修改，构成招标文件的组成部分。</w:t>
      </w:r>
    </w:p>
    <w:p>
      <w:pPr>
        <w:snapToGrid w:val="0"/>
        <w:spacing w:line="360" w:lineRule="auto"/>
        <w:rPr>
          <w:rFonts w:ascii="宋体" w:hAnsi="宋体" w:cs="宋体"/>
          <w:kern w:val="0"/>
        </w:rPr>
      </w:pPr>
      <w:bookmarkStart w:id="32" w:name="_Toc23892"/>
      <w:bookmarkStart w:id="33" w:name="_Toc23946"/>
      <w:r>
        <w:rPr>
          <w:rFonts w:hint="eastAsia" w:ascii="宋体" w:hAnsi="宋体" w:cs="宋体"/>
          <w:kern w:val="0"/>
        </w:rPr>
        <w:t>2.2招标文件的澄清</w:t>
      </w:r>
      <w:bookmarkEnd w:id="32"/>
      <w:bookmarkEnd w:id="33"/>
    </w:p>
    <w:p>
      <w:pPr>
        <w:snapToGrid w:val="0"/>
        <w:spacing w:line="360" w:lineRule="auto"/>
        <w:rPr>
          <w:rFonts w:ascii="宋体" w:hAnsi="宋体" w:cs="宋体"/>
          <w:kern w:val="0"/>
        </w:rPr>
      </w:pPr>
      <w:r>
        <w:rPr>
          <w:rFonts w:hint="eastAsia" w:ascii="宋体" w:hAnsi="宋体" w:cs="宋体"/>
          <w:kern w:val="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宋体" w:hAnsi="宋体" w:cs="宋体"/>
          <w:kern w:val="0"/>
        </w:rPr>
      </w:pPr>
      <w:r>
        <w:rPr>
          <w:rFonts w:hint="eastAsia" w:ascii="宋体" w:hAnsi="宋体" w:cs="宋体"/>
          <w:kern w:val="0"/>
        </w:rPr>
        <w:t>2.2.2招标文件的澄清以投标人须知前附表规定的形式发给所有购买招标文件的投标人，但不指明澄清问题的来源。澄清内容可能影响投标文件编制的，将相应延长投标截止时间。</w:t>
      </w:r>
    </w:p>
    <w:p>
      <w:pPr>
        <w:snapToGrid w:val="0"/>
        <w:spacing w:line="360" w:lineRule="auto"/>
        <w:rPr>
          <w:rFonts w:ascii="宋体" w:hAnsi="宋体" w:cs="宋体"/>
          <w:kern w:val="0"/>
        </w:rPr>
      </w:pPr>
      <w:r>
        <w:rPr>
          <w:rFonts w:hint="eastAsia" w:ascii="宋体" w:hAnsi="宋体" w:cs="宋体"/>
          <w:kern w:val="0"/>
        </w:rPr>
        <w:t>2.2.3投标人在收到澄清后，应按投标人须知前附表规定的时间和形式通知招标人，确认已收到该澄清。</w:t>
      </w:r>
    </w:p>
    <w:p>
      <w:pPr>
        <w:snapToGrid w:val="0"/>
        <w:spacing w:line="360" w:lineRule="auto"/>
        <w:rPr>
          <w:rFonts w:ascii="宋体" w:hAnsi="宋体" w:cs="宋体"/>
          <w:kern w:val="0"/>
        </w:rPr>
      </w:pPr>
      <w:r>
        <w:rPr>
          <w:rFonts w:hint="eastAsia" w:ascii="宋体" w:hAnsi="宋体" w:cs="宋体"/>
          <w:kern w:val="0"/>
        </w:rPr>
        <w:t>2.2.4除非招标人认为确有必要答复，否则，招标人有权拒绝回复投标人在本章第2.2.1项规定的时间后的任何澄清要求。</w:t>
      </w:r>
    </w:p>
    <w:p>
      <w:pPr>
        <w:snapToGrid w:val="0"/>
        <w:spacing w:line="360" w:lineRule="auto"/>
        <w:rPr>
          <w:rFonts w:ascii="宋体" w:hAnsi="宋体" w:cs="宋体"/>
          <w:kern w:val="0"/>
        </w:rPr>
      </w:pPr>
      <w:bookmarkStart w:id="34" w:name="_Toc31609"/>
      <w:bookmarkStart w:id="35" w:name="_Toc20879"/>
      <w:r>
        <w:rPr>
          <w:rFonts w:hint="eastAsia" w:ascii="宋体" w:hAnsi="宋体" w:cs="宋体"/>
          <w:kern w:val="0"/>
        </w:rPr>
        <w:t>2.3招标文件的修改</w:t>
      </w:r>
      <w:bookmarkEnd w:id="34"/>
      <w:bookmarkEnd w:id="35"/>
    </w:p>
    <w:p>
      <w:pPr>
        <w:snapToGrid w:val="0"/>
        <w:spacing w:line="360" w:lineRule="auto"/>
        <w:rPr>
          <w:rFonts w:ascii="宋体" w:hAnsi="宋体" w:cs="宋体"/>
          <w:kern w:val="0"/>
        </w:rPr>
      </w:pPr>
      <w:r>
        <w:rPr>
          <w:rFonts w:hint="eastAsia" w:ascii="宋体" w:hAnsi="宋体" w:cs="宋体"/>
          <w:kern w:val="0"/>
        </w:rPr>
        <w:t>2.3.1招标人以投标人须知前附表规定的形式修改招标文件，并通知所有已报名的投标人。修改招标文件可能影响投标文件编制的，将相应延长投标截止时间。</w:t>
      </w:r>
    </w:p>
    <w:p>
      <w:pPr>
        <w:snapToGrid w:val="0"/>
        <w:spacing w:line="360" w:lineRule="auto"/>
        <w:rPr>
          <w:rFonts w:ascii="宋体" w:hAnsi="宋体" w:cs="宋体"/>
          <w:kern w:val="0"/>
        </w:rPr>
      </w:pPr>
      <w:r>
        <w:rPr>
          <w:rFonts w:hint="eastAsia" w:ascii="宋体" w:hAnsi="宋体" w:cs="宋体"/>
          <w:kern w:val="0"/>
        </w:rPr>
        <w:t>2.3.2投标人收到修改内容后，应按投标人须知前附表规定的时间和形式通知招标人，确认已收到该修改。</w:t>
      </w:r>
    </w:p>
    <w:p>
      <w:pPr>
        <w:snapToGrid w:val="0"/>
        <w:spacing w:line="360" w:lineRule="auto"/>
        <w:rPr>
          <w:rFonts w:ascii="宋体" w:hAnsi="宋体" w:cs="宋体"/>
          <w:kern w:val="0"/>
        </w:rPr>
      </w:pPr>
      <w:bookmarkStart w:id="36" w:name="_Toc19768"/>
      <w:bookmarkStart w:id="37" w:name="_Toc20227"/>
      <w:r>
        <w:rPr>
          <w:rFonts w:hint="eastAsia" w:ascii="宋体" w:hAnsi="宋体" w:cs="宋体"/>
          <w:kern w:val="0"/>
        </w:rPr>
        <w:t>2.4招标文件的异议</w:t>
      </w:r>
      <w:bookmarkEnd w:id="36"/>
      <w:bookmarkEnd w:id="37"/>
    </w:p>
    <w:p>
      <w:pPr>
        <w:snapToGrid w:val="0"/>
        <w:spacing w:line="360" w:lineRule="auto"/>
        <w:rPr>
          <w:rFonts w:ascii="宋体" w:hAnsi="宋体" w:cs="宋体"/>
          <w:kern w:val="0"/>
        </w:rPr>
      </w:pPr>
      <w:r>
        <w:rPr>
          <w:rFonts w:hint="eastAsia" w:ascii="宋体" w:hAnsi="宋体" w:cs="宋体"/>
          <w:kern w:val="0"/>
        </w:rPr>
        <w:t>投标人或者其他利害关系人对招标文件有异议的，应当在投标截止时间7日前以书面形式提出。招标人将在收到异议之日起1日内作出答复；作出答复前，将暂停招标投标活动。</w:t>
      </w:r>
    </w:p>
    <w:p>
      <w:pPr>
        <w:pStyle w:val="5"/>
        <w:snapToGrid w:val="0"/>
        <w:spacing w:before="0" w:after="0" w:line="360" w:lineRule="auto"/>
        <w:rPr>
          <w:rFonts w:ascii="宋体" w:hAnsi="宋体" w:cs="宋体"/>
        </w:rPr>
      </w:pPr>
      <w:bookmarkStart w:id="38" w:name="_Toc24442"/>
      <w:bookmarkStart w:id="39" w:name="_Toc19315"/>
      <w:bookmarkStart w:id="40" w:name="_Toc409"/>
      <w:bookmarkStart w:id="41" w:name="_Toc40699922"/>
      <w:bookmarkStart w:id="42" w:name="_Toc19459"/>
      <w:bookmarkStart w:id="43" w:name="_Toc27946"/>
      <w:bookmarkStart w:id="44" w:name="_Toc27658"/>
      <w:r>
        <w:rPr>
          <w:rFonts w:hint="eastAsia" w:ascii="宋体" w:hAnsi="宋体" w:cs="宋体"/>
        </w:rPr>
        <w:t>3.投标文件</w:t>
      </w:r>
      <w:bookmarkEnd w:id="38"/>
      <w:bookmarkEnd w:id="39"/>
      <w:bookmarkEnd w:id="40"/>
      <w:bookmarkEnd w:id="41"/>
      <w:bookmarkEnd w:id="42"/>
      <w:bookmarkEnd w:id="43"/>
      <w:bookmarkEnd w:id="44"/>
    </w:p>
    <w:p>
      <w:pPr>
        <w:snapToGrid w:val="0"/>
        <w:spacing w:line="360" w:lineRule="auto"/>
        <w:rPr>
          <w:rFonts w:ascii="宋体" w:hAnsi="宋体" w:cs="宋体"/>
          <w:kern w:val="0"/>
        </w:rPr>
      </w:pPr>
      <w:bookmarkStart w:id="45" w:name="_Toc8285"/>
      <w:bookmarkStart w:id="46" w:name="_Toc20351"/>
      <w:r>
        <w:rPr>
          <w:rFonts w:hint="eastAsia" w:ascii="宋体" w:hAnsi="宋体" w:cs="宋体"/>
          <w:kern w:val="0"/>
        </w:rPr>
        <w:t>3.1投标文件的组成</w:t>
      </w:r>
      <w:bookmarkEnd w:id="45"/>
      <w:bookmarkEnd w:id="46"/>
    </w:p>
    <w:p>
      <w:pPr>
        <w:snapToGrid w:val="0"/>
        <w:spacing w:line="360" w:lineRule="auto"/>
        <w:rPr>
          <w:rFonts w:ascii="宋体" w:hAnsi="宋体" w:cs="宋体"/>
          <w:kern w:val="0"/>
        </w:rPr>
      </w:pPr>
      <w:r>
        <w:rPr>
          <w:rFonts w:hint="eastAsia" w:ascii="宋体" w:hAnsi="宋体" w:cs="宋体"/>
          <w:kern w:val="0"/>
        </w:rPr>
        <w:t>3.1.1投标文件应包括下列内容（详见第六章投标文件组成）：</w:t>
      </w:r>
    </w:p>
    <w:p>
      <w:pPr>
        <w:snapToGrid w:val="0"/>
        <w:spacing w:line="360" w:lineRule="auto"/>
        <w:rPr>
          <w:rFonts w:ascii="宋体" w:hAnsi="宋体" w:cs="宋体"/>
          <w:kern w:val="0"/>
        </w:rPr>
      </w:pPr>
      <w:r>
        <w:rPr>
          <w:rFonts w:hint="eastAsia" w:ascii="宋体" w:hAnsi="宋体" w:cs="宋体"/>
          <w:kern w:val="0"/>
        </w:rPr>
        <w:t>（1）投标函；</w:t>
      </w:r>
    </w:p>
    <w:p>
      <w:pPr>
        <w:snapToGrid w:val="0"/>
        <w:spacing w:line="360" w:lineRule="auto"/>
        <w:rPr>
          <w:rFonts w:ascii="宋体" w:hAnsi="宋体" w:cs="宋体"/>
          <w:kern w:val="0"/>
        </w:rPr>
      </w:pPr>
      <w:r>
        <w:rPr>
          <w:rFonts w:hint="eastAsia" w:ascii="宋体" w:hAnsi="宋体" w:cs="宋体"/>
          <w:kern w:val="0"/>
        </w:rPr>
        <w:t>（2）法定代表人（单位负责人）身份证明；</w:t>
      </w:r>
    </w:p>
    <w:p>
      <w:pPr>
        <w:snapToGrid w:val="0"/>
        <w:spacing w:line="360" w:lineRule="auto"/>
        <w:rPr>
          <w:rFonts w:ascii="宋体" w:hAnsi="宋体" w:cs="宋体"/>
          <w:kern w:val="0"/>
        </w:rPr>
      </w:pPr>
      <w:r>
        <w:rPr>
          <w:rFonts w:hint="eastAsia" w:ascii="宋体" w:hAnsi="宋体" w:cs="宋体"/>
          <w:kern w:val="0"/>
        </w:rPr>
        <w:t>（3）授权委托书；</w:t>
      </w:r>
    </w:p>
    <w:p>
      <w:pPr>
        <w:snapToGrid w:val="0"/>
        <w:spacing w:line="360" w:lineRule="auto"/>
        <w:rPr>
          <w:rFonts w:ascii="宋体" w:hAnsi="宋体" w:cs="宋体"/>
          <w:kern w:val="0"/>
        </w:rPr>
      </w:pPr>
      <w:r>
        <w:rPr>
          <w:rFonts w:hint="eastAsia" w:ascii="宋体" w:hAnsi="宋体" w:cs="宋体"/>
          <w:kern w:val="0"/>
        </w:rPr>
        <w:t>（7）报价表；</w:t>
      </w:r>
    </w:p>
    <w:p>
      <w:pPr>
        <w:snapToGrid w:val="0"/>
        <w:spacing w:line="360" w:lineRule="auto"/>
        <w:rPr>
          <w:rFonts w:ascii="宋体" w:hAnsi="宋体" w:cs="宋体"/>
          <w:kern w:val="0"/>
        </w:rPr>
      </w:pPr>
      <w:r>
        <w:rPr>
          <w:rFonts w:hint="eastAsia" w:ascii="宋体" w:hAnsi="宋体" w:cs="宋体"/>
          <w:kern w:val="0"/>
        </w:rPr>
        <w:t>（8）资格审查资料；</w:t>
      </w:r>
    </w:p>
    <w:p>
      <w:pPr>
        <w:snapToGrid w:val="0"/>
        <w:spacing w:line="360" w:lineRule="auto"/>
        <w:rPr>
          <w:rFonts w:ascii="宋体" w:hAnsi="宋体" w:cs="宋体"/>
          <w:kern w:val="0"/>
        </w:rPr>
      </w:pPr>
      <w:r>
        <w:rPr>
          <w:rFonts w:hint="eastAsia" w:ascii="宋体" w:hAnsi="宋体" w:cs="宋体"/>
          <w:kern w:val="0"/>
        </w:rPr>
        <w:t>（9）其他</w:t>
      </w:r>
    </w:p>
    <w:p>
      <w:pPr>
        <w:snapToGrid w:val="0"/>
        <w:spacing w:line="360" w:lineRule="auto"/>
        <w:ind w:firstLine="420" w:firstLineChars="200"/>
        <w:rPr>
          <w:rFonts w:ascii="宋体" w:hAnsi="宋体" w:cs="宋体"/>
          <w:kern w:val="0"/>
        </w:rPr>
      </w:pPr>
      <w:r>
        <w:rPr>
          <w:rFonts w:hint="eastAsia" w:ascii="宋体" w:hAnsi="宋体" w:cs="宋体"/>
          <w:kern w:val="0"/>
        </w:rPr>
        <w:t>投标人在评标过程中作出的符合法律法规和招标文件规定的澄清确认，构成投标文件的组成部分。</w:t>
      </w:r>
    </w:p>
    <w:p>
      <w:pPr>
        <w:snapToGrid w:val="0"/>
        <w:spacing w:line="360" w:lineRule="auto"/>
        <w:rPr>
          <w:rFonts w:ascii="宋体" w:hAnsi="宋体" w:cs="宋体"/>
          <w:kern w:val="0"/>
        </w:rPr>
      </w:pPr>
      <w:bookmarkStart w:id="47" w:name="_Toc29090"/>
      <w:bookmarkStart w:id="48" w:name="_Toc10812"/>
      <w:r>
        <w:rPr>
          <w:rFonts w:hint="eastAsia" w:ascii="宋体" w:hAnsi="宋体" w:cs="宋体"/>
          <w:kern w:val="0"/>
        </w:rPr>
        <w:t>3.2投标报价</w:t>
      </w:r>
      <w:bookmarkEnd w:id="47"/>
      <w:bookmarkEnd w:id="48"/>
    </w:p>
    <w:p>
      <w:pPr>
        <w:snapToGrid w:val="0"/>
        <w:spacing w:line="360" w:lineRule="auto"/>
        <w:rPr>
          <w:rFonts w:ascii="宋体" w:hAnsi="宋体" w:cs="宋体"/>
          <w:kern w:val="0"/>
        </w:rPr>
      </w:pPr>
      <w:r>
        <w:rPr>
          <w:rFonts w:hint="eastAsia" w:ascii="宋体" w:hAnsi="宋体" w:cs="宋体"/>
          <w:kern w:val="0"/>
        </w:rPr>
        <w:t>3.2.1报价为一次报价，于开标会议当天当场宣读。</w:t>
      </w:r>
    </w:p>
    <w:p>
      <w:pPr>
        <w:snapToGrid w:val="0"/>
        <w:spacing w:line="360" w:lineRule="auto"/>
        <w:rPr>
          <w:rFonts w:ascii="宋体" w:hAnsi="宋体" w:cs="宋体"/>
          <w:kern w:val="0"/>
        </w:rPr>
      </w:pPr>
      <w:r>
        <w:rPr>
          <w:rFonts w:hint="eastAsia" w:ascii="宋体" w:hAnsi="宋体" w:cs="宋体"/>
          <w:kern w:val="0"/>
        </w:rPr>
        <w:t>3.2.2本项目不接受备选的投标方案或有选择的报价，只允许有一个报价。投标报价内容包括:设备单价以及合计总价</w:t>
      </w:r>
    </w:p>
    <w:p>
      <w:pPr>
        <w:snapToGrid w:val="0"/>
        <w:spacing w:line="360" w:lineRule="auto"/>
        <w:rPr>
          <w:rFonts w:ascii="宋体" w:hAnsi="宋体" w:cs="宋体"/>
          <w:kern w:val="0"/>
        </w:rPr>
      </w:pPr>
      <w:r>
        <w:rPr>
          <w:rFonts w:hint="eastAsia" w:ascii="宋体" w:hAnsi="宋体" w:cs="宋体"/>
          <w:kern w:val="0"/>
        </w:rPr>
        <w:t>3.2.3价格一律以人民币计算，以元为单位标准；</w:t>
      </w:r>
    </w:p>
    <w:p>
      <w:pPr>
        <w:snapToGrid w:val="0"/>
        <w:spacing w:line="360" w:lineRule="auto"/>
        <w:rPr>
          <w:rFonts w:ascii="宋体" w:hAnsi="宋体" w:cs="宋体"/>
          <w:kern w:val="0"/>
        </w:rPr>
      </w:pPr>
      <w:r>
        <w:rPr>
          <w:rFonts w:hint="eastAsia" w:ascii="宋体" w:hAnsi="宋体" w:cs="宋体"/>
          <w:kern w:val="0"/>
        </w:rPr>
        <w:t>3.2.4投标报价应包括国家规定的增值税税金，除投标人须知前附表另有规定外，增值税税金按国家法律及相关规定计算。投标人应按第六章“投标文件格式”的要求在投标函中进行报价并填写分项报价表。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宋体" w:hAnsi="宋体" w:cs="宋体"/>
          <w:kern w:val="0"/>
        </w:rPr>
      </w:pPr>
      <w:r>
        <w:rPr>
          <w:rFonts w:hint="eastAsia" w:ascii="宋体" w:hAnsi="宋体" w:cs="宋体"/>
          <w:kern w:val="0"/>
        </w:rPr>
        <w:t>3.2.5投标人应充分了解该项目的总体情况以及影响投标报价的其他要素，一旦评标结束最终中标，如发生漏、缺、少项，都将被认为是中标人的报价让利行为，损失自负。</w:t>
      </w:r>
    </w:p>
    <w:p>
      <w:pPr>
        <w:snapToGrid w:val="0"/>
        <w:spacing w:line="360" w:lineRule="auto"/>
        <w:rPr>
          <w:rFonts w:ascii="宋体" w:hAnsi="宋体" w:cs="宋体"/>
          <w:kern w:val="0"/>
        </w:rPr>
      </w:pPr>
      <w:r>
        <w:rPr>
          <w:rFonts w:hint="eastAsia" w:ascii="宋体" w:hAnsi="宋体" w:cs="宋体"/>
          <w:kern w:val="0"/>
        </w:rPr>
        <w:t>3.2.6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“分项报价表”中的相应报价。此修改须符合招标文件的有关要求。</w:t>
      </w:r>
    </w:p>
    <w:p>
      <w:pPr>
        <w:snapToGrid w:val="0"/>
        <w:spacing w:line="360" w:lineRule="auto"/>
        <w:rPr>
          <w:rFonts w:ascii="宋体" w:hAnsi="宋体" w:cs="宋体"/>
          <w:kern w:val="0"/>
        </w:rPr>
      </w:pPr>
      <w:r>
        <w:rPr>
          <w:rFonts w:hint="eastAsia" w:ascii="宋体" w:hAnsi="宋体" w:cs="宋体"/>
          <w:kern w:val="0"/>
        </w:rPr>
        <w:t>3.2.7招标人设有最高投标限价的，投标人的投标报价不得超过最高投标限价，最高投标限价在投标人须知前附表中载明。</w:t>
      </w:r>
    </w:p>
    <w:p>
      <w:pPr>
        <w:snapToGrid w:val="0"/>
        <w:spacing w:line="360" w:lineRule="auto"/>
        <w:rPr>
          <w:rFonts w:ascii="宋体" w:hAnsi="宋体" w:cs="宋体"/>
          <w:kern w:val="0"/>
        </w:rPr>
      </w:pPr>
      <w:r>
        <w:rPr>
          <w:rFonts w:hint="eastAsia" w:ascii="宋体" w:hAnsi="宋体" w:cs="宋体"/>
          <w:kern w:val="0"/>
        </w:rPr>
        <w:t>3.2.8投标报价的其他要求见投标人须知前附表。</w:t>
      </w:r>
    </w:p>
    <w:p>
      <w:pPr>
        <w:snapToGrid w:val="0"/>
        <w:spacing w:line="360" w:lineRule="auto"/>
        <w:rPr>
          <w:rFonts w:ascii="宋体" w:hAnsi="宋体" w:cs="宋体"/>
          <w:kern w:val="0"/>
        </w:rPr>
      </w:pPr>
      <w:bookmarkStart w:id="49" w:name="_Toc31979"/>
      <w:bookmarkStart w:id="50" w:name="_Toc16611"/>
      <w:r>
        <w:rPr>
          <w:rFonts w:hint="eastAsia" w:ascii="宋体" w:hAnsi="宋体" w:cs="宋体"/>
          <w:kern w:val="0"/>
        </w:rPr>
        <w:t>3.3投标有效期</w:t>
      </w:r>
      <w:bookmarkEnd w:id="49"/>
      <w:bookmarkEnd w:id="50"/>
    </w:p>
    <w:p>
      <w:pPr>
        <w:spacing w:line="360" w:lineRule="auto"/>
        <w:rPr>
          <w:rFonts w:ascii="宋体" w:hAnsi="宋体" w:cs="宋体"/>
          <w:kern w:val="0"/>
        </w:rPr>
      </w:pPr>
      <w:r>
        <w:rPr>
          <w:rFonts w:hint="eastAsia" w:ascii="宋体" w:hAnsi="宋体" w:cs="宋体"/>
          <w:kern w:val="0"/>
        </w:rPr>
        <w:t>3.3.1除投标人须知前附表另有规定外，投标有效期为 45天。投标有效期不满足招标文件要求的将视为非响应性文件予以拒绝。</w:t>
      </w:r>
    </w:p>
    <w:p>
      <w:pPr>
        <w:snapToGrid w:val="0"/>
        <w:spacing w:line="360" w:lineRule="auto"/>
        <w:rPr>
          <w:rFonts w:ascii="宋体" w:hAnsi="宋体" w:cs="宋体"/>
          <w:kern w:val="0"/>
        </w:rPr>
      </w:pPr>
      <w:r>
        <w:rPr>
          <w:rFonts w:hint="eastAsia" w:ascii="宋体" w:hAnsi="宋体" w:cs="宋体"/>
          <w:kern w:val="0"/>
        </w:rPr>
        <w:t>3.3.2在投标有效期内，投标人撤销投标文件的，应承担招标文件和法律规定的责任。</w:t>
      </w:r>
    </w:p>
    <w:p>
      <w:pPr>
        <w:snapToGrid w:val="0"/>
        <w:spacing w:line="360" w:lineRule="auto"/>
        <w:rPr>
          <w:rFonts w:ascii="宋体" w:hAnsi="宋体" w:cs="宋体"/>
          <w:kern w:val="0"/>
        </w:rPr>
      </w:pPr>
      <w:r>
        <w:rPr>
          <w:rFonts w:hint="eastAsia" w:ascii="宋体" w:hAnsi="宋体" w:cs="宋体"/>
          <w:kern w:val="0"/>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napToGrid w:val="0"/>
        <w:spacing w:line="360" w:lineRule="auto"/>
        <w:rPr>
          <w:rFonts w:ascii="宋体" w:hAnsi="宋体" w:cs="宋体"/>
          <w:b/>
          <w:bCs/>
          <w:kern w:val="0"/>
        </w:rPr>
      </w:pPr>
      <w:bookmarkStart w:id="51" w:name="_Toc25580"/>
      <w:bookmarkStart w:id="52" w:name="_Toc16343"/>
      <w:r>
        <w:rPr>
          <w:rFonts w:hint="eastAsia" w:ascii="宋体" w:hAnsi="宋体" w:cs="宋体"/>
          <w:b/>
          <w:bCs/>
          <w:kern w:val="0"/>
        </w:rPr>
        <w:t>3.4投标保证金</w:t>
      </w:r>
      <w:bookmarkEnd w:id="51"/>
      <w:bookmarkEnd w:id="52"/>
    </w:p>
    <w:p>
      <w:pPr>
        <w:snapToGrid w:val="0"/>
        <w:spacing w:line="360" w:lineRule="auto"/>
        <w:rPr>
          <w:rFonts w:ascii="宋体" w:hAnsi="宋体" w:cs="宋体"/>
          <w:kern w:val="0"/>
        </w:rPr>
      </w:pPr>
      <w:r>
        <w:rPr>
          <w:rFonts w:hint="eastAsia" w:ascii="宋体" w:hAnsi="宋体" w:cs="宋体"/>
          <w:kern w:val="0"/>
        </w:rPr>
        <w:t>本工程不需递交投标保证金。</w:t>
      </w:r>
    </w:p>
    <w:p>
      <w:pPr>
        <w:snapToGrid w:val="0"/>
        <w:spacing w:line="360" w:lineRule="auto"/>
        <w:rPr>
          <w:rFonts w:ascii="宋体" w:hAnsi="宋体" w:cs="宋体"/>
          <w:kern w:val="0"/>
        </w:rPr>
      </w:pPr>
      <w:bookmarkStart w:id="53" w:name="_Toc16877"/>
      <w:bookmarkStart w:id="54" w:name="_Toc5055"/>
      <w:r>
        <w:rPr>
          <w:rFonts w:hint="eastAsia" w:ascii="宋体" w:hAnsi="宋体" w:cs="宋体"/>
          <w:kern w:val="0"/>
        </w:rPr>
        <w:t>3.5资格审查资料</w:t>
      </w:r>
      <w:bookmarkEnd w:id="53"/>
      <w:bookmarkEnd w:id="54"/>
    </w:p>
    <w:p>
      <w:pPr>
        <w:snapToGrid w:val="0"/>
        <w:spacing w:line="360" w:lineRule="auto"/>
        <w:rPr>
          <w:rFonts w:ascii="宋体" w:hAnsi="宋体" w:cs="宋体"/>
          <w:kern w:val="0"/>
        </w:rPr>
      </w:pPr>
      <w:r>
        <w:rPr>
          <w:rFonts w:hint="eastAsia" w:ascii="宋体" w:hAnsi="宋体" w:cs="宋体"/>
          <w:kern w:val="0"/>
        </w:rPr>
        <w:t>详见招标公告要求。</w:t>
      </w:r>
    </w:p>
    <w:p>
      <w:pPr>
        <w:snapToGrid w:val="0"/>
        <w:spacing w:line="360" w:lineRule="auto"/>
        <w:rPr>
          <w:rFonts w:ascii="宋体" w:hAnsi="宋体" w:cs="宋体"/>
          <w:kern w:val="0"/>
        </w:rPr>
      </w:pPr>
      <w:r>
        <w:rPr>
          <w:rFonts w:hint="eastAsia" w:ascii="宋体" w:hAnsi="宋体" w:cs="宋体"/>
          <w:kern w:val="0"/>
        </w:rPr>
        <w:t>3.6（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宋体" w:hAnsi="宋体" w:cs="宋体"/>
          <w:kern w:val="0"/>
        </w:rPr>
      </w:pPr>
      <w:r>
        <w:rPr>
          <w:rFonts w:hint="eastAsia" w:ascii="宋体" w:hAnsi="宋体" w:cs="宋体"/>
          <w:kern w:val="0"/>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宋体" w:hAnsi="宋体" w:cs="宋体"/>
          <w:kern w:val="0"/>
        </w:rPr>
      </w:pPr>
      <w:r>
        <w:rPr>
          <w:rFonts w:hint="eastAsia" w:ascii="宋体" w:hAnsi="宋体" w:cs="宋体"/>
          <w:kern w:val="0"/>
        </w:rPr>
        <w:t>（3）投标文件的正本与副本应分别装订，并编制目录，投标文件需分册装订的，具体分册装订要求见投标人须知前附表规定。</w:t>
      </w:r>
    </w:p>
    <w:p>
      <w:pPr>
        <w:pStyle w:val="5"/>
        <w:snapToGrid w:val="0"/>
        <w:spacing w:before="0" w:after="0" w:line="360" w:lineRule="auto"/>
        <w:rPr>
          <w:rFonts w:ascii="宋体" w:hAnsi="宋体" w:cs="宋体"/>
        </w:rPr>
      </w:pPr>
      <w:bookmarkStart w:id="55" w:name="_Toc27613"/>
      <w:bookmarkStart w:id="56" w:name="_Toc16785"/>
      <w:bookmarkStart w:id="57" w:name="_Toc18087"/>
      <w:bookmarkStart w:id="58" w:name="_Toc40699923"/>
      <w:bookmarkStart w:id="59" w:name="_Toc27305"/>
      <w:bookmarkStart w:id="60" w:name="_Toc20354"/>
      <w:bookmarkStart w:id="61" w:name="_Toc4757"/>
      <w:r>
        <w:rPr>
          <w:rFonts w:hint="eastAsia" w:ascii="宋体" w:hAnsi="宋体" w:cs="宋体"/>
        </w:rPr>
        <w:t>4.投标</w:t>
      </w:r>
      <w:bookmarkEnd w:id="55"/>
      <w:bookmarkEnd w:id="56"/>
      <w:bookmarkEnd w:id="57"/>
      <w:bookmarkEnd w:id="58"/>
      <w:bookmarkEnd w:id="59"/>
      <w:bookmarkEnd w:id="60"/>
      <w:bookmarkEnd w:id="61"/>
    </w:p>
    <w:p>
      <w:pPr>
        <w:snapToGrid w:val="0"/>
        <w:spacing w:line="360" w:lineRule="auto"/>
        <w:rPr>
          <w:rFonts w:ascii="宋体" w:hAnsi="宋体" w:cs="宋体"/>
          <w:kern w:val="0"/>
        </w:rPr>
      </w:pPr>
      <w:bookmarkStart w:id="62" w:name="_Toc13130"/>
      <w:bookmarkStart w:id="63" w:name="_Toc6817"/>
      <w:r>
        <w:rPr>
          <w:rFonts w:hint="eastAsia" w:ascii="宋体" w:hAnsi="宋体" w:cs="宋体"/>
          <w:kern w:val="0"/>
        </w:rPr>
        <w:t>4.1投标文件的密封和标记</w:t>
      </w:r>
      <w:bookmarkEnd w:id="62"/>
      <w:bookmarkEnd w:id="63"/>
    </w:p>
    <w:p>
      <w:pPr>
        <w:snapToGrid w:val="0"/>
        <w:spacing w:line="360" w:lineRule="auto"/>
        <w:rPr>
          <w:rFonts w:ascii="宋体" w:hAnsi="宋体" w:cs="宋体"/>
          <w:kern w:val="0"/>
        </w:rPr>
      </w:pPr>
      <w:r>
        <w:rPr>
          <w:rFonts w:hint="eastAsia" w:ascii="宋体" w:hAnsi="宋体" w:cs="宋体"/>
          <w:kern w:val="0"/>
        </w:rPr>
        <w:t>4.1.1投标文件应密封包装，并在封套的封口处加盖投标人单位章或由投标人的法定代表人（单位负责人）或其授权的代理人签字。</w:t>
      </w:r>
    </w:p>
    <w:p>
      <w:pPr>
        <w:snapToGrid w:val="0"/>
        <w:spacing w:line="360" w:lineRule="auto"/>
        <w:rPr>
          <w:rFonts w:ascii="宋体" w:hAnsi="宋体" w:cs="宋体"/>
          <w:kern w:val="0"/>
        </w:rPr>
      </w:pPr>
      <w:r>
        <w:rPr>
          <w:rFonts w:hint="eastAsia" w:ascii="宋体" w:hAnsi="宋体" w:cs="宋体"/>
          <w:kern w:val="0"/>
        </w:rPr>
        <w:t>4.1.2投标文件封套上应写明的内容见投标人须知前附表。</w:t>
      </w:r>
    </w:p>
    <w:p>
      <w:pPr>
        <w:snapToGrid w:val="0"/>
        <w:spacing w:line="360" w:lineRule="auto"/>
        <w:rPr>
          <w:rFonts w:ascii="宋体" w:hAnsi="宋体" w:cs="宋体"/>
          <w:kern w:val="0"/>
        </w:rPr>
      </w:pPr>
      <w:r>
        <w:rPr>
          <w:rFonts w:hint="eastAsia" w:ascii="宋体" w:hAnsi="宋体" w:cs="宋体"/>
          <w:kern w:val="0"/>
        </w:rPr>
        <w:t>4.1.3未按本章第4.1.1项要求密封的投标文件，招标人将予以拒收。</w:t>
      </w:r>
    </w:p>
    <w:p>
      <w:pPr>
        <w:snapToGrid w:val="0"/>
        <w:spacing w:line="360" w:lineRule="auto"/>
        <w:rPr>
          <w:rFonts w:ascii="宋体" w:hAnsi="宋体" w:cs="宋体"/>
          <w:kern w:val="0"/>
        </w:rPr>
      </w:pPr>
      <w:bookmarkStart w:id="64" w:name="_Toc22461"/>
      <w:bookmarkStart w:id="65" w:name="_Toc18262"/>
      <w:r>
        <w:rPr>
          <w:rFonts w:hint="eastAsia" w:ascii="宋体" w:hAnsi="宋体" w:cs="宋体"/>
          <w:kern w:val="0"/>
        </w:rPr>
        <w:t>4.2投标文件的递交</w:t>
      </w:r>
      <w:bookmarkEnd w:id="64"/>
      <w:bookmarkEnd w:id="65"/>
    </w:p>
    <w:p>
      <w:pPr>
        <w:snapToGrid w:val="0"/>
        <w:spacing w:line="360" w:lineRule="auto"/>
        <w:rPr>
          <w:rFonts w:ascii="宋体" w:hAnsi="宋体" w:cs="宋体"/>
          <w:kern w:val="0"/>
        </w:rPr>
      </w:pPr>
      <w:r>
        <w:rPr>
          <w:rFonts w:hint="eastAsia" w:ascii="宋体" w:hAnsi="宋体" w:cs="宋体"/>
          <w:kern w:val="0"/>
        </w:rPr>
        <w:t>4.2.1投标人应在投标人须知前附表规定的投标截止时间前递交投标文件。</w:t>
      </w:r>
    </w:p>
    <w:p>
      <w:pPr>
        <w:snapToGrid w:val="0"/>
        <w:spacing w:line="360" w:lineRule="auto"/>
        <w:rPr>
          <w:rFonts w:ascii="宋体" w:hAnsi="宋体" w:cs="宋体"/>
          <w:kern w:val="0"/>
        </w:rPr>
      </w:pPr>
      <w:r>
        <w:rPr>
          <w:rFonts w:hint="eastAsia" w:ascii="宋体" w:hAnsi="宋体" w:cs="宋体"/>
          <w:kern w:val="0"/>
        </w:rPr>
        <w:t>4.2.2投标人递交投标文件的地点：见投标人须知前附表。</w:t>
      </w:r>
    </w:p>
    <w:p>
      <w:pPr>
        <w:snapToGrid w:val="0"/>
        <w:spacing w:line="360" w:lineRule="auto"/>
        <w:rPr>
          <w:rFonts w:ascii="宋体" w:hAnsi="宋体" w:cs="宋体"/>
          <w:kern w:val="0"/>
        </w:rPr>
      </w:pPr>
      <w:r>
        <w:rPr>
          <w:rFonts w:hint="eastAsia" w:ascii="宋体" w:hAnsi="宋体" w:cs="宋体"/>
          <w:kern w:val="0"/>
        </w:rPr>
        <w:t>4.2.3除投标人须知前附表另有规定外，投标人所递交的投标文件不予退还。</w:t>
      </w:r>
    </w:p>
    <w:p>
      <w:pPr>
        <w:snapToGrid w:val="0"/>
        <w:spacing w:line="360" w:lineRule="auto"/>
        <w:rPr>
          <w:rFonts w:ascii="宋体" w:hAnsi="宋体" w:cs="宋体"/>
          <w:kern w:val="0"/>
        </w:rPr>
      </w:pPr>
      <w:r>
        <w:rPr>
          <w:rFonts w:hint="eastAsia" w:ascii="宋体" w:hAnsi="宋体" w:cs="宋体"/>
          <w:kern w:val="0"/>
        </w:rPr>
        <w:t>4.2.4招标人收到投标文件后，向投标人出具签收凭证。</w:t>
      </w:r>
    </w:p>
    <w:p>
      <w:pPr>
        <w:snapToGrid w:val="0"/>
        <w:spacing w:line="360" w:lineRule="auto"/>
        <w:rPr>
          <w:rFonts w:ascii="宋体" w:hAnsi="宋体" w:cs="宋体"/>
          <w:kern w:val="0"/>
        </w:rPr>
      </w:pPr>
      <w:r>
        <w:rPr>
          <w:rFonts w:hint="eastAsia" w:ascii="宋体" w:hAnsi="宋体" w:cs="宋体"/>
          <w:kern w:val="0"/>
        </w:rPr>
        <w:t>4.2.5逾期送达的投标文件，招标人将予以拒收。</w:t>
      </w:r>
    </w:p>
    <w:p>
      <w:pPr>
        <w:snapToGrid w:val="0"/>
        <w:spacing w:line="360" w:lineRule="auto"/>
        <w:rPr>
          <w:rFonts w:ascii="宋体" w:hAnsi="宋体" w:cs="宋体"/>
          <w:kern w:val="0"/>
        </w:rPr>
      </w:pPr>
      <w:bookmarkStart w:id="66" w:name="_Toc10255"/>
      <w:bookmarkStart w:id="67" w:name="_Toc27382"/>
      <w:r>
        <w:rPr>
          <w:rFonts w:hint="eastAsia" w:ascii="宋体" w:hAnsi="宋体" w:cs="宋体"/>
          <w:kern w:val="0"/>
        </w:rPr>
        <w:t>4.3投标文件的修改与撤回</w:t>
      </w:r>
      <w:bookmarkEnd w:id="66"/>
      <w:bookmarkEnd w:id="67"/>
    </w:p>
    <w:p>
      <w:pPr>
        <w:snapToGrid w:val="0"/>
        <w:spacing w:line="360" w:lineRule="auto"/>
        <w:rPr>
          <w:rFonts w:ascii="宋体" w:hAnsi="宋体" w:cs="宋体"/>
          <w:kern w:val="0"/>
        </w:rPr>
      </w:pPr>
      <w:r>
        <w:rPr>
          <w:rFonts w:hint="eastAsia" w:ascii="宋体" w:hAnsi="宋体" w:cs="宋体"/>
          <w:kern w:val="0"/>
        </w:rPr>
        <w:t>4.3.1在本章第4.2.1项规定的投标截止时间前，投标人可以修改或撤回已递交的投标文件，但应以书面形式通知招标人。</w:t>
      </w:r>
    </w:p>
    <w:p>
      <w:pPr>
        <w:snapToGrid w:val="0"/>
        <w:spacing w:line="360" w:lineRule="auto"/>
        <w:rPr>
          <w:rFonts w:ascii="宋体" w:hAnsi="宋体" w:cs="宋体"/>
          <w:kern w:val="0"/>
        </w:rPr>
      </w:pPr>
      <w:r>
        <w:rPr>
          <w:rFonts w:hint="eastAsia" w:ascii="宋体" w:hAnsi="宋体" w:cs="宋体"/>
          <w:kern w:val="0"/>
        </w:rPr>
        <w:t>4.3.2投标人修改或撤回已递交投标文件的书面通知应按照本章第 3.7.3项的要求签字或盖章。招标人收到书面通知后，向投标人出具签收凭证。</w:t>
      </w:r>
    </w:p>
    <w:p>
      <w:pPr>
        <w:snapToGrid w:val="0"/>
        <w:spacing w:line="360" w:lineRule="auto"/>
        <w:rPr>
          <w:rFonts w:ascii="宋体" w:hAnsi="宋体" w:cs="宋体"/>
          <w:kern w:val="0"/>
        </w:rPr>
      </w:pPr>
      <w:r>
        <w:rPr>
          <w:rFonts w:hint="eastAsia" w:ascii="宋体" w:hAnsi="宋体" w:cs="宋体"/>
          <w:kern w:val="0"/>
        </w:rPr>
        <w:t>4.3.3修改的内容为投标文件的组成部分。修改的投标文件应按照招标文件的规定进行编制、密封、标记和递交，并标明“修改”字样。</w:t>
      </w:r>
    </w:p>
    <w:p>
      <w:pPr>
        <w:pStyle w:val="5"/>
        <w:snapToGrid w:val="0"/>
        <w:spacing w:before="0" w:after="0" w:line="360" w:lineRule="auto"/>
        <w:rPr>
          <w:rFonts w:ascii="宋体" w:hAnsi="宋体" w:cs="宋体"/>
        </w:rPr>
      </w:pPr>
      <w:bookmarkStart w:id="68" w:name="_Toc5124"/>
      <w:bookmarkStart w:id="69" w:name="_Toc8343"/>
      <w:bookmarkStart w:id="70" w:name="_Toc20106"/>
      <w:bookmarkStart w:id="71" w:name="_Toc22850"/>
      <w:bookmarkStart w:id="72" w:name="_Toc27838"/>
      <w:bookmarkStart w:id="73" w:name="_Toc13413"/>
      <w:bookmarkStart w:id="74" w:name="_Toc40699924"/>
      <w:r>
        <w:rPr>
          <w:rFonts w:hint="eastAsia" w:ascii="宋体" w:hAnsi="宋体" w:cs="宋体"/>
        </w:rPr>
        <w:t>5.开标</w:t>
      </w:r>
      <w:bookmarkEnd w:id="68"/>
      <w:bookmarkEnd w:id="69"/>
      <w:bookmarkEnd w:id="70"/>
      <w:bookmarkEnd w:id="71"/>
      <w:bookmarkEnd w:id="72"/>
      <w:bookmarkEnd w:id="73"/>
      <w:bookmarkEnd w:id="74"/>
    </w:p>
    <w:p>
      <w:pPr>
        <w:snapToGrid w:val="0"/>
        <w:spacing w:line="360" w:lineRule="auto"/>
        <w:rPr>
          <w:rFonts w:ascii="宋体" w:hAnsi="宋体" w:cs="宋体"/>
          <w:kern w:val="0"/>
        </w:rPr>
      </w:pPr>
      <w:bookmarkStart w:id="75" w:name="_Toc5479"/>
      <w:bookmarkStart w:id="76" w:name="_Toc14232"/>
      <w:r>
        <w:rPr>
          <w:rFonts w:hint="eastAsia" w:ascii="宋体" w:hAnsi="宋体" w:cs="宋体"/>
          <w:kern w:val="0"/>
        </w:rPr>
        <w:t>5.1开标时间和地点</w:t>
      </w:r>
      <w:bookmarkEnd w:id="75"/>
      <w:bookmarkEnd w:id="76"/>
    </w:p>
    <w:p>
      <w:pPr>
        <w:snapToGrid w:val="0"/>
        <w:spacing w:line="360" w:lineRule="auto"/>
        <w:ind w:firstLine="420" w:firstLineChars="200"/>
        <w:rPr>
          <w:rFonts w:ascii="宋体" w:hAnsi="宋体" w:cs="宋体"/>
          <w:kern w:val="0"/>
        </w:rPr>
      </w:pPr>
      <w:r>
        <w:rPr>
          <w:rFonts w:hint="eastAsia" w:ascii="宋体" w:hAnsi="宋体" w:cs="宋体"/>
          <w:kern w:val="0"/>
        </w:rPr>
        <w:t>招标人在招标文件规定的投标截止时间（开标时间）、地点公开开标，并邀请所有投标人的法定代表人（单位负责人）或其委托代理人准时参加。</w:t>
      </w:r>
    </w:p>
    <w:p>
      <w:pPr>
        <w:snapToGrid w:val="0"/>
        <w:spacing w:line="360" w:lineRule="auto"/>
        <w:ind w:firstLine="420" w:firstLineChars="200"/>
      </w:pPr>
      <w:r>
        <w:rPr>
          <w:rFonts w:hint="eastAsia" w:ascii="宋体" w:hAnsi="宋体" w:cs="宋体"/>
          <w:kern w:val="0"/>
        </w:rPr>
        <w:t>开标会由招标人或招标代理机构主持，邀请所有投标人参加，</w:t>
      </w:r>
      <w:r>
        <w:rPr>
          <w:rFonts w:hint="eastAsia" w:ascii="宋体" w:hAnsi="宋体" w:cs="宋体"/>
          <w:b/>
          <w:bCs/>
          <w:kern w:val="0"/>
        </w:rPr>
        <w:t>投标人法定代表人或投标授权委托人须携带身份证件进行现场验证。</w:t>
      </w:r>
      <w:r>
        <w:rPr>
          <w:rFonts w:hint="eastAsia" w:ascii="宋体" w:hAnsi="宋体" w:cs="宋体"/>
          <w:kern w:val="0"/>
        </w:rPr>
        <w:t>在评标期间，投标人应主动远离评标场所，投标人对招标单位和评标委员会成员施加影响的任何行为，都将导致取消其中标资格，并承担相应法律责任。</w:t>
      </w:r>
    </w:p>
    <w:p>
      <w:pPr>
        <w:snapToGrid w:val="0"/>
        <w:spacing w:line="360" w:lineRule="auto"/>
        <w:rPr>
          <w:rFonts w:ascii="宋体" w:hAnsi="宋体" w:cs="宋体"/>
          <w:kern w:val="0"/>
        </w:rPr>
      </w:pPr>
      <w:bookmarkStart w:id="77" w:name="_Toc23539"/>
      <w:bookmarkStart w:id="78" w:name="_Toc5428"/>
      <w:r>
        <w:rPr>
          <w:rFonts w:hint="eastAsia" w:ascii="宋体" w:hAnsi="宋体" w:cs="宋体"/>
          <w:kern w:val="0"/>
        </w:rPr>
        <w:t>5.2开标程序</w:t>
      </w:r>
      <w:bookmarkEnd w:id="77"/>
      <w:bookmarkEnd w:id="78"/>
    </w:p>
    <w:p>
      <w:pPr>
        <w:snapToGrid w:val="0"/>
        <w:spacing w:line="360" w:lineRule="auto"/>
        <w:rPr>
          <w:rFonts w:ascii="宋体" w:hAnsi="宋体" w:cs="宋体"/>
          <w:kern w:val="0"/>
        </w:rPr>
      </w:pPr>
      <w:r>
        <w:rPr>
          <w:rFonts w:hint="eastAsia" w:ascii="宋体" w:hAnsi="宋体" w:cs="宋体"/>
          <w:kern w:val="0"/>
        </w:rPr>
        <w:t>主持人按下列程序进行开标：</w:t>
      </w:r>
    </w:p>
    <w:p>
      <w:pPr>
        <w:snapToGrid w:val="0"/>
        <w:spacing w:line="360" w:lineRule="auto"/>
        <w:rPr>
          <w:rFonts w:ascii="宋体" w:hAnsi="宋体" w:cs="宋体"/>
          <w:kern w:val="0"/>
        </w:rPr>
      </w:pPr>
      <w:r>
        <w:rPr>
          <w:rFonts w:hint="eastAsia" w:ascii="宋体" w:hAnsi="宋体" w:cs="宋体"/>
          <w:kern w:val="0"/>
        </w:rPr>
        <w:t>（1）宣布开标纪律；</w:t>
      </w:r>
    </w:p>
    <w:p>
      <w:pPr>
        <w:snapToGrid w:val="0"/>
        <w:spacing w:line="360" w:lineRule="auto"/>
        <w:rPr>
          <w:rFonts w:ascii="宋体" w:hAnsi="宋体" w:cs="宋体"/>
          <w:kern w:val="0"/>
        </w:rPr>
      </w:pPr>
      <w:r>
        <w:rPr>
          <w:rFonts w:hint="eastAsia" w:ascii="宋体" w:hAnsi="宋体" w:cs="宋体"/>
          <w:kern w:val="0"/>
        </w:rPr>
        <w:t>（2）公布在投标截止时间前递交投标文件的投标人名称；</w:t>
      </w:r>
    </w:p>
    <w:p>
      <w:pPr>
        <w:snapToGrid w:val="0"/>
        <w:spacing w:line="360" w:lineRule="auto"/>
        <w:rPr>
          <w:rFonts w:ascii="宋体" w:hAnsi="宋体" w:cs="宋体"/>
          <w:kern w:val="0"/>
        </w:rPr>
      </w:pPr>
      <w:r>
        <w:rPr>
          <w:rFonts w:hint="eastAsia" w:ascii="宋体" w:hAnsi="宋体" w:cs="宋体"/>
          <w:kern w:val="0"/>
        </w:rPr>
        <w:t>（3）宣布开标人、唱标人、记录人、监标人等有关人员姓名；</w:t>
      </w:r>
    </w:p>
    <w:p>
      <w:pPr>
        <w:snapToGrid w:val="0"/>
        <w:spacing w:line="360" w:lineRule="auto"/>
        <w:rPr>
          <w:rFonts w:ascii="宋体" w:hAnsi="宋体" w:cs="宋体"/>
          <w:kern w:val="0"/>
        </w:rPr>
      </w:pPr>
      <w:r>
        <w:rPr>
          <w:rFonts w:hint="eastAsia" w:ascii="宋体" w:hAnsi="宋体" w:cs="宋体"/>
          <w:kern w:val="0"/>
        </w:rPr>
        <w:t>（4）检查投标人代表出席情况；</w:t>
      </w:r>
    </w:p>
    <w:p>
      <w:pPr>
        <w:snapToGrid w:val="0"/>
        <w:spacing w:line="360" w:lineRule="auto"/>
        <w:rPr>
          <w:rFonts w:ascii="宋体" w:hAnsi="宋体" w:cs="宋体"/>
          <w:kern w:val="0"/>
        </w:rPr>
      </w:pPr>
      <w:r>
        <w:rPr>
          <w:rFonts w:hint="eastAsia" w:ascii="宋体" w:hAnsi="宋体" w:cs="宋体"/>
          <w:kern w:val="0"/>
        </w:rPr>
        <w:t>（5）检查投标文件的密封情况，按照投标人须知前附表规定的开标顺序当众开标，公布招标项目名称、投标人名称、投标报价、交货期等内容，并记录在案；</w:t>
      </w:r>
    </w:p>
    <w:p>
      <w:pPr>
        <w:snapToGrid w:val="0"/>
        <w:spacing w:line="360" w:lineRule="auto"/>
        <w:rPr>
          <w:rFonts w:ascii="宋体" w:hAnsi="宋体" w:cs="宋体"/>
          <w:kern w:val="0"/>
        </w:rPr>
      </w:pPr>
      <w:r>
        <w:rPr>
          <w:rFonts w:hint="eastAsia" w:ascii="宋体" w:hAnsi="宋体" w:cs="宋体"/>
          <w:kern w:val="0"/>
        </w:rPr>
        <w:t>（6）投标人代表、招标人代表、监标人、记录人等有关人员在开标记录上签字确认；</w:t>
      </w:r>
    </w:p>
    <w:p>
      <w:pPr>
        <w:snapToGrid w:val="0"/>
        <w:spacing w:line="360" w:lineRule="auto"/>
        <w:rPr>
          <w:rFonts w:ascii="宋体" w:hAnsi="宋体" w:cs="宋体"/>
          <w:kern w:val="0"/>
        </w:rPr>
      </w:pPr>
      <w:r>
        <w:rPr>
          <w:rFonts w:hint="eastAsia" w:ascii="宋体" w:hAnsi="宋体" w:cs="宋体"/>
          <w:kern w:val="0"/>
        </w:rPr>
        <w:t>（7）开标结束。</w:t>
      </w:r>
    </w:p>
    <w:p>
      <w:pPr>
        <w:snapToGrid w:val="0"/>
        <w:spacing w:line="360" w:lineRule="auto"/>
        <w:rPr>
          <w:rFonts w:ascii="宋体" w:hAnsi="宋体" w:cs="宋体"/>
          <w:kern w:val="0"/>
        </w:rPr>
      </w:pPr>
      <w:bookmarkStart w:id="79" w:name="_Toc12620"/>
      <w:bookmarkStart w:id="80" w:name="_Toc23818"/>
      <w:r>
        <w:rPr>
          <w:rFonts w:hint="eastAsia" w:ascii="宋体" w:hAnsi="宋体" w:cs="宋体"/>
          <w:kern w:val="0"/>
        </w:rPr>
        <w:t>5.3开标异议</w:t>
      </w:r>
      <w:bookmarkEnd w:id="79"/>
      <w:bookmarkEnd w:id="80"/>
    </w:p>
    <w:p>
      <w:pPr>
        <w:snapToGrid w:val="0"/>
        <w:spacing w:line="360" w:lineRule="auto"/>
        <w:rPr>
          <w:rFonts w:ascii="宋体" w:hAnsi="宋体" w:cs="宋体"/>
          <w:kern w:val="0"/>
        </w:rPr>
      </w:pPr>
      <w:r>
        <w:rPr>
          <w:rFonts w:hint="eastAsia" w:ascii="宋体" w:hAnsi="宋体" w:cs="宋体"/>
          <w:kern w:val="0"/>
        </w:rPr>
        <w:t>投标人对开标有异议的，应当在开标现场提出，招标人当场作出答复，并制作记录。</w:t>
      </w:r>
    </w:p>
    <w:p>
      <w:pPr>
        <w:pStyle w:val="5"/>
        <w:snapToGrid w:val="0"/>
        <w:spacing w:before="0" w:after="0" w:line="360" w:lineRule="auto"/>
        <w:rPr>
          <w:rFonts w:ascii="宋体" w:hAnsi="宋体" w:cs="宋体"/>
        </w:rPr>
      </w:pPr>
      <w:bookmarkStart w:id="81" w:name="_Toc20036"/>
      <w:bookmarkStart w:id="82" w:name="_Toc40699925"/>
      <w:bookmarkStart w:id="83" w:name="_Toc16597"/>
      <w:bookmarkStart w:id="84" w:name="_Toc8833"/>
      <w:bookmarkStart w:id="85" w:name="_Toc22609"/>
      <w:bookmarkStart w:id="86" w:name="_Toc15211"/>
      <w:bookmarkStart w:id="87" w:name="_Toc23290"/>
      <w:r>
        <w:rPr>
          <w:rFonts w:hint="eastAsia" w:ascii="宋体" w:hAnsi="宋体" w:cs="宋体"/>
        </w:rPr>
        <w:t>6.评标</w:t>
      </w:r>
      <w:bookmarkEnd w:id="81"/>
      <w:bookmarkEnd w:id="82"/>
      <w:bookmarkEnd w:id="83"/>
      <w:bookmarkEnd w:id="84"/>
      <w:bookmarkEnd w:id="85"/>
      <w:bookmarkEnd w:id="86"/>
      <w:bookmarkEnd w:id="87"/>
    </w:p>
    <w:p>
      <w:pPr>
        <w:snapToGrid w:val="0"/>
        <w:spacing w:line="360" w:lineRule="auto"/>
        <w:rPr>
          <w:rFonts w:ascii="宋体" w:hAnsi="宋体" w:cs="宋体"/>
          <w:kern w:val="0"/>
        </w:rPr>
      </w:pPr>
      <w:bookmarkStart w:id="88" w:name="_Toc19955"/>
      <w:bookmarkStart w:id="89" w:name="_Toc25377"/>
      <w:r>
        <w:rPr>
          <w:rFonts w:hint="eastAsia" w:ascii="宋体" w:hAnsi="宋体" w:cs="宋体"/>
          <w:kern w:val="0"/>
        </w:rPr>
        <w:t>6.1评标委员会</w:t>
      </w:r>
      <w:bookmarkEnd w:id="88"/>
      <w:bookmarkEnd w:id="89"/>
    </w:p>
    <w:p>
      <w:pPr>
        <w:snapToGrid w:val="0"/>
        <w:spacing w:line="360" w:lineRule="auto"/>
        <w:rPr>
          <w:rFonts w:ascii="宋体" w:hAnsi="宋体" w:cs="宋体"/>
          <w:kern w:val="0"/>
        </w:rPr>
      </w:pPr>
      <w:r>
        <w:rPr>
          <w:rFonts w:hint="eastAsia" w:ascii="宋体" w:hAnsi="宋体" w:cs="宋体"/>
          <w:kern w:val="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ascii="宋体" w:hAnsi="宋体" w:cs="宋体"/>
          <w:kern w:val="0"/>
        </w:rPr>
      </w:pPr>
      <w:r>
        <w:rPr>
          <w:rFonts w:hint="eastAsia" w:ascii="宋体" w:hAnsi="宋体" w:cs="宋体"/>
          <w:kern w:val="0"/>
        </w:rPr>
        <w:t>6.1.2评标委员会成员有下列情形之一的，应当回避：</w:t>
      </w:r>
    </w:p>
    <w:p>
      <w:pPr>
        <w:snapToGrid w:val="0"/>
        <w:spacing w:line="360" w:lineRule="auto"/>
        <w:rPr>
          <w:rFonts w:ascii="宋体" w:hAnsi="宋体" w:cs="宋体"/>
          <w:kern w:val="0"/>
        </w:rPr>
      </w:pPr>
      <w:r>
        <w:rPr>
          <w:rFonts w:hint="eastAsia" w:ascii="宋体" w:hAnsi="宋体" w:cs="宋体"/>
          <w:kern w:val="0"/>
        </w:rPr>
        <w:t>（1）投标人或投标人主要负责人的近亲属；</w:t>
      </w:r>
    </w:p>
    <w:p>
      <w:pPr>
        <w:snapToGrid w:val="0"/>
        <w:spacing w:line="360" w:lineRule="auto"/>
        <w:rPr>
          <w:rFonts w:ascii="宋体" w:hAnsi="宋体" w:cs="宋体"/>
          <w:kern w:val="0"/>
        </w:rPr>
      </w:pPr>
      <w:r>
        <w:rPr>
          <w:rFonts w:hint="eastAsia" w:ascii="宋体" w:hAnsi="宋体" w:cs="宋体"/>
          <w:kern w:val="0"/>
        </w:rPr>
        <w:t>（2）项目主管部门或者行政监督部门的人员；</w:t>
      </w:r>
    </w:p>
    <w:p>
      <w:pPr>
        <w:snapToGrid w:val="0"/>
        <w:spacing w:line="360" w:lineRule="auto"/>
        <w:rPr>
          <w:rFonts w:ascii="宋体" w:hAnsi="宋体" w:cs="宋体"/>
          <w:kern w:val="0"/>
        </w:rPr>
      </w:pPr>
      <w:r>
        <w:rPr>
          <w:rFonts w:hint="eastAsia" w:ascii="宋体" w:hAnsi="宋体" w:cs="宋体"/>
          <w:kern w:val="0"/>
        </w:rPr>
        <w:t>（3）与投标人有经济利益关系，可能影响对投标公正评审的；</w:t>
      </w:r>
    </w:p>
    <w:p>
      <w:pPr>
        <w:snapToGrid w:val="0"/>
        <w:spacing w:line="360" w:lineRule="auto"/>
        <w:rPr>
          <w:rFonts w:ascii="宋体" w:hAnsi="宋体" w:cs="宋体"/>
          <w:kern w:val="0"/>
        </w:rPr>
      </w:pPr>
      <w:r>
        <w:rPr>
          <w:rFonts w:hint="eastAsia" w:ascii="宋体" w:hAnsi="宋体" w:cs="宋体"/>
          <w:kern w:val="0"/>
        </w:rPr>
        <w:t>（4）曾因在招标、评标以及其他与招标投标有关活动中从事违法行为而受过行政处罚或刑事处罚的；</w:t>
      </w:r>
    </w:p>
    <w:p>
      <w:pPr>
        <w:snapToGrid w:val="0"/>
        <w:spacing w:line="360" w:lineRule="auto"/>
        <w:rPr>
          <w:rFonts w:ascii="宋体" w:hAnsi="宋体" w:cs="宋体"/>
          <w:kern w:val="0"/>
        </w:rPr>
      </w:pPr>
      <w:r>
        <w:rPr>
          <w:rFonts w:hint="eastAsia" w:ascii="宋体" w:hAnsi="宋体" w:cs="宋体"/>
          <w:kern w:val="0"/>
        </w:rPr>
        <w:t>（5）与投标人有其他利害关系。</w:t>
      </w:r>
    </w:p>
    <w:p>
      <w:pPr>
        <w:snapToGrid w:val="0"/>
        <w:spacing w:line="360" w:lineRule="auto"/>
        <w:rPr>
          <w:rFonts w:ascii="宋体" w:hAnsi="宋体" w:cs="宋体"/>
          <w:kern w:val="0"/>
        </w:rPr>
      </w:pPr>
      <w:r>
        <w:rPr>
          <w:rFonts w:hint="eastAsia" w:ascii="宋体" w:hAnsi="宋体" w:cs="宋体"/>
          <w:kern w:val="0"/>
        </w:rPr>
        <w:t>6.1.3评标过程中，评标委员会成员有回避事由、擅离职守或者因健康等原因不能继续评标的，招标人有权更换。被更换的评标委员会成员作出的评审结论无效，由更换后的评标委员会成员重新进行评审。</w:t>
      </w:r>
    </w:p>
    <w:p>
      <w:pPr>
        <w:snapToGrid w:val="0"/>
        <w:spacing w:line="360" w:lineRule="auto"/>
        <w:rPr>
          <w:rFonts w:ascii="宋体" w:hAnsi="宋体" w:cs="宋体"/>
          <w:kern w:val="0"/>
        </w:rPr>
      </w:pPr>
      <w:bookmarkStart w:id="90" w:name="_Toc30310"/>
      <w:bookmarkStart w:id="91" w:name="_Toc7533"/>
      <w:r>
        <w:rPr>
          <w:rFonts w:hint="eastAsia" w:ascii="宋体" w:hAnsi="宋体" w:cs="宋体"/>
          <w:kern w:val="0"/>
        </w:rPr>
        <w:t>6.2评标原则</w:t>
      </w:r>
      <w:bookmarkEnd w:id="90"/>
      <w:bookmarkEnd w:id="91"/>
    </w:p>
    <w:p>
      <w:pPr>
        <w:snapToGrid w:val="0"/>
        <w:spacing w:line="360" w:lineRule="auto"/>
      </w:pPr>
      <w:r>
        <w:rPr>
          <w:rFonts w:hint="eastAsia" w:ascii="宋体" w:hAnsi="宋体" w:cs="宋体"/>
          <w:kern w:val="0"/>
        </w:rPr>
        <w:t>评标活动遵循公平、公正、科学和择优的原则。</w:t>
      </w:r>
    </w:p>
    <w:p>
      <w:pPr>
        <w:snapToGrid w:val="0"/>
        <w:spacing w:line="360" w:lineRule="auto"/>
        <w:rPr>
          <w:rFonts w:ascii="宋体" w:hAnsi="宋体" w:cs="宋体"/>
          <w:kern w:val="0"/>
        </w:rPr>
      </w:pPr>
      <w:bookmarkStart w:id="92" w:name="_Toc25757"/>
      <w:bookmarkStart w:id="93" w:name="_Toc3196"/>
      <w:r>
        <w:rPr>
          <w:rFonts w:hint="eastAsia" w:ascii="宋体" w:hAnsi="宋体" w:cs="宋体"/>
          <w:kern w:val="0"/>
        </w:rPr>
        <w:t>6.3评标</w:t>
      </w:r>
      <w:bookmarkEnd w:id="92"/>
      <w:bookmarkEnd w:id="93"/>
    </w:p>
    <w:p>
      <w:pPr>
        <w:snapToGrid w:val="0"/>
        <w:spacing w:line="360" w:lineRule="auto"/>
        <w:rPr>
          <w:rFonts w:ascii="宋体" w:hAnsi="宋体" w:cs="宋体"/>
          <w:kern w:val="0"/>
        </w:rPr>
      </w:pPr>
      <w:r>
        <w:rPr>
          <w:rFonts w:hint="eastAsia" w:ascii="宋体" w:hAnsi="宋体" w:cs="宋体"/>
          <w:kern w:val="0"/>
        </w:rPr>
        <w:t>6.3.1评标委员会按照第二章“评标办法”规定的方法、评审因素、标准和程序对投标文件进行评审。第二章“评标办法”没有规定的方法、评审因素和标准，不作为评标依据。</w:t>
      </w:r>
    </w:p>
    <w:p>
      <w:pPr>
        <w:snapToGrid w:val="0"/>
        <w:spacing w:line="360" w:lineRule="auto"/>
        <w:rPr>
          <w:rFonts w:ascii="宋体" w:hAnsi="宋体" w:cs="宋体"/>
          <w:kern w:val="0"/>
        </w:rPr>
      </w:pPr>
      <w:r>
        <w:rPr>
          <w:rFonts w:hint="eastAsia" w:ascii="宋体" w:hAnsi="宋体" w:cs="宋体"/>
          <w:kern w:val="0"/>
        </w:rPr>
        <w:t>6.3.2评标完成后，评标委员会应当向招标人提交书面评标报告和中标候选人名单。评标委员会推荐中标候选人的人数见投标人须知前附表。</w:t>
      </w:r>
    </w:p>
    <w:p>
      <w:pPr>
        <w:snapToGrid w:val="0"/>
        <w:spacing w:line="360" w:lineRule="auto"/>
        <w:ind w:firstLine="422"/>
        <w:rPr>
          <w:rFonts w:ascii="宋体" w:hAnsi="宋体" w:cs="宋体"/>
          <w:b/>
          <w:bCs/>
          <w:szCs w:val="21"/>
          <w:highlight w:val="white"/>
        </w:rPr>
      </w:pPr>
      <w:r>
        <w:rPr>
          <w:rFonts w:hint="eastAsia" w:ascii="宋体" w:hAnsi="宋体" w:cs="宋体"/>
          <w:b/>
          <w:bCs/>
          <w:kern w:val="0"/>
          <w:szCs w:val="21"/>
        </w:rPr>
        <w:t>6.3.3</w:t>
      </w:r>
      <w:r>
        <w:rPr>
          <w:rFonts w:hint="eastAsia" w:ascii="宋体" w:hAnsi="宋体" w:cs="宋体"/>
          <w:b/>
          <w:bCs/>
          <w:szCs w:val="21"/>
          <w:highlight w:val="white"/>
        </w:rPr>
        <w:t>无效标、废标、串通投标认定条款</w:t>
      </w:r>
    </w:p>
    <w:p>
      <w:pPr>
        <w:spacing w:line="360" w:lineRule="auto"/>
        <w:ind w:firstLine="422"/>
        <w:rPr>
          <w:rFonts w:ascii="宋体" w:hAnsi="宋体" w:cs="宋体"/>
          <w:b/>
          <w:szCs w:val="21"/>
        </w:rPr>
      </w:pPr>
      <w:r>
        <w:rPr>
          <w:rFonts w:hint="eastAsia" w:ascii="宋体" w:hAnsi="宋体" w:cs="宋体"/>
          <w:b/>
          <w:szCs w:val="21"/>
          <w:highlight w:val="white"/>
        </w:rPr>
        <w:t>6.3.3.1无效投标条款</w:t>
      </w:r>
    </w:p>
    <w:p>
      <w:pPr>
        <w:numPr>
          <w:ilvl w:val="0"/>
          <w:numId w:val="8"/>
        </w:numPr>
        <w:spacing w:line="360" w:lineRule="auto"/>
        <w:rPr>
          <w:rFonts w:ascii="宋体" w:hAnsi="宋体" w:cs="宋体"/>
          <w:szCs w:val="21"/>
          <w:highlight w:val="white"/>
        </w:rPr>
      </w:pPr>
      <w:r>
        <w:rPr>
          <w:rFonts w:hint="eastAsia" w:ascii="宋体" w:hAnsi="宋体" w:cs="宋体"/>
          <w:szCs w:val="21"/>
          <w:highlight w:val="white"/>
        </w:rPr>
        <w:t>投标人不符合招标文件规定资格要求的或未按规定提交资质证件的；</w:t>
      </w:r>
    </w:p>
    <w:p>
      <w:pPr>
        <w:numPr>
          <w:ilvl w:val="0"/>
          <w:numId w:val="8"/>
        </w:numPr>
        <w:spacing w:line="360" w:lineRule="auto"/>
        <w:rPr>
          <w:rFonts w:ascii="宋体" w:hAnsi="宋体" w:cs="宋体"/>
          <w:szCs w:val="21"/>
        </w:rPr>
      </w:pPr>
      <w:r>
        <w:rPr>
          <w:rFonts w:hint="eastAsia" w:ascii="宋体" w:hAnsi="宋体" w:cs="宋体"/>
          <w:szCs w:val="21"/>
          <w:highlight w:val="white"/>
        </w:rPr>
        <w:t>投标人在规定的时间未按要求提交投标保证金的；</w:t>
      </w:r>
    </w:p>
    <w:p>
      <w:pPr>
        <w:numPr>
          <w:ilvl w:val="0"/>
          <w:numId w:val="8"/>
        </w:numPr>
        <w:spacing w:line="360" w:lineRule="auto"/>
        <w:rPr>
          <w:rFonts w:ascii="宋体" w:hAnsi="宋体" w:cs="宋体"/>
          <w:szCs w:val="21"/>
        </w:rPr>
      </w:pPr>
      <w:r>
        <w:rPr>
          <w:rFonts w:hint="eastAsia" w:ascii="宋体" w:hAnsi="宋体" w:cs="宋体"/>
          <w:szCs w:val="21"/>
          <w:highlight w:val="white"/>
        </w:rPr>
        <w:t>投标文件签署、盖章不符合招标文件要求的；投标文件中的投标函未加盖投标人的印章及法定代表人签章的；或者在投标截止时间前未提供合法、有效的法定代表人法人资格证明及其居民身份证或其授权委托代理人的法人授权委托书及其居民身份证的；</w:t>
      </w:r>
    </w:p>
    <w:p>
      <w:pPr>
        <w:numPr>
          <w:ilvl w:val="0"/>
          <w:numId w:val="8"/>
        </w:numPr>
        <w:spacing w:line="360" w:lineRule="auto"/>
        <w:rPr>
          <w:rFonts w:ascii="宋体" w:hAnsi="宋体" w:cs="宋体"/>
          <w:szCs w:val="21"/>
        </w:rPr>
      </w:pPr>
      <w:r>
        <w:rPr>
          <w:rFonts w:hint="eastAsia" w:ascii="宋体" w:hAnsi="宋体" w:cs="宋体"/>
          <w:szCs w:val="21"/>
          <w:highlight w:val="white"/>
        </w:rPr>
        <w:t>未按招标文件要求提供投标文件，或者投标文件未能解密且按照招标文件明确的投标文件解密失败的补救方案补救不成功的；</w:t>
      </w:r>
    </w:p>
    <w:p>
      <w:pPr>
        <w:numPr>
          <w:ilvl w:val="0"/>
          <w:numId w:val="8"/>
        </w:numPr>
        <w:spacing w:line="360" w:lineRule="auto"/>
        <w:rPr>
          <w:rFonts w:ascii="宋体" w:hAnsi="宋体" w:cs="宋体"/>
          <w:szCs w:val="21"/>
        </w:rPr>
      </w:pPr>
      <w:r>
        <w:rPr>
          <w:rFonts w:hint="eastAsia" w:ascii="宋体" w:hAnsi="宋体" w:cs="宋体"/>
          <w:szCs w:val="21"/>
          <w:highlight w:val="white"/>
        </w:rPr>
        <w:t>投标文件出现重大偏差，未对招标文件进行实质性响应的；</w:t>
      </w:r>
    </w:p>
    <w:p>
      <w:pPr>
        <w:numPr>
          <w:ilvl w:val="0"/>
          <w:numId w:val="8"/>
        </w:numPr>
        <w:spacing w:line="360" w:lineRule="auto"/>
        <w:rPr>
          <w:rFonts w:ascii="宋体" w:hAnsi="宋体" w:cs="宋体"/>
          <w:szCs w:val="21"/>
        </w:rPr>
      </w:pPr>
      <w:r>
        <w:rPr>
          <w:rFonts w:hint="eastAsia" w:ascii="宋体" w:hAnsi="宋体" w:cs="宋体"/>
          <w:szCs w:val="21"/>
          <w:highlight w:val="white"/>
        </w:rPr>
        <w:t>投标人有本招标文件规定的恶意串通投标情形的；</w:t>
      </w:r>
    </w:p>
    <w:p>
      <w:pPr>
        <w:numPr>
          <w:ilvl w:val="0"/>
          <w:numId w:val="8"/>
        </w:numPr>
        <w:spacing w:line="360" w:lineRule="auto"/>
        <w:rPr>
          <w:rFonts w:ascii="宋体" w:hAnsi="宋体" w:cs="宋体"/>
          <w:szCs w:val="21"/>
        </w:rPr>
      </w:pPr>
      <w:r>
        <w:rPr>
          <w:rFonts w:hint="eastAsia" w:ascii="宋体" w:hAnsi="宋体" w:cs="宋体"/>
          <w:szCs w:val="21"/>
          <w:highlight w:val="white"/>
        </w:rPr>
        <w:t>法人代表（或被授权人）不参加开标会议及质询事宜的；</w:t>
      </w:r>
    </w:p>
    <w:p>
      <w:pPr>
        <w:numPr>
          <w:ilvl w:val="0"/>
          <w:numId w:val="8"/>
        </w:numPr>
        <w:spacing w:line="360" w:lineRule="auto"/>
        <w:rPr>
          <w:rFonts w:ascii="宋体" w:hAnsi="宋体" w:cs="宋体"/>
          <w:szCs w:val="21"/>
        </w:rPr>
      </w:pPr>
      <w:r>
        <w:rPr>
          <w:rFonts w:hint="eastAsia" w:ascii="宋体" w:hAnsi="宋体" w:cs="宋体"/>
          <w:szCs w:val="21"/>
          <w:highlight w:val="white"/>
        </w:rPr>
        <w:t>其它评标委员会认为有必要取消的投标；</w:t>
      </w:r>
    </w:p>
    <w:p>
      <w:pPr>
        <w:numPr>
          <w:ilvl w:val="0"/>
          <w:numId w:val="8"/>
        </w:numPr>
        <w:spacing w:line="360" w:lineRule="auto"/>
        <w:rPr>
          <w:rFonts w:ascii="宋体" w:hAnsi="宋体" w:cs="宋体"/>
          <w:szCs w:val="21"/>
        </w:rPr>
      </w:pPr>
      <w:r>
        <w:rPr>
          <w:rFonts w:hint="eastAsia" w:ascii="宋体" w:hAnsi="宋体" w:cs="宋体"/>
          <w:szCs w:val="21"/>
          <w:highlight w:val="white"/>
        </w:rPr>
        <w:t>法律、法规规定的其它情况。</w:t>
      </w:r>
    </w:p>
    <w:p>
      <w:pPr>
        <w:spacing w:line="360" w:lineRule="auto"/>
        <w:ind w:firstLine="422"/>
        <w:rPr>
          <w:rFonts w:ascii="宋体" w:hAnsi="宋体" w:cs="宋体"/>
          <w:b/>
          <w:szCs w:val="21"/>
        </w:rPr>
      </w:pPr>
      <w:r>
        <w:rPr>
          <w:rFonts w:hint="eastAsia" w:ascii="宋体" w:hAnsi="宋体" w:cs="宋体"/>
          <w:b/>
          <w:szCs w:val="21"/>
          <w:highlight w:val="white"/>
        </w:rPr>
        <w:t>6.3.3.2废标条款</w:t>
      </w:r>
    </w:p>
    <w:p>
      <w:pPr>
        <w:numPr>
          <w:ilvl w:val="0"/>
          <w:numId w:val="9"/>
        </w:numPr>
        <w:snapToGrid w:val="0"/>
        <w:spacing w:line="360" w:lineRule="auto"/>
        <w:rPr>
          <w:rFonts w:ascii="宋体" w:hAnsi="宋体" w:cs="宋体"/>
          <w:szCs w:val="21"/>
          <w:highlight w:val="white"/>
        </w:rPr>
      </w:pPr>
      <w:r>
        <w:rPr>
          <w:rFonts w:hint="eastAsia" w:ascii="宋体" w:hAnsi="宋体" w:cs="宋体"/>
          <w:szCs w:val="21"/>
          <w:highlight w:val="white"/>
        </w:rPr>
        <w:t>符合专业条件的供应商或者对招标文件作实质响应的供应商不足三家的；</w:t>
      </w:r>
    </w:p>
    <w:p>
      <w:pPr>
        <w:numPr>
          <w:ilvl w:val="0"/>
          <w:numId w:val="9"/>
        </w:numPr>
        <w:snapToGrid w:val="0"/>
        <w:spacing w:line="360" w:lineRule="auto"/>
        <w:rPr>
          <w:rFonts w:ascii="宋体" w:hAnsi="宋体" w:cs="宋体"/>
          <w:szCs w:val="21"/>
        </w:rPr>
      </w:pPr>
      <w:r>
        <w:rPr>
          <w:rFonts w:hint="eastAsia" w:ascii="宋体" w:hAnsi="宋体" w:cs="宋体"/>
          <w:szCs w:val="21"/>
          <w:highlight w:val="white"/>
        </w:rPr>
        <w:t>出现影响采购公正的违法、违规行为的；</w:t>
      </w:r>
    </w:p>
    <w:p>
      <w:pPr>
        <w:numPr>
          <w:ilvl w:val="0"/>
          <w:numId w:val="9"/>
        </w:numPr>
        <w:snapToGrid w:val="0"/>
        <w:spacing w:line="360" w:lineRule="auto"/>
        <w:rPr>
          <w:rFonts w:ascii="宋体" w:hAnsi="宋体" w:cs="宋体"/>
          <w:szCs w:val="21"/>
        </w:rPr>
      </w:pPr>
      <w:r>
        <w:rPr>
          <w:rFonts w:hint="eastAsia" w:ascii="宋体" w:hAnsi="宋体" w:cs="宋体"/>
          <w:szCs w:val="21"/>
          <w:highlight w:val="white"/>
        </w:rPr>
        <w:t>投标人的报价均超过了采购预算，且采购人不能支付的；</w:t>
      </w:r>
    </w:p>
    <w:p>
      <w:pPr>
        <w:numPr>
          <w:ilvl w:val="0"/>
          <w:numId w:val="9"/>
        </w:numPr>
        <w:snapToGrid w:val="0"/>
        <w:spacing w:line="360" w:lineRule="auto"/>
        <w:rPr>
          <w:rFonts w:ascii="宋体" w:hAnsi="宋体" w:cs="宋体"/>
          <w:szCs w:val="21"/>
        </w:rPr>
      </w:pPr>
      <w:r>
        <w:rPr>
          <w:rFonts w:hint="eastAsia" w:ascii="宋体" w:hAnsi="宋体" w:cs="宋体"/>
          <w:szCs w:val="21"/>
          <w:highlight w:val="white"/>
        </w:rPr>
        <w:t>因重大变故，采购任务取消的。</w:t>
      </w:r>
    </w:p>
    <w:p>
      <w:pPr>
        <w:spacing w:line="360" w:lineRule="auto"/>
        <w:ind w:firstLine="422"/>
        <w:rPr>
          <w:rFonts w:ascii="宋体" w:hAnsi="宋体" w:cs="宋体"/>
          <w:b/>
          <w:szCs w:val="21"/>
        </w:rPr>
      </w:pPr>
      <w:r>
        <w:rPr>
          <w:rFonts w:hint="eastAsia" w:ascii="宋体" w:hAnsi="宋体" w:cs="宋体"/>
          <w:b/>
          <w:szCs w:val="21"/>
          <w:highlight w:val="white"/>
        </w:rPr>
        <w:t>6.3.3.3取消中标候选人资格条款</w:t>
      </w:r>
    </w:p>
    <w:p>
      <w:pPr>
        <w:numPr>
          <w:ilvl w:val="0"/>
          <w:numId w:val="10"/>
        </w:numPr>
        <w:snapToGrid w:val="0"/>
        <w:spacing w:line="360" w:lineRule="auto"/>
        <w:rPr>
          <w:rFonts w:ascii="宋体" w:hAnsi="宋体" w:cs="宋体"/>
          <w:szCs w:val="21"/>
          <w:highlight w:val="white"/>
        </w:rPr>
      </w:pPr>
      <w:r>
        <w:rPr>
          <w:rFonts w:hint="eastAsia" w:ascii="宋体" w:hAnsi="宋体" w:cs="宋体"/>
          <w:szCs w:val="21"/>
          <w:highlight w:val="white"/>
        </w:rPr>
        <w:t>提供虚假材料谋取中标的；</w:t>
      </w:r>
    </w:p>
    <w:p>
      <w:pPr>
        <w:numPr>
          <w:ilvl w:val="0"/>
          <w:numId w:val="10"/>
        </w:numPr>
        <w:snapToGrid w:val="0"/>
        <w:spacing w:line="360" w:lineRule="auto"/>
        <w:rPr>
          <w:rFonts w:ascii="宋体" w:hAnsi="宋体" w:cs="宋体"/>
          <w:szCs w:val="21"/>
        </w:rPr>
      </w:pPr>
      <w:r>
        <w:rPr>
          <w:rFonts w:hint="eastAsia" w:ascii="宋体" w:hAnsi="宋体" w:cs="宋体"/>
          <w:szCs w:val="21"/>
          <w:highlight w:val="white"/>
        </w:rPr>
        <w:t>采取不正当手段诋毁、排挤其他投标人的；</w:t>
      </w:r>
    </w:p>
    <w:p>
      <w:pPr>
        <w:numPr>
          <w:ilvl w:val="0"/>
          <w:numId w:val="10"/>
        </w:numPr>
        <w:snapToGrid w:val="0"/>
        <w:spacing w:line="360" w:lineRule="auto"/>
        <w:rPr>
          <w:rFonts w:ascii="宋体" w:hAnsi="宋体" w:cs="宋体"/>
          <w:szCs w:val="21"/>
        </w:rPr>
      </w:pPr>
      <w:r>
        <w:rPr>
          <w:rFonts w:hint="eastAsia" w:ascii="宋体" w:hAnsi="宋体" w:cs="宋体"/>
          <w:szCs w:val="21"/>
          <w:highlight w:val="white"/>
        </w:rPr>
        <w:t>与采购人、其他投标人或者采购代理机构恶意串通的；</w:t>
      </w:r>
    </w:p>
    <w:p>
      <w:pPr>
        <w:numPr>
          <w:ilvl w:val="0"/>
          <w:numId w:val="10"/>
        </w:numPr>
        <w:snapToGrid w:val="0"/>
        <w:spacing w:line="360" w:lineRule="auto"/>
        <w:rPr>
          <w:rFonts w:ascii="宋体" w:hAnsi="宋体" w:cs="宋体"/>
          <w:szCs w:val="21"/>
        </w:rPr>
      </w:pPr>
      <w:r>
        <w:rPr>
          <w:rFonts w:hint="eastAsia" w:ascii="宋体" w:hAnsi="宋体" w:cs="宋体"/>
          <w:szCs w:val="21"/>
          <w:highlight w:val="white"/>
        </w:rPr>
        <w:t>向采购人、采购代理机构行贿或者提供其他不正当利益的；</w:t>
      </w:r>
    </w:p>
    <w:p>
      <w:pPr>
        <w:numPr>
          <w:ilvl w:val="0"/>
          <w:numId w:val="10"/>
        </w:numPr>
        <w:snapToGrid w:val="0"/>
        <w:spacing w:line="360" w:lineRule="auto"/>
        <w:rPr>
          <w:rFonts w:ascii="宋体" w:hAnsi="宋体" w:cs="宋体"/>
          <w:szCs w:val="21"/>
        </w:rPr>
      </w:pPr>
      <w:r>
        <w:rPr>
          <w:rFonts w:hint="eastAsia" w:ascii="宋体" w:hAnsi="宋体" w:cs="宋体"/>
          <w:szCs w:val="21"/>
          <w:highlight w:val="white"/>
        </w:rPr>
        <w:t>未在规定时间内与采购人签订采购合同的；</w:t>
      </w:r>
    </w:p>
    <w:p>
      <w:pPr>
        <w:numPr>
          <w:ilvl w:val="0"/>
          <w:numId w:val="10"/>
        </w:numPr>
        <w:snapToGrid w:val="0"/>
        <w:spacing w:line="360" w:lineRule="auto"/>
        <w:rPr>
          <w:rFonts w:ascii="宋体" w:hAnsi="宋体" w:cs="宋体"/>
          <w:szCs w:val="21"/>
        </w:rPr>
      </w:pPr>
      <w:r>
        <w:rPr>
          <w:rFonts w:hint="eastAsia" w:ascii="宋体" w:hAnsi="宋体" w:cs="宋体"/>
          <w:szCs w:val="21"/>
          <w:highlight w:val="white"/>
        </w:rPr>
        <w:t>法律、法规规定的其它情况。</w:t>
      </w:r>
    </w:p>
    <w:p>
      <w:pPr>
        <w:spacing w:line="360" w:lineRule="auto"/>
        <w:ind w:firstLine="422"/>
        <w:rPr>
          <w:rFonts w:ascii="宋体" w:hAnsi="宋体" w:cs="宋体"/>
          <w:b/>
          <w:szCs w:val="21"/>
        </w:rPr>
      </w:pPr>
      <w:r>
        <w:rPr>
          <w:rFonts w:hint="eastAsia" w:ascii="宋体" w:hAnsi="宋体" w:cs="宋体"/>
          <w:b/>
          <w:szCs w:val="21"/>
          <w:highlight w:val="white"/>
        </w:rPr>
        <w:t>6.3.3.4恶意串通投标的情形</w:t>
      </w:r>
    </w:p>
    <w:p>
      <w:pPr>
        <w:snapToGrid w:val="0"/>
        <w:spacing w:line="360" w:lineRule="auto"/>
        <w:rPr>
          <w:rFonts w:ascii="宋体" w:hAnsi="宋体" w:cs="宋体"/>
          <w:szCs w:val="21"/>
        </w:rPr>
      </w:pPr>
      <w:r>
        <w:rPr>
          <w:rFonts w:hint="eastAsia" w:ascii="宋体" w:hAnsi="宋体" w:cs="宋体"/>
          <w:szCs w:val="21"/>
          <w:highlight w:val="white"/>
        </w:rPr>
        <w:t>（1）供应商直接或间接从采购人或采购代理机构处获得其他供应商的投标情况，并修改其投标文件；</w:t>
      </w:r>
    </w:p>
    <w:p>
      <w:pPr>
        <w:snapToGrid w:val="0"/>
        <w:spacing w:line="360" w:lineRule="auto"/>
        <w:rPr>
          <w:rFonts w:ascii="宋体" w:hAnsi="宋体" w:cs="宋体"/>
          <w:szCs w:val="21"/>
        </w:rPr>
      </w:pPr>
      <w:r>
        <w:rPr>
          <w:rFonts w:hint="eastAsia" w:ascii="宋体" w:hAnsi="宋体" w:cs="宋体"/>
          <w:szCs w:val="21"/>
          <w:highlight w:val="white"/>
        </w:rPr>
        <w:t>（2）评审活动开始前供应商直接或间接从采购人或采购代理机构处获得评标委员会组成人员情况；</w:t>
      </w:r>
    </w:p>
    <w:p>
      <w:pPr>
        <w:snapToGrid w:val="0"/>
        <w:spacing w:line="360" w:lineRule="auto"/>
        <w:rPr>
          <w:rFonts w:ascii="宋体" w:hAnsi="宋体" w:cs="宋体"/>
          <w:szCs w:val="21"/>
        </w:rPr>
      </w:pPr>
      <w:r>
        <w:rPr>
          <w:rFonts w:hint="eastAsia" w:ascii="宋体" w:hAnsi="宋体" w:cs="宋体"/>
          <w:szCs w:val="21"/>
          <w:highlight w:val="white"/>
        </w:rPr>
        <w:t>（3）供应商接受采购人或采购代理机构授意撤换、修改投标文件；</w:t>
      </w:r>
    </w:p>
    <w:p>
      <w:pPr>
        <w:snapToGrid w:val="0"/>
        <w:spacing w:line="360" w:lineRule="auto"/>
        <w:rPr>
          <w:rFonts w:ascii="宋体" w:hAnsi="宋体" w:cs="宋体"/>
          <w:szCs w:val="21"/>
        </w:rPr>
      </w:pPr>
      <w:r>
        <w:rPr>
          <w:rFonts w:hint="eastAsia" w:ascii="宋体" w:hAnsi="宋体" w:cs="宋体"/>
          <w:szCs w:val="21"/>
          <w:highlight w:val="white"/>
        </w:rPr>
        <w:t>（4）供应商之间协商投标报价、技术方案等投标文件实质性内容；</w:t>
      </w:r>
    </w:p>
    <w:p>
      <w:pPr>
        <w:snapToGrid w:val="0"/>
        <w:spacing w:line="360" w:lineRule="auto"/>
        <w:rPr>
          <w:rFonts w:ascii="宋体" w:hAnsi="宋体" w:cs="宋体"/>
          <w:szCs w:val="21"/>
        </w:rPr>
      </w:pPr>
      <w:r>
        <w:rPr>
          <w:rFonts w:hint="eastAsia" w:ascii="宋体" w:hAnsi="宋体" w:cs="宋体"/>
          <w:szCs w:val="21"/>
          <w:highlight w:val="white"/>
        </w:rPr>
        <w:t>（5）属于同一集团、协会、商会等组织成员的供应商按照该组织要求协同投标；</w:t>
      </w:r>
    </w:p>
    <w:p>
      <w:pPr>
        <w:snapToGrid w:val="0"/>
        <w:spacing w:line="360" w:lineRule="auto"/>
        <w:rPr>
          <w:rFonts w:ascii="宋体" w:hAnsi="宋体" w:cs="宋体"/>
          <w:szCs w:val="21"/>
        </w:rPr>
      </w:pPr>
      <w:r>
        <w:rPr>
          <w:rFonts w:hint="eastAsia" w:ascii="宋体" w:hAnsi="宋体" w:cs="宋体"/>
          <w:szCs w:val="21"/>
          <w:highlight w:val="white"/>
        </w:rPr>
        <w:t>（6）供应商之间事先约定由某一特定供应商中标、成交；</w:t>
      </w:r>
    </w:p>
    <w:p>
      <w:pPr>
        <w:snapToGrid w:val="0"/>
        <w:spacing w:line="360" w:lineRule="auto"/>
        <w:rPr>
          <w:rFonts w:ascii="宋体" w:hAnsi="宋体" w:cs="宋体"/>
          <w:szCs w:val="21"/>
        </w:rPr>
      </w:pPr>
      <w:r>
        <w:rPr>
          <w:rFonts w:hint="eastAsia" w:ascii="宋体" w:hAnsi="宋体" w:cs="宋体"/>
          <w:szCs w:val="21"/>
          <w:highlight w:val="white"/>
        </w:rPr>
        <w:t>（7）供应商之间商定部分供应商放弃投标或者放弃中标、成交；</w:t>
      </w:r>
    </w:p>
    <w:p>
      <w:pPr>
        <w:snapToGrid w:val="0"/>
        <w:spacing w:line="360" w:lineRule="auto"/>
        <w:rPr>
          <w:rFonts w:ascii="宋体" w:hAnsi="宋体" w:cs="宋体"/>
          <w:szCs w:val="21"/>
        </w:rPr>
      </w:pPr>
      <w:r>
        <w:rPr>
          <w:rFonts w:hint="eastAsia" w:ascii="宋体" w:hAnsi="宋体" w:cs="宋体"/>
          <w:szCs w:val="21"/>
          <w:highlight w:val="white"/>
        </w:rPr>
        <w:t>（8）供应商与采购人或采购代理机构之间、供应商相互之间为谋求特定供应商中标成交或者排斥其他供应商的其他串通行为；</w:t>
      </w:r>
    </w:p>
    <w:p>
      <w:pPr>
        <w:snapToGrid w:val="0"/>
        <w:spacing w:line="360" w:lineRule="auto"/>
        <w:rPr>
          <w:rFonts w:ascii="宋体" w:hAnsi="宋体" w:cs="宋体"/>
          <w:szCs w:val="21"/>
        </w:rPr>
      </w:pPr>
      <w:r>
        <w:rPr>
          <w:rFonts w:hint="eastAsia" w:ascii="宋体" w:hAnsi="宋体" w:cs="宋体"/>
          <w:szCs w:val="21"/>
          <w:highlight w:val="white"/>
        </w:rPr>
        <w:t>（9）不同投标人的投标文件由同一单位或者个人编制；</w:t>
      </w:r>
    </w:p>
    <w:p>
      <w:pPr>
        <w:snapToGrid w:val="0"/>
        <w:spacing w:line="360" w:lineRule="auto"/>
        <w:rPr>
          <w:rFonts w:ascii="宋体" w:hAnsi="宋体" w:cs="宋体"/>
          <w:szCs w:val="21"/>
        </w:rPr>
      </w:pPr>
      <w:r>
        <w:rPr>
          <w:rFonts w:hint="eastAsia" w:ascii="宋体" w:hAnsi="宋体" w:cs="宋体"/>
          <w:szCs w:val="21"/>
          <w:highlight w:val="white"/>
        </w:rPr>
        <w:t>（10）不同投标人委托同一单位或者个人办理投标事宜；</w:t>
      </w:r>
    </w:p>
    <w:p>
      <w:pPr>
        <w:snapToGrid w:val="0"/>
        <w:spacing w:line="360" w:lineRule="auto"/>
        <w:rPr>
          <w:rFonts w:ascii="宋体" w:hAnsi="宋体" w:cs="宋体"/>
          <w:szCs w:val="21"/>
        </w:rPr>
      </w:pPr>
      <w:r>
        <w:rPr>
          <w:rFonts w:hint="eastAsia" w:ascii="宋体" w:hAnsi="宋体" w:cs="宋体"/>
          <w:szCs w:val="21"/>
          <w:highlight w:val="white"/>
        </w:rPr>
        <w:t>（11）不同投标人的投标文件载明的项目管理成员为同一人；</w:t>
      </w:r>
    </w:p>
    <w:p>
      <w:pPr>
        <w:snapToGrid w:val="0"/>
        <w:spacing w:line="360" w:lineRule="auto"/>
        <w:rPr>
          <w:rFonts w:ascii="宋体" w:hAnsi="宋体" w:cs="宋体"/>
          <w:szCs w:val="21"/>
        </w:rPr>
      </w:pPr>
      <w:r>
        <w:rPr>
          <w:rFonts w:hint="eastAsia" w:ascii="宋体" w:hAnsi="宋体" w:cs="宋体"/>
          <w:szCs w:val="21"/>
          <w:highlight w:val="white"/>
        </w:rPr>
        <w:t>（12）不同投标人的投标文件异常一致或者投标报价呈规律性差异；</w:t>
      </w:r>
    </w:p>
    <w:p>
      <w:pPr>
        <w:snapToGrid w:val="0"/>
        <w:spacing w:line="360" w:lineRule="auto"/>
      </w:pPr>
      <w:r>
        <w:rPr>
          <w:rFonts w:hint="eastAsia" w:ascii="宋体" w:hAnsi="宋体" w:cs="宋体"/>
          <w:szCs w:val="21"/>
          <w:highlight w:val="white"/>
        </w:rPr>
        <w:t>（13）不同投标人的投标文件相互混装；</w:t>
      </w:r>
    </w:p>
    <w:p>
      <w:pPr>
        <w:pStyle w:val="5"/>
        <w:snapToGrid w:val="0"/>
        <w:spacing w:before="0" w:after="0" w:line="360" w:lineRule="auto"/>
        <w:rPr>
          <w:rFonts w:ascii="宋体" w:hAnsi="宋体" w:cs="宋体"/>
        </w:rPr>
      </w:pPr>
      <w:bookmarkStart w:id="94" w:name="_Toc3492"/>
      <w:bookmarkStart w:id="95" w:name="_Toc27539"/>
      <w:bookmarkStart w:id="96" w:name="_Toc13674"/>
      <w:bookmarkStart w:id="97" w:name="_Toc25285"/>
      <w:bookmarkStart w:id="98" w:name="_Toc12239"/>
      <w:bookmarkStart w:id="99" w:name="_Toc10225"/>
      <w:bookmarkStart w:id="100" w:name="_Toc40699926"/>
      <w:r>
        <w:rPr>
          <w:rFonts w:hint="eastAsia" w:ascii="宋体" w:hAnsi="宋体" w:cs="宋体"/>
        </w:rPr>
        <w:t>7.合同授予</w:t>
      </w:r>
      <w:bookmarkEnd w:id="94"/>
      <w:bookmarkEnd w:id="95"/>
      <w:bookmarkEnd w:id="96"/>
      <w:bookmarkEnd w:id="97"/>
      <w:bookmarkEnd w:id="98"/>
      <w:bookmarkEnd w:id="99"/>
      <w:bookmarkEnd w:id="100"/>
    </w:p>
    <w:p>
      <w:pPr>
        <w:snapToGrid w:val="0"/>
        <w:spacing w:line="360" w:lineRule="auto"/>
        <w:rPr>
          <w:rFonts w:ascii="宋体" w:hAnsi="宋体" w:cs="宋体"/>
          <w:kern w:val="0"/>
        </w:rPr>
      </w:pPr>
      <w:bookmarkStart w:id="101" w:name="_Toc443"/>
      <w:bookmarkStart w:id="102" w:name="_Toc17614"/>
      <w:r>
        <w:rPr>
          <w:rFonts w:hint="eastAsia" w:ascii="宋体" w:hAnsi="宋体" w:cs="宋体"/>
          <w:kern w:val="0"/>
        </w:rPr>
        <w:t>7.1中标候选人公示</w:t>
      </w:r>
      <w:bookmarkEnd w:id="101"/>
      <w:bookmarkEnd w:id="102"/>
    </w:p>
    <w:p>
      <w:pPr>
        <w:snapToGrid w:val="0"/>
        <w:spacing w:line="360" w:lineRule="auto"/>
        <w:rPr>
          <w:rFonts w:ascii="宋体" w:hAnsi="宋体" w:cs="宋体"/>
          <w:kern w:val="0"/>
        </w:rPr>
      </w:pPr>
      <w:r>
        <w:rPr>
          <w:rFonts w:hint="eastAsia" w:ascii="宋体" w:hAnsi="宋体" w:cs="宋体"/>
          <w:kern w:val="0"/>
        </w:rPr>
        <w:t>招标人在收到评标报告后，按照投标人须知前附表规定的公示媒介和期限公示中标候选人，公示期不得少于3个工作日。</w:t>
      </w:r>
    </w:p>
    <w:p>
      <w:pPr>
        <w:snapToGrid w:val="0"/>
        <w:spacing w:line="360" w:lineRule="auto"/>
        <w:rPr>
          <w:rFonts w:ascii="宋体" w:hAnsi="宋体" w:cs="宋体"/>
          <w:kern w:val="0"/>
        </w:rPr>
      </w:pPr>
      <w:bookmarkStart w:id="103" w:name="_Toc1530"/>
      <w:bookmarkStart w:id="104" w:name="_Toc23256"/>
      <w:r>
        <w:rPr>
          <w:rFonts w:hint="eastAsia" w:ascii="宋体" w:hAnsi="宋体" w:cs="宋体"/>
          <w:kern w:val="0"/>
        </w:rPr>
        <w:t>7.2评标结果异议</w:t>
      </w:r>
      <w:bookmarkEnd w:id="103"/>
      <w:bookmarkEnd w:id="104"/>
    </w:p>
    <w:p>
      <w:pPr>
        <w:snapToGrid w:val="0"/>
        <w:spacing w:line="360" w:lineRule="auto"/>
        <w:rPr>
          <w:rFonts w:ascii="宋体" w:hAnsi="宋体" w:cs="宋体"/>
          <w:kern w:val="0"/>
        </w:rPr>
      </w:pPr>
      <w:r>
        <w:rPr>
          <w:rFonts w:hint="eastAsia" w:ascii="宋体" w:hAnsi="宋体" w:cs="宋体"/>
          <w:kern w:val="0"/>
        </w:rPr>
        <w:t>投标人或者其他利害关系人对评标结果有异议的，应当在中标候选人公示期间提出。招标人将在收到异议之日起 3 日内作出答复；作出答复前，将暂停招标投标活动。</w:t>
      </w:r>
    </w:p>
    <w:p>
      <w:pPr>
        <w:snapToGrid w:val="0"/>
        <w:spacing w:line="360" w:lineRule="auto"/>
        <w:rPr>
          <w:rFonts w:ascii="宋体" w:hAnsi="宋体" w:cs="宋体"/>
          <w:kern w:val="0"/>
        </w:rPr>
      </w:pPr>
      <w:bookmarkStart w:id="105" w:name="_Toc6962"/>
      <w:bookmarkStart w:id="106" w:name="_Toc22097"/>
      <w:r>
        <w:rPr>
          <w:rFonts w:hint="eastAsia" w:ascii="宋体" w:hAnsi="宋体" w:cs="宋体"/>
          <w:kern w:val="0"/>
        </w:rPr>
        <w:t>7.3中标候选人履约能力审查</w:t>
      </w:r>
      <w:bookmarkEnd w:id="105"/>
      <w:bookmarkEnd w:id="106"/>
    </w:p>
    <w:p>
      <w:pPr>
        <w:snapToGrid w:val="0"/>
        <w:spacing w:line="360" w:lineRule="auto"/>
        <w:rPr>
          <w:rFonts w:ascii="宋体" w:hAnsi="宋体" w:cs="宋体"/>
          <w:kern w:val="0"/>
        </w:rPr>
      </w:pPr>
      <w:r>
        <w:rPr>
          <w:rFonts w:hint="eastAsia" w:ascii="宋体" w:hAnsi="宋体" w:cs="宋体"/>
          <w:kern w:val="0"/>
        </w:rPr>
        <w:t>中标候选人的经营、财务状况发生较大变化或存在违法行为，招标人认为可能影响其履约能力的，将在发出中标通知书前提请原评标委员会按照招标文件规定的标准和方法进行审查确认。</w:t>
      </w:r>
    </w:p>
    <w:p>
      <w:pPr>
        <w:snapToGrid w:val="0"/>
        <w:spacing w:line="360" w:lineRule="auto"/>
        <w:rPr>
          <w:rFonts w:ascii="宋体" w:hAnsi="宋体" w:cs="宋体"/>
          <w:kern w:val="0"/>
        </w:rPr>
      </w:pPr>
      <w:bookmarkStart w:id="107" w:name="_Toc31335"/>
      <w:bookmarkStart w:id="108" w:name="_Toc28160"/>
      <w:r>
        <w:rPr>
          <w:rFonts w:hint="eastAsia" w:ascii="宋体" w:hAnsi="宋体" w:cs="宋体"/>
          <w:kern w:val="0"/>
        </w:rPr>
        <w:t>7.4定标</w:t>
      </w:r>
      <w:bookmarkEnd w:id="107"/>
      <w:bookmarkEnd w:id="108"/>
    </w:p>
    <w:p>
      <w:pPr>
        <w:snapToGrid w:val="0"/>
        <w:spacing w:line="360" w:lineRule="auto"/>
        <w:rPr>
          <w:rFonts w:ascii="宋体" w:hAnsi="宋体" w:cs="宋体"/>
          <w:kern w:val="0"/>
        </w:rPr>
      </w:pPr>
      <w:r>
        <w:rPr>
          <w:rFonts w:hint="eastAsia" w:ascii="宋体" w:hAnsi="宋体" w:cs="宋体"/>
          <w:kern w:val="0"/>
        </w:rPr>
        <w:t>按照投标人须知前附表的规定，招标人或招标人授权的评标委员会依法确定中标人。</w:t>
      </w:r>
    </w:p>
    <w:p>
      <w:pPr>
        <w:snapToGrid w:val="0"/>
        <w:spacing w:line="360" w:lineRule="auto"/>
        <w:rPr>
          <w:rFonts w:ascii="宋体" w:hAnsi="宋体" w:cs="宋体"/>
          <w:kern w:val="0"/>
        </w:rPr>
      </w:pPr>
      <w:bookmarkStart w:id="109" w:name="_Toc5423"/>
      <w:bookmarkStart w:id="110" w:name="_Toc7363"/>
      <w:r>
        <w:rPr>
          <w:rFonts w:hint="eastAsia" w:ascii="宋体" w:hAnsi="宋体" w:cs="宋体"/>
          <w:kern w:val="0"/>
        </w:rPr>
        <w:t>7.5中标通知</w:t>
      </w:r>
      <w:bookmarkEnd w:id="109"/>
      <w:bookmarkEnd w:id="110"/>
    </w:p>
    <w:p>
      <w:pPr>
        <w:snapToGrid w:val="0"/>
        <w:spacing w:line="360" w:lineRule="auto"/>
        <w:rPr>
          <w:rFonts w:ascii="宋体" w:hAnsi="宋体" w:cs="宋体"/>
          <w:kern w:val="0"/>
        </w:rPr>
      </w:pPr>
      <w:r>
        <w:rPr>
          <w:rFonts w:hint="eastAsia" w:ascii="宋体" w:hAnsi="宋体" w:cs="宋体"/>
          <w:kern w:val="0"/>
        </w:rPr>
        <w:t>在本章第3.3款规定的投标有效期内，招标人以书面形式向中标人发出中标通知书，同时将中标结果通知未中标的投标人。</w:t>
      </w:r>
    </w:p>
    <w:p>
      <w:pPr>
        <w:snapToGrid w:val="0"/>
        <w:spacing w:line="360" w:lineRule="auto"/>
      </w:pPr>
      <w:bookmarkStart w:id="111" w:name="_Toc24577"/>
      <w:bookmarkStart w:id="112" w:name="_Toc28488"/>
      <w:r>
        <w:rPr>
          <w:rFonts w:hint="eastAsia" w:ascii="宋体" w:hAnsi="宋体" w:cs="宋体"/>
          <w:kern w:val="0"/>
        </w:rPr>
        <w:t>7.6履约保证金</w:t>
      </w:r>
      <w:bookmarkEnd w:id="111"/>
      <w:bookmarkEnd w:id="112"/>
    </w:p>
    <w:p>
      <w:pPr>
        <w:snapToGrid w:val="0"/>
        <w:spacing w:line="360" w:lineRule="auto"/>
        <w:rPr>
          <w:rFonts w:ascii="宋体" w:hAnsi="宋体" w:cs="宋体"/>
          <w:b/>
          <w:bCs/>
          <w:kern w:val="0"/>
        </w:rPr>
      </w:pPr>
      <w:r>
        <w:rPr>
          <w:rFonts w:hint="eastAsia" w:ascii="宋体" w:hAnsi="宋体" w:cs="宋体"/>
          <w:kern w:val="0"/>
        </w:rPr>
        <w:t>7.6.1中标人应于中标后3个工作日内，在与采购人签订合同前，按投标人须知前附表规定的形式、金额向招标人提交履约保证金。除投标人须知前附表另有规定外，</w:t>
      </w:r>
      <w:r>
        <w:rPr>
          <w:rFonts w:hint="eastAsia" w:ascii="宋体" w:hAnsi="宋体" w:cs="宋体"/>
          <w:b/>
          <w:bCs/>
          <w:kern w:val="0"/>
        </w:rPr>
        <w:t>履约保证金为</w:t>
      </w:r>
      <w:r>
        <w:rPr>
          <w:rFonts w:hint="eastAsia" w:ascii="宋体" w:hAnsi="宋体" w:cs="宋体"/>
          <w:kern w:val="0"/>
          <w:u w:val="single"/>
        </w:rPr>
        <w:t>/</w:t>
      </w:r>
      <w:r>
        <w:rPr>
          <w:rFonts w:hint="eastAsia" w:ascii="宋体" w:hAnsi="宋体" w:cs="宋体"/>
          <w:b/>
          <w:bCs/>
          <w:kern w:val="0"/>
        </w:rPr>
        <w:t>。</w:t>
      </w:r>
    </w:p>
    <w:p>
      <w:pPr>
        <w:snapToGrid w:val="0"/>
        <w:spacing w:line="360" w:lineRule="auto"/>
        <w:rPr>
          <w:rFonts w:ascii="宋体" w:hAnsi="宋体" w:cs="宋体"/>
          <w:kern w:val="0"/>
        </w:rPr>
      </w:pPr>
      <w:r>
        <w:rPr>
          <w:rFonts w:hint="eastAsia" w:ascii="宋体" w:hAnsi="宋体" w:cs="宋体"/>
          <w:kern w:val="0"/>
        </w:rPr>
        <w:t>7.6.2中标人不能按本章第7.6.1项要求提交履约保证金的，视为放弃中标，其投标保证金不予退还，给招标人造成的损失超过投标保证金数额的，中标人还应当对超过部分予以赔偿。</w:t>
      </w:r>
    </w:p>
    <w:p>
      <w:pPr>
        <w:snapToGrid w:val="0"/>
        <w:spacing w:line="360" w:lineRule="auto"/>
      </w:pPr>
      <w:r>
        <w:rPr>
          <w:rFonts w:hint="eastAsia" w:ascii="宋体" w:hAnsi="宋体" w:cs="宋体"/>
          <w:kern w:val="0"/>
        </w:rPr>
        <w:t>7.6.3项目完成验收后，中标人凭采购人出具的验收报告、履约保证金收据办理退付履约保证金手续，履约保证金将无息退回至中标人法人账户中。</w:t>
      </w:r>
    </w:p>
    <w:p>
      <w:pPr>
        <w:snapToGrid w:val="0"/>
        <w:spacing w:line="360" w:lineRule="auto"/>
        <w:rPr>
          <w:rFonts w:ascii="宋体" w:hAnsi="宋体" w:cs="宋体"/>
          <w:kern w:val="0"/>
        </w:rPr>
      </w:pPr>
      <w:bookmarkStart w:id="113" w:name="_Toc9918"/>
      <w:r>
        <w:rPr>
          <w:rFonts w:hint="eastAsia" w:ascii="宋体" w:hAnsi="宋体" w:cs="宋体"/>
          <w:kern w:val="0"/>
        </w:rPr>
        <w:t>7.7签订合同</w:t>
      </w:r>
      <w:bookmarkEnd w:id="113"/>
    </w:p>
    <w:p>
      <w:pPr>
        <w:snapToGrid w:val="0"/>
        <w:spacing w:line="360" w:lineRule="auto"/>
        <w:rPr>
          <w:rFonts w:ascii="宋体" w:hAnsi="宋体" w:cs="宋体"/>
          <w:kern w:val="0"/>
        </w:rPr>
      </w:pPr>
      <w:r>
        <w:rPr>
          <w:rFonts w:hint="eastAsia" w:ascii="宋体" w:hAnsi="宋体" w:cs="宋体"/>
          <w:kern w:val="0"/>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spacing w:line="360" w:lineRule="auto"/>
        <w:rPr>
          <w:rFonts w:ascii="宋体" w:hAnsi="宋体" w:cs="宋体"/>
          <w:kern w:val="0"/>
        </w:rPr>
      </w:pPr>
      <w:r>
        <w:rPr>
          <w:rFonts w:hint="eastAsia" w:ascii="宋体" w:hAnsi="宋体" w:cs="宋体"/>
          <w:kern w:val="0"/>
        </w:rPr>
        <w:t>7.7.2发出中标通知书后，招标人无正当理由拒签合同，或者在签订合同时向中标人提出附加条件的，招标人向中标人退还投标保证金；给中标人造成损失的，还应当赔偿损失。</w:t>
      </w:r>
    </w:p>
    <w:p>
      <w:pPr>
        <w:snapToGrid w:val="0"/>
        <w:spacing w:line="360" w:lineRule="auto"/>
        <w:rPr>
          <w:rFonts w:ascii="宋体" w:hAnsi="宋体" w:cs="宋体"/>
          <w:kern w:val="0"/>
        </w:rPr>
      </w:pPr>
      <w:r>
        <w:rPr>
          <w:rFonts w:hint="eastAsia" w:ascii="宋体" w:hAnsi="宋体" w:cs="宋体"/>
          <w:kern w:val="0"/>
        </w:rPr>
        <w:t>7.7.3联合体中标的，联合体各方应当共同与招标人签订合同，就中标项目向招标人承担连带责任。</w:t>
      </w:r>
    </w:p>
    <w:p>
      <w:pPr>
        <w:pStyle w:val="5"/>
        <w:snapToGrid w:val="0"/>
        <w:spacing w:before="0" w:after="0" w:line="360" w:lineRule="auto"/>
        <w:rPr>
          <w:rFonts w:ascii="宋体" w:hAnsi="宋体" w:cs="宋体"/>
        </w:rPr>
      </w:pPr>
      <w:bookmarkStart w:id="114" w:name="_Toc20749"/>
      <w:bookmarkStart w:id="115" w:name="_Toc26734"/>
      <w:bookmarkStart w:id="116" w:name="_Toc40699927"/>
      <w:bookmarkStart w:id="117" w:name="_Toc17066"/>
      <w:bookmarkStart w:id="118" w:name="_Toc12889"/>
      <w:bookmarkStart w:id="119" w:name="_Toc2490"/>
      <w:bookmarkStart w:id="120" w:name="_Toc15957"/>
      <w:r>
        <w:rPr>
          <w:rFonts w:hint="eastAsia" w:ascii="宋体" w:hAnsi="宋体" w:cs="宋体"/>
        </w:rPr>
        <w:t>8.纪律和监督</w:t>
      </w:r>
      <w:bookmarkEnd w:id="114"/>
      <w:bookmarkEnd w:id="115"/>
      <w:bookmarkEnd w:id="116"/>
      <w:bookmarkEnd w:id="117"/>
      <w:bookmarkEnd w:id="118"/>
      <w:bookmarkEnd w:id="119"/>
      <w:bookmarkEnd w:id="120"/>
    </w:p>
    <w:p>
      <w:pPr>
        <w:snapToGrid w:val="0"/>
        <w:spacing w:line="360" w:lineRule="auto"/>
        <w:rPr>
          <w:rFonts w:ascii="宋体" w:hAnsi="宋体" w:cs="宋体"/>
          <w:kern w:val="0"/>
        </w:rPr>
      </w:pPr>
      <w:bookmarkStart w:id="121" w:name="_Toc15697"/>
      <w:bookmarkStart w:id="122" w:name="_Toc14910"/>
      <w:r>
        <w:rPr>
          <w:rFonts w:hint="eastAsia" w:ascii="宋体" w:hAnsi="宋体" w:cs="宋体"/>
          <w:kern w:val="0"/>
        </w:rPr>
        <w:t>8.1对招标人的纪律要求</w:t>
      </w:r>
      <w:bookmarkEnd w:id="121"/>
      <w:bookmarkEnd w:id="122"/>
    </w:p>
    <w:p>
      <w:pPr>
        <w:snapToGrid w:val="0"/>
        <w:spacing w:line="360" w:lineRule="auto"/>
        <w:rPr>
          <w:rFonts w:ascii="宋体" w:hAnsi="宋体" w:cs="宋体"/>
          <w:kern w:val="0"/>
        </w:rPr>
      </w:pPr>
      <w:r>
        <w:rPr>
          <w:rFonts w:hint="eastAsia" w:ascii="宋体" w:hAnsi="宋体" w:cs="宋体"/>
          <w:kern w:val="0"/>
        </w:rPr>
        <w:t>招标人不得泄露招标投标活动中应当保密的情况和资料，不得与投标人串通损害国家利益、社会公共利益或者他人合法权益。</w:t>
      </w:r>
    </w:p>
    <w:p>
      <w:pPr>
        <w:snapToGrid w:val="0"/>
        <w:spacing w:line="360" w:lineRule="auto"/>
        <w:rPr>
          <w:rFonts w:ascii="宋体" w:hAnsi="宋体" w:cs="宋体"/>
          <w:kern w:val="0"/>
        </w:rPr>
      </w:pPr>
      <w:bookmarkStart w:id="123" w:name="_Toc17821"/>
      <w:bookmarkStart w:id="124" w:name="_Toc30658"/>
      <w:r>
        <w:rPr>
          <w:rFonts w:hint="eastAsia" w:ascii="宋体" w:hAnsi="宋体" w:cs="宋体"/>
          <w:kern w:val="0"/>
        </w:rPr>
        <w:t>8.2对投标人的纪律要求</w:t>
      </w:r>
      <w:bookmarkEnd w:id="123"/>
      <w:bookmarkEnd w:id="124"/>
    </w:p>
    <w:p>
      <w:pPr>
        <w:snapToGrid w:val="0"/>
        <w:spacing w:line="360" w:lineRule="auto"/>
        <w:rPr>
          <w:rFonts w:ascii="宋体" w:hAnsi="宋体" w:cs="宋体"/>
          <w:kern w:val="0"/>
        </w:rPr>
      </w:pPr>
      <w:r>
        <w:rPr>
          <w:rFonts w:hint="eastAsia" w:ascii="宋体" w:hAnsi="宋体" w:cs="宋体"/>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360" w:lineRule="auto"/>
        <w:rPr>
          <w:rFonts w:ascii="宋体" w:hAnsi="宋体" w:cs="宋体"/>
          <w:kern w:val="0"/>
        </w:rPr>
      </w:pPr>
      <w:bookmarkStart w:id="125" w:name="_Toc13412"/>
      <w:bookmarkStart w:id="126" w:name="_Toc32673"/>
      <w:r>
        <w:rPr>
          <w:rFonts w:hint="eastAsia" w:ascii="宋体" w:hAnsi="宋体" w:cs="宋体"/>
          <w:kern w:val="0"/>
        </w:rPr>
        <w:t>8.3对评标委员会成员的纪律要求</w:t>
      </w:r>
      <w:bookmarkEnd w:id="125"/>
      <w:bookmarkEnd w:id="126"/>
    </w:p>
    <w:p>
      <w:pPr>
        <w:snapToGrid w:val="0"/>
        <w:spacing w:line="360" w:lineRule="auto"/>
        <w:rPr>
          <w:rFonts w:ascii="宋体" w:hAnsi="宋体" w:cs="宋体"/>
          <w:kern w:val="0"/>
        </w:rPr>
      </w:pPr>
      <w:r>
        <w:rPr>
          <w:rFonts w:hint="eastAsia" w:ascii="宋体" w:hAnsi="宋体" w:cs="宋体"/>
          <w:kern w:val="0"/>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napToGrid w:val="0"/>
        <w:spacing w:line="360" w:lineRule="auto"/>
        <w:rPr>
          <w:rFonts w:ascii="宋体" w:hAnsi="宋体" w:cs="宋体"/>
          <w:kern w:val="0"/>
        </w:rPr>
      </w:pPr>
      <w:bookmarkStart w:id="127" w:name="_Toc16315"/>
      <w:bookmarkStart w:id="128" w:name="_Toc25524"/>
      <w:r>
        <w:rPr>
          <w:rFonts w:hint="eastAsia" w:ascii="宋体" w:hAnsi="宋体" w:cs="宋体"/>
          <w:kern w:val="0"/>
        </w:rPr>
        <w:t>8.4对与评标活动有关的工作人员的纪律要求</w:t>
      </w:r>
      <w:bookmarkEnd w:id="127"/>
      <w:bookmarkEnd w:id="128"/>
    </w:p>
    <w:p>
      <w:pPr>
        <w:snapToGrid w:val="0"/>
        <w:spacing w:line="360" w:lineRule="auto"/>
        <w:rPr>
          <w:rFonts w:ascii="宋体" w:hAnsi="宋体" w:cs="宋体"/>
          <w:kern w:val="0"/>
        </w:rPr>
      </w:pPr>
      <w:r>
        <w:rPr>
          <w:rFonts w:hint="eastAsia" w:ascii="宋体" w:hAnsi="宋体" w:cs="宋体"/>
          <w:kern w:val="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rPr>
          <w:rFonts w:ascii="宋体" w:hAnsi="宋体" w:cs="宋体"/>
          <w:kern w:val="0"/>
        </w:rPr>
      </w:pPr>
      <w:bookmarkStart w:id="129" w:name="_Toc19865"/>
      <w:bookmarkStart w:id="130" w:name="_Toc2722"/>
      <w:r>
        <w:rPr>
          <w:rFonts w:hint="eastAsia" w:ascii="宋体" w:hAnsi="宋体" w:cs="宋体"/>
          <w:kern w:val="0"/>
        </w:rPr>
        <w:t>8.5质疑与投诉</w:t>
      </w:r>
      <w:bookmarkEnd w:id="129"/>
      <w:bookmarkEnd w:id="130"/>
    </w:p>
    <w:p>
      <w:pPr>
        <w:snapToGrid w:val="0"/>
        <w:spacing w:line="360" w:lineRule="auto"/>
        <w:rPr>
          <w:rFonts w:ascii="宋体" w:hAnsi="宋体" w:cs="宋体"/>
          <w:kern w:val="0"/>
        </w:rPr>
      </w:pPr>
      <w:r>
        <w:rPr>
          <w:rFonts w:hint="eastAsia" w:ascii="宋体" w:hAnsi="宋体" w:cs="宋体"/>
          <w:kern w:val="0"/>
        </w:rPr>
        <w:t>8.5.1质疑人必须是直接参加本次招标活动的当事人。投标人认为采购文件、采购过程和中标结果使自己的权益受到损害的，可以在知道或者应知其权益受到损害之日起七个工作日内（具体起算时间见34.2），将质疑函以书面形式由法定代表人或法人授权代表送达采购代理机构或采购单位。质疑超出采购机构代理范围的，供应商应当向采购人提出。</w:t>
      </w:r>
    </w:p>
    <w:p>
      <w:pPr>
        <w:spacing w:line="360" w:lineRule="auto"/>
        <w:rPr>
          <w:rFonts w:ascii="宋体" w:hAnsi="宋体" w:cs="宋体"/>
          <w:szCs w:val="21"/>
        </w:rPr>
      </w:pPr>
      <w:r>
        <w:rPr>
          <w:rFonts w:hint="eastAsia" w:ascii="宋体" w:hAnsi="宋体" w:cs="宋体"/>
          <w:szCs w:val="21"/>
          <w:highlight w:val="white"/>
        </w:rPr>
        <w:t>8.5.2质疑起算时间</w:t>
      </w:r>
    </w:p>
    <w:p>
      <w:pPr>
        <w:spacing w:line="360" w:lineRule="auto"/>
        <w:rPr>
          <w:rFonts w:ascii="宋体" w:hAnsi="宋体" w:cs="宋体"/>
          <w:szCs w:val="21"/>
        </w:rPr>
      </w:pPr>
      <w:r>
        <w:rPr>
          <w:rFonts w:hint="eastAsia" w:ascii="宋体" w:hAnsi="宋体" w:cs="宋体"/>
          <w:szCs w:val="21"/>
          <w:highlight w:val="white"/>
        </w:rPr>
        <w:t>（1）对本项目采购文件提出质疑的，为采购文件公告期限届满之日；</w:t>
      </w:r>
    </w:p>
    <w:p>
      <w:pPr>
        <w:spacing w:line="360" w:lineRule="auto"/>
        <w:rPr>
          <w:rFonts w:ascii="宋体" w:hAnsi="宋体" w:cs="宋体"/>
          <w:szCs w:val="21"/>
        </w:rPr>
      </w:pPr>
      <w:r>
        <w:rPr>
          <w:rFonts w:hint="eastAsia" w:ascii="宋体" w:hAnsi="宋体" w:cs="宋体"/>
          <w:szCs w:val="21"/>
          <w:highlight w:val="white"/>
        </w:rPr>
        <w:t>（2）对本项目采购过程提出质疑的，为各采购程序环节结束之日；</w:t>
      </w:r>
    </w:p>
    <w:p>
      <w:pPr>
        <w:spacing w:line="360" w:lineRule="auto"/>
        <w:rPr>
          <w:rFonts w:ascii="宋体" w:hAnsi="宋体" w:cs="宋体"/>
          <w:szCs w:val="21"/>
        </w:rPr>
      </w:pPr>
      <w:r>
        <w:rPr>
          <w:rFonts w:hint="eastAsia" w:ascii="宋体" w:hAnsi="宋体" w:cs="宋体"/>
          <w:szCs w:val="21"/>
          <w:highlight w:val="white"/>
        </w:rPr>
        <w:t>（3）对本项目中标或者成交结果提出质疑的，为中标或者成交结果公告期限届满之日。</w:t>
      </w:r>
    </w:p>
    <w:p>
      <w:pPr>
        <w:spacing w:line="360" w:lineRule="auto"/>
        <w:rPr>
          <w:rFonts w:ascii="宋体" w:hAnsi="宋体" w:cs="宋体"/>
          <w:szCs w:val="21"/>
        </w:rPr>
      </w:pPr>
      <w:r>
        <w:rPr>
          <w:rFonts w:hint="eastAsia" w:ascii="宋体" w:hAnsi="宋体" w:cs="宋体"/>
          <w:szCs w:val="21"/>
          <w:highlight w:val="white"/>
        </w:rPr>
        <w:t>8.5.3投标人委托代理质疑的，应当向代理人提交授权委托书，并载明委托代理的具体权限和事项。委托代理人须为质疑人正式工作人员，提供近三个月内质疑人为其缴纳社会保险的证明。</w:t>
      </w:r>
    </w:p>
    <w:p>
      <w:pPr>
        <w:spacing w:line="360" w:lineRule="auto"/>
        <w:rPr>
          <w:rFonts w:ascii="宋体" w:hAnsi="宋体" w:cs="宋体"/>
          <w:szCs w:val="21"/>
        </w:rPr>
      </w:pPr>
      <w:r>
        <w:rPr>
          <w:rFonts w:hint="eastAsia" w:ascii="宋体" w:hAnsi="宋体" w:cs="宋体"/>
          <w:szCs w:val="21"/>
          <w:highlight w:val="white"/>
        </w:rPr>
        <w:t>8.5.4质疑函的必备内容</w:t>
      </w:r>
    </w:p>
    <w:p>
      <w:pPr>
        <w:spacing w:line="360" w:lineRule="auto"/>
        <w:rPr>
          <w:rFonts w:ascii="宋体" w:hAnsi="宋体" w:cs="宋体"/>
          <w:szCs w:val="21"/>
        </w:rPr>
      </w:pPr>
      <w:r>
        <w:rPr>
          <w:rFonts w:hint="eastAsia" w:ascii="宋体" w:hAnsi="宋体" w:cs="宋体"/>
          <w:szCs w:val="21"/>
          <w:highlight w:val="white"/>
        </w:rPr>
        <w:t>（1）质疑函必须注明质疑人单位名称、详细地址、邮编、单位和法定代表人电话号码、联系人及电话；</w:t>
      </w:r>
    </w:p>
    <w:p>
      <w:pPr>
        <w:spacing w:line="360" w:lineRule="auto"/>
        <w:rPr>
          <w:rFonts w:ascii="宋体" w:hAnsi="宋体" w:cs="宋体"/>
          <w:szCs w:val="21"/>
        </w:rPr>
      </w:pPr>
      <w:r>
        <w:rPr>
          <w:rFonts w:hint="eastAsia" w:ascii="宋体" w:hAnsi="宋体" w:cs="宋体"/>
          <w:szCs w:val="21"/>
          <w:highlight w:val="white"/>
        </w:rPr>
        <w:t>（2）所参加项目的具体质疑事项及事实依据；</w:t>
      </w:r>
    </w:p>
    <w:p>
      <w:pPr>
        <w:spacing w:line="360" w:lineRule="auto"/>
        <w:rPr>
          <w:rFonts w:ascii="宋体" w:hAnsi="宋体" w:cs="宋体"/>
          <w:szCs w:val="21"/>
        </w:rPr>
      </w:pPr>
      <w:r>
        <w:rPr>
          <w:rFonts w:hint="eastAsia" w:ascii="宋体" w:hAnsi="宋体" w:cs="宋体"/>
          <w:szCs w:val="21"/>
          <w:highlight w:val="white"/>
        </w:rPr>
        <w:t>（3）认为自己合法权益受到损害或可能受到损害的相关证据材料；</w:t>
      </w:r>
    </w:p>
    <w:p>
      <w:pPr>
        <w:spacing w:line="360" w:lineRule="auto"/>
        <w:rPr>
          <w:rFonts w:ascii="宋体" w:hAnsi="宋体" w:cs="宋体"/>
          <w:szCs w:val="21"/>
        </w:rPr>
      </w:pPr>
      <w:r>
        <w:rPr>
          <w:rFonts w:hint="eastAsia" w:ascii="宋体" w:hAnsi="宋体" w:cs="宋体"/>
          <w:szCs w:val="21"/>
          <w:highlight w:val="white"/>
        </w:rPr>
        <w:t xml:space="preserve">（4）提起质疑的日期； </w:t>
      </w:r>
    </w:p>
    <w:p>
      <w:pPr>
        <w:spacing w:line="360" w:lineRule="auto"/>
        <w:rPr>
          <w:rFonts w:ascii="宋体" w:hAnsi="宋体" w:cs="宋体"/>
          <w:szCs w:val="21"/>
        </w:rPr>
      </w:pPr>
      <w:r>
        <w:rPr>
          <w:rFonts w:hint="eastAsia" w:ascii="宋体" w:hAnsi="宋体" w:cs="宋体"/>
          <w:szCs w:val="21"/>
          <w:highlight w:val="white"/>
        </w:rPr>
        <w:t>（5）质疑函必须由法定代表人签字并加盖公章。</w:t>
      </w:r>
    </w:p>
    <w:p>
      <w:pPr>
        <w:spacing w:line="360" w:lineRule="auto"/>
        <w:rPr>
          <w:rFonts w:ascii="宋体" w:hAnsi="宋体" w:cs="宋体"/>
          <w:szCs w:val="21"/>
        </w:rPr>
      </w:pPr>
      <w:r>
        <w:rPr>
          <w:rFonts w:hint="eastAsia" w:ascii="宋体" w:hAnsi="宋体" w:cs="宋体"/>
          <w:szCs w:val="21"/>
          <w:highlight w:val="white"/>
        </w:rPr>
        <w:t>8.5.5质疑应符合下列条件：</w:t>
      </w:r>
    </w:p>
    <w:p>
      <w:pPr>
        <w:spacing w:line="360" w:lineRule="auto"/>
        <w:rPr>
          <w:rFonts w:ascii="宋体" w:hAnsi="宋体" w:cs="宋体"/>
          <w:szCs w:val="21"/>
        </w:rPr>
      </w:pPr>
      <w:r>
        <w:rPr>
          <w:rFonts w:hint="eastAsia" w:ascii="宋体" w:hAnsi="宋体" w:cs="宋体"/>
          <w:szCs w:val="21"/>
          <w:highlight w:val="white"/>
        </w:rPr>
        <w:t>（1）质疑人是参与所质疑项目的投标人；</w:t>
      </w:r>
    </w:p>
    <w:p>
      <w:pPr>
        <w:spacing w:line="360" w:lineRule="auto"/>
        <w:rPr>
          <w:rFonts w:ascii="宋体" w:hAnsi="宋体" w:cs="宋体"/>
          <w:szCs w:val="21"/>
        </w:rPr>
      </w:pPr>
      <w:r>
        <w:rPr>
          <w:rFonts w:hint="eastAsia" w:ascii="宋体" w:hAnsi="宋体" w:cs="宋体"/>
          <w:szCs w:val="21"/>
          <w:highlight w:val="white"/>
        </w:rPr>
        <w:t>（2）质疑函内容符合相关的规定；</w:t>
      </w:r>
    </w:p>
    <w:p>
      <w:pPr>
        <w:spacing w:line="360" w:lineRule="auto"/>
        <w:rPr>
          <w:rFonts w:ascii="宋体" w:hAnsi="宋体" w:cs="宋体"/>
          <w:szCs w:val="21"/>
        </w:rPr>
      </w:pPr>
      <w:r>
        <w:rPr>
          <w:rFonts w:hint="eastAsia" w:ascii="宋体" w:hAnsi="宋体" w:cs="宋体"/>
          <w:szCs w:val="21"/>
          <w:highlight w:val="white"/>
        </w:rPr>
        <w:t>（3）在规定的有效期限内提起质疑；</w:t>
      </w:r>
    </w:p>
    <w:p>
      <w:pPr>
        <w:spacing w:line="360" w:lineRule="auto"/>
        <w:rPr>
          <w:rFonts w:ascii="宋体" w:hAnsi="宋体" w:cs="宋体"/>
          <w:szCs w:val="21"/>
        </w:rPr>
      </w:pPr>
      <w:r>
        <w:rPr>
          <w:rFonts w:hint="eastAsia" w:ascii="宋体" w:hAnsi="宋体" w:cs="宋体"/>
          <w:szCs w:val="21"/>
          <w:highlight w:val="white"/>
        </w:rPr>
        <w:t>（4）国务院财政部门规定的其他条件。</w:t>
      </w:r>
    </w:p>
    <w:p>
      <w:pPr>
        <w:spacing w:line="360" w:lineRule="auto"/>
        <w:rPr>
          <w:rFonts w:ascii="宋体" w:hAnsi="宋体" w:cs="宋体"/>
          <w:szCs w:val="21"/>
        </w:rPr>
      </w:pPr>
      <w:r>
        <w:rPr>
          <w:rFonts w:hint="eastAsia" w:ascii="宋体" w:hAnsi="宋体" w:cs="宋体"/>
          <w:szCs w:val="21"/>
          <w:highlight w:val="white"/>
        </w:rPr>
        <w:t>8.5.6招标采购单位在收到质疑函后，认为质疑函内容、格式等不符合本规定的，告知质疑人进行补正。质疑人应当在法定质疑期限内进行补正并重新提交质疑函，拒不补正或者超过法定期限后未重新提交质疑函的，为无效质疑。</w:t>
      </w:r>
    </w:p>
    <w:p>
      <w:pPr>
        <w:spacing w:line="360" w:lineRule="auto"/>
        <w:rPr>
          <w:rFonts w:ascii="宋体" w:hAnsi="宋体" w:cs="宋体"/>
          <w:szCs w:val="21"/>
        </w:rPr>
      </w:pPr>
      <w:r>
        <w:rPr>
          <w:rFonts w:hint="eastAsia" w:ascii="宋体" w:hAnsi="宋体" w:cs="宋体"/>
          <w:szCs w:val="21"/>
          <w:highlight w:val="white"/>
        </w:rPr>
        <w:t>8.5.7招标采购单位在收到投标人的书面质疑后七个工作日内作出答复，并以书面形式通知质疑投标人和其他有关人员，但答复的内容不涉及商业秘密。</w:t>
      </w:r>
    </w:p>
    <w:p>
      <w:pPr>
        <w:spacing w:line="360" w:lineRule="auto"/>
        <w:rPr>
          <w:rFonts w:ascii="宋体" w:hAnsi="宋体" w:cs="宋体"/>
          <w:b/>
          <w:szCs w:val="21"/>
          <w:u w:val="single"/>
        </w:rPr>
      </w:pPr>
      <w:r>
        <w:rPr>
          <w:rFonts w:hint="eastAsia" w:ascii="宋体" w:hAnsi="宋体" w:cs="宋体"/>
          <w:b/>
          <w:szCs w:val="21"/>
          <w:highlight w:val="white"/>
          <w:u w:val="single"/>
        </w:rPr>
        <w:t>8.5.8对不符合质疑投诉条件及虚假、恶意质疑投诉、举报将予以驳回，并记录诚信管理档案，降低诚信等级。</w:t>
      </w:r>
    </w:p>
    <w:p>
      <w:pPr>
        <w:pStyle w:val="463"/>
        <w:ind w:firstLine="420"/>
        <w:rPr>
          <w:rFonts w:cs="宋体"/>
          <w:sz w:val="21"/>
          <w:szCs w:val="21"/>
        </w:rPr>
      </w:pPr>
    </w:p>
    <w:p>
      <w:pPr>
        <w:pStyle w:val="5"/>
        <w:snapToGrid w:val="0"/>
        <w:spacing w:before="0" w:after="0" w:line="360" w:lineRule="auto"/>
        <w:rPr>
          <w:rFonts w:ascii="宋体" w:hAnsi="宋体" w:cs="宋体"/>
        </w:rPr>
      </w:pPr>
      <w:bookmarkStart w:id="131" w:name="_Toc28238"/>
      <w:bookmarkStart w:id="132" w:name="_Toc32680"/>
      <w:bookmarkStart w:id="133" w:name="_Toc40699928"/>
      <w:bookmarkStart w:id="134" w:name="_Toc18267"/>
      <w:bookmarkStart w:id="135" w:name="_Toc29181"/>
      <w:bookmarkStart w:id="136" w:name="_Toc16846"/>
      <w:bookmarkStart w:id="137" w:name="_Toc12206"/>
      <w:r>
        <w:rPr>
          <w:rFonts w:hint="eastAsia" w:ascii="宋体" w:hAnsi="宋体" w:cs="宋体"/>
        </w:rPr>
        <w:t>9.是否采用电子招标投标</w:t>
      </w:r>
      <w:bookmarkEnd w:id="131"/>
      <w:bookmarkEnd w:id="132"/>
      <w:bookmarkEnd w:id="133"/>
      <w:bookmarkEnd w:id="134"/>
      <w:bookmarkEnd w:id="135"/>
      <w:bookmarkEnd w:id="136"/>
      <w:bookmarkEnd w:id="137"/>
    </w:p>
    <w:p>
      <w:pPr>
        <w:snapToGrid w:val="0"/>
        <w:spacing w:line="360" w:lineRule="auto"/>
        <w:rPr>
          <w:rFonts w:ascii="宋体" w:hAnsi="宋体" w:cs="宋体"/>
          <w:kern w:val="0"/>
        </w:rPr>
      </w:pPr>
      <w:r>
        <w:rPr>
          <w:rFonts w:hint="eastAsia" w:ascii="宋体" w:hAnsi="宋体" w:cs="宋体"/>
          <w:kern w:val="0"/>
        </w:rPr>
        <w:t>本招标项目是否采用电子招标投标方式，见投标人须知前附表。</w:t>
      </w:r>
    </w:p>
    <w:p>
      <w:pPr>
        <w:pStyle w:val="5"/>
        <w:snapToGrid w:val="0"/>
        <w:spacing w:before="0" w:after="0" w:line="360" w:lineRule="auto"/>
        <w:rPr>
          <w:rFonts w:ascii="宋体" w:hAnsi="宋体" w:cs="宋体"/>
        </w:rPr>
      </w:pPr>
      <w:bookmarkStart w:id="138" w:name="_Toc40699929"/>
      <w:bookmarkStart w:id="139" w:name="_Toc15398"/>
      <w:bookmarkStart w:id="140" w:name="_Toc12378"/>
      <w:bookmarkStart w:id="141" w:name="_Toc22527"/>
      <w:bookmarkStart w:id="142" w:name="_Toc12612"/>
      <w:bookmarkStart w:id="143" w:name="_Toc31109"/>
      <w:bookmarkStart w:id="144" w:name="_Toc19541"/>
      <w:r>
        <w:rPr>
          <w:rFonts w:hint="eastAsia" w:ascii="宋体" w:hAnsi="宋体" w:cs="宋体"/>
        </w:rPr>
        <w:t>10.需要补充的其他内容</w:t>
      </w:r>
      <w:bookmarkEnd w:id="138"/>
      <w:bookmarkEnd w:id="139"/>
      <w:bookmarkEnd w:id="140"/>
      <w:bookmarkEnd w:id="141"/>
      <w:bookmarkEnd w:id="142"/>
      <w:bookmarkEnd w:id="143"/>
      <w:bookmarkEnd w:id="144"/>
    </w:p>
    <w:p>
      <w:pPr>
        <w:snapToGrid w:val="0"/>
        <w:spacing w:line="360" w:lineRule="auto"/>
        <w:rPr>
          <w:rFonts w:ascii="宋体" w:hAnsi="宋体" w:cs="宋体"/>
          <w:kern w:val="0"/>
        </w:rPr>
      </w:pPr>
      <w:r>
        <w:rPr>
          <w:rFonts w:hint="eastAsia" w:ascii="宋体" w:hAnsi="宋体" w:cs="宋体"/>
          <w:kern w:val="0"/>
        </w:rPr>
        <w:t>需要补充的其他内容：见投标人须知前附表。</w:t>
      </w:r>
    </w:p>
    <w:p>
      <w:pPr>
        <w:pStyle w:val="52"/>
        <w:spacing w:before="0" w:after="0" w:line="360" w:lineRule="auto"/>
        <w:rPr>
          <w:rFonts w:ascii="宋体" w:hAnsi="宋体" w:eastAsia="宋体" w:cs="宋体"/>
          <w:sz w:val="24"/>
        </w:rPr>
      </w:pPr>
      <w:r>
        <w:rPr>
          <w:rFonts w:hint="eastAsia" w:ascii="宋体" w:hAnsi="宋体" w:eastAsia="宋体" w:cs="宋体"/>
          <w:bCs/>
          <w:sz w:val="24"/>
        </w:rPr>
        <w:br w:type="page"/>
      </w:r>
      <w:bookmarkStart w:id="145" w:name="_Toc4357"/>
      <w:r>
        <w:rPr>
          <w:rFonts w:hint="eastAsia" w:ascii="宋体" w:hAnsi="宋体" w:eastAsia="宋体" w:cs="Times New Roman"/>
          <w:snapToGrid w:val="0"/>
          <w:kern w:val="0"/>
          <w:sz w:val="44"/>
          <w:szCs w:val="20"/>
        </w:rPr>
        <w:t>第三章 项目需求</w:t>
      </w:r>
      <w:bookmarkEnd w:id="145"/>
      <w:bookmarkStart w:id="146" w:name="_Toc182848996"/>
      <w:bookmarkStart w:id="147" w:name="_Toc38121794"/>
      <w:bookmarkStart w:id="148" w:name="_Toc85627670"/>
      <w:bookmarkStart w:id="149" w:name="_Toc37322565"/>
      <w:bookmarkStart w:id="150" w:name="_Toc43217893"/>
    </w:p>
    <w:p>
      <w:pPr>
        <w:pStyle w:val="5"/>
        <w:spacing w:before="0" w:after="0" w:line="360" w:lineRule="auto"/>
        <w:rPr>
          <w:rFonts w:ascii="宋体" w:hAnsi="宋体" w:eastAsia="宋体" w:cs="宋体"/>
          <w:b/>
          <w:sz w:val="24"/>
          <w:szCs w:val="24"/>
        </w:rPr>
      </w:pPr>
      <w:bookmarkStart w:id="151" w:name="_Toc21210"/>
      <w:bookmarkStart w:id="152" w:name="_Toc3712"/>
      <w:r>
        <w:rPr>
          <w:rFonts w:hint="eastAsia" w:ascii="宋体" w:hAnsi="宋体" w:eastAsia="宋体" w:cs="宋体"/>
          <w:b/>
          <w:sz w:val="24"/>
          <w:szCs w:val="24"/>
          <w:lang w:val="en-US"/>
        </w:rPr>
        <w:t>1</w:t>
      </w:r>
      <w:r>
        <w:rPr>
          <w:rFonts w:hint="eastAsia" w:ascii="宋体" w:hAnsi="宋体" w:eastAsia="宋体" w:cs="宋体"/>
          <w:b/>
          <w:sz w:val="24"/>
          <w:szCs w:val="24"/>
        </w:rPr>
        <w:t>项目情况</w:t>
      </w:r>
      <w:bookmarkEnd w:id="151"/>
      <w:bookmarkEnd w:id="152"/>
    </w:p>
    <w:p>
      <w:pPr>
        <w:spacing w:line="360" w:lineRule="auto"/>
        <w:ind w:firstLine="480" w:firstLineChars="200"/>
        <w:rPr>
          <w:rFonts w:ascii="宋体" w:hAnsi="宋体" w:cs="宋体"/>
          <w:sz w:val="24"/>
          <w:szCs w:val="24"/>
        </w:rPr>
      </w:pPr>
      <w:r>
        <w:rPr>
          <w:rFonts w:hint="eastAsia" w:ascii="宋体" w:hAnsi="宋体" w:cs="宋体"/>
          <w:sz w:val="24"/>
          <w:szCs w:val="24"/>
        </w:rPr>
        <w:t>2021年1月13日，以“凝心聚力 逐梦前行”为主题的扬州华侨城梦幻之城品牌发布会在扬州举行。华侨城梦幻之城占地15万平方米，是集IP体验、游乐设施、家庭游乐、亲子互动、文化体验、主题演艺和创意餐饮于一体的文化旅游综合体，按照不同年龄群体的休闲文化偏好划分为“梦幻时光、运河天地、童趣乐园”三大主体游乐区，包含35套游乐设备，每天30场精彩演艺，构筑传统文化与现代科技结合的欢乐潮流地。</w:t>
      </w:r>
    </w:p>
    <w:p>
      <w:pPr>
        <w:spacing w:line="360" w:lineRule="auto"/>
        <w:ind w:firstLine="480" w:firstLineChars="200"/>
        <w:rPr>
          <w:rFonts w:ascii="宋体" w:hAnsi="宋体" w:cs="宋体"/>
          <w:sz w:val="24"/>
          <w:szCs w:val="24"/>
        </w:rPr>
      </w:pPr>
      <w:r>
        <w:rPr>
          <w:rFonts w:hint="eastAsia" w:ascii="宋体" w:hAnsi="宋体" w:cs="宋体"/>
          <w:sz w:val="24"/>
          <w:szCs w:val="24"/>
        </w:rPr>
        <w:t>作为扬州文旅产业的标杆之作，梦幻之城不仅承载着扬州历史文化，也为扬州带来全新的商业+娱乐+文化+旅游+生态的文旅产品。</w:t>
      </w:r>
    </w:p>
    <w:p>
      <w:pPr>
        <w:spacing w:line="360" w:lineRule="auto"/>
        <w:ind w:firstLine="420"/>
        <w:rPr>
          <w:rFonts w:ascii="宋体" w:hAnsi="宋体" w:cs="宋体"/>
          <w:sz w:val="24"/>
          <w:szCs w:val="24"/>
        </w:rPr>
      </w:pPr>
      <w:r>
        <w:rPr>
          <w:rFonts w:hint="eastAsia" w:ascii="宋体" w:hAnsi="宋体" w:cs="宋体"/>
          <w:sz w:val="24"/>
          <w:szCs w:val="24"/>
        </w:rPr>
        <w:t>为了配合华侨城打造智慧景区生态空间，扬州市民卡公司承接了扬州华侨城梦幻之旅景区的电子票务管理系统的建设工作。系统建成后，用户可以通过我的扬州APP、小程序、公众号、H5多种便捷的途径进行购票，网上购票后可以无需排队领票或取票，直接凭手机二维码即可在闸机刷码验票入园。</w:t>
      </w:r>
    </w:p>
    <w:p>
      <w:pPr>
        <w:pStyle w:val="5"/>
        <w:spacing w:before="0" w:after="0" w:line="360" w:lineRule="auto"/>
        <w:rPr>
          <w:rFonts w:ascii="宋体" w:hAnsi="宋体" w:eastAsia="宋体" w:cs="宋体"/>
          <w:b/>
          <w:sz w:val="24"/>
          <w:szCs w:val="24"/>
        </w:rPr>
      </w:pPr>
      <w:bookmarkStart w:id="153" w:name="_Toc5439"/>
      <w:bookmarkStart w:id="154" w:name="_Toc4187"/>
      <w:r>
        <w:rPr>
          <w:rFonts w:hint="eastAsia" w:ascii="宋体" w:hAnsi="宋体" w:eastAsia="宋体" w:cs="宋体"/>
          <w:b/>
          <w:sz w:val="24"/>
          <w:szCs w:val="24"/>
          <w:lang w:val="en-US"/>
        </w:rPr>
        <w:t>2</w:t>
      </w:r>
      <w:r>
        <w:rPr>
          <w:rFonts w:hint="eastAsia" w:ascii="宋体" w:hAnsi="宋体" w:eastAsia="宋体" w:cs="宋体"/>
          <w:b/>
          <w:sz w:val="24"/>
          <w:szCs w:val="24"/>
        </w:rPr>
        <w:t>项目需求</w:t>
      </w:r>
      <w:bookmarkEnd w:id="153"/>
      <w:bookmarkEnd w:id="154"/>
    </w:p>
    <w:p>
      <w:pPr>
        <w:pStyle w:val="6"/>
        <w:spacing w:before="0" w:after="0" w:line="360" w:lineRule="auto"/>
        <w:ind w:firstLine="482" w:firstLineChars="200"/>
        <w:rPr>
          <w:rFonts w:ascii="宋体" w:hAnsi="宋体" w:cs="宋体"/>
          <w:sz w:val="24"/>
          <w:szCs w:val="24"/>
        </w:rPr>
      </w:pPr>
      <w:bookmarkStart w:id="155" w:name="_Toc23"/>
      <w:bookmarkStart w:id="156" w:name="_Toc1268"/>
      <w:r>
        <w:rPr>
          <w:rFonts w:hint="eastAsia" w:ascii="宋体" w:hAnsi="宋体" w:cs="宋体"/>
          <w:sz w:val="24"/>
          <w:szCs w:val="24"/>
          <w:lang w:val="en-US"/>
        </w:rPr>
        <w:t>2.1</w:t>
      </w:r>
      <w:r>
        <w:rPr>
          <w:rFonts w:hint="eastAsia" w:ascii="宋体" w:hAnsi="宋体" w:cs="宋体"/>
          <w:sz w:val="24"/>
          <w:szCs w:val="24"/>
        </w:rPr>
        <w:t>线上售票平台</w:t>
      </w:r>
      <w:bookmarkEnd w:id="155"/>
      <w:bookmarkEnd w:id="156"/>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2.1.1微信公众号</w:t>
      </w:r>
    </w:p>
    <w:p>
      <w:pPr>
        <w:spacing w:line="360" w:lineRule="auto"/>
        <w:rPr>
          <w:rFonts w:ascii="宋体" w:hAnsi="宋体" w:cs="宋体"/>
          <w:sz w:val="24"/>
          <w:szCs w:val="24"/>
        </w:rPr>
      </w:pPr>
      <w:r>
        <w:rPr>
          <w:rFonts w:hint="eastAsia" w:ascii="宋体" w:hAnsi="宋体" w:cs="宋体"/>
          <w:sz w:val="24"/>
          <w:szCs w:val="24"/>
        </w:rPr>
        <w:t xml:space="preserve">     支持在微信公众号上进行商品查看、商品购买、商品支付及后续订单查询、退票等功能。</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2.1.2微信小程序售票</w:t>
      </w:r>
    </w:p>
    <w:p>
      <w:pPr>
        <w:spacing w:line="360" w:lineRule="auto"/>
        <w:rPr>
          <w:rFonts w:ascii="宋体" w:hAnsi="宋体" w:cs="宋体"/>
          <w:sz w:val="24"/>
          <w:szCs w:val="24"/>
        </w:rPr>
      </w:pPr>
      <w:r>
        <w:rPr>
          <w:rFonts w:hint="eastAsia" w:ascii="宋体" w:hAnsi="宋体" w:cs="宋体"/>
          <w:sz w:val="24"/>
          <w:szCs w:val="24"/>
        </w:rPr>
        <w:t xml:space="preserve">     支持小程序实现商品查看、商品购买、商品支付及后续订单查询、退票等功能，支持输出给第三方使用。</w:t>
      </w:r>
    </w:p>
    <w:p>
      <w:pPr>
        <w:pStyle w:val="7"/>
        <w:spacing w:before="0" w:after="0" w:line="360" w:lineRule="auto"/>
        <w:rPr>
          <w:rFonts w:ascii="宋体" w:hAnsi="宋体" w:eastAsia="宋体" w:cs="宋体"/>
          <w:sz w:val="24"/>
          <w:szCs w:val="24"/>
          <w:lang w:val="en-US"/>
        </w:rPr>
      </w:pPr>
      <w:bookmarkStart w:id="157" w:name="_Toc82504477"/>
      <w:r>
        <w:rPr>
          <w:rFonts w:hint="eastAsia" w:ascii="宋体" w:hAnsi="宋体" w:eastAsia="宋体" w:cs="宋体"/>
          <w:sz w:val="24"/>
          <w:szCs w:val="24"/>
          <w:lang w:val="en-US"/>
        </w:rPr>
        <w:t>2.1.3我的扬州APP售票</w:t>
      </w:r>
    </w:p>
    <w:p>
      <w:pPr>
        <w:spacing w:line="360" w:lineRule="auto"/>
        <w:rPr>
          <w:rFonts w:ascii="宋体" w:hAnsi="宋体" w:cs="宋体"/>
          <w:sz w:val="24"/>
          <w:szCs w:val="24"/>
        </w:rPr>
      </w:pPr>
      <w:r>
        <w:rPr>
          <w:rFonts w:hint="eastAsia" w:ascii="宋体" w:hAnsi="宋体" w:cs="宋体"/>
          <w:sz w:val="24"/>
          <w:szCs w:val="24"/>
        </w:rPr>
        <w:t xml:space="preserve">    支持对接我的扬州APP，在我的扬州APP内实现商品查看、商品购买、商品支付及后续订单查询、退票等功能。</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2.1.4 H5功能输出</w:t>
      </w:r>
    </w:p>
    <w:p>
      <w:pPr>
        <w:spacing w:line="360" w:lineRule="auto"/>
        <w:rPr>
          <w:rFonts w:ascii="宋体" w:hAnsi="宋体" w:cs="宋体"/>
          <w:sz w:val="24"/>
          <w:szCs w:val="24"/>
        </w:rPr>
      </w:pPr>
      <w:r>
        <w:rPr>
          <w:rFonts w:hint="eastAsia" w:ascii="宋体" w:hAnsi="宋体" w:cs="宋体"/>
          <w:sz w:val="24"/>
          <w:szCs w:val="24"/>
        </w:rPr>
        <w:t xml:space="preserve">      支持打开H5页面购票，并支持在第三方平台输出使用。</w:t>
      </w:r>
    </w:p>
    <w:p>
      <w:pPr>
        <w:pStyle w:val="6"/>
        <w:spacing w:before="0" w:after="0" w:line="360" w:lineRule="auto"/>
        <w:rPr>
          <w:rFonts w:ascii="宋体" w:hAnsi="宋体" w:cs="宋体"/>
          <w:sz w:val="24"/>
          <w:szCs w:val="24"/>
          <w:lang w:val="en-US"/>
        </w:rPr>
      </w:pPr>
      <w:bookmarkStart w:id="158" w:name="_Toc25705"/>
      <w:bookmarkStart w:id="159" w:name="_Toc32540"/>
      <w:r>
        <w:rPr>
          <w:rFonts w:hint="eastAsia" w:ascii="宋体" w:hAnsi="宋体" w:cs="宋体"/>
          <w:sz w:val="24"/>
          <w:szCs w:val="24"/>
          <w:lang w:val="en-US"/>
        </w:rPr>
        <w:t>2.2售票管理平台</w:t>
      </w:r>
      <w:bookmarkEnd w:id="158"/>
      <w:bookmarkEnd w:id="159"/>
    </w:p>
    <w:p>
      <w:pPr>
        <w:spacing w:line="360" w:lineRule="auto"/>
        <w:rPr>
          <w:rFonts w:ascii="宋体" w:hAnsi="宋体" w:cs="宋体"/>
          <w:sz w:val="24"/>
          <w:szCs w:val="24"/>
          <w:lang w:val="zh-CN"/>
        </w:rPr>
      </w:pPr>
      <w:r>
        <w:rPr>
          <w:rFonts w:hint="eastAsia" w:ascii="宋体" w:hAnsi="宋体" w:cs="宋体"/>
          <w:sz w:val="24"/>
          <w:szCs w:val="24"/>
          <w:lang w:val="zh-CN"/>
        </w:rPr>
        <w:t xml:space="preserve">    </w:t>
      </w:r>
      <w:r>
        <w:rPr>
          <w:rFonts w:hint="eastAsia" w:ascii="宋体" w:hAnsi="宋体" w:cs="宋体"/>
          <w:sz w:val="24"/>
          <w:szCs w:val="24"/>
        </w:rPr>
        <w:t>售票管理平台实现对用户订单的统计查看，实现对售票信息汇总的报表查看。具体包括：</w:t>
      </w:r>
      <w:bookmarkEnd w:id="157"/>
    </w:p>
    <w:p>
      <w:pPr>
        <w:spacing w:line="360" w:lineRule="auto"/>
        <w:rPr>
          <w:rFonts w:ascii="宋体" w:hAnsi="宋体" w:cs="宋体"/>
          <w:sz w:val="24"/>
          <w:szCs w:val="24"/>
        </w:rPr>
      </w:pPr>
      <w:r>
        <w:rPr>
          <w:rFonts w:hint="eastAsia" w:ascii="宋体" w:hAnsi="宋体" w:cs="宋体"/>
          <w:sz w:val="24"/>
          <w:szCs w:val="24"/>
        </w:rPr>
        <w:t>（1）订单统计：根据产品类型、手机号、订单号、身份证号、下单时间、入园时间、订单状态等多个维度查询售票订单情况。</w:t>
      </w:r>
    </w:p>
    <w:p>
      <w:pPr>
        <w:spacing w:line="360" w:lineRule="auto"/>
        <w:rPr>
          <w:rFonts w:ascii="宋体" w:hAnsi="宋体" w:cs="宋体"/>
          <w:sz w:val="24"/>
          <w:szCs w:val="24"/>
        </w:rPr>
      </w:pPr>
      <w:r>
        <w:rPr>
          <w:rFonts w:hint="eastAsia" w:ascii="宋体" w:hAnsi="宋体" w:cs="宋体"/>
          <w:sz w:val="24"/>
          <w:szCs w:val="24"/>
        </w:rPr>
        <w:t>（2）销售汇总报表：按日统计不同商品的销售数据。</w:t>
      </w:r>
    </w:p>
    <w:p>
      <w:pPr>
        <w:spacing w:line="360" w:lineRule="auto"/>
        <w:rPr>
          <w:rFonts w:ascii="宋体" w:hAnsi="宋体" w:cs="宋体"/>
          <w:sz w:val="24"/>
          <w:szCs w:val="24"/>
        </w:rPr>
      </w:pPr>
      <w:r>
        <w:rPr>
          <w:rFonts w:hint="eastAsia" w:ascii="宋体" w:hAnsi="宋体" w:cs="宋体"/>
          <w:sz w:val="24"/>
          <w:szCs w:val="24"/>
        </w:rPr>
        <w:t>（3）订单管理：后台管理人员可查询用户订单信息，可进行退款操作。</w:t>
      </w:r>
    </w:p>
    <w:p>
      <w:pPr>
        <w:pStyle w:val="6"/>
        <w:spacing w:before="0" w:after="0" w:line="360" w:lineRule="auto"/>
        <w:rPr>
          <w:rFonts w:ascii="宋体" w:hAnsi="宋体" w:cs="宋体"/>
          <w:sz w:val="24"/>
          <w:szCs w:val="24"/>
          <w:lang w:val="en-US"/>
        </w:rPr>
      </w:pPr>
      <w:bookmarkStart w:id="160" w:name="_Toc8850"/>
      <w:bookmarkStart w:id="161" w:name="_Toc11004"/>
      <w:r>
        <w:rPr>
          <w:rFonts w:hint="eastAsia" w:ascii="宋体" w:hAnsi="宋体" w:cs="宋体"/>
          <w:sz w:val="24"/>
          <w:szCs w:val="24"/>
          <w:lang w:val="en-US"/>
        </w:rPr>
        <w:t>2.3第三方接口对接</w:t>
      </w:r>
      <w:bookmarkEnd w:id="160"/>
      <w:bookmarkEnd w:id="161"/>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lang w:val="en-US"/>
        </w:rPr>
        <w:t>2.3.1</w:t>
      </w:r>
      <w:r>
        <w:rPr>
          <w:rFonts w:hint="eastAsia" w:ascii="宋体" w:hAnsi="宋体" w:eastAsia="宋体" w:cs="宋体"/>
          <w:sz w:val="24"/>
          <w:szCs w:val="24"/>
        </w:rPr>
        <w:t>对接景区OTA系统</w:t>
      </w:r>
    </w:p>
    <w:p>
      <w:pPr>
        <w:spacing w:line="360" w:lineRule="auto"/>
        <w:ind w:firstLine="420"/>
        <w:rPr>
          <w:rFonts w:ascii="宋体" w:hAnsi="宋体" w:cs="宋体"/>
          <w:sz w:val="24"/>
          <w:szCs w:val="24"/>
        </w:rPr>
      </w:pPr>
      <w:r>
        <w:rPr>
          <w:rFonts w:hint="eastAsia" w:ascii="宋体" w:hAnsi="宋体" w:cs="宋体"/>
          <w:sz w:val="24"/>
          <w:szCs w:val="24"/>
        </w:rPr>
        <w:t>（1）商品查询：合作景点查询、景点商品查询，商品详情查询（商品区分：门票，套餐，消费券，电子年卡，场馆）、获取商品价格日历。</w:t>
      </w:r>
    </w:p>
    <w:p>
      <w:pPr>
        <w:spacing w:line="360" w:lineRule="auto"/>
        <w:ind w:firstLine="420"/>
        <w:rPr>
          <w:rFonts w:ascii="宋体" w:hAnsi="宋体" w:cs="宋体"/>
          <w:sz w:val="24"/>
          <w:szCs w:val="24"/>
        </w:rPr>
      </w:pPr>
      <w:r>
        <w:rPr>
          <w:rFonts w:hint="eastAsia" w:ascii="宋体" w:hAnsi="宋体" w:cs="宋体"/>
          <w:sz w:val="24"/>
          <w:szCs w:val="24"/>
        </w:rPr>
        <w:t>（2）下单：订单预校验、创建订单、订单详情查询、订单退订，订单退订查询。</w:t>
      </w:r>
    </w:p>
    <w:p>
      <w:pPr>
        <w:spacing w:line="360" w:lineRule="auto"/>
        <w:ind w:firstLine="420"/>
        <w:rPr>
          <w:rFonts w:ascii="宋体" w:hAnsi="宋体" w:cs="宋体"/>
          <w:sz w:val="24"/>
          <w:szCs w:val="24"/>
        </w:rPr>
      </w:pPr>
      <w:r>
        <w:rPr>
          <w:rFonts w:hint="eastAsia" w:ascii="宋体" w:hAnsi="宋体" w:cs="宋体"/>
          <w:sz w:val="24"/>
          <w:szCs w:val="24"/>
        </w:rPr>
        <w:t>（3）通知：订单创建成功通知，订单退订成功通知，凭证核销通知。</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2.3.2 短信通道对接</w:t>
      </w:r>
    </w:p>
    <w:p>
      <w:pPr>
        <w:spacing w:line="360" w:lineRule="auto"/>
        <w:rPr>
          <w:rFonts w:ascii="宋体" w:hAnsi="宋体" w:cs="宋体"/>
          <w:sz w:val="24"/>
          <w:szCs w:val="24"/>
        </w:rPr>
      </w:pPr>
      <w:r>
        <w:rPr>
          <w:rFonts w:hint="eastAsia" w:ascii="宋体" w:hAnsi="宋体" w:cs="宋体"/>
          <w:sz w:val="24"/>
          <w:szCs w:val="24"/>
        </w:rPr>
        <w:t xml:space="preserve">     支持用户购票成功后，下发提醒信息。</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2.3.3 电子发票对接</w:t>
      </w:r>
    </w:p>
    <w:p>
      <w:pPr>
        <w:spacing w:line="360" w:lineRule="auto"/>
        <w:rPr>
          <w:rFonts w:ascii="宋体" w:hAnsi="宋体" w:cs="宋体"/>
          <w:sz w:val="24"/>
          <w:szCs w:val="24"/>
        </w:rPr>
      </w:pPr>
      <w:r>
        <w:rPr>
          <w:rFonts w:hint="eastAsia" w:ascii="宋体" w:hAnsi="宋体" w:cs="宋体"/>
          <w:sz w:val="24"/>
          <w:szCs w:val="24"/>
        </w:rPr>
        <w:t xml:space="preserve">     支持订单查询、是否开具发票查询，方便第三方系统根据系统订单开具电子发票，如果已开票无法取消订单。</w:t>
      </w:r>
    </w:p>
    <w:p>
      <w:pPr>
        <w:pStyle w:val="5"/>
        <w:spacing w:before="0" w:after="0" w:line="360" w:lineRule="auto"/>
        <w:rPr>
          <w:rFonts w:ascii="宋体" w:hAnsi="宋体" w:eastAsia="宋体" w:cs="宋体"/>
          <w:b/>
          <w:bCs w:val="0"/>
          <w:sz w:val="24"/>
          <w:szCs w:val="24"/>
        </w:rPr>
      </w:pPr>
      <w:bookmarkStart w:id="162" w:name="_Toc71967470"/>
      <w:bookmarkStart w:id="163" w:name="_Toc21929"/>
      <w:bookmarkStart w:id="164" w:name="_Toc13762"/>
      <w:r>
        <w:rPr>
          <w:rFonts w:hint="eastAsia" w:ascii="宋体" w:hAnsi="宋体" w:eastAsia="宋体" w:cs="宋体"/>
          <w:b/>
          <w:bCs w:val="0"/>
          <w:sz w:val="24"/>
          <w:szCs w:val="24"/>
          <w:lang w:val="en-US"/>
        </w:rPr>
        <w:t>3</w:t>
      </w:r>
      <w:r>
        <w:rPr>
          <w:rFonts w:hint="eastAsia" w:ascii="宋体" w:hAnsi="宋体" w:eastAsia="宋体" w:cs="宋体"/>
          <w:b/>
          <w:bCs w:val="0"/>
          <w:sz w:val="24"/>
          <w:szCs w:val="24"/>
        </w:rPr>
        <w:t>建设原则</w:t>
      </w:r>
      <w:bookmarkEnd w:id="162"/>
      <w:bookmarkEnd w:id="163"/>
      <w:bookmarkEnd w:id="164"/>
    </w:p>
    <w:p>
      <w:pPr>
        <w:spacing w:line="360" w:lineRule="auto"/>
        <w:ind w:firstLine="480" w:firstLineChars="200"/>
        <w:rPr>
          <w:rFonts w:ascii="宋体" w:hAnsi="宋体" w:cs="宋体"/>
          <w:sz w:val="24"/>
          <w:szCs w:val="24"/>
        </w:rPr>
      </w:pPr>
      <w:r>
        <w:rPr>
          <w:rFonts w:hint="eastAsia" w:ascii="宋体" w:hAnsi="宋体" w:cs="宋体"/>
          <w:sz w:val="24"/>
          <w:szCs w:val="24"/>
        </w:rPr>
        <w:t>在建设华侨城梦幻之城售票平台时，既要考虑到目前系统的现状，又要考虑到开始售票后购票数量的剧增、应用的扩展、数据结构的变动、业务流程的优化等多种因素，保障将来给售票业务提供更深层次的应用的灵活性与扩展性，以满足市民卡发展的需求。为此提出以下设计原则：</w:t>
      </w:r>
    </w:p>
    <w:p>
      <w:pPr>
        <w:pStyle w:val="6"/>
        <w:spacing w:before="0" w:after="0" w:line="360" w:lineRule="auto"/>
        <w:rPr>
          <w:rFonts w:ascii="宋体" w:hAnsi="宋体" w:cs="宋体"/>
          <w:sz w:val="24"/>
          <w:szCs w:val="24"/>
          <w:lang w:val="en-US"/>
        </w:rPr>
      </w:pPr>
      <w:bookmarkStart w:id="165" w:name="_Toc71967472"/>
      <w:bookmarkStart w:id="166" w:name="_Toc9947"/>
      <w:bookmarkStart w:id="167" w:name="_Toc4590"/>
      <w:r>
        <w:rPr>
          <w:rFonts w:hint="eastAsia" w:ascii="宋体" w:hAnsi="宋体" w:cs="宋体"/>
          <w:sz w:val="24"/>
          <w:szCs w:val="24"/>
          <w:lang w:val="en-US"/>
        </w:rPr>
        <w:t>3.1高效性</w:t>
      </w:r>
      <w:bookmarkEnd w:id="165"/>
      <w:bookmarkEnd w:id="166"/>
      <w:bookmarkEnd w:id="167"/>
    </w:p>
    <w:p>
      <w:pPr>
        <w:spacing w:line="360" w:lineRule="auto"/>
        <w:ind w:firstLine="460" w:firstLineChars="192"/>
        <w:rPr>
          <w:rFonts w:ascii="宋体" w:hAnsi="宋体" w:cs="宋体"/>
          <w:sz w:val="24"/>
          <w:szCs w:val="24"/>
        </w:rPr>
      </w:pPr>
      <w:r>
        <w:rPr>
          <w:rFonts w:hint="eastAsia" w:ascii="宋体" w:hAnsi="宋体" w:cs="宋体"/>
          <w:sz w:val="24"/>
          <w:szCs w:val="24"/>
        </w:rPr>
        <w:t>设计合理的业务处理流程，采取必要的技术手段增强系统的处理能力，最大限度的发挥系统处理能力，确保系统对各类支付业务的高效处理；要根据业务处理的优先级次合理分配和利用资源。</w:t>
      </w:r>
    </w:p>
    <w:p>
      <w:pPr>
        <w:pStyle w:val="6"/>
        <w:spacing w:before="0" w:after="0" w:line="360" w:lineRule="auto"/>
        <w:rPr>
          <w:rFonts w:ascii="宋体" w:hAnsi="宋体" w:cs="宋体"/>
          <w:sz w:val="24"/>
          <w:szCs w:val="24"/>
        </w:rPr>
      </w:pPr>
      <w:bookmarkStart w:id="168" w:name="_Toc71967473"/>
      <w:bookmarkStart w:id="169" w:name="_Toc6738"/>
      <w:bookmarkStart w:id="170" w:name="_Toc20704"/>
      <w:r>
        <w:rPr>
          <w:rFonts w:hint="eastAsia" w:ascii="宋体" w:hAnsi="宋体" w:cs="宋体"/>
          <w:sz w:val="24"/>
          <w:szCs w:val="24"/>
          <w:lang w:val="en-US"/>
        </w:rPr>
        <w:t>3.2</w:t>
      </w:r>
      <w:r>
        <w:rPr>
          <w:rFonts w:hint="eastAsia" w:ascii="宋体" w:hAnsi="宋体" w:cs="宋体"/>
          <w:sz w:val="24"/>
          <w:szCs w:val="24"/>
        </w:rPr>
        <w:t>安全性</w:t>
      </w:r>
      <w:bookmarkEnd w:id="168"/>
      <w:bookmarkEnd w:id="169"/>
      <w:bookmarkEnd w:id="170"/>
    </w:p>
    <w:p>
      <w:pPr>
        <w:spacing w:line="360" w:lineRule="auto"/>
        <w:ind w:firstLine="460" w:firstLineChars="192"/>
        <w:rPr>
          <w:rFonts w:ascii="宋体" w:hAnsi="宋体" w:cs="宋体"/>
          <w:sz w:val="24"/>
          <w:szCs w:val="24"/>
        </w:rPr>
      </w:pPr>
      <w:r>
        <w:rPr>
          <w:rFonts w:hint="eastAsia" w:ascii="宋体" w:hAnsi="宋体" w:cs="宋体"/>
          <w:sz w:val="24"/>
          <w:szCs w:val="24"/>
        </w:rPr>
        <w:t>设计和制定完备的防范措施，确保系统的安全稳定运行。要针对支付业务，采取必要的技术手段防范系统运行风险，建设安全、健壮的在线售票系统。</w:t>
      </w:r>
    </w:p>
    <w:p>
      <w:pPr>
        <w:pStyle w:val="6"/>
        <w:spacing w:before="0" w:after="0" w:line="360" w:lineRule="auto"/>
        <w:rPr>
          <w:rFonts w:ascii="宋体" w:hAnsi="宋体" w:cs="宋体"/>
          <w:sz w:val="24"/>
          <w:szCs w:val="24"/>
        </w:rPr>
      </w:pPr>
      <w:bookmarkStart w:id="171" w:name="_Toc71967474"/>
      <w:bookmarkStart w:id="172" w:name="_Toc32468"/>
      <w:bookmarkStart w:id="173" w:name="_Toc22395"/>
      <w:r>
        <w:rPr>
          <w:rFonts w:hint="eastAsia" w:ascii="宋体" w:hAnsi="宋体" w:cs="宋体"/>
          <w:sz w:val="24"/>
          <w:szCs w:val="24"/>
          <w:lang w:val="en-US"/>
        </w:rPr>
        <w:t>3.3</w:t>
      </w:r>
      <w:r>
        <w:rPr>
          <w:rFonts w:hint="eastAsia" w:ascii="宋体" w:hAnsi="宋体" w:cs="宋体"/>
          <w:sz w:val="24"/>
          <w:szCs w:val="24"/>
        </w:rPr>
        <w:t>可扩展性</w:t>
      </w:r>
      <w:bookmarkEnd w:id="171"/>
      <w:bookmarkEnd w:id="172"/>
      <w:bookmarkEnd w:id="173"/>
    </w:p>
    <w:p>
      <w:pPr>
        <w:spacing w:line="360" w:lineRule="auto"/>
        <w:ind w:firstLine="460" w:firstLineChars="192"/>
        <w:rPr>
          <w:rFonts w:ascii="宋体" w:hAnsi="宋体" w:cs="宋体"/>
          <w:sz w:val="24"/>
          <w:szCs w:val="24"/>
        </w:rPr>
      </w:pPr>
      <w:r>
        <w:rPr>
          <w:rFonts w:hint="eastAsia" w:ascii="宋体" w:hAnsi="宋体" w:cs="宋体"/>
          <w:sz w:val="24"/>
          <w:szCs w:val="24"/>
        </w:rPr>
        <w:t>具有随着技术的发展而不断升级的能力，这包括对新技术、新标准的支持及系统延展能力。</w:t>
      </w:r>
    </w:p>
    <w:p>
      <w:pPr>
        <w:pStyle w:val="6"/>
        <w:spacing w:before="0" w:after="0" w:line="360" w:lineRule="auto"/>
        <w:rPr>
          <w:rFonts w:ascii="宋体" w:hAnsi="宋体" w:cs="宋体"/>
          <w:sz w:val="24"/>
          <w:szCs w:val="24"/>
        </w:rPr>
      </w:pPr>
      <w:bookmarkStart w:id="174" w:name="_Toc71967475"/>
      <w:bookmarkStart w:id="175" w:name="_Toc17678"/>
      <w:bookmarkStart w:id="176" w:name="_Toc13125"/>
      <w:r>
        <w:rPr>
          <w:rFonts w:hint="eastAsia" w:ascii="宋体" w:hAnsi="宋体" w:cs="宋体"/>
          <w:sz w:val="24"/>
          <w:szCs w:val="24"/>
          <w:lang w:val="en-US"/>
        </w:rPr>
        <w:t>3.4</w:t>
      </w:r>
      <w:r>
        <w:rPr>
          <w:rFonts w:hint="eastAsia" w:ascii="宋体" w:hAnsi="宋体" w:cs="宋体"/>
          <w:sz w:val="24"/>
          <w:szCs w:val="24"/>
        </w:rPr>
        <w:t>通用性</w:t>
      </w:r>
      <w:bookmarkEnd w:id="174"/>
      <w:bookmarkEnd w:id="175"/>
      <w:bookmarkEnd w:id="176"/>
    </w:p>
    <w:p>
      <w:pPr>
        <w:spacing w:line="360" w:lineRule="auto"/>
        <w:ind w:firstLine="460" w:firstLineChars="192"/>
        <w:rPr>
          <w:rFonts w:ascii="宋体" w:hAnsi="宋体" w:cs="宋体"/>
          <w:sz w:val="24"/>
          <w:szCs w:val="24"/>
        </w:rPr>
      </w:pPr>
      <w:r>
        <w:rPr>
          <w:rFonts w:hint="eastAsia" w:ascii="宋体" w:hAnsi="宋体" w:cs="宋体"/>
          <w:sz w:val="24"/>
          <w:szCs w:val="24"/>
        </w:rPr>
        <w:t>对各类业务信息组成要素、各类业务的处理流程进行认真分析，整理提炼出通用的报文标准和业务处理流程。根据管理和业务拓展需要，对内核进行灵活的外延，增强系统的适应性和扩充性；要对新增业务做到独立的、模块化的开发，不因业务功能的拓展而导致内核改造。</w:t>
      </w:r>
    </w:p>
    <w:p>
      <w:pPr>
        <w:pStyle w:val="6"/>
        <w:spacing w:before="0" w:after="0" w:line="360" w:lineRule="auto"/>
        <w:rPr>
          <w:rFonts w:ascii="宋体" w:hAnsi="宋体" w:cs="宋体"/>
          <w:sz w:val="24"/>
          <w:szCs w:val="24"/>
        </w:rPr>
      </w:pPr>
      <w:bookmarkStart w:id="177" w:name="_Toc71967476"/>
      <w:bookmarkStart w:id="178" w:name="_Toc6211"/>
      <w:bookmarkStart w:id="179" w:name="_Toc4307"/>
      <w:r>
        <w:rPr>
          <w:rFonts w:hint="eastAsia" w:ascii="宋体" w:hAnsi="宋体" w:cs="宋体"/>
          <w:sz w:val="24"/>
          <w:szCs w:val="24"/>
          <w:lang w:val="en-US"/>
        </w:rPr>
        <w:t>3.5</w:t>
      </w:r>
      <w:r>
        <w:rPr>
          <w:rFonts w:hint="eastAsia" w:ascii="宋体" w:hAnsi="宋体" w:cs="宋体"/>
          <w:sz w:val="24"/>
          <w:szCs w:val="24"/>
        </w:rPr>
        <w:t>先进性</w:t>
      </w:r>
      <w:bookmarkEnd w:id="177"/>
      <w:bookmarkEnd w:id="178"/>
      <w:bookmarkEnd w:id="179"/>
    </w:p>
    <w:p>
      <w:pPr>
        <w:spacing w:line="360" w:lineRule="auto"/>
        <w:ind w:firstLine="460" w:firstLineChars="192"/>
        <w:rPr>
          <w:rFonts w:ascii="宋体" w:hAnsi="宋体" w:cs="宋体"/>
          <w:sz w:val="24"/>
          <w:szCs w:val="24"/>
        </w:rPr>
      </w:pPr>
      <w:r>
        <w:rPr>
          <w:rFonts w:hint="eastAsia" w:ascii="宋体" w:hAnsi="宋体" w:cs="宋体"/>
          <w:sz w:val="24"/>
          <w:szCs w:val="24"/>
        </w:rPr>
        <w:t>设计采用先进的体系结构，软、硬件技术和设备满足网络系统目前以及将来相当长一段时间对网络的要求，达到提高信息化水平、实现先进管理思想，同时在一定时间内保持技术领先，保证整个网络系统以高效、正常运行。</w:t>
      </w:r>
    </w:p>
    <w:p>
      <w:pPr>
        <w:pStyle w:val="6"/>
        <w:spacing w:before="0" w:after="0" w:line="360" w:lineRule="auto"/>
        <w:rPr>
          <w:rFonts w:ascii="宋体" w:hAnsi="宋体" w:cs="宋体"/>
          <w:sz w:val="24"/>
          <w:szCs w:val="24"/>
        </w:rPr>
      </w:pPr>
      <w:bookmarkStart w:id="180" w:name="_Toc71967477"/>
      <w:bookmarkStart w:id="181" w:name="_Toc26134"/>
      <w:bookmarkStart w:id="182" w:name="_Toc10662"/>
      <w:r>
        <w:rPr>
          <w:rFonts w:hint="eastAsia" w:ascii="宋体" w:hAnsi="宋体" w:cs="宋体"/>
          <w:sz w:val="24"/>
          <w:szCs w:val="24"/>
          <w:lang w:val="en-US"/>
        </w:rPr>
        <w:t>3.6</w:t>
      </w:r>
      <w:r>
        <w:rPr>
          <w:rFonts w:hint="eastAsia" w:ascii="宋体" w:hAnsi="宋体" w:cs="宋体"/>
          <w:sz w:val="24"/>
          <w:szCs w:val="24"/>
        </w:rPr>
        <w:t>可管理性</w:t>
      </w:r>
      <w:bookmarkEnd w:id="180"/>
      <w:bookmarkEnd w:id="181"/>
      <w:bookmarkEnd w:id="182"/>
    </w:p>
    <w:p>
      <w:pPr>
        <w:spacing w:line="360" w:lineRule="auto"/>
        <w:ind w:firstLine="460" w:firstLineChars="192"/>
        <w:rPr>
          <w:rFonts w:ascii="宋体" w:hAnsi="宋体" w:cs="宋体"/>
          <w:sz w:val="24"/>
          <w:szCs w:val="24"/>
        </w:rPr>
      </w:pPr>
      <w:r>
        <w:rPr>
          <w:rFonts w:hint="eastAsia" w:ascii="宋体" w:hAnsi="宋体" w:cs="宋体"/>
          <w:sz w:val="24"/>
          <w:szCs w:val="24"/>
        </w:rPr>
        <w:t>系统采用流程化、模块化、权限化设计，在应用过程中方便系统维护人员对处理流程、过程控制、权限管理等方面及时调整配置，满足应用。</w:t>
      </w:r>
    </w:p>
    <w:p>
      <w:pPr>
        <w:pStyle w:val="5"/>
        <w:spacing w:before="0" w:after="0" w:line="360" w:lineRule="auto"/>
        <w:jc w:val="left"/>
        <w:rPr>
          <w:rFonts w:ascii="宋体" w:hAnsi="宋体" w:eastAsia="宋体" w:cs="宋体"/>
          <w:b/>
          <w:bCs w:val="0"/>
          <w:sz w:val="24"/>
          <w:szCs w:val="24"/>
          <w:lang w:val="en-US"/>
        </w:rPr>
      </w:pPr>
      <w:bookmarkStart w:id="183" w:name="_Toc16580"/>
      <w:bookmarkStart w:id="184" w:name="_Toc30743"/>
      <w:r>
        <w:rPr>
          <w:rFonts w:hint="eastAsia" w:ascii="宋体" w:hAnsi="宋体" w:eastAsia="宋体" w:cs="宋体"/>
          <w:b/>
          <w:bCs w:val="0"/>
          <w:sz w:val="24"/>
          <w:szCs w:val="24"/>
          <w:lang w:val="en-US"/>
        </w:rPr>
        <w:t>4建设内容</w:t>
      </w:r>
      <w:bookmarkEnd w:id="183"/>
      <w:bookmarkEnd w:id="184"/>
    </w:p>
    <w:p>
      <w:pPr>
        <w:pStyle w:val="6"/>
        <w:spacing w:before="0" w:after="0" w:line="360" w:lineRule="auto"/>
        <w:rPr>
          <w:rFonts w:ascii="宋体" w:hAnsi="宋体" w:cs="宋体"/>
          <w:sz w:val="24"/>
          <w:szCs w:val="24"/>
          <w:lang w:val="en-US"/>
        </w:rPr>
      </w:pPr>
      <w:bookmarkStart w:id="185" w:name="_Toc21703"/>
      <w:bookmarkStart w:id="186" w:name="_Toc83204784"/>
      <w:bookmarkStart w:id="187" w:name="_Toc31210"/>
      <w:bookmarkStart w:id="188" w:name="_Toc72141940"/>
      <w:r>
        <w:rPr>
          <w:rFonts w:hint="eastAsia" w:ascii="宋体" w:hAnsi="宋体" w:cs="宋体"/>
          <w:sz w:val="24"/>
          <w:szCs w:val="24"/>
          <w:lang w:val="en-US"/>
        </w:rPr>
        <w:t>4.1总体架构</w:t>
      </w:r>
      <w:bookmarkEnd w:id="185"/>
      <w:bookmarkEnd w:id="186"/>
      <w:bookmarkEnd w:id="187"/>
      <w:bookmarkEnd w:id="188"/>
    </w:p>
    <w:p>
      <w:pPr>
        <w:spacing w:line="360" w:lineRule="auto"/>
        <w:ind w:firstLine="460" w:firstLineChars="192"/>
        <w:rPr>
          <w:rFonts w:ascii="宋体" w:hAnsi="宋体" w:cs="宋体"/>
          <w:sz w:val="24"/>
          <w:szCs w:val="24"/>
        </w:rPr>
      </w:pPr>
      <w:r>
        <w:rPr>
          <w:rFonts w:hint="eastAsia" w:ascii="宋体" w:hAnsi="宋体" w:cs="宋体"/>
          <w:sz w:val="24"/>
          <w:szCs w:val="24"/>
        </w:rPr>
        <w:t>系统遵循分层和复用设计理念，按照组件化、流程化、策略化设计原则，实现应用与数据分离、应用与流程分离、应用与规则分离，保证前后台端到端的业务及时响应能力，形成业务设计与系统开发同步完成的操作模式。</w:t>
      </w:r>
    </w:p>
    <w:p>
      <w:pPr>
        <w:spacing w:line="360" w:lineRule="auto"/>
        <w:ind w:firstLine="460" w:firstLineChars="192"/>
        <w:rPr>
          <w:rFonts w:ascii="宋体" w:hAnsi="宋体" w:cs="宋体"/>
          <w:sz w:val="24"/>
          <w:szCs w:val="24"/>
        </w:rPr>
      </w:pPr>
      <w:r>
        <w:rPr>
          <w:rFonts w:hint="eastAsia" w:ascii="宋体" w:hAnsi="宋体" w:cs="宋体"/>
          <w:sz w:val="24"/>
          <w:szCs w:val="24"/>
        </w:rPr>
        <w:t>基于建设目标与设计要求，本平台系统架构要求如下所示：</w:t>
      </w:r>
    </w:p>
    <w:p>
      <w:pPr>
        <w:spacing w:line="360" w:lineRule="auto"/>
        <w:rPr>
          <w:rFonts w:ascii="宋体" w:hAnsi="宋体" w:cs="宋体"/>
          <w:bCs/>
          <w:color w:val="000000"/>
          <w:kern w:val="0"/>
          <w:sz w:val="24"/>
          <w:szCs w:val="24"/>
        </w:rPr>
      </w:pPr>
      <w:r>
        <w:rPr>
          <w:rFonts w:hint="eastAsia" w:ascii="宋体" w:hAnsi="宋体" w:cs="宋体"/>
          <w:sz w:val="24"/>
          <w:szCs w:val="24"/>
        </w:rPr>
        <w:drawing>
          <wp:inline distT="0" distB="0" distL="0" distR="0">
            <wp:extent cx="5561965" cy="320040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70451" cy="3204943"/>
                    </a:xfrm>
                    <a:prstGeom prst="rect">
                      <a:avLst/>
                    </a:prstGeom>
                    <a:noFill/>
                    <a:ln>
                      <a:noFill/>
                    </a:ln>
                  </pic:spPr>
                </pic:pic>
              </a:graphicData>
            </a:graphic>
          </wp:inline>
        </w:drawing>
      </w:r>
    </w:p>
    <w:p>
      <w:pPr>
        <w:pStyle w:val="140"/>
        <w:numPr>
          <w:ilvl w:val="0"/>
          <w:numId w:val="11"/>
        </w:numPr>
        <w:spacing w:line="360" w:lineRule="auto"/>
        <w:ind w:firstLineChars="0"/>
        <w:rPr>
          <w:rFonts w:ascii="宋体" w:hAnsi="宋体" w:cs="宋体"/>
          <w:sz w:val="24"/>
          <w:szCs w:val="24"/>
          <w:lang w:val="zh-CN"/>
        </w:rPr>
      </w:pPr>
      <w:r>
        <w:rPr>
          <w:rFonts w:hint="eastAsia" w:ascii="宋体" w:hAnsi="宋体" w:cs="宋体"/>
          <w:color w:val="000000"/>
          <w:sz w:val="24"/>
          <w:szCs w:val="24"/>
        </w:rPr>
        <w:br w:type="page"/>
      </w:r>
    </w:p>
    <w:p>
      <w:pPr>
        <w:pStyle w:val="6"/>
        <w:spacing w:before="0" w:after="0" w:line="360" w:lineRule="auto"/>
        <w:rPr>
          <w:rFonts w:ascii="宋体" w:hAnsi="宋体" w:cs="宋体"/>
          <w:sz w:val="24"/>
          <w:szCs w:val="24"/>
          <w:lang w:val="en-US"/>
        </w:rPr>
      </w:pPr>
      <w:bookmarkStart w:id="189" w:name="_Toc21063"/>
      <w:bookmarkStart w:id="190" w:name="_Toc3629"/>
      <w:r>
        <w:rPr>
          <w:rFonts w:hint="eastAsia" w:ascii="宋体" w:hAnsi="宋体" w:cs="宋体"/>
          <w:sz w:val="24"/>
          <w:szCs w:val="24"/>
          <w:lang w:val="en-US"/>
        </w:rPr>
        <w:t>4.2 线上售票平台建设</w:t>
      </w:r>
      <w:bookmarkEnd w:id="189"/>
      <w:bookmarkEnd w:id="190"/>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线上平台接入三个端：APP端，微信公众号端，小程序端。用户在平台浏览景区商品，选择需要购买的商品完成支付后，可在订单中查看商品的购买凭证并在景区使用。商品的购买流程需要对接景区的ota接口。</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4.2.1 用户鉴权</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4.2.1.1 APP端用户信息鉴权对接</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为嵌入APP，需要对接APP授权流程，获取APP登录用户信息。如果APP没有授权流程需要采用短信验证码登录流程完成用户鉴权。</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4.2.1.2 微信公众号端用户信息鉴权对接</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采用嵌入小程序的方式完成微信公众号的售票平台嵌入。</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4.2.1.2小程序端用户信息鉴权对接</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小程序端售票平台，需要接入小程序授权登录流程完成用户鉴权。</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4.2.2 支付</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4.2.2.1 微信H5支付</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APP中线上售票平台需要对接微信H5支付，用户完成商品选择后，可在APP中发起微信H5支付完成商品购买。</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4.2.2.2 微信小程序支付</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小程序中线上售票平台需要对接微信小程序支付，用户完成商品选择后，可在小程序中发起微信微信小程序支付完成商品购买。</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4.2.2.3 支付宝支付</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APP中线上售票平台需要对接支付宝支付，用户完成商品选择后，可在APP中发起支付宝支付完成商品购买。</w:t>
      </w:r>
    </w:p>
    <w:p>
      <w:pPr>
        <w:pStyle w:val="54"/>
        <w:spacing w:line="360" w:lineRule="auto"/>
        <w:ind w:firstLine="480" w:firstLineChars="200"/>
        <w:rPr>
          <w:rFonts w:ascii="宋体" w:hAnsi="宋体" w:eastAsia="宋体" w:cs="宋体"/>
          <w:color w:val="000000"/>
          <w:sz w:val="24"/>
        </w:rPr>
      </w:pP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4.2.3商品</w:t>
      </w:r>
    </w:p>
    <w:p>
      <w:pPr>
        <w:pStyle w:val="9"/>
        <w:spacing w:before="0" w:after="0" w:line="360" w:lineRule="auto"/>
        <w:rPr>
          <w:rFonts w:ascii="宋体" w:hAnsi="宋体" w:cs="宋体"/>
          <w:sz w:val="24"/>
          <w:szCs w:val="24"/>
          <w:lang w:val="en-US"/>
        </w:rPr>
      </w:pPr>
      <w:bookmarkStart w:id="191" w:name="_Toc45783649"/>
      <w:r>
        <w:rPr>
          <w:rFonts w:hint="eastAsia" w:ascii="宋体" w:hAnsi="宋体" w:cs="宋体"/>
          <w:sz w:val="24"/>
          <w:szCs w:val="24"/>
          <w:lang w:val="en-US"/>
        </w:rPr>
        <w:t>4.2.3.1</w:t>
      </w:r>
      <w:bookmarkEnd w:id="191"/>
      <w:r>
        <w:rPr>
          <w:rFonts w:hint="eastAsia" w:ascii="宋体" w:hAnsi="宋体" w:cs="宋体"/>
          <w:sz w:val="24"/>
          <w:szCs w:val="24"/>
          <w:lang w:val="en-US"/>
        </w:rPr>
        <w:t>获取合作景点信息</w:t>
      </w:r>
    </w:p>
    <w:p>
      <w:pPr>
        <w:spacing w:line="360" w:lineRule="auto"/>
        <w:ind w:firstLine="420"/>
        <w:rPr>
          <w:rFonts w:ascii="宋体" w:hAnsi="宋体" w:cs="宋体"/>
          <w:color w:val="000000"/>
          <w:sz w:val="24"/>
          <w:szCs w:val="24"/>
        </w:rPr>
      </w:pPr>
      <w:r>
        <w:rPr>
          <w:rFonts w:hint="eastAsia" w:ascii="宋体" w:hAnsi="宋体" w:cs="宋体"/>
          <w:color w:val="000000"/>
          <w:sz w:val="24"/>
          <w:szCs w:val="24"/>
        </w:rPr>
        <w:t>对接景区OTA接口，获取景点信息，用于提供在华侨城旅游营销平台已合作景点信息。</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4.2.3.2获取景点商品列表信息</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对接景区OTA接口，获取景点商品列表信息，用于商品定义查询。</w:t>
      </w:r>
    </w:p>
    <w:p>
      <w:pPr>
        <w:pStyle w:val="9"/>
        <w:spacing w:before="0" w:after="0" w:line="360" w:lineRule="auto"/>
        <w:rPr>
          <w:rFonts w:ascii="宋体" w:hAnsi="宋体" w:cs="宋体"/>
          <w:sz w:val="24"/>
          <w:szCs w:val="24"/>
          <w:lang w:val="en-US"/>
        </w:rPr>
      </w:pPr>
      <w:bookmarkStart w:id="192" w:name="_Toc45783651"/>
      <w:r>
        <w:rPr>
          <w:rFonts w:hint="eastAsia" w:ascii="宋体" w:hAnsi="宋体" w:cs="宋体"/>
          <w:sz w:val="24"/>
          <w:szCs w:val="24"/>
          <w:lang w:val="en-US"/>
        </w:rPr>
        <w:t>4.2.3</w:t>
      </w:r>
      <w:bookmarkEnd w:id="192"/>
      <w:r>
        <w:rPr>
          <w:rFonts w:hint="eastAsia" w:ascii="宋体" w:hAnsi="宋体" w:cs="宋体"/>
          <w:sz w:val="24"/>
          <w:szCs w:val="24"/>
          <w:lang w:val="en-US"/>
        </w:rPr>
        <w:t>.3获取景点门票商品详情信息</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对接景区OTA接口，获取景区门票商品详情定义，包含该商品的销售限制规则与使用规则，用于后续发生交易使用。</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4.2.3.4获取套餐商品详情信息</w:t>
      </w:r>
    </w:p>
    <w:p>
      <w:pPr>
        <w:pStyle w:val="54"/>
        <w:spacing w:line="360" w:lineRule="auto"/>
        <w:ind w:firstLine="480" w:firstLineChars="200"/>
        <w:rPr>
          <w:rFonts w:ascii="宋体" w:hAnsi="宋体" w:eastAsia="宋体" w:cs="宋体"/>
          <w:color w:val="000000"/>
          <w:sz w:val="24"/>
        </w:rPr>
      </w:pPr>
      <w:bookmarkStart w:id="193" w:name="_Toc45783653"/>
      <w:r>
        <w:rPr>
          <w:rFonts w:hint="eastAsia" w:ascii="宋体" w:hAnsi="宋体" w:eastAsia="宋体" w:cs="宋体"/>
          <w:color w:val="000000"/>
          <w:sz w:val="24"/>
        </w:rPr>
        <w:t>对接景区OTA接口，获取套餐商品详情定义，包含该商品的销售限制规则与使用规则，用于后续发生交易使用。</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4.2.3.5</w:t>
      </w:r>
      <w:bookmarkEnd w:id="193"/>
      <w:r>
        <w:rPr>
          <w:rFonts w:hint="eastAsia" w:ascii="宋体" w:hAnsi="宋体" w:cs="宋体"/>
          <w:sz w:val="24"/>
          <w:szCs w:val="24"/>
          <w:lang w:val="en-US"/>
        </w:rPr>
        <w:t>获取消费券商品详情信息</w:t>
      </w:r>
    </w:p>
    <w:p>
      <w:pPr>
        <w:pStyle w:val="54"/>
        <w:spacing w:line="360" w:lineRule="auto"/>
        <w:ind w:firstLine="480" w:firstLineChars="200"/>
        <w:rPr>
          <w:rFonts w:ascii="宋体" w:hAnsi="宋体" w:eastAsia="宋体" w:cs="宋体"/>
          <w:color w:val="000000"/>
          <w:sz w:val="24"/>
        </w:rPr>
      </w:pPr>
      <w:bookmarkStart w:id="194" w:name="_Toc45783654"/>
      <w:r>
        <w:rPr>
          <w:rFonts w:hint="eastAsia" w:ascii="宋体" w:hAnsi="宋体" w:eastAsia="宋体" w:cs="宋体"/>
          <w:color w:val="000000"/>
          <w:sz w:val="24"/>
        </w:rPr>
        <w:t>对接景区OTA接口，获取消费券商品详情定义，包含该商品的销售限制规则与使用规则，用于后续发生交易使用。</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4.2.3.6</w:t>
      </w:r>
      <w:bookmarkEnd w:id="194"/>
      <w:r>
        <w:rPr>
          <w:rFonts w:hint="eastAsia" w:ascii="宋体" w:hAnsi="宋体" w:cs="宋体"/>
          <w:sz w:val="24"/>
          <w:szCs w:val="24"/>
          <w:lang w:val="en-US"/>
        </w:rPr>
        <w:t>获取电子年卡商品详情信息</w:t>
      </w:r>
    </w:p>
    <w:p>
      <w:pPr>
        <w:pStyle w:val="54"/>
        <w:spacing w:line="360" w:lineRule="auto"/>
        <w:ind w:firstLine="480" w:firstLineChars="200"/>
        <w:rPr>
          <w:rFonts w:ascii="宋体" w:hAnsi="宋体" w:eastAsia="宋体" w:cs="宋体"/>
          <w:color w:val="000000"/>
          <w:sz w:val="24"/>
        </w:rPr>
      </w:pPr>
      <w:bookmarkStart w:id="195" w:name="_Toc45783655"/>
      <w:r>
        <w:rPr>
          <w:rFonts w:hint="eastAsia" w:ascii="宋体" w:hAnsi="宋体" w:eastAsia="宋体" w:cs="宋体"/>
          <w:color w:val="000000"/>
          <w:sz w:val="24"/>
        </w:rPr>
        <w:t>对接景区OTA接口，获取电子年卡商品详情定义，包含该商品的销售限制规则与使用规则，用于后续发生交易使用。</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4.2.3.7</w:t>
      </w:r>
      <w:bookmarkEnd w:id="195"/>
      <w:r>
        <w:rPr>
          <w:rFonts w:hint="eastAsia" w:ascii="宋体" w:hAnsi="宋体" w:cs="宋体"/>
          <w:sz w:val="24"/>
          <w:szCs w:val="24"/>
          <w:lang w:val="en-US"/>
        </w:rPr>
        <w:t>获取场馆商品详情信息</w:t>
      </w:r>
    </w:p>
    <w:p>
      <w:pPr>
        <w:pStyle w:val="54"/>
        <w:spacing w:line="360" w:lineRule="auto"/>
        <w:ind w:firstLine="480" w:firstLineChars="200"/>
        <w:rPr>
          <w:rFonts w:ascii="宋体" w:hAnsi="宋体" w:eastAsia="宋体" w:cs="宋体"/>
          <w:color w:val="000000"/>
          <w:sz w:val="24"/>
        </w:rPr>
      </w:pPr>
      <w:bookmarkStart w:id="196" w:name="_Toc45783656"/>
      <w:r>
        <w:rPr>
          <w:rFonts w:hint="eastAsia" w:ascii="宋体" w:hAnsi="宋体" w:eastAsia="宋体" w:cs="宋体"/>
          <w:color w:val="000000"/>
          <w:sz w:val="24"/>
        </w:rPr>
        <w:t>对接景区OTA接口，获取场馆商品详情定义，包含该商品的销售限制规则与使用规则，用于后续发生交易使用。</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4.2.3.8</w:t>
      </w:r>
      <w:bookmarkEnd w:id="196"/>
      <w:r>
        <w:rPr>
          <w:rFonts w:hint="eastAsia" w:ascii="宋体" w:hAnsi="宋体" w:cs="宋体"/>
          <w:sz w:val="24"/>
          <w:szCs w:val="24"/>
          <w:lang w:val="en-US"/>
        </w:rPr>
        <w:t>获取商品价格日历</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对接景区OTA接口，获取制定商品指定日期价格，用于后续发生交易使用。</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4.2.3.9商品销售政策后续配合</w:t>
      </w:r>
    </w:p>
    <w:p>
      <w:pPr>
        <w:pStyle w:val="54"/>
        <w:spacing w:line="360" w:lineRule="auto"/>
        <w:ind w:firstLine="420"/>
        <w:rPr>
          <w:rFonts w:ascii="宋体" w:hAnsi="宋体" w:eastAsia="宋体" w:cs="宋体"/>
          <w:sz w:val="24"/>
        </w:rPr>
      </w:pPr>
      <w:r>
        <w:rPr>
          <w:rFonts w:hint="eastAsia" w:ascii="宋体" w:hAnsi="宋体" w:eastAsia="宋体" w:cs="宋体"/>
          <w:sz w:val="24"/>
        </w:rPr>
        <w:t>系统验收合格上线一年内需提供免费商品销售微调服务。</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4.2.4订单交易</w:t>
      </w:r>
    </w:p>
    <w:p>
      <w:pPr>
        <w:pStyle w:val="9"/>
        <w:spacing w:before="0" w:after="0" w:line="360" w:lineRule="auto"/>
        <w:rPr>
          <w:rFonts w:ascii="宋体" w:hAnsi="宋体" w:cs="宋体"/>
          <w:sz w:val="24"/>
          <w:szCs w:val="24"/>
          <w:lang w:val="en-US"/>
        </w:rPr>
      </w:pPr>
      <w:bookmarkStart w:id="197" w:name="_Toc45783658"/>
      <w:r>
        <w:rPr>
          <w:rFonts w:hint="eastAsia" w:ascii="宋体" w:hAnsi="宋体" w:cs="宋体"/>
          <w:sz w:val="24"/>
          <w:szCs w:val="24"/>
          <w:lang w:val="en-US"/>
        </w:rPr>
        <w:t>4.2.4.1</w:t>
      </w:r>
      <w:bookmarkEnd w:id="197"/>
      <w:r>
        <w:rPr>
          <w:rFonts w:hint="eastAsia" w:ascii="宋体" w:hAnsi="宋体" w:cs="宋体"/>
          <w:sz w:val="24"/>
          <w:szCs w:val="24"/>
          <w:lang w:val="en-US"/>
        </w:rPr>
        <w:t>订单预校验</w:t>
      </w:r>
    </w:p>
    <w:p>
      <w:pPr>
        <w:pStyle w:val="140"/>
        <w:spacing w:line="360" w:lineRule="auto"/>
        <w:ind w:firstLine="480"/>
        <w:rPr>
          <w:rFonts w:ascii="宋体" w:hAnsi="宋体" w:cs="宋体"/>
          <w:color w:val="000000"/>
          <w:sz w:val="24"/>
          <w:szCs w:val="24"/>
        </w:rPr>
      </w:pPr>
      <w:r>
        <w:rPr>
          <w:rFonts w:hint="eastAsia" w:ascii="宋体" w:hAnsi="宋体" w:cs="宋体"/>
          <w:color w:val="000000"/>
          <w:sz w:val="24"/>
          <w:szCs w:val="24"/>
        </w:rPr>
        <w:t>对接OTA接口，通过该接口校验出该游客对于购买商品的限购情况（不校验库存）。</w:t>
      </w:r>
    </w:p>
    <w:p>
      <w:pPr>
        <w:pStyle w:val="9"/>
        <w:spacing w:before="0" w:after="0" w:line="360" w:lineRule="auto"/>
        <w:rPr>
          <w:rFonts w:ascii="宋体" w:hAnsi="宋体" w:cs="宋体"/>
          <w:sz w:val="24"/>
          <w:szCs w:val="24"/>
          <w:lang w:val="en-US"/>
        </w:rPr>
      </w:pPr>
      <w:r>
        <w:rPr>
          <w:rFonts w:hint="eastAsia" w:ascii="宋体" w:hAnsi="宋体" w:cs="宋体"/>
          <w:sz w:val="24"/>
          <w:szCs w:val="24"/>
          <w:lang w:val="en-US"/>
        </w:rPr>
        <w:t>4.2.4.2创建订单</w:t>
      </w:r>
    </w:p>
    <w:p>
      <w:pPr>
        <w:spacing w:line="360" w:lineRule="auto"/>
        <w:ind w:left="210" w:leftChars="100" w:firstLine="240" w:firstLineChars="100"/>
        <w:rPr>
          <w:rFonts w:ascii="宋体" w:hAnsi="宋体" w:cs="宋体"/>
          <w:color w:val="000000"/>
          <w:sz w:val="24"/>
          <w:szCs w:val="24"/>
        </w:rPr>
      </w:pPr>
      <w:r>
        <w:rPr>
          <w:rFonts w:hint="eastAsia" w:ascii="宋体" w:hAnsi="宋体" w:cs="宋体"/>
          <w:color w:val="000000"/>
          <w:sz w:val="24"/>
          <w:szCs w:val="24"/>
        </w:rPr>
        <w:t>对接OTA接口，通过此接口创建订单。</w:t>
      </w:r>
    </w:p>
    <w:p>
      <w:pPr>
        <w:pStyle w:val="5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在没有接收到</w:t>
      </w:r>
      <w:r>
        <w:fldChar w:fldCharType="begin"/>
      </w:r>
      <w:r>
        <w:instrText xml:space="preserve"> HYPERLINK \l "订单创建结果通知" </w:instrText>
      </w:r>
      <w:r>
        <w:fldChar w:fldCharType="separate"/>
      </w:r>
      <w:r>
        <w:rPr>
          <w:rFonts w:hint="eastAsia" w:ascii="宋体" w:hAnsi="宋体" w:eastAsia="宋体" w:cs="宋体"/>
          <w:color w:val="000000"/>
          <w:sz w:val="24"/>
        </w:rPr>
        <w:t>订单创建结果通知</w:t>
      </w:r>
      <w:r>
        <w:rPr>
          <w:rFonts w:hint="eastAsia" w:ascii="宋体" w:hAnsi="宋体" w:eastAsia="宋体" w:cs="宋体"/>
          <w:color w:val="000000"/>
          <w:sz w:val="24"/>
        </w:rPr>
        <w:fldChar w:fldCharType="end"/>
      </w:r>
      <w:r>
        <w:rPr>
          <w:rFonts w:hint="eastAsia" w:ascii="宋体" w:hAnsi="宋体" w:eastAsia="宋体" w:cs="宋体"/>
          <w:color w:val="000000"/>
          <w:sz w:val="24"/>
        </w:rPr>
        <w:t>前，必须通过</w:t>
      </w:r>
      <w:r>
        <w:fldChar w:fldCharType="begin"/>
      </w:r>
      <w:r>
        <w:instrText xml:space="preserve"> HYPERLINK \l "订单详情查询接口" </w:instrText>
      </w:r>
      <w:r>
        <w:fldChar w:fldCharType="separate"/>
      </w:r>
      <w:r>
        <w:rPr>
          <w:rFonts w:hint="eastAsia" w:ascii="宋体" w:hAnsi="宋体" w:eastAsia="宋体" w:cs="宋体"/>
          <w:color w:val="000000"/>
          <w:sz w:val="24"/>
        </w:rPr>
        <w:t>订单详情查询接口</w:t>
      </w:r>
      <w:r>
        <w:rPr>
          <w:rFonts w:hint="eastAsia" w:ascii="宋体" w:hAnsi="宋体" w:eastAsia="宋体" w:cs="宋体"/>
          <w:color w:val="000000"/>
          <w:sz w:val="24"/>
        </w:rPr>
        <w:fldChar w:fldCharType="end"/>
      </w:r>
      <w:r>
        <w:rPr>
          <w:rFonts w:hint="eastAsia" w:ascii="宋体" w:hAnsi="宋体" w:eastAsia="宋体" w:cs="宋体"/>
          <w:color w:val="000000"/>
          <w:sz w:val="24"/>
        </w:rPr>
        <w:t>查询该订单处理结果，若无最终结果（下单失败或下单成功），渠道方不能将订单以失败退款或成功处理；若查询订单为不存在，需重发订单创建请求。</w:t>
      </w:r>
    </w:p>
    <w:p>
      <w:pPr>
        <w:pStyle w:val="9"/>
        <w:spacing w:before="0" w:after="0" w:line="360" w:lineRule="auto"/>
        <w:rPr>
          <w:rFonts w:ascii="宋体" w:hAnsi="宋体" w:cs="宋体"/>
          <w:color w:val="000000"/>
          <w:sz w:val="24"/>
          <w:szCs w:val="24"/>
        </w:rPr>
      </w:pPr>
      <w:r>
        <w:rPr>
          <w:rFonts w:hint="eastAsia" w:ascii="宋体" w:hAnsi="宋体" w:cs="宋体"/>
          <w:color w:val="000000"/>
          <w:sz w:val="24"/>
          <w:szCs w:val="24"/>
        </w:rPr>
        <w:t>4.2.4.3</w:t>
      </w:r>
      <w:r>
        <w:rPr>
          <w:rFonts w:hint="eastAsia" w:ascii="宋体" w:hAnsi="宋体" w:cs="宋体"/>
          <w:sz w:val="24"/>
          <w:szCs w:val="24"/>
          <w:lang w:val="en-US"/>
        </w:rPr>
        <w:t>查询</w:t>
      </w:r>
      <w:r>
        <w:rPr>
          <w:rFonts w:hint="eastAsia" w:ascii="宋体" w:hAnsi="宋体" w:cs="宋体"/>
          <w:color w:val="000000"/>
          <w:sz w:val="24"/>
          <w:szCs w:val="24"/>
        </w:rPr>
        <w:t>订单详情</w:t>
      </w:r>
    </w:p>
    <w:p>
      <w:pPr>
        <w:pStyle w:val="54"/>
        <w:spacing w:line="360" w:lineRule="auto"/>
        <w:rPr>
          <w:rFonts w:ascii="宋体" w:hAnsi="宋体" w:eastAsia="宋体" w:cs="宋体"/>
          <w:color w:val="000000"/>
          <w:sz w:val="24"/>
        </w:rPr>
      </w:pPr>
      <w:r>
        <w:rPr>
          <w:rFonts w:hint="eastAsia" w:ascii="宋体" w:hAnsi="宋体" w:eastAsia="宋体" w:cs="宋体"/>
          <w:color w:val="000000"/>
          <w:sz w:val="24"/>
        </w:rPr>
        <w:t>对接OTA接口，获取指定订单的详情和状态。</w:t>
      </w:r>
    </w:p>
    <w:p>
      <w:pPr>
        <w:pStyle w:val="9"/>
        <w:spacing w:before="0" w:after="0" w:line="360" w:lineRule="auto"/>
        <w:rPr>
          <w:rFonts w:ascii="宋体" w:hAnsi="宋体" w:cs="宋体"/>
          <w:color w:val="000000"/>
          <w:sz w:val="24"/>
          <w:szCs w:val="24"/>
        </w:rPr>
      </w:pPr>
      <w:r>
        <w:rPr>
          <w:rFonts w:hint="eastAsia" w:ascii="宋体" w:hAnsi="宋体" w:cs="宋体"/>
          <w:color w:val="000000"/>
          <w:sz w:val="24"/>
          <w:szCs w:val="24"/>
        </w:rPr>
        <w:t>4.2.4.4退订订单</w:t>
      </w:r>
    </w:p>
    <w:p>
      <w:pPr>
        <w:spacing w:line="360" w:lineRule="auto"/>
        <w:ind w:left="210" w:leftChars="100" w:firstLine="240" w:firstLineChars="100"/>
        <w:rPr>
          <w:rFonts w:ascii="宋体" w:hAnsi="宋体" w:cs="宋体"/>
          <w:color w:val="000000"/>
          <w:sz w:val="24"/>
          <w:szCs w:val="24"/>
        </w:rPr>
      </w:pPr>
      <w:r>
        <w:rPr>
          <w:rFonts w:hint="eastAsia" w:ascii="宋体" w:hAnsi="宋体" w:cs="宋体"/>
          <w:color w:val="000000"/>
          <w:sz w:val="24"/>
          <w:szCs w:val="24"/>
        </w:rPr>
        <w:t>对接OTA接口，申请订单退订。</w:t>
      </w:r>
    </w:p>
    <w:p>
      <w:pPr>
        <w:spacing w:line="360" w:lineRule="auto"/>
        <w:ind w:left="210" w:leftChars="100" w:firstLine="240" w:firstLineChars="100"/>
        <w:rPr>
          <w:rFonts w:ascii="宋体" w:hAnsi="宋体" w:cs="宋体"/>
          <w:color w:val="000000"/>
          <w:sz w:val="24"/>
          <w:szCs w:val="24"/>
        </w:rPr>
      </w:pPr>
      <w:r>
        <w:rPr>
          <w:rFonts w:hint="eastAsia" w:ascii="宋体" w:hAnsi="宋体" w:cs="宋体"/>
          <w:color w:val="000000"/>
          <w:sz w:val="24"/>
          <w:szCs w:val="24"/>
        </w:rPr>
        <w:t>在没有接收到</w:t>
      </w:r>
      <w:r>
        <w:fldChar w:fldCharType="begin"/>
      </w:r>
      <w:r>
        <w:instrText xml:space="preserve"> HYPERLINK \l "订单退订处理结果通知" </w:instrText>
      </w:r>
      <w:r>
        <w:fldChar w:fldCharType="separate"/>
      </w:r>
      <w:r>
        <w:rPr>
          <w:rFonts w:hint="eastAsia" w:ascii="宋体" w:hAnsi="宋体" w:cs="宋体"/>
          <w:color w:val="000000"/>
          <w:sz w:val="24"/>
          <w:szCs w:val="24"/>
        </w:rPr>
        <w:t>订单退订处理结果</w:t>
      </w:r>
      <w:r>
        <w:rPr>
          <w:rFonts w:hint="eastAsia" w:ascii="宋体" w:hAnsi="宋体" w:cs="宋体"/>
          <w:color w:val="000000"/>
          <w:sz w:val="24"/>
          <w:szCs w:val="24"/>
        </w:rPr>
        <w:fldChar w:fldCharType="end"/>
      </w:r>
      <w:r>
        <w:rPr>
          <w:rFonts w:hint="eastAsia" w:ascii="宋体" w:hAnsi="宋体" w:cs="宋体"/>
          <w:color w:val="000000"/>
          <w:sz w:val="24"/>
          <w:szCs w:val="24"/>
        </w:rPr>
        <w:t>通知前，必须通过</w:t>
      </w:r>
      <w:r>
        <w:fldChar w:fldCharType="begin"/>
      </w:r>
      <w:r>
        <w:instrText xml:space="preserve"> HYPERLINK \l "订单退订查询接口" </w:instrText>
      </w:r>
      <w:r>
        <w:fldChar w:fldCharType="separate"/>
      </w:r>
      <w:r>
        <w:rPr>
          <w:rFonts w:hint="eastAsia" w:ascii="宋体" w:hAnsi="宋体" w:cs="宋体"/>
          <w:color w:val="000000"/>
          <w:sz w:val="24"/>
          <w:szCs w:val="24"/>
        </w:rPr>
        <w:t>订单退订查询接口</w:t>
      </w:r>
      <w:r>
        <w:rPr>
          <w:rFonts w:hint="eastAsia" w:ascii="宋体" w:hAnsi="宋体" w:cs="宋体"/>
          <w:color w:val="000000"/>
          <w:sz w:val="24"/>
          <w:szCs w:val="24"/>
        </w:rPr>
        <w:fldChar w:fldCharType="end"/>
      </w:r>
      <w:r>
        <w:rPr>
          <w:rFonts w:hint="eastAsia" w:ascii="宋体" w:hAnsi="宋体" w:cs="宋体"/>
          <w:color w:val="000000"/>
          <w:sz w:val="24"/>
          <w:szCs w:val="24"/>
        </w:rPr>
        <w:t>查询该退订处理结果，若无最终结果（退订失败或退订成功），渠道方不能将退订申请以失败退款或成功处理；若订单退订申请查询为不存在，需重发订单退订请求。</w:t>
      </w:r>
    </w:p>
    <w:p>
      <w:pPr>
        <w:pStyle w:val="9"/>
        <w:spacing w:before="0" w:after="0" w:line="360" w:lineRule="auto"/>
        <w:rPr>
          <w:rFonts w:ascii="宋体" w:hAnsi="宋体" w:cs="宋体"/>
          <w:color w:val="000000"/>
          <w:sz w:val="24"/>
          <w:szCs w:val="24"/>
          <w:lang w:val="en-US"/>
        </w:rPr>
      </w:pPr>
      <w:r>
        <w:rPr>
          <w:rFonts w:hint="eastAsia" w:ascii="宋体" w:hAnsi="宋体" w:cs="宋体"/>
          <w:color w:val="000000"/>
          <w:sz w:val="24"/>
          <w:szCs w:val="24"/>
          <w:lang w:val="en-US"/>
        </w:rPr>
        <w:t>4.2.4.5查询订单退订</w:t>
      </w:r>
    </w:p>
    <w:p>
      <w:pPr>
        <w:spacing w:line="360" w:lineRule="auto"/>
        <w:ind w:left="210" w:leftChars="100" w:firstLine="240" w:firstLineChars="100"/>
        <w:rPr>
          <w:rFonts w:ascii="宋体" w:hAnsi="宋体" w:cs="宋体"/>
          <w:color w:val="000000"/>
          <w:sz w:val="24"/>
          <w:szCs w:val="24"/>
        </w:rPr>
      </w:pPr>
      <w:r>
        <w:rPr>
          <w:rFonts w:hint="eastAsia" w:ascii="宋体" w:hAnsi="宋体" w:cs="宋体"/>
          <w:color w:val="000000"/>
          <w:sz w:val="24"/>
          <w:szCs w:val="24"/>
        </w:rPr>
        <w:t>对接OTA接口，查询订单退订申请的处理结果。</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4.2.5凭证</w:t>
      </w:r>
    </w:p>
    <w:p>
      <w:pPr>
        <w:pStyle w:val="9"/>
        <w:spacing w:before="0" w:after="0" w:line="360" w:lineRule="auto"/>
        <w:rPr>
          <w:rFonts w:ascii="宋体" w:hAnsi="宋体" w:cs="宋体"/>
          <w:color w:val="000000"/>
          <w:sz w:val="24"/>
          <w:szCs w:val="24"/>
        </w:rPr>
      </w:pPr>
      <w:r>
        <w:rPr>
          <w:rFonts w:hint="eastAsia" w:ascii="宋体" w:hAnsi="宋体" w:cs="宋体"/>
          <w:color w:val="000000"/>
          <w:sz w:val="24"/>
          <w:szCs w:val="24"/>
        </w:rPr>
        <w:t>4.2.5.1获取门票凭证</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对接OTA接口，通过凭证码获取门票凭证详情。</w:t>
      </w:r>
    </w:p>
    <w:p>
      <w:pPr>
        <w:pStyle w:val="9"/>
        <w:spacing w:before="0" w:after="0" w:line="360" w:lineRule="auto"/>
        <w:rPr>
          <w:rFonts w:ascii="宋体" w:hAnsi="宋体" w:cs="宋体"/>
          <w:color w:val="000000"/>
          <w:sz w:val="24"/>
          <w:szCs w:val="24"/>
        </w:rPr>
      </w:pPr>
      <w:bookmarkStart w:id="198" w:name="_Toc45783667"/>
      <w:r>
        <w:rPr>
          <w:rFonts w:hint="eastAsia" w:ascii="宋体" w:hAnsi="宋体" w:cs="宋体"/>
          <w:color w:val="000000"/>
          <w:sz w:val="24"/>
          <w:szCs w:val="24"/>
        </w:rPr>
        <w:t>4.2.5.2</w:t>
      </w:r>
      <w:bookmarkEnd w:id="198"/>
      <w:r>
        <w:rPr>
          <w:rFonts w:hint="eastAsia" w:ascii="宋体" w:hAnsi="宋体" w:cs="宋体"/>
          <w:color w:val="000000"/>
          <w:sz w:val="24"/>
          <w:szCs w:val="24"/>
        </w:rPr>
        <w:t>获取消费券凭证</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对接OTA接口，通过凭证码获取消费券凭证详情。</w:t>
      </w:r>
    </w:p>
    <w:p>
      <w:pPr>
        <w:pStyle w:val="9"/>
        <w:spacing w:before="0" w:after="0" w:line="360" w:lineRule="auto"/>
        <w:rPr>
          <w:rFonts w:ascii="宋体" w:hAnsi="宋体" w:cs="宋体"/>
          <w:color w:val="000000"/>
          <w:sz w:val="24"/>
          <w:szCs w:val="24"/>
        </w:rPr>
      </w:pPr>
      <w:bookmarkStart w:id="199" w:name="_Toc45783668"/>
      <w:r>
        <w:rPr>
          <w:rFonts w:hint="eastAsia" w:ascii="宋体" w:hAnsi="宋体" w:cs="宋体"/>
          <w:color w:val="000000"/>
          <w:sz w:val="24"/>
          <w:szCs w:val="24"/>
        </w:rPr>
        <w:t>4.2.5.3</w:t>
      </w:r>
      <w:bookmarkEnd w:id="199"/>
      <w:r>
        <w:rPr>
          <w:rFonts w:hint="eastAsia" w:ascii="宋体" w:hAnsi="宋体" w:cs="宋体"/>
          <w:color w:val="000000"/>
          <w:sz w:val="24"/>
          <w:szCs w:val="24"/>
        </w:rPr>
        <w:t>获取套餐凭证</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对接OTA接口，通过凭证码获取门票凭证详情。</w:t>
      </w:r>
    </w:p>
    <w:p>
      <w:pPr>
        <w:pStyle w:val="9"/>
        <w:spacing w:before="0" w:after="0" w:line="360" w:lineRule="auto"/>
        <w:rPr>
          <w:rFonts w:ascii="宋体" w:hAnsi="宋体" w:cs="宋体"/>
          <w:color w:val="000000"/>
          <w:sz w:val="24"/>
          <w:szCs w:val="24"/>
        </w:rPr>
      </w:pPr>
      <w:bookmarkStart w:id="200" w:name="_Toc45783669"/>
      <w:r>
        <w:rPr>
          <w:rFonts w:hint="eastAsia" w:ascii="宋体" w:hAnsi="宋体" w:cs="宋体"/>
          <w:color w:val="000000"/>
          <w:sz w:val="24"/>
          <w:szCs w:val="24"/>
        </w:rPr>
        <w:t>4.2.5.4</w:t>
      </w:r>
      <w:bookmarkEnd w:id="200"/>
      <w:r>
        <w:rPr>
          <w:rFonts w:hint="eastAsia" w:ascii="宋体" w:hAnsi="宋体" w:cs="宋体"/>
          <w:sz w:val="24"/>
          <w:szCs w:val="24"/>
          <w:lang w:val="en-US"/>
        </w:rPr>
        <w:t>获取</w:t>
      </w:r>
      <w:r>
        <w:rPr>
          <w:rFonts w:hint="eastAsia" w:ascii="宋体" w:hAnsi="宋体" w:cs="宋体"/>
          <w:color w:val="000000"/>
          <w:sz w:val="24"/>
          <w:szCs w:val="24"/>
        </w:rPr>
        <w:t>电子年卡凭证</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对接OTA接口，通过凭证码获电子年卡凭证详情。</w:t>
      </w:r>
    </w:p>
    <w:p>
      <w:pPr>
        <w:pStyle w:val="9"/>
        <w:spacing w:before="0" w:after="0" w:line="360" w:lineRule="auto"/>
        <w:rPr>
          <w:rFonts w:ascii="宋体" w:hAnsi="宋体" w:cs="宋体"/>
          <w:color w:val="000000"/>
          <w:sz w:val="24"/>
          <w:szCs w:val="24"/>
        </w:rPr>
      </w:pPr>
      <w:bookmarkStart w:id="201" w:name="_Toc45783670"/>
      <w:r>
        <w:rPr>
          <w:rFonts w:hint="eastAsia" w:ascii="宋体" w:hAnsi="宋体" w:cs="宋体"/>
          <w:color w:val="000000"/>
          <w:sz w:val="24"/>
          <w:szCs w:val="24"/>
        </w:rPr>
        <w:t>4.2.5.5</w:t>
      </w:r>
      <w:bookmarkEnd w:id="201"/>
      <w:r>
        <w:rPr>
          <w:rFonts w:hint="eastAsia" w:ascii="宋体" w:hAnsi="宋体" w:cs="宋体"/>
          <w:sz w:val="24"/>
          <w:szCs w:val="24"/>
          <w:lang w:val="en-US"/>
        </w:rPr>
        <w:t>获取</w:t>
      </w:r>
      <w:r>
        <w:rPr>
          <w:rFonts w:hint="eastAsia" w:ascii="宋体" w:hAnsi="宋体" w:cs="宋体"/>
          <w:color w:val="000000"/>
          <w:sz w:val="24"/>
          <w:szCs w:val="24"/>
        </w:rPr>
        <w:t>场馆凭证</w:t>
      </w:r>
    </w:p>
    <w:p>
      <w:pPr>
        <w:numPr>
          <w:ilvl w:val="0"/>
          <w:numId w:val="12"/>
        </w:numPr>
        <w:spacing w:line="360" w:lineRule="auto"/>
        <w:rPr>
          <w:rFonts w:ascii="宋体" w:hAnsi="宋体" w:cs="宋体"/>
          <w:color w:val="000000"/>
          <w:sz w:val="24"/>
          <w:szCs w:val="24"/>
        </w:rPr>
      </w:pPr>
      <w:r>
        <w:rPr>
          <w:rFonts w:hint="eastAsia" w:ascii="宋体" w:hAnsi="宋体" w:cs="宋体"/>
          <w:color w:val="000000"/>
          <w:sz w:val="24"/>
          <w:szCs w:val="24"/>
        </w:rPr>
        <w:t>对接OTA接口，通过凭证码获取场馆凭证详情。</w:t>
      </w:r>
    </w:p>
    <w:p>
      <w:pPr>
        <w:pStyle w:val="9"/>
        <w:spacing w:before="0" w:after="0" w:line="360" w:lineRule="auto"/>
        <w:rPr>
          <w:rFonts w:ascii="宋体" w:hAnsi="宋体" w:cs="宋体"/>
          <w:color w:val="000000"/>
          <w:sz w:val="24"/>
          <w:szCs w:val="24"/>
        </w:rPr>
      </w:pPr>
      <w:bookmarkStart w:id="202" w:name="_Toc45783671"/>
      <w:r>
        <w:rPr>
          <w:rFonts w:hint="eastAsia" w:ascii="宋体" w:hAnsi="宋体" w:cs="宋体"/>
          <w:color w:val="000000"/>
          <w:sz w:val="24"/>
          <w:szCs w:val="24"/>
        </w:rPr>
        <w:t>4.2.5.6</w:t>
      </w:r>
      <w:bookmarkEnd w:id="202"/>
      <w:r>
        <w:rPr>
          <w:rFonts w:hint="eastAsia" w:ascii="宋体" w:hAnsi="宋体" w:cs="宋体"/>
          <w:sz w:val="24"/>
          <w:szCs w:val="24"/>
          <w:lang w:val="en-US"/>
        </w:rPr>
        <w:t>凭证</w:t>
      </w:r>
      <w:r>
        <w:rPr>
          <w:rFonts w:hint="eastAsia" w:ascii="宋体" w:hAnsi="宋体" w:cs="宋体"/>
          <w:color w:val="000000"/>
          <w:sz w:val="24"/>
          <w:szCs w:val="24"/>
        </w:rPr>
        <w:t>重新发码</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对接OTA接口，申请凭证重新发码。</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4.2.6通知</w:t>
      </w:r>
    </w:p>
    <w:p>
      <w:pPr>
        <w:pStyle w:val="9"/>
        <w:spacing w:before="0" w:after="0" w:line="360" w:lineRule="auto"/>
        <w:rPr>
          <w:rFonts w:ascii="宋体" w:hAnsi="宋体" w:cs="宋体"/>
          <w:color w:val="000000"/>
          <w:sz w:val="24"/>
          <w:szCs w:val="24"/>
        </w:rPr>
      </w:pPr>
      <w:bookmarkStart w:id="203" w:name="_Toc45783673"/>
      <w:r>
        <w:rPr>
          <w:rFonts w:hint="eastAsia" w:ascii="宋体" w:hAnsi="宋体" w:cs="宋体"/>
          <w:color w:val="000000"/>
          <w:sz w:val="24"/>
          <w:szCs w:val="24"/>
        </w:rPr>
        <w:t>4.2.6.1</w:t>
      </w:r>
      <w:bookmarkEnd w:id="203"/>
      <w:r>
        <w:rPr>
          <w:rFonts w:hint="eastAsia" w:ascii="宋体" w:hAnsi="宋体" w:cs="宋体"/>
          <w:sz w:val="24"/>
          <w:szCs w:val="24"/>
          <w:lang w:val="en-US"/>
        </w:rPr>
        <w:t>交易</w:t>
      </w:r>
      <w:r>
        <w:rPr>
          <w:rFonts w:hint="eastAsia" w:ascii="宋体" w:hAnsi="宋体" w:cs="宋体"/>
          <w:color w:val="000000"/>
          <w:sz w:val="24"/>
          <w:szCs w:val="24"/>
        </w:rPr>
        <w:t>通知</w:t>
      </w:r>
    </w:p>
    <w:p>
      <w:pPr>
        <w:pStyle w:val="454"/>
        <w:numPr>
          <w:ilvl w:val="3"/>
          <w:numId w:val="0"/>
        </w:numPr>
        <w:spacing w:before="0" w:after="0" w:line="360" w:lineRule="auto"/>
        <w:ind w:firstLine="482" w:firstLineChars="200"/>
        <w:outlineLvl w:val="4"/>
        <w:rPr>
          <w:rFonts w:ascii="宋体" w:hAnsi="宋体" w:eastAsia="宋体" w:cs="宋体"/>
          <w:sz w:val="24"/>
          <w:szCs w:val="24"/>
          <w:lang w:val="zh-CN"/>
        </w:rPr>
      </w:pPr>
      <w:r>
        <w:rPr>
          <w:rFonts w:hint="eastAsia" w:ascii="宋体" w:hAnsi="宋体" w:eastAsia="宋体" w:cs="宋体"/>
          <w:sz w:val="24"/>
          <w:szCs w:val="24"/>
        </w:rPr>
        <w:t>4.2.6.1.1</w:t>
      </w:r>
      <w:r>
        <w:rPr>
          <w:rFonts w:hint="eastAsia" w:ascii="宋体" w:hAnsi="宋体" w:eastAsia="宋体" w:cs="宋体"/>
          <w:sz w:val="24"/>
          <w:szCs w:val="24"/>
          <w:lang w:val="zh-CN"/>
        </w:rPr>
        <w:t>订单创建结果通知</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订单创建申请成功后，订单创建结果通过异步通知到渠道。</w:t>
      </w:r>
    </w:p>
    <w:p>
      <w:pPr>
        <w:pStyle w:val="454"/>
        <w:numPr>
          <w:ilvl w:val="3"/>
          <w:numId w:val="0"/>
        </w:numPr>
        <w:spacing w:before="0" w:after="0" w:line="360" w:lineRule="auto"/>
        <w:ind w:firstLine="482" w:firstLineChars="200"/>
        <w:outlineLvl w:val="4"/>
        <w:rPr>
          <w:rFonts w:ascii="宋体" w:hAnsi="宋体" w:eastAsia="宋体" w:cs="宋体"/>
          <w:sz w:val="24"/>
          <w:szCs w:val="24"/>
          <w:lang w:val="zh-CN"/>
        </w:rPr>
      </w:pPr>
      <w:r>
        <w:rPr>
          <w:rFonts w:hint="eastAsia" w:ascii="宋体" w:hAnsi="宋体" w:eastAsia="宋体" w:cs="宋体"/>
          <w:sz w:val="24"/>
          <w:szCs w:val="24"/>
        </w:rPr>
        <w:t>4.2.6.1.2</w:t>
      </w:r>
      <w:r>
        <w:rPr>
          <w:rFonts w:hint="eastAsia" w:ascii="宋体" w:hAnsi="宋体" w:eastAsia="宋体" w:cs="宋体"/>
          <w:sz w:val="24"/>
          <w:szCs w:val="24"/>
          <w:lang w:val="zh-CN"/>
        </w:rPr>
        <w:t>订单退订处理结果通知</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订单退订申请成功后，订单退订结果通过异步通知到渠道。</w:t>
      </w:r>
    </w:p>
    <w:p>
      <w:pPr>
        <w:pStyle w:val="9"/>
        <w:spacing w:before="0" w:after="0" w:line="360" w:lineRule="auto"/>
        <w:rPr>
          <w:rFonts w:ascii="宋体" w:hAnsi="宋体" w:cs="宋体"/>
          <w:color w:val="000000"/>
          <w:sz w:val="24"/>
          <w:szCs w:val="24"/>
        </w:rPr>
      </w:pPr>
      <w:bookmarkStart w:id="204" w:name="_Toc45783674"/>
      <w:r>
        <w:rPr>
          <w:rFonts w:hint="eastAsia" w:ascii="宋体" w:hAnsi="宋体" w:cs="宋体"/>
          <w:color w:val="000000"/>
          <w:sz w:val="24"/>
          <w:szCs w:val="24"/>
        </w:rPr>
        <w:t>4.2.6.2</w:t>
      </w:r>
      <w:bookmarkEnd w:id="204"/>
      <w:r>
        <w:rPr>
          <w:rFonts w:hint="eastAsia" w:ascii="宋体" w:hAnsi="宋体" w:cs="宋体"/>
          <w:sz w:val="24"/>
          <w:szCs w:val="24"/>
          <w:lang w:val="en-US"/>
        </w:rPr>
        <w:t>凭证</w:t>
      </w:r>
      <w:r>
        <w:rPr>
          <w:rFonts w:hint="eastAsia" w:ascii="宋体" w:hAnsi="宋体" w:cs="宋体"/>
          <w:color w:val="000000"/>
          <w:sz w:val="24"/>
          <w:szCs w:val="24"/>
        </w:rPr>
        <w:t>核销通知</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用户购买商品获取到凭证后，到达景点消费完凭证，核销结果会通过异步通知到渠道。</w:t>
      </w:r>
    </w:p>
    <w:p>
      <w:pPr>
        <w:pStyle w:val="6"/>
        <w:spacing w:before="0" w:after="0" w:line="360" w:lineRule="auto"/>
        <w:rPr>
          <w:rFonts w:ascii="宋体" w:hAnsi="宋体" w:cs="宋体"/>
          <w:sz w:val="24"/>
          <w:szCs w:val="24"/>
          <w:lang w:val="en-US"/>
        </w:rPr>
      </w:pPr>
      <w:bookmarkStart w:id="205" w:name="_Toc31778"/>
      <w:bookmarkStart w:id="206" w:name="_Toc8351"/>
      <w:r>
        <w:rPr>
          <w:rFonts w:hint="eastAsia" w:ascii="宋体" w:hAnsi="宋体" w:cs="宋体"/>
          <w:sz w:val="24"/>
          <w:szCs w:val="24"/>
          <w:lang w:val="en-US"/>
        </w:rPr>
        <w:t>4.3 后台管理平台建设</w:t>
      </w:r>
      <w:bookmarkEnd w:id="205"/>
      <w:bookmarkEnd w:id="206"/>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4.3.1 订单统计</w:t>
      </w:r>
    </w:p>
    <w:p>
      <w:pPr>
        <w:pStyle w:val="54"/>
        <w:spacing w:line="360" w:lineRule="auto"/>
        <w:rPr>
          <w:rFonts w:ascii="宋体" w:hAnsi="宋体" w:eastAsia="宋体" w:cs="宋体"/>
          <w:color w:val="000000"/>
          <w:sz w:val="24"/>
        </w:rPr>
      </w:pPr>
      <w:r>
        <w:rPr>
          <w:rFonts w:hint="eastAsia" w:ascii="宋体" w:hAnsi="宋体" w:eastAsia="宋体" w:cs="宋体"/>
          <w:color w:val="000000"/>
          <w:sz w:val="24"/>
        </w:rPr>
        <w:t>根据不同渠道，根据产品类型、手机号、订单号、身份证号、下单时间、入园时间、订单状态等多个维度查询售票订单情况。</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4.3.2 销售汇总报表</w:t>
      </w:r>
    </w:p>
    <w:p>
      <w:pPr>
        <w:pStyle w:val="54"/>
        <w:spacing w:line="360" w:lineRule="auto"/>
        <w:rPr>
          <w:rFonts w:ascii="宋体" w:hAnsi="宋体" w:eastAsia="宋体" w:cs="宋体"/>
          <w:color w:val="000000"/>
          <w:sz w:val="24"/>
        </w:rPr>
      </w:pPr>
      <w:r>
        <w:rPr>
          <w:rFonts w:hint="eastAsia" w:ascii="宋体" w:hAnsi="宋体" w:eastAsia="宋体" w:cs="宋体"/>
          <w:color w:val="000000"/>
          <w:sz w:val="24"/>
        </w:rPr>
        <w:t>根据不同渠道、支付类型，按日统计不通商品的销售数据。</w:t>
      </w:r>
    </w:p>
    <w:p>
      <w:pPr>
        <w:pStyle w:val="7"/>
        <w:spacing w:before="0" w:after="0" w:line="360" w:lineRule="auto"/>
        <w:rPr>
          <w:rFonts w:ascii="宋体" w:hAnsi="宋体" w:eastAsia="宋体" w:cs="宋体"/>
          <w:sz w:val="24"/>
          <w:szCs w:val="24"/>
          <w:lang w:val="en-US"/>
        </w:rPr>
      </w:pPr>
      <w:r>
        <w:rPr>
          <w:rFonts w:hint="eastAsia" w:ascii="宋体" w:hAnsi="宋体" w:eastAsia="宋体" w:cs="宋体"/>
          <w:sz w:val="24"/>
          <w:szCs w:val="24"/>
          <w:lang w:val="en-US"/>
        </w:rPr>
        <w:t>4.3.3 后台退款</w:t>
      </w:r>
    </w:p>
    <w:p>
      <w:pPr>
        <w:pStyle w:val="54"/>
        <w:spacing w:line="360" w:lineRule="auto"/>
        <w:rPr>
          <w:rFonts w:ascii="宋体" w:hAnsi="宋体" w:eastAsia="宋体" w:cs="宋体"/>
          <w:color w:val="000000"/>
          <w:sz w:val="24"/>
        </w:rPr>
      </w:pPr>
      <w:r>
        <w:rPr>
          <w:rFonts w:hint="eastAsia" w:ascii="宋体" w:hAnsi="宋体" w:eastAsia="宋体" w:cs="宋体"/>
          <w:sz w:val="24"/>
        </w:rPr>
        <w:t>后台管理人员根据用户订单号查询订单状态并执行退款操作</w:t>
      </w:r>
      <w:r>
        <w:rPr>
          <w:rFonts w:hint="eastAsia" w:ascii="宋体" w:hAnsi="宋体" w:eastAsia="宋体" w:cs="宋体"/>
          <w:color w:val="000000"/>
          <w:sz w:val="24"/>
        </w:rPr>
        <w:t>。</w:t>
      </w:r>
    </w:p>
    <w:p>
      <w:pPr>
        <w:pStyle w:val="6"/>
        <w:spacing w:before="0" w:after="0" w:line="360" w:lineRule="auto"/>
        <w:rPr>
          <w:rFonts w:ascii="宋体" w:hAnsi="宋体" w:cs="宋体"/>
          <w:sz w:val="24"/>
          <w:szCs w:val="24"/>
          <w:lang w:val="en-US"/>
        </w:rPr>
      </w:pPr>
      <w:bookmarkStart w:id="207" w:name="_Toc72141968"/>
      <w:bookmarkStart w:id="208" w:name="_Toc27311"/>
      <w:bookmarkStart w:id="209" w:name="_Toc26183"/>
      <w:r>
        <w:rPr>
          <w:rFonts w:hint="eastAsia" w:ascii="宋体" w:hAnsi="宋体" w:cs="宋体"/>
          <w:sz w:val="24"/>
          <w:szCs w:val="24"/>
          <w:lang w:val="en-US"/>
        </w:rPr>
        <w:t>4.4安全控制</w:t>
      </w:r>
      <w:bookmarkEnd w:id="207"/>
      <w:bookmarkEnd w:id="208"/>
      <w:bookmarkEnd w:id="209"/>
    </w:p>
    <w:p>
      <w:pPr>
        <w:pStyle w:val="5"/>
        <w:numPr>
          <w:ilvl w:val="0"/>
          <w:numId w:val="13"/>
        </w:numPr>
        <w:tabs>
          <w:tab w:val="left" w:pos="576"/>
          <w:tab w:val="clear" w:pos="2410"/>
        </w:tabs>
        <w:spacing w:before="0" w:after="0" w:line="360" w:lineRule="auto"/>
        <w:ind w:left="993" w:hanging="567"/>
        <w:rPr>
          <w:rFonts w:ascii="宋体" w:hAnsi="宋体" w:eastAsia="宋体" w:cs="宋体"/>
          <w:b/>
          <w:sz w:val="24"/>
          <w:szCs w:val="24"/>
        </w:rPr>
      </w:pPr>
      <w:bookmarkStart w:id="210" w:name="_Toc7745"/>
      <w:bookmarkStart w:id="211" w:name="_Toc72141970"/>
      <w:bookmarkStart w:id="212" w:name="_Toc8476"/>
      <w:r>
        <w:rPr>
          <w:rFonts w:hint="eastAsia" w:ascii="宋体" w:hAnsi="宋体" w:eastAsia="宋体" w:cs="宋体"/>
          <w:b/>
          <w:sz w:val="24"/>
          <w:szCs w:val="24"/>
        </w:rPr>
        <w:t>风险来源</w:t>
      </w:r>
      <w:bookmarkEnd w:id="210"/>
      <w:bookmarkEnd w:id="211"/>
      <w:bookmarkEnd w:id="212"/>
    </w:p>
    <w:p>
      <w:pPr>
        <w:tabs>
          <w:tab w:val="left" w:pos="560"/>
        </w:tabs>
        <w:spacing w:line="360" w:lineRule="auto"/>
        <w:ind w:firstLine="559" w:firstLineChars="233"/>
        <w:rPr>
          <w:rFonts w:ascii="宋体" w:hAnsi="宋体" w:cs="宋体"/>
          <w:sz w:val="24"/>
          <w:szCs w:val="24"/>
        </w:rPr>
      </w:pPr>
      <w:r>
        <w:rPr>
          <w:rFonts w:hint="eastAsia" w:ascii="宋体" w:hAnsi="宋体" w:cs="宋体"/>
          <w:sz w:val="24"/>
          <w:szCs w:val="24"/>
        </w:rPr>
        <w:t>从系统和应用的角度出发，系统的安全因素可以划分到五个安全层中，即物理层、网络层、系统层、应用层、安全管理层。</w:t>
      </w:r>
      <w:r>
        <w:rPr>
          <w:rFonts w:hint="eastAsia" w:ascii="宋体" w:hAnsi="宋体" w:cs="宋体"/>
          <w:bCs/>
          <w:sz w:val="24"/>
          <w:szCs w:val="24"/>
        </w:rPr>
        <w:t>系统安全风险包括：</w:t>
      </w:r>
      <w:r>
        <w:rPr>
          <w:rFonts w:hint="eastAsia" w:ascii="宋体" w:hAnsi="宋体" w:cs="宋体"/>
          <w:sz w:val="24"/>
          <w:szCs w:val="24"/>
        </w:rPr>
        <w:t>操作系统安全风险、数据库安全风险、Web系统安全风险、桌面应用系统的安全风险、黑客入侵风险。</w:t>
      </w:r>
    </w:p>
    <w:p>
      <w:pPr>
        <w:tabs>
          <w:tab w:val="left" w:pos="560"/>
        </w:tabs>
        <w:spacing w:line="360" w:lineRule="auto"/>
        <w:ind w:firstLine="559" w:firstLineChars="233"/>
        <w:rPr>
          <w:rFonts w:ascii="宋体" w:hAnsi="宋体" w:cs="宋体"/>
          <w:sz w:val="24"/>
          <w:szCs w:val="24"/>
        </w:rPr>
      </w:pPr>
      <w:r>
        <w:rPr>
          <w:rFonts w:hint="eastAsia" w:ascii="宋体" w:hAnsi="宋体" w:cs="宋体"/>
          <w:sz w:val="24"/>
          <w:szCs w:val="24"/>
        </w:rPr>
        <w:t>抛开物理层和网络层的风险，系统层的风险控制是在华侨城梦幻之城售票平台设计之初就必须考虑的重要部分。</w:t>
      </w:r>
    </w:p>
    <w:p>
      <w:pPr>
        <w:pStyle w:val="5"/>
        <w:numPr>
          <w:ilvl w:val="0"/>
          <w:numId w:val="13"/>
        </w:numPr>
        <w:tabs>
          <w:tab w:val="left" w:pos="576"/>
          <w:tab w:val="clear" w:pos="2410"/>
        </w:tabs>
        <w:spacing w:before="0" w:after="0" w:line="360" w:lineRule="auto"/>
        <w:ind w:left="993" w:hanging="567"/>
        <w:rPr>
          <w:rFonts w:ascii="宋体" w:hAnsi="宋体" w:eastAsia="宋体" w:cs="宋体"/>
          <w:b/>
          <w:sz w:val="24"/>
          <w:szCs w:val="24"/>
        </w:rPr>
      </w:pPr>
      <w:bookmarkStart w:id="213" w:name="_Toc252185258"/>
      <w:bookmarkStart w:id="214" w:name="_Toc25674"/>
      <w:bookmarkStart w:id="215" w:name="_Toc72141971"/>
      <w:bookmarkStart w:id="216" w:name="_Toc7085"/>
      <w:r>
        <w:rPr>
          <w:rFonts w:hint="eastAsia" w:ascii="宋体" w:hAnsi="宋体" w:eastAsia="宋体" w:cs="宋体"/>
          <w:b/>
          <w:sz w:val="24"/>
          <w:szCs w:val="24"/>
        </w:rPr>
        <w:t>安全管理</w:t>
      </w:r>
      <w:bookmarkEnd w:id="213"/>
      <w:bookmarkEnd w:id="214"/>
      <w:bookmarkEnd w:id="215"/>
      <w:bookmarkEnd w:id="216"/>
    </w:p>
    <w:p>
      <w:pPr>
        <w:spacing w:line="360" w:lineRule="auto"/>
        <w:ind w:firstLine="460" w:firstLineChars="192"/>
        <w:rPr>
          <w:rFonts w:ascii="宋体" w:hAnsi="宋体" w:cs="宋体"/>
          <w:sz w:val="24"/>
          <w:szCs w:val="24"/>
        </w:rPr>
      </w:pPr>
      <w:r>
        <w:rPr>
          <w:rFonts w:hint="eastAsia" w:ascii="宋体" w:hAnsi="宋体" w:cs="宋体"/>
          <w:sz w:val="24"/>
          <w:szCs w:val="24"/>
        </w:rPr>
        <w:t>管理与技术两者相辅相成，但是总的来看，技术不过是实现管理的方法之一。技术可以提高运营效率、降低风险、提高收益。但是技术不能超越管理理论和管理实践而存在。安全系统的实施、维护离不开安全管理的保障，缺少安全管理的安全措施只能成为摆设。因此有必要制定一个完善的安全管理体系，并予以贯彻执行，这是整个安全体系中不可缺少的部分。</w:t>
      </w:r>
    </w:p>
    <w:p>
      <w:pPr>
        <w:pStyle w:val="5"/>
        <w:numPr>
          <w:ilvl w:val="0"/>
          <w:numId w:val="13"/>
        </w:numPr>
        <w:tabs>
          <w:tab w:val="left" w:pos="576"/>
          <w:tab w:val="clear" w:pos="2410"/>
        </w:tabs>
        <w:spacing w:before="0" w:after="0" w:line="360" w:lineRule="auto"/>
        <w:ind w:left="993" w:hanging="567"/>
        <w:rPr>
          <w:rFonts w:ascii="宋体" w:hAnsi="宋体" w:eastAsia="宋体" w:cs="宋体"/>
          <w:b/>
          <w:sz w:val="24"/>
          <w:szCs w:val="24"/>
        </w:rPr>
      </w:pPr>
      <w:bookmarkStart w:id="217" w:name="_Toc13007"/>
      <w:bookmarkStart w:id="218" w:name="_Toc72141972"/>
      <w:bookmarkStart w:id="219" w:name="_Toc24911"/>
      <w:r>
        <w:rPr>
          <w:rFonts w:hint="eastAsia" w:ascii="宋体" w:hAnsi="宋体" w:eastAsia="宋体" w:cs="宋体"/>
          <w:b/>
          <w:sz w:val="24"/>
          <w:szCs w:val="24"/>
        </w:rPr>
        <w:t>人员安全</w:t>
      </w:r>
      <w:bookmarkEnd w:id="217"/>
      <w:bookmarkEnd w:id="218"/>
      <w:bookmarkEnd w:id="219"/>
    </w:p>
    <w:p>
      <w:pPr>
        <w:spacing w:line="360" w:lineRule="auto"/>
        <w:ind w:firstLine="460" w:firstLineChars="192"/>
        <w:rPr>
          <w:rFonts w:ascii="宋体" w:hAnsi="宋体" w:cs="宋体"/>
          <w:sz w:val="24"/>
          <w:szCs w:val="24"/>
        </w:rPr>
      </w:pPr>
      <w:r>
        <w:rPr>
          <w:rFonts w:hint="eastAsia" w:ascii="宋体" w:hAnsi="宋体" w:cs="宋体"/>
          <w:sz w:val="24"/>
          <w:szCs w:val="24"/>
        </w:rPr>
        <w:t>逐级、逐部门设置信息安全领导机构，每一级领导机构均由该级别机构的管理决策人负责牵头，同时每一级领导机构向上一级领导机构负责，负责执行上一级领导机构确认的安全策略在本级机构内的实施，并负责指定实施本机构进一步的安全策略和要求。</w:t>
      </w:r>
    </w:p>
    <w:p>
      <w:pPr>
        <w:spacing w:line="360" w:lineRule="auto"/>
        <w:ind w:firstLine="460" w:firstLineChars="192"/>
        <w:rPr>
          <w:rFonts w:ascii="宋体" w:hAnsi="宋体" w:cs="宋体"/>
          <w:sz w:val="24"/>
          <w:szCs w:val="24"/>
        </w:rPr>
      </w:pPr>
      <w:r>
        <w:rPr>
          <w:rFonts w:hint="eastAsia" w:ascii="宋体" w:hAnsi="宋体" w:cs="宋体"/>
          <w:sz w:val="24"/>
          <w:szCs w:val="24"/>
        </w:rPr>
        <w:t>设置安全应急处理小组，负责对市民卡系统突发安全事故的紧急响应和系统恢复。</w:t>
      </w:r>
    </w:p>
    <w:p>
      <w:pPr>
        <w:spacing w:line="360" w:lineRule="auto"/>
        <w:ind w:firstLine="460" w:firstLineChars="192"/>
        <w:rPr>
          <w:rFonts w:ascii="宋体" w:hAnsi="宋体" w:cs="宋体"/>
          <w:sz w:val="24"/>
          <w:szCs w:val="24"/>
        </w:rPr>
      </w:pPr>
      <w:r>
        <w:rPr>
          <w:rFonts w:hint="eastAsia" w:ascii="宋体" w:hAnsi="宋体" w:cs="宋体"/>
          <w:sz w:val="24"/>
          <w:szCs w:val="24"/>
        </w:rPr>
        <w:t>建议建立整个系统使用的统一的安全责任定义，对系统所涉及所有人员的安全责任进行定义，其中包括：各级决策人员、各级业务管理人员、普通工作人员、IT相关人员。</w:t>
      </w:r>
    </w:p>
    <w:p>
      <w:pPr>
        <w:spacing w:line="360" w:lineRule="auto"/>
        <w:ind w:firstLine="460" w:firstLineChars="192"/>
        <w:rPr>
          <w:rFonts w:ascii="宋体" w:hAnsi="宋体" w:cs="宋体"/>
          <w:sz w:val="24"/>
          <w:szCs w:val="24"/>
        </w:rPr>
      </w:pPr>
      <w:r>
        <w:rPr>
          <w:rFonts w:hint="eastAsia" w:ascii="宋体" w:hAnsi="宋体" w:cs="宋体"/>
          <w:sz w:val="24"/>
          <w:szCs w:val="24"/>
        </w:rPr>
        <w:t>对信息系统的重要管理、维护人员建立资质审查制度，其中包括：系统管理员、数据库管理员、网络管理源等；对外部服务和合作单位也建立资质管理制度；定期对所有相关的资质进行检查。</w:t>
      </w:r>
    </w:p>
    <w:p>
      <w:pPr>
        <w:pStyle w:val="36"/>
        <w:rPr>
          <w:rFonts w:ascii="宋体" w:hAnsi="宋体" w:cs="宋体"/>
          <w:sz w:val="24"/>
          <w:szCs w:val="24"/>
        </w:rPr>
      </w:pPr>
    </w:p>
    <w:p>
      <w:pPr>
        <w:pStyle w:val="36"/>
        <w:rPr>
          <w:rFonts w:ascii="宋体" w:hAnsi="宋体" w:cs="宋体"/>
          <w:sz w:val="24"/>
          <w:szCs w:val="24"/>
        </w:rPr>
      </w:pPr>
    </w:p>
    <w:p>
      <w:pPr>
        <w:pStyle w:val="52"/>
        <w:spacing w:before="0" w:after="0" w:line="360" w:lineRule="auto"/>
        <w:rPr>
          <w:rFonts w:ascii="宋体" w:hAnsi="宋体" w:eastAsia="宋体" w:cs="Times New Roman"/>
          <w:snapToGrid w:val="0"/>
          <w:kern w:val="0"/>
          <w:sz w:val="44"/>
          <w:szCs w:val="20"/>
        </w:rPr>
      </w:pPr>
      <w:bookmarkStart w:id="220" w:name="_Toc233"/>
      <w:r>
        <w:rPr>
          <w:rFonts w:hint="eastAsia" w:ascii="宋体" w:hAnsi="宋体" w:eastAsia="宋体" w:cs="Times New Roman"/>
          <w:snapToGrid w:val="0"/>
          <w:kern w:val="0"/>
          <w:sz w:val="44"/>
          <w:szCs w:val="20"/>
        </w:rPr>
        <w:t>第四章 评审方法和程序</w:t>
      </w:r>
      <w:bookmarkEnd w:id="220"/>
    </w:p>
    <w:p>
      <w:pPr>
        <w:pStyle w:val="5"/>
        <w:spacing w:before="0" w:after="0" w:line="360" w:lineRule="auto"/>
        <w:rPr>
          <w:rFonts w:ascii="宋体" w:hAnsi="宋体" w:eastAsia="宋体" w:cs="宋体"/>
          <w:b/>
          <w:sz w:val="24"/>
          <w:szCs w:val="24"/>
        </w:rPr>
      </w:pPr>
      <w:bookmarkStart w:id="221" w:name="_Toc8268"/>
      <w:bookmarkStart w:id="222" w:name="_Toc22277"/>
      <w:r>
        <w:rPr>
          <w:rFonts w:hint="eastAsia" w:ascii="宋体" w:hAnsi="宋体" w:eastAsia="宋体" w:cs="宋体"/>
          <w:b/>
          <w:sz w:val="24"/>
          <w:szCs w:val="24"/>
        </w:rPr>
        <w:t>1.评审小组</w:t>
      </w:r>
      <w:bookmarkEnd w:id="146"/>
      <w:bookmarkEnd w:id="221"/>
      <w:bookmarkEnd w:id="222"/>
    </w:p>
    <w:p>
      <w:pPr>
        <w:snapToGrid w:val="0"/>
        <w:spacing w:line="360" w:lineRule="auto"/>
        <w:ind w:firstLine="480" w:firstLineChars="200"/>
        <w:contextualSpacing/>
        <w:rPr>
          <w:rFonts w:ascii="宋体" w:hAnsi="宋体" w:cs="宋体"/>
          <w:color w:val="000000"/>
          <w:sz w:val="24"/>
          <w:szCs w:val="24"/>
          <w:lang w:val="zh-CN"/>
        </w:rPr>
      </w:pPr>
      <w:r>
        <w:rPr>
          <w:rFonts w:hint="eastAsia" w:ascii="宋体" w:hAnsi="宋体" w:cs="宋体"/>
          <w:bCs/>
          <w:color w:val="000000"/>
          <w:sz w:val="24"/>
          <w:szCs w:val="24"/>
          <w:lang w:val="zh-CN"/>
        </w:rPr>
        <w:t>1.本项目采购依《中华人民共和国政府采购法》、《政府采购非招标采购方式管理办法》及有关法律法规成立评审小组。评审小组由采购人代表和评审专家共5人组成</w:t>
      </w:r>
      <w:r>
        <w:rPr>
          <w:rFonts w:hint="eastAsia" w:ascii="宋体" w:hAnsi="宋体" w:cs="宋体"/>
          <w:color w:val="000000"/>
          <w:sz w:val="24"/>
          <w:szCs w:val="24"/>
          <w:lang w:val="zh-CN"/>
        </w:rPr>
        <w:t>。</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.评审小组的职责：审查投标供应商的响应文件并作出评价；要求供应商解释或者澄清其响应文件；编写评审报告；告知采购人在评审过程中发现的供应商的违法违规行为。</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3</w:t>
      </w:r>
      <w:r>
        <w:rPr>
          <w:rFonts w:hint="eastAsia" w:ascii="宋体" w:hAnsi="宋体" w:cs="宋体"/>
          <w:bCs/>
          <w:color w:val="000000"/>
          <w:sz w:val="24"/>
          <w:szCs w:val="24"/>
          <w:lang w:val="zh-CN"/>
        </w:rPr>
        <w:t>.评审小组成员的义务：遵纪守法，客观、公正、廉洁地履行职责；根据采购文件的规定独立进行评审，对个人的评审意见承担法律责任；参与评审报告的起草；配合采购人答复供应商提出的质疑，配合财政部门的投诉处理和监督检查工作。</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4</w:t>
      </w:r>
      <w:r>
        <w:rPr>
          <w:rFonts w:hint="eastAsia" w:ascii="宋体" w:hAnsi="宋体" w:cs="宋体"/>
          <w:bCs/>
          <w:color w:val="000000"/>
          <w:sz w:val="24"/>
          <w:szCs w:val="24"/>
          <w:lang w:val="zh-CN"/>
        </w:rPr>
        <w:t>.评审有关记录由评审小组成员签名，存档备查。</w:t>
      </w:r>
    </w:p>
    <w:p>
      <w:pPr>
        <w:snapToGrid w:val="0"/>
        <w:spacing w:line="360" w:lineRule="auto"/>
        <w:ind w:firstLine="480" w:firstLineChars="200"/>
        <w:contextualSpacing/>
        <w:rPr>
          <w:rFonts w:ascii="宋体" w:hAnsi="宋体" w:cs="宋体"/>
          <w:b/>
          <w:bCs/>
          <w:color w:val="000000"/>
          <w:sz w:val="24"/>
          <w:szCs w:val="24"/>
        </w:rPr>
      </w:pPr>
      <w:r>
        <w:rPr>
          <w:rFonts w:hint="eastAsia" w:ascii="宋体" w:hAnsi="宋体" w:cs="宋体"/>
          <w:bCs/>
          <w:color w:val="000000"/>
          <w:sz w:val="24"/>
          <w:szCs w:val="24"/>
        </w:rPr>
        <w:t>5</w:t>
      </w:r>
      <w:r>
        <w:rPr>
          <w:rFonts w:hint="eastAsia" w:ascii="宋体" w:hAnsi="宋体" w:cs="宋体"/>
          <w:bCs/>
          <w:color w:val="000000"/>
          <w:sz w:val="24"/>
          <w:szCs w:val="24"/>
          <w:lang w:val="zh-CN"/>
        </w:rPr>
        <w:t>.</w:t>
      </w:r>
      <w:r>
        <w:rPr>
          <w:rFonts w:hint="eastAsia" w:ascii="宋体" w:hAnsi="宋体" w:cs="宋体"/>
          <w:sz w:val="24"/>
          <w:szCs w:val="24"/>
        </w:rPr>
        <w:t>如评委会认为有必要，</w:t>
      </w:r>
      <w:r>
        <w:rPr>
          <w:rFonts w:hint="eastAsia" w:ascii="宋体" w:hAnsi="宋体" w:cs="宋体"/>
          <w:bCs/>
          <w:color w:val="000000"/>
          <w:sz w:val="24"/>
          <w:szCs w:val="24"/>
          <w:lang w:val="zh-CN"/>
        </w:rPr>
        <w:t>投标人可</w:t>
      </w:r>
      <w:r>
        <w:rPr>
          <w:rFonts w:hint="eastAsia" w:ascii="宋体" w:hAnsi="宋体" w:cs="宋体"/>
          <w:sz w:val="24"/>
          <w:szCs w:val="24"/>
        </w:rPr>
        <w:t>按评委会的要求作陈述、演示、答疑及澄清其投标内容。时间由评委会掌握。重要澄清答复应是书面的，但不得对投标内容进行实质性修改。</w:t>
      </w:r>
    </w:p>
    <w:p>
      <w:pPr>
        <w:pStyle w:val="5"/>
        <w:spacing w:before="0" w:after="0" w:line="360" w:lineRule="auto"/>
        <w:rPr>
          <w:rFonts w:ascii="宋体" w:hAnsi="宋体" w:eastAsia="宋体" w:cs="宋体"/>
          <w:b/>
          <w:sz w:val="24"/>
          <w:szCs w:val="24"/>
        </w:rPr>
      </w:pPr>
      <w:bookmarkStart w:id="223" w:name="_Toc29617"/>
      <w:bookmarkStart w:id="224" w:name="_Toc25252"/>
      <w:r>
        <w:rPr>
          <w:rFonts w:hint="eastAsia" w:ascii="宋体" w:hAnsi="宋体" w:eastAsia="宋体" w:cs="宋体"/>
          <w:b/>
          <w:sz w:val="24"/>
          <w:szCs w:val="24"/>
        </w:rPr>
        <w:t>2.评审方法与评分标准</w:t>
      </w:r>
      <w:bookmarkEnd w:id="223"/>
      <w:bookmarkEnd w:id="224"/>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lang w:val="zh-CN"/>
        </w:rPr>
        <w:t>1.评审方法</w:t>
      </w:r>
    </w:p>
    <w:p>
      <w:pPr>
        <w:snapToGrid w:val="0"/>
        <w:spacing w:line="360" w:lineRule="auto"/>
        <w:ind w:firstLine="480" w:firstLineChars="200"/>
        <w:contextualSpacing/>
        <w:rPr>
          <w:rFonts w:ascii="宋体" w:hAnsi="宋体" w:cs="宋体"/>
          <w:sz w:val="24"/>
          <w:szCs w:val="24"/>
        </w:rPr>
      </w:pPr>
      <w:r>
        <w:rPr>
          <w:rFonts w:hint="eastAsia" w:ascii="宋体" w:hAnsi="宋体" w:cs="宋体"/>
          <w:color w:val="000000"/>
          <w:sz w:val="24"/>
          <w:szCs w:val="24"/>
        </w:rPr>
        <w:t>本项目采用：综合评分法</w:t>
      </w:r>
      <w:r>
        <w:rPr>
          <w:rFonts w:hint="eastAsia" w:ascii="宋体" w:hAnsi="宋体" w:cs="宋体"/>
          <w:sz w:val="24"/>
          <w:szCs w:val="24"/>
        </w:rPr>
        <w:t>。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2.评分标准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本项目采用综合评分法确定中标人。评标委员会将按下列评分办法和标准进行评分，总分值为100分。</w:t>
      </w:r>
    </w:p>
    <w:tbl>
      <w:tblPr>
        <w:tblStyle w:val="56"/>
        <w:tblW w:w="5324" w:type="pct"/>
        <w:tblInd w:w="-29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16"/>
        <w:gridCol w:w="1138"/>
        <w:gridCol w:w="1130"/>
        <w:gridCol w:w="859"/>
        <w:gridCol w:w="547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617"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评审因素</w:t>
            </w: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各评分因素细分项</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分值</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（1）</w:t>
            </w:r>
          </w:p>
        </w:tc>
        <w:tc>
          <w:tcPr>
            <w:tcW w:w="617"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报价评审</w:t>
            </w: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投标报价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30</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1、以本次最低有效投标报价为基准价，投标报价得分=(基准价／投标报价)×30</w:t>
            </w:r>
          </w:p>
          <w:p>
            <w:pPr>
              <w:pStyle w:val="54"/>
              <w:spacing w:line="360" w:lineRule="auto"/>
              <w:ind w:firstLine="0"/>
              <w:rPr>
                <w:rFonts w:ascii="宋体" w:hAnsi="宋体" w:eastAsia="宋体" w:cs="宋体"/>
                <w:sz w:val="24"/>
              </w:rPr>
            </w:pPr>
            <w:r>
              <w:rPr>
                <w:rFonts w:hint="eastAsia" w:ascii="宋体" w:hAnsi="宋体" w:eastAsia="宋体" w:cs="宋体"/>
                <w:sz w:val="24"/>
              </w:rPr>
              <w:t>2、“有效投标报价”指通过资格性审查和符合性审查的供应商的投标报价。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（2）</w:t>
            </w:r>
          </w:p>
        </w:tc>
        <w:tc>
          <w:tcPr>
            <w:tcW w:w="617" w:type="pct"/>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技术评审</w:t>
            </w: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项目整体理解评价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投标人须根据招标文件提出明确、合理、可行的设计方案，设计方案的总体构架、各项功能设计具备完整性、专业性和兼容性，具有总体设计框架和设计思路，业务流程，完全响应招标文件的功能要求。</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优秀者：10-8分；良好者：7-5分；一般者：4-1分；未提供符合要求的方案本项得0分。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7"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项目功能评价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投标人对招标范围和工期要求有准确的理解，提供切实可行的建设方案。</w:t>
            </w:r>
          </w:p>
          <w:p>
            <w:pPr>
              <w:spacing w:line="360" w:lineRule="auto"/>
              <w:jc w:val="left"/>
              <w:rPr>
                <w:rFonts w:ascii="宋体" w:hAnsi="宋体" w:cs="宋体"/>
                <w:sz w:val="24"/>
                <w:szCs w:val="24"/>
                <w:highlight w:val="none"/>
              </w:rPr>
            </w:pPr>
            <w:r>
              <w:rPr>
                <w:rFonts w:hint="eastAsia" w:ascii="宋体" w:hAnsi="宋体" w:cs="宋体"/>
                <w:b/>
                <w:bCs/>
                <w:sz w:val="24"/>
                <w:szCs w:val="24"/>
                <w:highlight w:val="none"/>
              </w:rPr>
              <w:t>线上售票系统：</w:t>
            </w:r>
            <w:r>
              <w:rPr>
                <w:rFonts w:hint="eastAsia" w:ascii="宋体" w:hAnsi="宋体" w:cs="宋体"/>
                <w:sz w:val="24"/>
                <w:szCs w:val="24"/>
                <w:highlight w:val="none"/>
              </w:rPr>
              <w:t>能够满足招标文件中新建业务平台系统的能力要求，详细描述线上售票系统的解决方案，根据方案是否详细、技术是否合理可行，功能是否满足招标文件的要求进行评分。</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优秀者：8-6分；良好者：5-3分；一般者：2-1分；未提供符合要求的方案本项得0分。</w:t>
            </w:r>
          </w:p>
          <w:p>
            <w:pPr>
              <w:spacing w:line="360" w:lineRule="auto"/>
              <w:jc w:val="left"/>
              <w:rPr>
                <w:rFonts w:ascii="宋体" w:hAnsi="宋体" w:cs="宋体"/>
                <w:sz w:val="24"/>
                <w:szCs w:val="24"/>
                <w:highlight w:val="none"/>
              </w:rPr>
            </w:pPr>
            <w:r>
              <w:rPr>
                <w:rFonts w:hint="eastAsia" w:ascii="宋体" w:hAnsi="宋体" w:cs="宋体"/>
                <w:b/>
                <w:bCs/>
                <w:sz w:val="24"/>
                <w:szCs w:val="24"/>
                <w:highlight w:val="none"/>
              </w:rPr>
              <w:t>后台管理系统：</w:t>
            </w:r>
            <w:r>
              <w:rPr>
                <w:rFonts w:hint="eastAsia" w:ascii="宋体" w:hAnsi="宋体" w:cs="宋体"/>
                <w:sz w:val="24"/>
                <w:szCs w:val="24"/>
                <w:highlight w:val="none"/>
              </w:rPr>
              <w:t>能够满足招标文件中新建业务平台系统的能力要求，详细描述后台管理系统的解决方案，根据方案是否详细、技术是否合理可行，功能是否满足招标文件的要求进行评分。</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优秀者：8-6分；良好者：5-3分；一般者：2-1分；未提供符合要求的方案本项得0分。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7"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项目技术架构评价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投标人需要采用先进可扩展的系统技术架构，避免“烟囱式”系统建设，适应未来平台发展和创新要求，能够详细描述系统设计思路、技术架构、技术选型、系统性能等方面的内容。</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优秀者：3分；良好者：2分；一般者：1分；未提供符合要求的方案本项得0分。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7"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项目实施方案评价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投标人需提供</w:t>
            </w:r>
            <w:r>
              <w:rPr>
                <w:rFonts w:hint="eastAsia" w:ascii="宋体" w:hAnsi="宋体" w:cs="宋体"/>
                <w:b/>
                <w:bCs/>
                <w:sz w:val="24"/>
                <w:szCs w:val="24"/>
                <w:highlight w:val="none"/>
              </w:rPr>
              <w:t>项目实施方案</w:t>
            </w:r>
            <w:r>
              <w:rPr>
                <w:rFonts w:hint="eastAsia" w:ascii="宋体" w:hAnsi="宋体" w:cs="宋体"/>
                <w:sz w:val="24"/>
                <w:szCs w:val="24"/>
                <w:highlight w:val="none"/>
              </w:rPr>
              <w:t>，具备项目实施策略、项目管理方案、项目进度管理、项目风险控制等方面，综合考察实施方案是否详实、完整、合理，是否含有实质性措施，确保本项目实施按计划顺利实施成功等。</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优秀者：6-5分；良好者：4-3分；一般者：2-1分，未提供符合要求的方案本项得0分。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7"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highlight w:val="none"/>
              </w:rPr>
              <w:t>项目组织管理架构及人力资源评价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投标人需提供本项目组织管理架构、项目负责人、项目团队人员，项目组成员需要不少于5人。</w:t>
            </w:r>
          </w:p>
          <w:p>
            <w:pPr>
              <w:spacing w:line="360" w:lineRule="auto"/>
              <w:jc w:val="left"/>
              <w:rPr>
                <w:rFonts w:ascii="宋体" w:hAnsi="宋体" w:cs="宋体"/>
                <w:sz w:val="24"/>
                <w:szCs w:val="24"/>
              </w:rPr>
            </w:pPr>
            <w:r>
              <w:rPr>
                <w:rFonts w:hint="eastAsia" w:ascii="宋体" w:hAnsi="宋体" w:cs="宋体"/>
                <w:sz w:val="24"/>
                <w:szCs w:val="24"/>
              </w:rPr>
              <w:t>优秀者：项目团队至少1人具备高级职称，至少2人具备PMP证书，提供相应证明材料者得10分；</w:t>
            </w:r>
          </w:p>
          <w:p>
            <w:pPr>
              <w:spacing w:line="360" w:lineRule="auto"/>
              <w:jc w:val="left"/>
              <w:rPr>
                <w:rFonts w:ascii="宋体" w:hAnsi="宋体" w:cs="宋体"/>
                <w:sz w:val="24"/>
                <w:szCs w:val="24"/>
              </w:rPr>
            </w:pPr>
            <w:r>
              <w:rPr>
                <w:rFonts w:hint="eastAsia" w:ascii="宋体" w:hAnsi="宋体" w:cs="宋体"/>
                <w:sz w:val="24"/>
                <w:szCs w:val="24"/>
              </w:rPr>
              <w:t>良好者：项目团队至少1人具备高级职称，至少1人具备PMP证书，提供相应证明材料者得6分；</w:t>
            </w:r>
          </w:p>
          <w:p>
            <w:pPr>
              <w:spacing w:line="360" w:lineRule="auto"/>
              <w:jc w:val="left"/>
              <w:rPr>
                <w:rFonts w:ascii="宋体" w:hAnsi="宋体" w:cs="宋体"/>
                <w:sz w:val="24"/>
                <w:szCs w:val="24"/>
              </w:rPr>
            </w:pPr>
            <w:r>
              <w:rPr>
                <w:rFonts w:hint="eastAsia" w:ascii="宋体" w:hAnsi="宋体" w:cs="宋体"/>
                <w:sz w:val="24"/>
                <w:szCs w:val="24"/>
              </w:rPr>
              <w:t>一般者：项目团队至少1人具备高级职称或者PMP证书，提供相应证明材料者得3分。</w:t>
            </w:r>
          </w:p>
          <w:p>
            <w:pPr>
              <w:spacing w:line="360" w:lineRule="auto"/>
              <w:jc w:val="left"/>
              <w:rPr>
                <w:rFonts w:ascii="宋体" w:hAnsi="宋体" w:cs="宋体"/>
                <w:sz w:val="24"/>
                <w:szCs w:val="24"/>
              </w:rPr>
            </w:pPr>
            <w:r>
              <w:rPr>
                <w:rFonts w:hint="eastAsia" w:ascii="宋体" w:hAnsi="宋体" w:cs="宋体"/>
                <w:sz w:val="24"/>
                <w:szCs w:val="24"/>
              </w:rPr>
              <w:t>未提供符合要求的方案本项得0分。</w:t>
            </w:r>
          </w:p>
          <w:p>
            <w:pPr>
              <w:spacing w:line="360" w:lineRule="auto"/>
              <w:jc w:val="left"/>
              <w:rPr>
                <w:rFonts w:ascii="宋体" w:hAnsi="宋体" w:cs="宋体"/>
                <w:sz w:val="24"/>
                <w:szCs w:val="24"/>
              </w:rPr>
            </w:pPr>
            <w:r>
              <w:rPr>
                <w:rFonts w:hint="eastAsia" w:ascii="宋体" w:hAnsi="宋体" w:cs="宋体"/>
                <w:sz w:val="24"/>
                <w:szCs w:val="24"/>
              </w:rPr>
              <w:t>注：投标人需提供项目人员相应资质的证明材料以及近6个月（2020年12月至2021年5月）社保缴纳证明。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（3）</w:t>
            </w:r>
          </w:p>
        </w:tc>
        <w:tc>
          <w:tcPr>
            <w:tcW w:w="617" w:type="pct"/>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商务评审</w:t>
            </w: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资质状况评价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color w:val="FF0000"/>
                <w:sz w:val="24"/>
                <w:szCs w:val="24"/>
              </w:rPr>
              <w:t>6</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投标人属于高新技术企业，且提供高新技术企业证书得</w:t>
            </w:r>
            <w:r>
              <w:rPr>
                <w:rFonts w:hint="eastAsia" w:ascii="宋体" w:hAnsi="宋体" w:cs="宋体"/>
                <w:color w:val="FF0000"/>
                <w:sz w:val="24"/>
                <w:szCs w:val="24"/>
              </w:rPr>
              <w:t>2分</w:t>
            </w:r>
            <w:r>
              <w:rPr>
                <w:rFonts w:hint="eastAsia" w:ascii="宋体" w:hAnsi="宋体" w:cs="宋体"/>
                <w:sz w:val="24"/>
                <w:szCs w:val="24"/>
              </w:rPr>
              <w:t>。</w:t>
            </w:r>
          </w:p>
          <w:p>
            <w:pPr>
              <w:spacing w:line="360" w:lineRule="auto"/>
              <w:jc w:val="left"/>
              <w:rPr>
                <w:rFonts w:ascii="宋体" w:hAnsi="宋体" w:cs="宋体"/>
                <w:sz w:val="24"/>
                <w:szCs w:val="24"/>
              </w:rPr>
            </w:pPr>
            <w:r>
              <w:rPr>
                <w:rFonts w:hint="eastAsia" w:ascii="宋体" w:hAnsi="宋体" w:cs="宋体"/>
                <w:sz w:val="24"/>
                <w:szCs w:val="24"/>
              </w:rPr>
              <w:t>投标人属于软件企业，且提供软件企业证书得</w:t>
            </w:r>
            <w:r>
              <w:rPr>
                <w:rFonts w:hint="eastAsia" w:ascii="宋体" w:hAnsi="宋体" w:cs="宋体"/>
                <w:color w:val="FF0000"/>
                <w:sz w:val="24"/>
                <w:szCs w:val="24"/>
              </w:rPr>
              <w:t>2分</w:t>
            </w:r>
            <w:r>
              <w:rPr>
                <w:rFonts w:hint="eastAsia" w:ascii="宋体" w:hAnsi="宋体" w:cs="宋体"/>
                <w:sz w:val="24"/>
                <w:szCs w:val="24"/>
              </w:rPr>
              <w:t>。</w:t>
            </w:r>
          </w:p>
          <w:p>
            <w:pPr>
              <w:spacing w:line="360" w:lineRule="auto"/>
              <w:jc w:val="left"/>
              <w:rPr>
                <w:rFonts w:ascii="宋体" w:hAnsi="宋体" w:cs="宋体"/>
                <w:sz w:val="24"/>
                <w:szCs w:val="24"/>
              </w:rPr>
            </w:pPr>
            <w:r>
              <w:rPr>
                <w:rFonts w:hint="eastAsia" w:ascii="宋体" w:hAnsi="宋体" w:cs="宋体"/>
                <w:sz w:val="24"/>
                <w:szCs w:val="24"/>
              </w:rPr>
              <w:t>投标人具备ISO9001证书，且提供证书得2</w:t>
            </w:r>
            <w:r>
              <w:rPr>
                <w:rFonts w:hint="eastAsia" w:ascii="宋体" w:hAnsi="宋体" w:cs="宋体"/>
                <w:color w:val="FF0000"/>
                <w:sz w:val="24"/>
                <w:szCs w:val="24"/>
              </w:rPr>
              <w:t>分</w:t>
            </w:r>
            <w:r>
              <w:rPr>
                <w:rFonts w:hint="eastAsia" w:ascii="宋体" w:hAnsi="宋体" w:cs="宋体"/>
                <w:sz w:val="24"/>
                <w:szCs w:val="24"/>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7"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现场演示评价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演示基于真实的成功案例，只使用ppt或无演示则此部分不得分。</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采购内容所涉应用场景演示线上售票类服务。每演示一个得3分，满分9分，不满足则不得分。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34"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7" w:type="pct"/>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p>
        </w:tc>
        <w:tc>
          <w:tcPr>
            <w:tcW w:w="613"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成功案例评价</w:t>
            </w:r>
          </w:p>
        </w:tc>
        <w:tc>
          <w:tcPr>
            <w:tcW w:w="466"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hAnsi="宋体" w:cs="宋体"/>
                <w:sz w:val="24"/>
                <w:szCs w:val="24"/>
              </w:rPr>
            </w:pPr>
            <w:r>
              <w:rPr>
                <w:rFonts w:hint="eastAsia" w:ascii="宋体" w:hAnsi="宋体" w:cs="宋体"/>
                <w:color w:val="FF0000"/>
                <w:sz w:val="24"/>
                <w:szCs w:val="24"/>
              </w:rPr>
              <w:t>10</w:t>
            </w:r>
          </w:p>
        </w:tc>
        <w:tc>
          <w:tcPr>
            <w:tcW w:w="2968" w:type="pct"/>
            <w:tcBorders>
              <w:top w:val="outset" w:color="auto" w:sz="6" w:space="0"/>
              <w:left w:val="outset" w:color="auto" w:sz="6" w:space="0"/>
              <w:bottom w:val="outset" w:color="auto" w:sz="6" w:space="0"/>
              <w:right w:val="outset" w:color="auto" w:sz="6" w:space="0"/>
            </w:tcBorders>
            <w:vAlign w:val="center"/>
          </w:tcPr>
          <w:p>
            <w:pPr>
              <w:spacing w:line="360" w:lineRule="auto"/>
              <w:jc w:val="left"/>
              <w:rPr>
                <w:rFonts w:ascii="宋体" w:hAnsi="宋体" w:cs="宋体"/>
                <w:sz w:val="24"/>
                <w:szCs w:val="24"/>
              </w:rPr>
            </w:pPr>
            <w:r>
              <w:rPr>
                <w:rFonts w:hint="eastAsia" w:ascii="宋体" w:hAnsi="宋体" w:cs="宋体"/>
                <w:sz w:val="24"/>
                <w:szCs w:val="24"/>
              </w:rPr>
              <w:t>成功案例评价：</w:t>
            </w:r>
            <w:r>
              <w:rPr>
                <w:rFonts w:hint="eastAsia" w:ascii="宋体" w:hAnsi="宋体" w:cs="宋体"/>
                <w:color w:val="FF0000"/>
                <w:sz w:val="24"/>
                <w:szCs w:val="24"/>
              </w:rPr>
              <w:t>2018年1月1日至今</w:t>
            </w:r>
            <w:r>
              <w:rPr>
                <w:rFonts w:hint="eastAsia" w:ascii="宋体" w:hAnsi="宋体" w:cs="宋体"/>
                <w:sz w:val="24"/>
                <w:szCs w:val="24"/>
              </w:rPr>
              <w:t>（以合同签订时间为准）实施过地市级别（地市级及以上，规模为百万级用户量</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Hans"/>
                <w14:textFill>
                  <w14:solidFill>
                    <w14:schemeClr w14:val="tx1"/>
                  </w14:solidFill>
                </w14:textFill>
              </w:rPr>
              <w:t>智慧文旅</w:t>
            </w:r>
            <w:r>
              <w:rPr>
                <w:rFonts w:hint="eastAsia" w:ascii="宋体" w:hAnsi="宋体" w:cs="宋体"/>
                <w:color w:val="000000" w:themeColor="text1"/>
                <w:sz w:val="24"/>
                <w:szCs w:val="24"/>
                <w14:textFill>
                  <w14:solidFill>
                    <w14:schemeClr w14:val="tx1"/>
                  </w14:solidFill>
                </w14:textFill>
              </w:rPr>
              <w:t>系统（</w:t>
            </w:r>
            <w:r>
              <w:rPr>
                <w:rFonts w:hint="eastAsia" w:ascii="宋体" w:hAnsi="宋体" w:cs="宋体"/>
                <w:color w:val="000000" w:themeColor="text1"/>
                <w:sz w:val="24"/>
                <w:szCs w:val="24"/>
                <w:lang w:eastAsia="zh-Hans"/>
                <w14:textFill>
                  <w14:solidFill>
                    <w14:schemeClr w14:val="tx1"/>
                  </w14:solidFill>
                </w14:textFill>
              </w:rPr>
              <w:t>含售票系统）</w:t>
            </w:r>
            <w:r>
              <w:rPr>
                <w:rFonts w:hint="eastAsia" w:ascii="宋体" w:hAnsi="宋体" w:cs="宋体"/>
                <w:color w:val="000000" w:themeColor="text1"/>
                <w:sz w:val="24"/>
                <w:szCs w:val="24"/>
                <w14:textFill>
                  <w14:solidFill>
                    <w14:schemeClr w14:val="tx1"/>
                  </w14:solidFill>
                </w14:textFill>
              </w:rPr>
              <w:t>等类似项目，须提供签订的合同及项目甲方开具的加盖公章的</w:t>
            </w:r>
            <w:r>
              <w:rPr>
                <w:rFonts w:hint="eastAsia" w:ascii="宋体" w:hAnsi="宋体" w:cs="宋体"/>
                <w:sz w:val="24"/>
                <w:szCs w:val="24"/>
              </w:rPr>
              <w:t>平台有效证明（需包括平台名称、时间地点、功能概要说明、用户规模、真实有效声明），无有效证明不得分。</w:t>
            </w:r>
          </w:p>
          <w:p>
            <w:pPr>
              <w:spacing w:line="360" w:lineRule="auto"/>
              <w:jc w:val="left"/>
              <w:rPr>
                <w:rFonts w:ascii="宋体" w:hAnsi="宋体" w:cs="宋体"/>
                <w:sz w:val="24"/>
                <w:szCs w:val="24"/>
              </w:rPr>
            </w:pPr>
            <w:r>
              <w:rPr>
                <w:rFonts w:hint="eastAsia" w:ascii="宋体" w:hAnsi="宋体" w:cs="宋体"/>
                <w:sz w:val="24"/>
                <w:szCs w:val="24"/>
                <w:lang w:eastAsia="zh-Hans"/>
              </w:rPr>
              <w:t>每提供一成功案例</w:t>
            </w:r>
            <w:r>
              <w:rPr>
                <w:rFonts w:hint="eastAsia" w:ascii="宋体" w:hAnsi="宋体" w:cs="宋体"/>
                <w:color w:val="FF0000"/>
                <w:sz w:val="24"/>
                <w:szCs w:val="24"/>
              </w:rPr>
              <w:t>得2分</w:t>
            </w:r>
            <w:r>
              <w:rPr>
                <w:rFonts w:hint="eastAsia" w:ascii="宋体" w:hAnsi="宋体" w:cs="宋体"/>
                <w:color w:val="FF0000"/>
                <w:sz w:val="24"/>
                <w:szCs w:val="24"/>
                <w:lang w:eastAsia="zh-Hans"/>
              </w:rPr>
              <w:t>，最高不超过</w:t>
            </w:r>
            <w:r>
              <w:rPr>
                <w:rFonts w:hint="eastAsia" w:ascii="宋体" w:hAnsi="宋体" w:cs="宋体"/>
                <w:color w:val="FF0000"/>
                <w:sz w:val="24"/>
                <w:szCs w:val="24"/>
              </w:rPr>
              <w:t>10</w:t>
            </w:r>
            <w:r>
              <w:rPr>
                <w:rFonts w:hint="eastAsia" w:ascii="宋体" w:hAnsi="宋体" w:cs="宋体"/>
                <w:color w:val="FF0000"/>
                <w:sz w:val="24"/>
                <w:szCs w:val="24"/>
                <w:lang w:eastAsia="zh-Hans"/>
              </w:rPr>
              <w:t>分</w:t>
            </w:r>
            <w:r>
              <w:rPr>
                <w:rFonts w:hint="eastAsia" w:ascii="宋体" w:hAnsi="宋体" w:cs="宋体"/>
                <w:sz w:val="24"/>
                <w:szCs w:val="24"/>
                <w:lang w:eastAsia="zh-Hans"/>
              </w:rPr>
              <w:t>。</w:t>
            </w:r>
          </w:p>
          <w:p>
            <w:pPr>
              <w:spacing w:line="360" w:lineRule="auto"/>
              <w:jc w:val="left"/>
              <w:rPr>
                <w:rFonts w:ascii="宋体" w:hAnsi="宋体" w:cs="宋体"/>
                <w:sz w:val="24"/>
                <w:szCs w:val="24"/>
              </w:rPr>
            </w:pPr>
            <w:r>
              <w:rPr>
                <w:rFonts w:hint="eastAsia" w:ascii="宋体" w:hAnsi="宋体" w:cs="宋体"/>
                <w:sz w:val="24"/>
                <w:szCs w:val="24"/>
              </w:rPr>
              <w:t>注：需提供复印件加盖公章，否则不予计分。</w:t>
            </w:r>
          </w:p>
        </w:tc>
      </w:tr>
    </w:tbl>
    <w:p>
      <w:pPr>
        <w:spacing w:line="360" w:lineRule="auto"/>
        <w:ind w:firstLine="480" w:firstLineChars="200"/>
        <w:rPr>
          <w:rFonts w:ascii="宋体" w:hAnsi="宋体" w:cs="宋体"/>
          <w:bCs/>
          <w:color w:val="000000"/>
          <w:sz w:val="24"/>
          <w:szCs w:val="24"/>
        </w:rPr>
      </w:pPr>
    </w:p>
    <w:bookmarkEnd w:id="147"/>
    <w:bookmarkEnd w:id="148"/>
    <w:bookmarkEnd w:id="149"/>
    <w:bookmarkEnd w:id="150"/>
    <w:p>
      <w:pPr>
        <w:pStyle w:val="5"/>
        <w:spacing w:before="0" w:after="0" w:line="360" w:lineRule="auto"/>
        <w:rPr>
          <w:rFonts w:ascii="宋体" w:hAnsi="宋体" w:eastAsia="宋体" w:cs="宋体"/>
          <w:b/>
          <w:sz w:val="24"/>
          <w:szCs w:val="24"/>
        </w:rPr>
      </w:pPr>
      <w:bookmarkStart w:id="225" w:name="_Toc29108"/>
      <w:bookmarkStart w:id="226" w:name="_Toc32625"/>
      <w:bookmarkStart w:id="227" w:name="_Toc13959"/>
      <w:bookmarkStart w:id="228" w:name="_Toc26722"/>
      <w:bookmarkStart w:id="229" w:name="_Toc562"/>
      <w:bookmarkStart w:id="230" w:name="_Toc40699934"/>
      <w:r>
        <w:rPr>
          <w:rFonts w:hint="eastAsia" w:ascii="宋体" w:hAnsi="宋体" w:eastAsia="宋体" w:cs="宋体"/>
          <w:b/>
          <w:sz w:val="24"/>
          <w:szCs w:val="24"/>
          <w:lang w:val="en-US"/>
        </w:rPr>
        <w:t>3</w:t>
      </w:r>
      <w:r>
        <w:rPr>
          <w:rFonts w:hint="eastAsia" w:ascii="宋体" w:hAnsi="宋体" w:eastAsia="宋体" w:cs="宋体"/>
          <w:b/>
          <w:sz w:val="24"/>
          <w:szCs w:val="24"/>
        </w:rPr>
        <w:t>、评标程序</w:t>
      </w:r>
      <w:bookmarkEnd w:id="225"/>
      <w:bookmarkEnd w:id="226"/>
      <w:bookmarkEnd w:id="227"/>
      <w:bookmarkEnd w:id="228"/>
      <w:bookmarkEnd w:id="229"/>
      <w:bookmarkEnd w:id="230"/>
    </w:p>
    <w:p>
      <w:pPr>
        <w:spacing w:line="360" w:lineRule="auto"/>
        <w:jc w:val="left"/>
        <w:rPr>
          <w:rFonts w:ascii="宋体" w:hAnsi="宋体" w:cs="宋体"/>
          <w:sz w:val="24"/>
          <w:szCs w:val="24"/>
        </w:rPr>
      </w:pPr>
      <w:bookmarkStart w:id="231" w:name="_Toc31556"/>
      <w:bookmarkStart w:id="232" w:name="_Toc5857"/>
      <w:r>
        <w:rPr>
          <w:rFonts w:hint="eastAsia" w:ascii="宋体" w:hAnsi="宋体" w:cs="宋体"/>
          <w:sz w:val="24"/>
          <w:szCs w:val="24"/>
        </w:rPr>
        <w:t>3.1初步评审</w:t>
      </w:r>
      <w:bookmarkEnd w:id="231"/>
      <w:bookmarkEnd w:id="232"/>
    </w:p>
    <w:p>
      <w:pPr>
        <w:spacing w:line="360" w:lineRule="auto"/>
        <w:jc w:val="left"/>
        <w:rPr>
          <w:rFonts w:ascii="宋体" w:hAnsi="宋体" w:cs="宋体"/>
          <w:sz w:val="24"/>
          <w:szCs w:val="24"/>
        </w:rPr>
      </w:pPr>
      <w:r>
        <w:rPr>
          <w:rFonts w:hint="eastAsia" w:ascii="宋体" w:hAnsi="宋体" w:cs="宋体"/>
          <w:sz w:val="24"/>
          <w:szCs w:val="24"/>
        </w:rPr>
        <w:t>3.1.1评标委员会可以要求投标人提交第一章“投标人须知”规定的有关证明和证件的原件，以便核验。评标委员会依据本章第2款规定的标准对投标文件进行初步评审。有一项不符合评审标准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3.1.2投标人有以下情形之一的，评标委员会应当否决其投标：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（1）投标文件没有对招标文件的实质性要求和条件作出响应，或者对招标文件的偏差超出招标文件规定的偏差范围或最高项数；</w:t>
      </w:r>
    </w:p>
    <w:p>
      <w:pPr>
        <w:spacing w:line="360" w:lineRule="auto"/>
        <w:jc w:val="left"/>
        <w:rPr>
          <w:rFonts w:ascii="宋体" w:hAnsi="宋体" w:cs="宋体"/>
          <w:sz w:val="24"/>
          <w:szCs w:val="24"/>
        </w:rPr>
      </w:pPr>
      <w:r>
        <w:rPr>
          <w:rFonts w:hint="eastAsia" w:ascii="宋体" w:hAnsi="宋体" w:cs="宋体"/>
          <w:sz w:val="24"/>
          <w:szCs w:val="24"/>
        </w:rPr>
        <w:t>（2）有串通投标、弄虚作假、行贿等违法行为。</w:t>
      </w:r>
    </w:p>
    <w:p>
      <w:pPr>
        <w:spacing w:line="360" w:lineRule="auto"/>
        <w:jc w:val="left"/>
        <w:rPr>
          <w:rFonts w:ascii="宋体" w:hAnsi="宋体" w:cs="宋体"/>
          <w:sz w:val="24"/>
          <w:szCs w:val="24"/>
        </w:rPr>
      </w:pPr>
      <w:r>
        <w:rPr>
          <w:rFonts w:hint="eastAsia" w:ascii="宋体" w:hAnsi="宋体" w:cs="宋体"/>
          <w:sz w:val="24"/>
          <w:szCs w:val="24"/>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（1）投标文件中的大写金额与小写金额不一致的，以大写金额为准；</w:t>
      </w:r>
    </w:p>
    <w:p>
      <w:pPr>
        <w:spacing w:line="360" w:lineRule="auto"/>
        <w:jc w:val="left"/>
        <w:rPr>
          <w:rFonts w:ascii="宋体" w:hAnsi="宋体" w:cs="宋体"/>
          <w:sz w:val="24"/>
          <w:szCs w:val="24"/>
        </w:rPr>
      </w:pPr>
      <w:r>
        <w:rPr>
          <w:rFonts w:hint="eastAsia" w:ascii="宋体" w:hAnsi="宋体" w:cs="宋体"/>
          <w:sz w:val="24"/>
          <w:szCs w:val="24"/>
        </w:rPr>
        <w:t>（2）总价金额与单价金额不一致的，以单价金额为准，但单价金额小数点有明显错误的除外；</w:t>
      </w:r>
    </w:p>
    <w:p>
      <w:pPr>
        <w:spacing w:line="360" w:lineRule="auto"/>
        <w:jc w:val="left"/>
        <w:rPr>
          <w:rFonts w:ascii="宋体" w:hAnsi="宋体" w:cs="宋体"/>
          <w:sz w:val="24"/>
          <w:szCs w:val="24"/>
        </w:rPr>
      </w:pPr>
      <w:r>
        <w:rPr>
          <w:rFonts w:hint="eastAsia" w:ascii="宋体" w:hAnsi="宋体" w:cs="宋体"/>
          <w:sz w:val="24"/>
          <w:szCs w:val="24"/>
        </w:rPr>
        <w:t>（3）投标报价为各分项报价金额之和，投标报价与分项报价的合价不一致的，应以各分项合价累计数为准，修正投标报价；</w:t>
      </w:r>
    </w:p>
    <w:p>
      <w:pPr>
        <w:spacing w:line="360" w:lineRule="auto"/>
        <w:jc w:val="left"/>
        <w:rPr>
          <w:rFonts w:ascii="宋体" w:hAnsi="宋体" w:cs="宋体"/>
          <w:sz w:val="24"/>
          <w:szCs w:val="24"/>
        </w:rPr>
      </w:pPr>
      <w:r>
        <w:rPr>
          <w:rFonts w:hint="eastAsia" w:ascii="宋体" w:hAnsi="宋体" w:cs="宋体"/>
          <w:sz w:val="24"/>
          <w:szCs w:val="24"/>
        </w:rPr>
        <w:t>（4）如果分项报价中存在缺漏项，则视为缺漏项价格已包含在其他分项报价之中。</w:t>
      </w:r>
    </w:p>
    <w:p>
      <w:pPr>
        <w:spacing w:line="360" w:lineRule="auto"/>
        <w:jc w:val="left"/>
        <w:rPr>
          <w:rFonts w:ascii="宋体" w:hAnsi="宋体" w:cs="宋体"/>
          <w:sz w:val="24"/>
          <w:szCs w:val="24"/>
        </w:rPr>
      </w:pPr>
      <w:r>
        <w:rPr>
          <w:rFonts w:hint="eastAsia" w:ascii="宋体" w:hAnsi="宋体" w:cs="宋体"/>
          <w:sz w:val="24"/>
          <w:szCs w:val="24"/>
        </w:rPr>
        <w:t>3.2详细评审</w:t>
      </w:r>
    </w:p>
    <w:p>
      <w:pPr>
        <w:spacing w:line="360" w:lineRule="auto"/>
        <w:jc w:val="left"/>
        <w:rPr>
          <w:rFonts w:ascii="宋体" w:hAnsi="宋体" w:cs="宋体"/>
          <w:sz w:val="24"/>
          <w:szCs w:val="24"/>
        </w:rPr>
      </w:pPr>
      <w:r>
        <w:rPr>
          <w:rFonts w:hint="eastAsia" w:ascii="宋体" w:hAnsi="宋体" w:cs="宋体"/>
          <w:sz w:val="24"/>
          <w:szCs w:val="24"/>
        </w:rPr>
        <w:t>3.2.1评标委员会按本章第2.2款规定的量化因素和分值进行打分，并计算出综合评估得分。评分顺序如下：</w:t>
      </w:r>
    </w:p>
    <w:p>
      <w:pPr>
        <w:spacing w:line="360" w:lineRule="auto"/>
        <w:jc w:val="left"/>
        <w:rPr>
          <w:rFonts w:ascii="宋体" w:hAnsi="宋体" w:cs="宋体"/>
          <w:sz w:val="24"/>
          <w:szCs w:val="24"/>
        </w:rPr>
      </w:pPr>
      <w:r>
        <w:rPr>
          <w:rFonts w:hint="eastAsia" w:ascii="宋体" w:hAnsi="宋体" w:cs="宋体"/>
          <w:sz w:val="24"/>
          <w:szCs w:val="24"/>
        </w:rPr>
        <w:t>（1）按本章规定的评审因素和分值对商务部分计算出得分A；</w:t>
      </w:r>
    </w:p>
    <w:p>
      <w:pPr>
        <w:spacing w:line="360" w:lineRule="auto"/>
        <w:jc w:val="left"/>
        <w:rPr>
          <w:rFonts w:ascii="宋体" w:hAnsi="宋体" w:cs="宋体"/>
          <w:sz w:val="24"/>
          <w:szCs w:val="24"/>
        </w:rPr>
      </w:pPr>
      <w:r>
        <w:rPr>
          <w:rFonts w:hint="eastAsia" w:ascii="宋体" w:hAnsi="宋体" w:cs="宋体"/>
          <w:sz w:val="24"/>
          <w:szCs w:val="24"/>
        </w:rPr>
        <w:t>（2）按本章规定的评审因素和分值对技术部分计算出得分B（技术得分为所有评委评分的平均值）；</w:t>
      </w:r>
    </w:p>
    <w:p>
      <w:pPr>
        <w:spacing w:line="360" w:lineRule="auto"/>
        <w:jc w:val="left"/>
        <w:rPr>
          <w:rFonts w:ascii="宋体" w:hAnsi="宋体" w:cs="宋体"/>
          <w:sz w:val="24"/>
          <w:szCs w:val="24"/>
        </w:rPr>
      </w:pPr>
      <w:r>
        <w:rPr>
          <w:rFonts w:hint="eastAsia" w:ascii="宋体" w:hAnsi="宋体" w:cs="宋体"/>
          <w:sz w:val="24"/>
          <w:szCs w:val="24"/>
        </w:rPr>
        <w:t>（3）按本章规定的评审因素和分值对投标报价计算出得分C；</w:t>
      </w:r>
    </w:p>
    <w:p>
      <w:pPr>
        <w:spacing w:line="360" w:lineRule="auto"/>
        <w:jc w:val="left"/>
        <w:rPr>
          <w:rFonts w:ascii="宋体" w:hAnsi="宋体" w:cs="宋体"/>
          <w:sz w:val="24"/>
          <w:szCs w:val="24"/>
        </w:rPr>
      </w:pPr>
      <w:r>
        <w:rPr>
          <w:rFonts w:hint="eastAsia" w:ascii="宋体" w:hAnsi="宋体" w:cs="宋体"/>
          <w:sz w:val="24"/>
          <w:szCs w:val="24"/>
        </w:rPr>
        <w:t>3.2.2评分分值计算保留小数点后两位，小数点后第三位“四舍五入”。</w:t>
      </w:r>
    </w:p>
    <w:p>
      <w:pPr>
        <w:spacing w:line="360" w:lineRule="auto"/>
        <w:jc w:val="left"/>
        <w:rPr>
          <w:rFonts w:ascii="宋体" w:hAnsi="宋体" w:cs="宋体"/>
          <w:sz w:val="24"/>
          <w:szCs w:val="24"/>
        </w:rPr>
      </w:pPr>
      <w:r>
        <w:rPr>
          <w:rFonts w:hint="eastAsia" w:ascii="宋体" w:hAnsi="宋体" w:cs="宋体"/>
          <w:sz w:val="24"/>
          <w:szCs w:val="24"/>
        </w:rPr>
        <w:t>3.2.3投标人得分=A+B+C。</w:t>
      </w:r>
    </w:p>
    <w:p>
      <w:pPr>
        <w:spacing w:line="360" w:lineRule="auto"/>
        <w:jc w:val="left"/>
        <w:rPr>
          <w:rFonts w:ascii="宋体" w:hAnsi="宋体" w:cs="宋体"/>
          <w:sz w:val="24"/>
          <w:szCs w:val="24"/>
        </w:rPr>
      </w:pPr>
      <w:r>
        <w:rPr>
          <w:rFonts w:hint="eastAsia" w:ascii="宋体" w:hAnsi="宋体" w:cs="宋体"/>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jc w:val="left"/>
        <w:rPr>
          <w:rFonts w:ascii="宋体" w:hAnsi="宋体" w:cs="宋体"/>
          <w:sz w:val="24"/>
          <w:szCs w:val="24"/>
        </w:rPr>
      </w:pPr>
      <w:bookmarkStart w:id="233" w:name="_Toc26010"/>
      <w:bookmarkStart w:id="234" w:name="_Toc16426"/>
      <w:r>
        <w:rPr>
          <w:rFonts w:hint="eastAsia" w:ascii="宋体" w:hAnsi="宋体" w:cs="宋体"/>
          <w:sz w:val="24"/>
          <w:szCs w:val="24"/>
        </w:rPr>
        <w:t>3.3投标文件的澄清</w:t>
      </w:r>
      <w:bookmarkEnd w:id="233"/>
      <w:bookmarkEnd w:id="234"/>
    </w:p>
    <w:p>
      <w:pPr>
        <w:spacing w:line="360" w:lineRule="auto"/>
        <w:jc w:val="left"/>
        <w:rPr>
          <w:rFonts w:ascii="宋体" w:hAnsi="宋体" w:cs="宋体"/>
          <w:sz w:val="24"/>
          <w:szCs w:val="24"/>
        </w:rPr>
      </w:pPr>
      <w:r>
        <w:rPr>
          <w:rFonts w:hint="eastAsia" w:ascii="宋体" w:hAnsi="宋体" w:cs="宋体"/>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jc w:val="left"/>
        <w:rPr>
          <w:rFonts w:ascii="宋体" w:hAnsi="宋体" w:cs="宋体"/>
          <w:sz w:val="24"/>
          <w:szCs w:val="24"/>
        </w:rPr>
      </w:pPr>
      <w:r>
        <w:rPr>
          <w:rFonts w:hint="eastAsia" w:ascii="宋体" w:hAnsi="宋体" w:cs="宋体"/>
          <w:sz w:val="24"/>
          <w:szCs w:val="24"/>
        </w:rPr>
        <w:t>3.3.2澄清、说明或补正不得超出投标文件的范围且不得改变投标文件的实质性内容，并构成投标文件的组成部分。</w:t>
      </w:r>
    </w:p>
    <w:p>
      <w:pPr>
        <w:spacing w:line="360" w:lineRule="auto"/>
        <w:jc w:val="left"/>
        <w:rPr>
          <w:rFonts w:ascii="宋体" w:hAnsi="宋体" w:cs="宋体"/>
          <w:sz w:val="24"/>
          <w:szCs w:val="24"/>
        </w:rPr>
      </w:pPr>
      <w:r>
        <w:rPr>
          <w:rFonts w:hint="eastAsia" w:ascii="宋体" w:hAnsi="宋体" w:cs="宋体"/>
          <w:sz w:val="24"/>
          <w:szCs w:val="24"/>
        </w:rPr>
        <w:t>3.3.3评标委员会对投标人提交的澄清、说明或补正有疑问的，可以要求投标人进一步澄清、说明或补正，直至满足评标委员会的要求。</w:t>
      </w:r>
    </w:p>
    <w:p>
      <w:pPr>
        <w:spacing w:line="360" w:lineRule="auto"/>
        <w:jc w:val="left"/>
        <w:rPr>
          <w:rFonts w:ascii="宋体" w:hAnsi="宋体" w:cs="宋体"/>
          <w:sz w:val="24"/>
          <w:szCs w:val="24"/>
        </w:rPr>
      </w:pPr>
      <w:bookmarkStart w:id="235" w:name="_Toc14333"/>
      <w:bookmarkStart w:id="236" w:name="_Toc13137"/>
      <w:r>
        <w:rPr>
          <w:rFonts w:hint="eastAsia" w:ascii="宋体" w:hAnsi="宋体" w:cs="宋体"/>
          <w:sz w:val="24"/>
          <w:szCs w:val="24"/>
        </w:rPr>
        <w:t>3.4评标结果</w:t>
      </w:r>
      <w:bookmarkEnd w:id="235"/>
      <w:bookmarkEnd w:id="236"/>
    </w:p>
    <w:p>
      <w:pPr>
        <w:spacing w:line="360" w:lineRule="auto"/>
        <w:jc w:val="left"/>
        <w:rPr>
          <w:rFonts w:ascii="宋体" w:hAnsi="宋体" w:cs="宋体"/>
          <w:kern w:val="0"/>
          <w:sz w:val="24"/>
          <w:szCs w:val="24"/>
        </w:rPr>
      </w:pPr>
      <w:r>
        <w:rPr>
          <w:rFonts w:hint="eastAsia" w:ascii="宋体" w:hAnsi="宋体" w:cs="宋体"/>
          <w:sz w:val="24"/>
          <w:szCs w:val="24"/>
        </w:rPr>
        <w:t>3.4.1除第一章“投标人须知”前附表授权直接确定中标人外，评标委员会按照得分由高到低的顺序推荐中标候选人，并标明排序。</w:t>
      </w:r>
    </w:p>
    <w:p>
      <w:pPr>
        <w:pStyle w:val="5"/>
        <w:spacing w:before="0" w:after="0" w:line="360" w:lineRule="auto"/>
        <w:rPr>
          <w:rFonts w:ascii="宋体" w:hAnsi="宋体" w:eastAsia="宋体" w:cs="宋体"/>
          <w:b/>
          <w:sz w:val="24"/>
          <w:szCs w:val="24"/>
        </w:rPr>
      </w:pPr>
      <w:bookmarkStart w:id="237" w:name="_Toc9736"/>
      <w:r>
        <w:rPr>
          <w:rFonts w:hint="eastAsia" w:ascii="宋体" w:hAnsi="宋体" w:eastAsia="宋体" w:cs="宋体"/>
          <w:b/>
          <w:sz w:val="24"/>
          <w:szCs w:val="24"/>
          <w:lang w:val="en-US"/>
        </w:rPr>
        <w:t>4</w:t>
      </w:r>
      <w:r>
        <w:rPr>
          <w:rFonts w:hint="eastAsia" w:ascii="宋体" w:hAnsi="宋体" w:eastAsia="宋体" w:cs="宋体"/>
          <w:b/>
          <w:sz w:val="24"/>
          <w:szCs w:val="24"/>
        </w:rPr>
        <w:t>、中标通知书</w:t>
      </w:r>
      <w:bookmarkEnd w:id="237"/>
    </w:p>
    <w:p>
      <w:pPr>
        <w:spacing w:line="360" w:lineRule="auto"/>
        <w:rPr>
          <w:rFonts w:ascii="宋体" w:hAnsi="宋体"/>
          <w:szCs w:val="21"/>
        </w:rPr>
      </w:pPr>
      <w:r>
        <w:rPr>
          <w:rFonts w:hint="eastAsia" w:ascii="宋体" w:hAnsi="宋体"/>
          <w:szCs w:val="21"/>
        </w:rPr>
        <w:t>4.1中标结果确定后，代理机构将向中标供应商发出中标通知书。</w:t>
      </w:r>
    </w:p>
    <w:p>
      <w:pPr>
        <w:spacing w:line="360" w:lineRule="auto"/>
        <w:rPr>
          <w:rFonts w:ascii="宋体" w:hAnsi="宋体"/>
          <w:szCs w:val="21"/>
        </w:rPr>
      </w:pPr>
      <w:r>
        <w:rPr>
          <w:rFonts w:hint="eastAsia" w:ascii="宋体" w:hAnsi="宋体"/>
          <w:szCs w:val="21"/>
        </w:rPr>
        <w:t>4.2 中标供应商收到中标通知书后，应签字确认中标通知书已收到。若无回复，则公告后视同中标供应商已经知悉并同意接受。</w:t>
      </w:r>
    </w:p>
    <w:p>
      <w:pPr>
        <w:spacing w:line="360" w:lineRule="auto"/>
        <w:rPr>
          <w:rFonts w:ascii="宋体" w:hAnsi="宋体"/>
          <w:szCs w:val="21"/>
        </w:rPr>
      </w:pPr>
      <w:r>
        <w:rPr>
          <w:rFonts w:hint="eastAsia" w:ascii="宋体" w:hAnsi="宋体"/>
          <w:szCs w:val="21"/>
        </w:rPr>
        <w:t>4.3中标通知书将是合同的一个组成部分。对采购人和中标供应商均具有法律效力。中标通知书发出后，采购人改变中标结果的，或者中标供应商放弃中标项目的，应当依法承担法律责任。</w:t>
      </w:r>
    </w:p>
    <w:p>
      <w:pPr>
        <w:spacing w:line="360" w:lineRule="auto"/>
        <w:rPr>
          <w:rFonts w:ascii="宋体" w:hAnsi="宋体"/>
          <w:szCs w:val="21"/>
        </w:rPr>
      </w:pPr>
      <w:r>
        <w:rPr>
          <w:rFonts w:hint="eastAsia" w:ascii="宋体" w:hAnsi="宋体"/>
          <w:szCs w:val="21"/>
        </w:rPr>
        <w:t>4.4所有投标文件都将作为档案保存，不论中标与否，代理机构均不退回。</w:t>
      </w:r>
    </w:p>
    <w:p>
      <w:pPr>
        <w:pStyle w:val="5"/>
        <w:spacing w:before="0" w:after="0" w:line="360" w:lineRule="auto"/>
        <w:rPr>
          <w:rFonts w:ascii="宋体" w:hAnsi="宋体" w:eastAsia="宋体" w:cs="宋体"/>
          <w:b/>
          <w:sz w:val="24"/>
          <w:szCs w:val="24"/>
        </w:rPr>
      </w:pPr>
      <w:bookmarkStart w:id="238" w:name="_Toc26213"/>
      <w:bookmarkStart w:id="239" w:name="_Toc16938553"/>
      <w:bookmarkStart w:id="240" w:name="_Toc20823309"/>
      <w:bookmarkStart w:id="241" w:name="_Toc513029237"/>
      <w:r>
        <w:rPr>
          <w:rFonts w:hint="eastAsia" w:ascii="宋体" w:hAnsi="宋体" w:eastAsia="宋体" w:cs="宋体"/>
          <w:b/>
          <w:sz w:val="24"/>
          <w:szCs w:val="24"/>
          <w:lang w:val="en-US"/>
        </w:rPr>
        <w:t>5、</w:t>
      </w:r>
      <w:r>
        <w:rPr>
          <w:rFonts w:hint="eastAsia" w:ascii="宋体" w:hAnsi="宋体" w:eastAsia="宋体" w:cs="宋体"/>
          <w:b/>
          <w:sz w:val="24"/>
          <w:szCs w:val="24"/>
        </w:rPr>
        <w:t>签订合同</w:t>
      </w:r>
      <w:bookmarkEnd w:id="238"/>
    </w:p>
    <w:p>
      <w:pPr>
        <w:spacing w:line="360" w:lineRule="auto"/>
        <w:rPr>
          <w:rFonts w:ascii="宋体" w:hAnsi="宋体"/>
          <w:szCs w:val="21"/>
        </w:rPr>
      </w:pPr>
      <w:r>
        <w:rPr>
          <w:rFonts w:hint="eastAsia" w:ascii="宋体" w:hAnsi="宋体"/>
          <w:bCs/>
          <w:szCs w:val="21"/>
        </w:rPr>
        <w:t>5</w:t>
      </w:r>
      <w:r>
        <w:rPr>
          <w:rFonts w:hint="eastAsia" w:ascii="宋体" w:hAnsi="宋体"/>
          <w:szCs w:val="21"/>
        </w:rPr>
        <w:t>.l中标供应商应按中标通知书规定的时间、地点,按照招标文件确定的事项与采购人签订采购合同，且不得迟于中标通知书发出之日起三十日，否则由此给采购人造成损失的，中标供应商应承担赔偿责任。</w:t>
      </w:r>
    </w:p>
    <w:p>
      <w:pPr>
        <w:spacing w:line="360" w:lineRule="auto"/>
        <w:rPr>
          <w:rFonts w:ascii="宋体" w:hAnsi="宋体"/>
          <w:szCs w:val="21"/>
        </w:rPr>
      </w:pPr>
      <w:r>
        <w:rPr>
          <w:rFonts w:hint="eastAsia" w:ascii="宋体" w:hAnsi="宋体"/>
          <w:bCs/>
          <w:szCs w:val="21"/>
        </w:rPr>
        <w:t>5</w:t>
      </w:r>
      <w:r>
        <w:rPr>
          <w:rFonts w:hint="eastAsia" w:ascii="宋体" w:hAnsi="宋体"/>
          <w:szCs w:val="21"/>
        </w:rPr>
        <w:t>.2招标文件、中标供应商的投标文件及招标过程中有关澄清、承诺文件均应作为合同附件。</w:t>
      </w:r>
    </w:p>
    <w:p>
      <w:pPr>
        <w:spacing w:line="360" w:lineRule="auto"/>
        <w:rPr>
          <w:rFonts w:ascii="宋体" w:hAnsi="宋体"/>
          <w:szCs w:val="21"/>
        </w:rPr>
      </w:pPr>
      <w:r>
        <w:rPr>
          <w:rFonts w:hint="eastAsia" w:ascii="宋体" w:hAnsi="宋体"/>
          <w:bCs/>
          <w:szCs w:val="21"/>
        </w:rPr>
        <w:t>5.</w:t>
      </w:r>
      <w:r>
        <w:rPr>
          <w:rFonts w:hint="eastAsia" w:ascii="宋体" w:hAnsi="宋体"/>
          <w:szCs w:val="21"/>
        </w:rPr>
        <w:t>3 签订合同后，</w:t>
      </w:r>
      <w:r>
        <w:rPr>
          <w:rFonts w:hint="eastAsia" w:ascii="宋体" w:hAnsi="宋体"/>
          <w:i/>
          <w:szCs w:val="21"/>
          <w:u w:val="single"/>
        </w:rPr>
        <w:t>中标供应商不得将服务进行转包</w:t>
      </w:r>
      <w:r>
        <w:rPr>
          <w:rFonts w:hint="eastAsia" w:ascii="宋体" w:hAnsi="宋体"/>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rPr>
          <w:rFonts w:ascii="宋体" w:hAnsi="宋体" w:cs="宋体"/>
          <w:sz w:val="24"/>
          <w:szCs w:val="24"/>
        </w:rPr>
      </w:pPr>
      <w:r>
        <w:rPr>
          <w:rFonts w:hint="eastAsia" w:ascii="宋体" w:hAnsi="宋体"/>
          <w:bCs/>
          <w:szCs w:val="21"/>
        </w:rPr>
        <w:t>5.</w:t>
      </w:r>
      <w:r>
        <w:rPr>
          <w:rFonts w:hint="eastAsia" w:ascii="宋体" w:hAnsi="宋体"/>
          <w:szCs w:val="21"/>
        </w:rPr>
        <w:t>4采购人不得向中标人提出任何不合理的要求作为签订合同的条件，不得与中标人私下订立背离合同实质性内容的协议。所签订的合同不得对招标文件确定事项和中标人投标文件作实质性修改。</w:t>
      </w:r>
      <w:bookmarkEnd w:id="239"/>
      <w:bookmarkEnd w:id="240"/>
      <w:bookmarkEnd w:id="241"/>
    </w:p>
    <w:p>
      <w:pPr>
        <w:pStyle w:val="52"/>
        <w:spacing w:before="0" w:after="0" w:line="360" w:lineRule="auto"/>
        <w:rPr>
          <w:rFonts w:ascii="宋体" w:hAnsi="宋体" w:eastAsia="宋体" w:cs="Times New Roman"/>
          <w:snapToGrid w:val="0"/>
          <w:kern w:val="0"/>
          <w:sz w:val="44"/>
          <w:szCs w:val="20"/>
          <w:lang w:val="zh-CN"/>
        </w:rPr>
      </w:pPr>
      <w:bookmarkStart w:id="242" w:name="_Toc18324"/>
      <w:r>
        <w:rPr>
          <w:rFonts w:hint="eastAsia" w:ascii="宋体" w:hAnsi="宋体" w:eastAsia="宋体" w:cs="Times New Roman"/>
          <w:snapToGrid w:val="0"/>
          <w:kern w:val="0"/>
          <w:sz w:val="44"/>
          <w:szCs w:val="20"/>
        </w:rPr>
        <w:t xml:space="preserve">第五章 </w:t>
      </w:r>
      <w:r>
        <w:rPr>
          <w:rFonts w:hint="eastAsia" w:ascii="宋体" w:hAnsi="宋体" w:eastAsia="宋体" w:cs="Times New Roman"/>
          <w:snapToGrid w:val="0"/>
          <w:kern w:val="0"/>
          <w:sz w:val="44"/>
          <w:szCs w:val="20"/>
          <w:lang w:val="zh-CN"/>
        </w:rPr>
        <w:t>合同条款及格式</w:t>
      </w:r>
      <w:bookmarkEnd w:id="242"/>
    </w:p>
    <w:p>
      <w:pPr>
        <w:spacing w:line="360" w:lineRule="auto"/>
        <w:ind w:firstLine="480" w:firstLineChars="200"/>
        <w:rPr>
          <w:rFonts w:ascii="宋体" w:hAnsi="宋体" w:cs="宋体"/>
          <w:sz w:val="24"/>
          <w:szCs w:val="24"/>
        </w:rPr>
      </w:pPr>
      <w:r>
        <w:rPr>
          <w:rFonts w:hint="eastAsia" w:ascii="宋体" w:hAnsi="宋体" w:cs="宋体"/>
          <w:sz w:val="24"/>
          <w:szCs w:val="24"/>
        </w:rPr>
        <w:t>（本合同条款在实际签订时可结合项目情况进行补充及调整，最终以双方共同商定的合同为准）</w:t>
      </w:r>
    </w:p>
    <w:p>
      <w:pPr>
        <w:pStyle w:val="52"/>
        <w:spacing w:before="0" w:after="0" w:line="360" w:lineRule="auto"/>
        <w:rPr>
          <w:rFonts w:ascii="宋体" w:hAnsi="宋体" w:eastAsia="宋体" w:cs="宋体"/>
          <w:sz w:val="24"/>
        </w:rPr>
      </w:pPr>
    </w:p>
    <w:p>
      <w:pPr>
        <w:pStyle w:val="52"/>
        <w:spacing w:before="0" w:after="0" w:line="360" w:lineRule="auto"/>
        <w:rPr>
          <w:rFonts w:ascii="宋体" w:hAnsi="宋体" w:eastAsia="宋体" w:cs="宋体"/>
          <w:color w:val="000000"/>
          <w:sz w:val="24"/>
        </w:rPr>
      </w:pPr>
      <w:bookmarkStart w:id="243" w:name="_Toc4041"/>
      <w:bookmarkStart w:id="244" w:name="_Toc21156"/>
      <w:r>
        <w:rPr>
          <w:rFonts w:hint="eastAsia" w:ascii="宋体" w:hAnsi="宋体" w:eastAsia="宋体" w:cs="宋体"/>
          <w:sz w:val="24"/>
        </w:rPr>
        <w:t>技术开发合同书</w:t>
      </w:r>
      <w:bookmarkEnd w:id="243"/>
      <w:bookmarkEnd w:id="244"/>
    </w:p>
    <w:p>
      <w:pPr>
        <w:spacing w:line="360" w:lineRule="auto"/>
        <w:jc w:val="center"/>
        <w:rPr>
          <w:rFonts w:ascii="宋体" w:hAnsi="宋体" w:cs="宋体"/>
          <w:b/>
          <w:color w:val="000000"/>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项目名称：</w:t>
      </w:r>
    </w:p>
    <w:p>
      <w:pPr>
        <w:snapToGrid w:val="0"/>
        <w:spacing w:line="360" w:lineRule="auto"/>
        <w:contextualSpacing/>
        <w:rPr>
          <w:rFonts w:ascii="宋体" w:hAnsi="宋体" w:cs="宋体"/>
          <w:bCs/>
          <w:sz w:val="24"/>
          <w:szCs w:val="24"/>
        </w:rPr>
      </w:pPr>
      <w:r>
        <w:rPr>
          <w:rFonts w:hint="eastAsia" w:ascii="宋体" w:hAnsi="宋体" w:cs="宋体"/>
          <w:bCs/>
          <w:sz w:val="24"/>
          <w:szCs w:val="24"/>
        </w:rPr>
        <w:t>甲方（委托方）：</w:t>
      </w:r>
      <w:r>
        <w:rPr>
          <w:rFonts w:hint="eastAsia" w:ascii="宋体" w:hAnsi="宋体" w:cs="宋体"/>
          <w:bCs/>
          <w:sz w:val="24"/>
          <w:szCs w:val="24"/>
          <w:lang w:val="zh-CN"/>
        </w:rPr>
        <w:t>扬州市民卡有限责任公司</w:t>
      </w:r>
    </w:p>
    <w:p>
      <w:pPr>
        <w:adjustRightInd w:val="0"/>
        <w:snapToGrid w:val="0"/>
        <w:spacing w:line="360" w:lineRule="auto"/>
        <w:outlineLvl w:val="0"/>
        <w:rPr>
          <w:rFonts w:ascii="宋体" w:hAnsi="宋体" w:cs="宋体"/>
          <w:bCs/>
          <w:sz w:val="24"/>
          <w:szCs w:val="24"/>
        </w:rPr>
      </w:pPr>
      <w:bookmarkStart w:id="245" w:name="_Toc9551"/>
      <w:bookmarkStart w:id="246" w:name="_Toc29301"/>
      <w:r>
        <w:rPr>
          <w:rFonts w:hint="eastAsia" w:ascii="宋体" w:hAnsi="宋体" w:cs="宋体"/>
          <w:bCs/>
          <w:sz w:val="24"/>
          <w:szCs w:val="24"/>
        </w:rPr>
        <w:t>乙方（受托方）：</w:t>
      </w:r>
      <w:bookmarkEnd w:id="245"/>
      <w:bookmarkEnd w:id="246"/>
      <w:r>
        <w:rPr>
          <w:rFonts w:hint="eastAsia" w:ascii="宋体" w:hAnsi="宋体" w:cs="宋体"/>
          <w:bCs/>
          <w:sz w:val="24"/>
          <w:szCs w:val="24"/>
        </w:rPr>
        <w:t xml:space="preserve"> </w:t>
      </w:r>
    </w:p>
    <w:p>
      <w:pPr>
        <w:tabs>
          <w:tab w:val="left" w:pos="1935"/>
        </w:tabs>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签约地点： </w:t>
      </w:r>
    </w:p>
    <w:p>
      <w:pPr>
        <w:tabs>
          <w:tab w:val="left" w:pos="1935"/>
        </w:tabs>
        <w:adjustRightInd w:val="0"/>
        <w:snapToGrid w:val="0"/>
        <w:spacing w:line="360" w:lineRule="auto"/>
        <w:rPr>
          <w:rFonts w:ascii="宋体" w:hAnsi="宋体" w:cs="宋体"/>
          <w:bCs/>
          <w:sz w:val="24"/>
          <w:szCs w:val="24"/>
        </w:rPr>
      </w:pPr>
      <w:r>
        <w:rPr>
          <w:rFonts w:hint="eastAsia" w:ascii="宋体" w:hAnsi="宋体" w:cs="宋体"/>
          <w:bCs/>
          <w:sz w:val="24"/>
          <w:szCs w:val="24"/>
        </w:rPr>
        <w:t>有效期限: 2021年  月  日—2021年  月  日</w:t>
      </w:r>
    </w:p>
    <w:p>
      <w:pPr>
        <w:tabs>
          <w:tab w:val="left" w:pos="1935"/>
        </w:tabs>
        <w:adjustRightInd w:val="0"/>
        <w:snapToGrid w:val="0"/>
        <w:spacing w:line="360" w:lineRule="auto"/>
        <w:rPr>
          <w:rFonts w:ascii="宋体" w:hAnsi="宋体" w:cs="宋体"/>
          <w:b/>
          <w:color w:val="000000"/>
          <w:sz w:val="24"/>
          <w:szCs w:val="24"/>
        </w:rPr>
      </w:pPr>
    </w:p>
    <w:p>
      <w:pPr>
        <w:adjustRightInd w:val="0"/>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合同规定事项</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根据《中华人民共和国民法典》规定，经当事人双方协商签订本合同。</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本合同依法签订，经当事人双方加盖公章，法定代表人或代理人签字，即具有法律效力，任何一方不按合同规定履行，按民法典有关条款规定和当事人约定，承担经济责任。</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合同如因故需要变更，经双方当事人协商一致后，可以订立补充或修改的书面协议，双方签字加盖公章，作为正式合同的补充条款，具有同等的法律效力。</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项目完成后，以当事人双方按合同所规定的技术标准和方法验收。</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技术合同的甲方：指技术合同的委托方和受让方；乙方指技术合同的研究开发方、转让方、顾问方。</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技术合同种类分为：技术开发合同；技术转让合同；技术咨询合同和技术服务合同。</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签订的技术合同主体双方均应按章缴纳印花税。（印花税票帖于封底页）</w:t>
      </w:r>
    </w:p>
    <w:p>
      <w:pPr>
        <w:numPr>
          <w:ilvl w:val="0"/>
          <w:numId w:val="14"/>
        </w:numPr>
        <w:tabs>
          <w:tab w:val="left" w:pos="103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乙方须于本合同生效后[30]天内向将本合同在相应技术合同登记平台进行登记。</w:t>
      </w:r>
    </w:p>
    <w:p>
      <w:pPr>
        <w:tabs>
          <w:tab w:val="left" w:pos="1035"/>
        </w:tabs>
        <w:adjustRightInd w:val="0"/>
        <w:snapToGrid w:val="0"/>
        <w:spacing w:line="360" w:lineRule="auto"/>
        <w:rPr>
          <w:rFonts w:ascii="宋体" w:hAnsi="宋体" w:cs="宋体"/>
          <w:color w:val="000000"/>
          <w:sz w:val="24"/>
          <w:szCs w:val="24"/>
        </w:rPr>
      </w:pPr>
    </w:p>
    <w:p>
      <w:pPr>
        <w:numPr>
          <w:ilvl w:val="0"/>
          <w:numId w:val="15"/>
        </w:numPr>
        <w:adjustRightInd w:val="0"/>
        <w:snapToGrid w:val="0"/>
        <w:spacing w:line="360" w:lineRule="auto"/>
        <w:rPr>
          <w:rFonts w:ascii="宋体" w:hAnsi="宋体" w:cs="宋体"/>
          <w:color w:val="000000"/>
          <w:spacing w:val="5"/>
          <w:sz w:val="24"/>
          <w:szCs w:val="24"/>
        </w:rPr>
      </w:pPr>
      <w:r>
        <w:rPr>
          <w:rFonts w:hint="eastAsia" w:ascii="宋体" w:hAnsi="宋体" w:cs="宋体"/>
          <w:color w:val="000000"/>
          <w:spacing w:val="5"/>
          <w:sz w:val="24"/>
          <w:szCs w:val="24"/>
        </w:rPr>
        <w:t>乙双方在精诚合作、友好协商和互惠互利的基础上签订本合同。</w:t>
      </w:r>
    </w:p>
    <w:p>
      <w:pPr>
        <w:pStyle w:val="19"/>
        <w:rPr>
          <w:rFonts w:ascii="宋体" w:hAnsi="宋体" w:eastAsia="宋体" w:cs="宋体"/>
          <w:color w:val="000000"/>
          <w:spacing w:val="5"/>
          <w:sz w:val="24"/>
          <w:szCs w:val="24"/>
        </w:rPr>
      </w:pPr>
    </w:p>
    <w:p>
      <w:pPr>
        <w:rPr>
          <w:rFonts w:ascii="宋体" w:hAnsi="宋体" w:cs="宋体"/>
          <w:color w:val="000000"/>
          <w:spacing w:val="5"/>
          <w:sz w:val="24"/>
          <w:szCs w:val="24"/>
        </w:rPr>
      </w:pPr>
    </w:p>
    <w:p>
      <w:pPr>
        <w:pStyle w:val="19"/>
      </w:pPr>
    </w:p>
    <w:p>
      <w:pPr>
        <w:adjustRightInd w:val="0"/>
        <w:snapToGrid w:val="0"/>
        <w:spacing w:line="360" w:lineRule="auto"/>
        <w:rPr>
          <w:rFonts w:ascii="宋体" w:hAnsi="宋体" w:cs="宋体"/>
          <w:color w:val="000000"/>
          <w:spacing w:val="5"/>
          <w:sz w:val="24"/>
          <w:szCs w:val="24"/>
        </w:rPr>
      </w:pP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项目名称：</w:t>
      </w:r>
    </w:p>
    <w:p>
      <w:pPr>
        <w:adjustRightInd w:val="0"/>
        <w:snapToGrid w:val="0"/>
        <w:spacing w:line="360" w:lineRule="auto"/>
        <w:ind w:firstLine="500" w:firstLineChars="200"/>
        <w:rPr>
          <w:rFonts w:ascii="宋体" w:hAnsi="宋体" w:cs="宋体"/>
          <w:b/>
          <w:color w:val="000000"/>
          <w:sz w:val="24"/>
          <w:szCs w:val="24"/>
        </w:rPr>
      </w:pPr>
      <w:r>
        <w:rPr>
          <w:rFonts w:hint="eastAsia" w:ascii="宋体" w:hAnsi="宋体" w:cs="宋体"/>
          <w:color w:val="000000"/>
          <w:spacing w:val="5"/>
          <w:sz w:val="24"/>
          <w:szCs w:val="24"/>
        </w:rPr>
        <w:t>甲方决定</w:t>
      </w:r>
      <w:r>
        <w:rPr>
          <w:rFonts w:hint="eastAsia" w:ascii="宋体" w:hAnsi="宋体" w:cs="宋体"/>
          <w:spacing w:val="5"/>
          <w:sz w:val="24"/>
          <w:szCs w:val="24"/>
        </w:rPr>
        <w:t>建设</w:t>
      </w:r>
      <w:r>
        <w:rPr>
          <w:rFonts w:hint="eastAsia" w:ascii="宋体" w:hAnsi="宋体" w:cs="宋体"/>
          <w:spacing w:val="5"/>
          <w:sz w:val="24"/>
          <w:szCs w:val="24"/>
          <w:u w:val="single"/>
        </w:rPr>
        <w:t>华侨城梦幻之城售票平台项目</w:t>
      </w:r>
      <w:r>
        <w:rPr>
          <w:rFonts w:hint="eastAsia" w:ascii="宋体" w:hAnsi="宋体" w:cs="宋体"/>
          <w:spacing w:val="5"/>
          <w:sz w:val="24"/>
          <w:szCs w:val="24"/>
        </w:rPr>
        <w:t>，本合同为甲方委托乙方定制开发本合同及其附件所列明的“</w:t>
      </w:r>
      <w:r>
        <w:rPr>
          <w:rFonts w:hint="eastAsia" w:ascii="宋体" w:hAnsi="宋体" w:cs="宋体"/>
          <w:spacing w:val="5"/>
          <w:sz w:val="24"/>
          <w:szCs w:val="24"/>
          <w:u w:val="single"/>
        </w:rPr>
        <w:t>华侨城梦幻之城售票平台项目</w:t>
      </w:r>
      <w:r>
        <w:rPr>
          <w:rFonts w:hint="eastAsia" w:ascii="宋体" w:hAnsi="宋体" w:cs="宋体"/>
          <w:spacing w:val="5"/>
          <w:sz w:val="24"/>
          <w:szCs w:val="24"/>
        </w:rPr>
        <w:t>”系统、</w:t>
      </w:r>
      <w:r>
        <w:rPr>
          <w:rFonts w:hint="eastAsia" w:ascii="宋体" w:hAnsi="宋体" w:cs="宋体"/>
          <w:color w:val="000000"/>
          <w:spacing w:val="5"/>
          <w:sz w:val="24"/>
          <w:szCs w:val="24"/>
        </w:rPr>
        <w:t>提供系统的维护服务，并支付相应的技术服务报酬。</w:t>
      </w:r>
    </w:p>
    <w:p>
      <w:pPr>
        <w:numPr>
          <w:ilvl w:val="0"/>
          <w:numId w:val="16"/>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b/>
          <w:color w:val="000000"/>
          <w:sz w:val="24"/>
          <w:szCs w:val="24"/>
        </w:rPr>
        <w:t>定义</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系统开发：是指乙方根据甲方的信息化需求与目标，向甲方提供的专业的需求调研、方案设计、编码测试、系统安装与调试、系统初始化、系统试运行、系统应用培训以及帮助甲方成功应用委托开发成果的过程。</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合同：是指本合同及根据本合同所签订的所有附件。</w:t>
      </w:r>
    </w:p>
    <w:p>
      <w:pPr>
        <w:widowControl/>
        <w:numPr>
          <w:ilvl w:val="2"/>
          <w:numId w:val="17"/>
        </w:numPr>
        <w:adjustRightInd w:val="0"/>
        <w:snapToGrid w:val="0"/>
        <w:spacing w:line="360" w:lineRule="auto"/>
        <w:ind w:left="0" w:firstLine="0"/>
        <w:rPr>
          <w:rFonts w:ascii="宋体" w:hAnsi="宋体" w:cs="宋体"/>
          <w:sz w:val="24"/>
          <w:szCs w:val="24"/>
        </w:rPr>
      </w:pPr>
      <w:r>
        <w:rPr>
          <w:rFonts w:hint="eastAsia" w:ascii="宋体" w:hAnsi="宋体" w:cs="宋体"/>
          <w:color w:val="000000"/>
          <w:sz w:val="24"/>
          <w:szCs w:val="24"/>
        </w:rPr>
        <w:t>本项</w:t>
      </w:r>
      <w:r>
        <w:rPr>
          <w:rFonts w:hint="eastAsia" w:ascii="宋体" w:hAnsi="宋体" w:cs="宋体"/>
          <w:sz w:val="24"/>
          <w:szCs w:val="24"/>
        </w:rPr>
        <w:t>目：指</w:t>
      </w:r>
      <w:r>
        <w:rPr>
          <w:rFonts w:hint="eastAsia" w:ascii="宋体" w:hAnsi="宋体" w:cs="宋体"/>
          <w:spacing w:val="5"/>
          <w:sz w:val="24"/>
          <w:szCs w:val="24"/>
          <w:u w:val="single"/>
        </w:rPr>
        <w:t>华侨城梦幻之城售票平台项目</w:t>
      </w:r>
      <w:r>
        <w:rPr>
          <w:rFonts w:hint="eastAsia" w:ascii="宋体" w:hAnsi="宋体" w:cs="宋体"/>
          <w:sz w:val="24"/>
          <w:szCs w:val="24"/>
        </w:rPr>
        <w:t>。</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交付成果：指乙方根据本合同的服务承诺的约定向甲方提交的开发成果。</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服务：是指用于咨询服务、系统开发、系统实施、试运行、培训、验收以及本合同下的其他服务承诺。</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日：指工作日</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人天：指乙方投入的工作量单位。本合同所指人天按一人一工作日八小时为计算单位，若乙方项目组应甲方要求在非工作日加班，工作量投入按国家相关规定计算。</w:t>
      </w:r>
    </w:p>
    <w:p>
      <w:pPr>
        <w:widowControl/>
        <w:numPr>
          <w:ilvl w:val="2"/>
          <w:numId w:val="1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 xml:space="preserve"> 合作期限：指从本协议生效日期起至本合同约定的合作服务完成。</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合同标的的内容、范围、形式和要求：</w:t>
      </w:r>
    </w:p>
    <w:p>
      <w:pPr>
        <w:numPr>
          <w:ilvl w:val="0"/>
          <w:numId w:val="18"/>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项目标的</w:t>
      </w:r>
    </w:p>
    <w:p>
      <w:pPr>
        <w:numPr>
          <w:ilvl w:val="0"/>
          <w:numId w:val="19"/>
        </w:numPr>
        <w:adjustRightInd w:val="0"/>
        <w:snapToGrid w:val="0"/>
        <w:spacing w:line="360" w:lineRule="auto"/>
        <w:ind w:left="0" w:firstLine="0"/>
        <w:rPr>
          <w:rFonts w:ascii="宋体" w:hAnsi="宋体" w:cs="宋体"/>
          <w:sz w:val="24"/>
          <w:szCs w:val="24"/>
        </w:rPr>
      </w:pPr>
      <w:r>
        <w:rPr>
          <w:rFonts w:hint="eastAsia" w:ascii="宋体" w:hAnsi="宋体" w:cs="宋体"/>
          <w:color w:val="000000"/>
          <w:sz w:val="24"/>
          <w:szCs w:val="24"/>
        </w:rPr>
        <w:t>甲方</w:t>
      </w:r>
      <w:r>
        <w:rPr>
          <w:rFonts w:hint="eastAsia" w:ascii="宋体" w:hAnsi="宋体" w:cs="宋体"/>
          <w:sz w:val="24"/>
          <w:szCs w:val="24"/>
        </w:rPr>
        <w:t>委托乙方进行“</w:t>
      </w:r>
      <w:r>
        <w:rPr>
          <w:rFonts w:hint="eastAsia" w:ascii="宋体" w:hAnsi="宋体" w:cs="宋体"/>
          <w:spacing w:val="5"/>
          <w:sz w:val="24"/>
          <w:szCs w:val="24"/>
          <w:u w:val="single"/>
        </w:rPr>
        <w:t>华侨城梦幻之城售票平台</w:t>
      </w:r>
      <w:r>
        <w:rPr>
          <w:rFonts w:hint="eastAsia" w:ascii="宋体" w:hAnsi="宋体" w:cs="宋体"/>
          <w:sz w:val="24"/>
          <w:szCs w:val="24"/>
          <w:u w:val="single"/>
        </w:rPr>
        <w:t>项目</w:t>
      </w:r>
      <w:r>
        <w:rPr>
          <w:rFonts w:hint="eastAsia" w:ascii="宋体" w:hAnsi="宋体" w:cs="宋体"/>
          <w:sz w:val="24"/>
          <w:szCs w:val="24"/>
        </w:rPr>
        <w:t>”的开发，包含</w:t>
      </w:r>
      <w:r>
        <w:rPr>
          <w:rFonts w:hint="eastAsia" w:ascii="宋体" w:hAnsi="宋体" w:cs="宋体"/>
          <w:spacing w:val="5"/>
          <w:sz w:val="24"/>
          <w:szCs w:val="24"/>
          <w:u w:val="single"/>
        </w:rPr>
        <w:t>华侨城梦幻之城售票平台项目</w:t>
      </w:r>
      <w:r>
        <w:rPr>
          <w:rFonts w:hint="eastAsia" w:ascii="宋体" w:hAnsi="宋体" w:cs="宋体"/>
          <w:sz w:val="24"/>
          <w:szCs w:val="24"/>
        </w:rPr>
        <w:t>需求技术开发及维护支撑。具体的功能内容以最终确定的《</w:t>
      </w:r>
      <w:r>
        <w:rPr>
          <w:rFonts w:hint="eastAsia" w:ascii="宋体" w:hAnsi="宋体" w:cs="宋体"/>
          <w:spacing w:val="5"/>
          <w:sz w:val="24"/>
          <w:szCs w:val="24"/>
        </w:rPr>
        <w:t>华侨城梦幻之城售票平台项目</w:t>
      </w:r>
      <w:r>
        <w:rPr>
          <w:rFonts w:hint="eastAsia" w:ascii="宋体" w:hAnsi="宋体" w:cs="宋体"/>
          <w:sz w:val="24"/>
          <w:szCs w:val="24"/>
        </w:rPr>
        <w:t>技术开发说明书》为准，系统交付时也应参照该说明书交付。</w:t>
      </w:r>
    </w:p>
    <w:p>
      <w:pPr>
        <w:numPr>
          <w:ilvl w:val="0"/>
          <w:numId w:val="19"/>
        </w:numPr>
        <w:adjustRightInd w:val="0"/>
        <w:snapToGrid w:val="0"/>
        <w:spacing w:line="360" w:lineRule="auto"/>
        <w:ind w:left="0" w:firstLine="0"/>
        <w:rPr>
          <w:rFonts w:ascii="宋体" w:hAnsi="宋体" w:cs="宋体"/>
          <w:sz w:val="24"/>
          <w:szCs w:val="24"/>
        </w:rPr>
      </w:pPr>
      <w:r>
        <w:rPr>
          <w:rFonts w:hint="eastAsia" w:ascii="宋体" w:hAnsi="宋体" w:cs="宋体"/>
          <w:color w:val="000000"/>
          <w:sz w:val="24"/>
          <w:szCs w:val="24"/>
        </w:rPr>
        <w:t>乙方</w:t>
      </w:r>
      <w:r>
        <w:rPr>
          <w:rFonts w:hint="eastAsia" w:ascii="宋体" w:hAnsi="宋体" w:cs="宋体"/>
          <w:sz w:val="24"/>
          <w:szCs w:val="24"/>
        </w:rPr>
        <w:t>为甲方提供</w:t>
      </w:r>
      <w:r>
        <w:rPr>
          <w:rFonts w:hint="eastAsia" w:ascii="宋体" w:hAnsi="宋体" w:cs="宋体"/>
          <w:spacing w:val="5"/>
          <w:sz w:val="24"/>
          <w:szCs w:val="24"/>
          <w:u w:val="single"/>
        </w:rPr>
        <w:t>华侨城梦幻之城售票平台项目</w:t>
      </w:r>
      <w:r>
        <w:rPr>
          <w:rFonts w:hint="eastAsia" w:ascii="宋体" w:hAnsi="宋体" w:cs="宋体"/>
          <w:sz w:val="24"/>
          <w:szCs w:val="24"/>
        </w:rPr>
        <w:t>构建咨询服务及需求调研、客户化开发、系统实施、项目管理及操作培训服务。</w:t>
      </w:r>
    </w:p>
    <w:p>
      <w:pPr>
        <w:numPr>
          <w:ilvl w:val="0"/>
          <w:numId w:val="18"/>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甲方委托乙方提供技术服务的内容如下：</w:t>
      </w:r>
    </w:p>
    <w:p>
      <w:pPr>
        <w:numPr>
          <w:ilvl w:val="0"/>
          <w:numId w:val="20"/>
        </w:numPr>
        <w:adjustRightInd w:val="0"/>
        <w:snapToGrid w:val="0"/>
        <w:spacing w:line="360" w:lineRule="auto"/>
        <w:rPr>
          <w:rFonts w:ascii="宋体" w:hAnsi="宋体" w:cs="宋体"/>
          <w:sz w:val="24"/>
          <w:szCs w:val="24"/>
        </w:rPr>
      </w:pPr>
      <w:r>
        <w:rPr>
          <w:rFonts w:hint="eastAsia" w:ascii="宋体" w:hAnsi="宋体" w:cs="宋体"/>
          <w:color w:val="000000"/>
          <w:sz w:val="24"/>
          <w:szCs w:val="24"/>
        </w:rPr>
        <w:t>技术开发的目标</w:t>
      </w:r>
      <w:r>
        <w:rPr>
          <w:rFonts w:hint="eastAsia" w:ascii="宋体" w:hAnsi="宋体" w:cs="宋体"/>
          <w:sz w:val="24"/>
          <w:szCs w:val="24"/>
        </w:rPr>
        <w:t>：完成</w:t>
      </w:r>
      <w:r>
        <w:rPr>
          <w:rFonts w:hint="eastAsia" w:ascii="宋体" w:hAnsi="宋体" w:cs="宋体"/>
          <w:spacing w:val="5"/>
          <w:sz w:val="24"/>
          <w:szCs w:val="24"/>
          <w:u w:val="single"/>
        </w:rPr>
        <w:t>华侨城梦幻之城售票平台项目</w:t>
      </w:r>
      <w:r>
        <w:rPr>
          <w:rFonts w:hint="eastAsia" w:ascii="宋体" w:hAnsi="宋体" w:cs="宋体"/>
          <w:sz w:val="24"/>
          <w:szCs w:val="24"/>
        </w:rPr>
        <w:t>的研发及上线。</w:t>
      </w:r>
    </w:p>
    <w:p>
      <w:pPr>
        <w:numPr>
          <w:ilvl w:val="0"/>
          <w:numId w:val="20"/>
        </w:numPr>
        <w:adjustRightInd w:val="0"/>
        <w:snapToGrid w:val="0"/>
        <w:spacing w:line="360" w:lineRule="auto"/>
        <w:rPr>
          <w:rFonts w:ascii="宋体" w:hAnsi="宋体" w:cs="宋体"/>
          <w:color w:val="000000"/>
          <w:sz w:val="24"/>
          <w:szCs w:val="24"/>
        </w:rPr>
      </w:pPr>
      <w:r>
        <w:rPr>
          <w:rFonts w:hint="eastAsia" w:ascii="宋体" w:hAnsi="宋体" w:cs="宋体"/>
          <w:sz w:val="24"/>
          <w:szCs w:val="24"/>
        </w:rPr>
        <w:t>技术开发的内容：华侨城梦幻之城售票平台项目应用技术</w:t>
      </w:r>
      <w:r>
        <w:rPr>
          <w:rFonts w:hint="eastAsia" w:ascii="宋体" w:hAnsi="宋体" w:cs="宋体"/>
          <w:color w:val="000000"/>
          <w:sz w:val="24"/>
          <w:szCs w:val="24"/>
        </w:rPr>
        <w:t>服务主要内容分为三块：</w:t>
      </w:r>
    </w:p>
    <w:p>
      <w:pPr>
        <w:numPr>
          <w:ilvl w:val="0"/>
          <w:numId w:val="21"/>
        </w:numPr>
        <w:adjustRightInd w:val="0"/>
        <w:snapToGrid w:val="0"/>
        <w:spacing w:line="360" w:lineRule="auto"/>
        <w:ind w:left="0" w:firstLine="480" w:firstLineChars="200"/>
        <w:rPr>
          <w:rFonts w:ascii="宋体" w:hAnsi="宋体" w:cs="宋体"/>
          <w:sz w:val="24"/>
          <w:szCs w:val="24"/>
        </w:rPr>
      </w:pPr>
      <w:r>
        <w:rPr>
          <w:rFonts w:hint="eastAsia" w:ascii="宋体" w:hAnsi="宋体" w:cs="宋体"/>
          <w:color w:val="000000"/>
          <w:sz w:val="24"/>
          <w:szCs w:val="24"/>
        </w:rPr>
        <w:t>提供系</w:t>
      </w:r>
      <w:r>
        <w:rPr>
          <w:rFonts w:hint="eastAsia" w:ascii="宋体" w:hAnsi="宋体" w:cs="宋体"/>
          <w:sz w:val="24"/>
          <w:szCs w:val="24"/>
        </w:rPr>
        <w:t>统和服务体系建设的咨询规划服务：为了更好地推进</w:t>
      </w:r>
      <w:r>
        <w:rPr>
          <w:rFonts w:hint="eastAsia" w:ascii="宋体" w:hAnsi="宋体" w:cs="宋体"/>
          <w:spacing w:val="5"/>
          <w:sz w:val="24"/>
          <w:szCs w:val="24"/>
          <w:u w:val="single"/>
        </w:rPr>
        <w:t>华侨城梦幻之城售票平台项目</w:t>
      </w:r>
      <w:r>
        <w:rPr>
          <w:rFonts w:hint="eastAsia" w:ascii="宋体" w:hAnsi="宋体" w:cs="宋体"/>
          <w:sz w:val="24"/>
          <w:szCs w:val="24"/>
        </w:rPr>
        <w:t>的建设，乙方组建专业团队，按照一定步骤，持续开展</w:t>
      </w:r>
      <w:r>
        <w:rPr>
          <w:rFonts w:hint="eastAsia" w:ascii="宋体" w:hAnsi="宋体" w:cs="宋体"/>
          <w:spacing w:val="5"/>
          <w:sz w:val="24"/>
          <w:szCs w:val="24"/>
          <w:u w:val="single"/>
        </w:rPr>
        <w:t>苏华侨城梦幻之城售票平台项目</w:t>
      </w:r>
      <w:r>
        <w:rPr>
          <w:rFonts w:hint="eastAsia" w:ascii="宋体" w:hAnsi="宋体" w:cs="宋体"/>
          <w:sz w:val="24"/>
          <w:szCs w:val="24"/>
        </w:rPr>
        <w:t>的方案认证、实施、验证工作。</w:t>
      </w:r>
    </w:p>
    <w:p>
      <w:pPr>
        <w:numPr>
          <w:ilvl w:val="0"/>
          <w:numId w:val="21"/>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提供</w:t>
      </w:r>
      <w:r>
        <w:rPr>
          <w:rFonts w:hint="eastAsia" w:ascii="宋体" w:hAnsi="宋体" w:cs="宋体"/>
          <w:color w:val="000000"/>
          <w:spacing w:val="5"/>
          <w:sz w:val="24"/>
          <w:szCs w:val="24"/>
          <w:u w:val="single"/>
        </w:rPr>
        <w:t>华侨城梦幻之城售票平台项目</w:t>
      </w:r>
      <w:r>
        <w:rPr>
          <w:rFonts w:hint="eastAsia" w:ascii="宋体" w:hAnsi="宋体" w:cs="宋体"/>
          <w:color w:val="000000"/>
          <w:sz w:val="24"/>
          <w:szCs w:val="24"/>
        </w:rPr>
        <w:t>日常需求开发：对</w:t>
      </w:r>
      <w:r>
        <w:rPr>
          <w:rFonts w:hint="eastAsia" w:ascii="宋体" w:hAnsi="宋体" w:cs="宋体"/>
          <w:color w:val="000000"/>
          <w:spacing w:val="5"/>
          <w:sz w:val="24"/>
          <w:szCs w:val="24"/>
          <w:u w:val="single"/>
        </w:rPr>
        <w:t>华侨城梦幻之城售票平台项目</w:t>
      </w:r>
      <w:r>
        <w:rPr>
          <w:rFonts w:hint="eastAsia" w:ascii="宋体" w:hAnsi="宋体" w:cs="宋体"/>
          <w:color w:val="000000"/>
          <w:sz w:val="24"/>
          <w:szCs w:val="24"/>
        </w:rPr>
        <w:t>日常需求进行需求分析、开发工作和其他配合工作。</w:t>
      </w:r>
    </w:p>
    <w:p>
      <w:pPr>
        <w:numPr>
          <w:ilvl w:val="0"/>
          <w:numId w:val="21"/>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提供免费维护期保障：乙方全天候受理系统免费维护期内的各类故障维护请求及咨询投诉，以保证甲方系统能连续、高效、稳定地运行。主要提供以下类型的技术支持及服务：热线服务、远程支持、现场服务、现场培训服务。</w:t>
      </w:r>
    </w:p>
    <w:p>
      <w:pPr>
        <w:numPr>
          <w:ilvl w:val="0"/>
          <w:numId w:val="18"/>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技术服务的方式：根据日常运行过程中出现的问题、新需求和应用的进度的安排，提供开发、维护、咨询等工作。</w:t>
      </w:r>
    </w:p>
    <w:p>
      <w:pPr>
        <w:numPr>
          <w:ilvl w:val="0"/>
          <w:numId w:val="18"/>
        </w:numPr>
        <w:adjustRightInd w:val="0"/>
        <w:snapToGrid w:val="0"/>
        <w:spacing w:line="360" w:lineRule="auto"/>
        <w:ind w:left="0" w:firstLine="0"/>
        <w:rPr>
          <w:rFonts w:ascii="宋体" w:hAnsi="宋体" w:cs="宋体"/>
          <w:color w:val="000000"/>
          <w:sz w:val="24"/>
          <w:szCs w:val="24"/>
          <w:u w:val="single"/>
        </w:rPr>
      </w:pPr>
      <w:r>
        <w:rPr>
          <w:rFonts w:hint="eastAsia" w:ascii="宋体" w:hAnsi="宋体" w:cs="宋体"/>
          <w:color w:val="000000"/>
          <w:sz w:val="24"/>
          <w:szCs w:val="24"/>
        </w:rPr>
        <w:t>乙方为甲方提供的技术开发包括以下系统：业务运营支撑系统结算和报表性能优化、专项安全加固模块、小额系统新需求开发及维护支撑。</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系统开发与维护服务</w:t>
      </w:r>
    </w:p>
    <w:p>
      <w:pPr>
        <w:numPr>
          <w:ilvl w:val="0"/>
          <w:numId w:val="22"/>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系统开发管理</w:t>
      </w:r>
    </w:p>
    <w:p>
      <w:pPr>
        <w:numPr>
          <w:ilvl w:val="0"/>
          <w:numId w:val="23"/>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系统开发计划周期</w:t>
      </w:r>
    </w:p>
    <w:p>
      <w:pPr>
        <w:pStyle w:val="50"/>
        <w:widowControl w:val="0"/>
        <w:adjustRightInd w:val="0"/>
        <w:snapToGrid w:val="0"/>
        <w:spacing w:before="0" w:beforeAutospacing="0" w:after="0" w:afterAutospacing="0" w:line="360" w:lineRule="auto"/>
        <w:ind w:firstLine="420"/>
        <w:jc w:val="both"/>
        <w:rPr>
          <w:color w:val="000000"/>
        </w:rPr>
      </w:pPr>
      <w:r>
        <w:rPr>
          <w:rFonts w:hint="eastAsia"/>
          <w:color w:val="000000"/>
          <w:highlight w:val="yellow"/>
        </w:rPr>
        <w:t>系统开发的周期预计为</w:t>
      </w:r>
      <w:r>
        <w:rPr>
          <w:rFonts w:hint="eastAsia"/>
          <w:color w:val="000000"/>
          <w:highlight w:val="yellow"/>
          <w:u w:val="single"/>
        </w:rPr>
        <w:t xml:space="preserve"> 15个</w:t>
      </w:r>
      <w:r>
        <w:rPr>
          <w:rFonts w:hint="eastAsia"/>
          <w:color w:val="000000"/>
          <w:highlight w:val="yellow"/>
        </w:rPr>
        <w:t>自然日，</w:t>
      </w:r>
      <w:r>
        <w:rPr>
          <w:rFonts w:hint="eastAsia"/>
          <w:color w:val="000000"/>
        </w:rPr>
        <w:t>基于对甲方的业务目标、业务能力和IT环境的理解，甲乙双方确定通过分阶段渐进式的策略，分步实现甲方的业务目标和业务需求。双方同意按照优先级的高低和功能实施难度的高低对甲方的业务需求进行分析研究；并根据按“需求优先级由高到低，实施由易入难”的原则进行阶段划分，以达到快速部署，迅速见效。具体而言，本项目可分为以下四个阶段：</w:t>
      </w:r>
    </w:p>
    <w:tbl>
      <w:tblPr>
        <w:tblStyle w:val="56"/>
        <w:tblW w:w="9064" w:type="dxa"/>
        <w:jc w:val="center"/>
        <w:tblLayout w:type="fixed"/>
        <w:tblCellMar>
          <w:top w:w="0" w:type="dxa"/>
          <w:left w:w="108" w:type="dxa"/>
          <w:bottom w:w="0" w:type="dxa"/>
          <w:right w:w="108" w:type="dxa"/>
        </w:tblCellMar>
      </w:tblPr>
      <w:tblGrid>
        <w:gridCol w:w="1410"/>
        <w:gridCol w:w="4111"/>
        <w:gridCol w:w="3543"/>
      </w:tblGrid>
      <w:tr>
        <w:tblPrEx>
          <w:tblCellMar>
            <w:top w:w="0" w:type="dxa"/>
            <w:left w:w="108" w:type="dxa"/>
            <w:bottom w:w="0" w:type="dxa"/>
            <w:right w:w="108" w:type="dxa"/>
          </w:tblCellMar>
        </w:tblPrEx>
        <w:trPr>
          <w:trHeight w:val="66" w:hRule="atLeast"/>
          <w:jc w:val="center"/>
        </w:trPr>
        <w:tc>
          <w:tcPr>
            <w:tcW w:w="1410"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b/>
                <w:color w:val="000000"/>
              </w:rPr>
            </w:pPr>
            <w:r>
              <w:rPr>
                <w:rFonts w:hint="eastAsia"/>
                <w:b/>
                <w:color w:val="000000"/>
              </w:rPr>
              <w:t>阶段划分</w:t>
            </w:r>
          </w:p>
        </w:tc>
        <w:tc>
          <w:tcPr>
            <w:tcW w:w="4111"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b/>
                <w:color w:val="000000"/>
              </w:rPr>
            </w:pPr>
            <w:r>
              <w:rPr>
                <w:rFonts w:hint="eastAsia"/>
                <w:b/>
                <w:color w:val="000000"/>
              </w:rPr>
              <w:t>项目计划</w:t>
            </w:r>
          </w:p>
        </w:tc>
        <w:tc>
          <w:tcPr>
            <w:tcW w:w="3543"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b/>
                <w:color w:val="000000"/>
              </w:rPr>
            </w:pPr>
            <w:r>
              <w:rPr>
                <w:rFonts w:hint="eastAsia"/>
                <w:b/>
                <w:color w:val="000000"/>
              </w:rPr>
              <w:t>预计交付时间</w:t>
            </w:r>
          </w:p>
        </w:tc>
      </w:tr>
      <w:tr>
        <w:tblPrEx>
          <w:tblCellMar>
            <w:top w:w="0" w:type="dxa"/>
            <w:left w:w="108" w:type="dxa"/>
            <w:bottom w:w="0" w:type="dxa"/>
            <w:right w:w="108" w:type="dxa"/>
          </w:tblCellMar>
        </w:tblPrEx>
        <w:trPr>
          <w:jc w:val="center"/>
        </w:trPr>
        <w:tc>
          <w:tcPr>
            <w:tcW w:w="1410"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b/>
                <w:color w:val="000000"/>
              </w:rPr>
            </w:pPr>
            <w:r>
              <w:rPr>
                <w:rFonts w:hint="eastAsia"/>
                <w:b/>
                <w:color w:val="000000"/>
              </w:rPr>
              <w:t>第一阶段</w:t>
            </w:r>
          </w:p>
        </w:tc>
        <w:tc>
          <w:tcPr>
            <w:tcW w:w="4111"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color w:val="000000"/>
              </w:rPr>
            </w:pPr>
            <w:r>
              <w:rPr>
                <w:rFonts w:hint="eastAsia"/>
                <w:color w:val="000000"/>
              </w:rPr>
              <w:t>软件需求分析与设计、编码、调试。</w:t>
            </w:r>
          </w:p>
        </w:tc>
        <w:tc>
          <w:tcPr>
            <w:tcW w:w="3543"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color w:val="000000"/>
              </w:rPr>
            </w:pPr>
            <w:r>
              <w:rPr>
                <w:rFonts w:hint="eastAsia"/>
                <w:color w:val="000000"/>
              </w:rPr>
              <w:t>2021年 月 日- 2021年 月 日</w:t>
            </w:r>
          </w:p>
        </w:tc>
      </w:tr>
      <w:tr>
        <w:tblPrEx>
          <w:tblCellMar>
            <w:top w:w="0" w:type="dxa"/>
            <w:left w:w="108" w:type="dxa"/>
            <w:bottom w:w="0" w:type="dxa"/>
            <w:right w:w="108" w:type="dxa"/>
          </w:tblCellMar>
        </w:tblPrEx>
        <w:trPr>
          <w:jc w:val="center"/>
        </w:trPr>
        <w:tc>
          <w:tcPr>
            <w:tcW w:w="1410"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b/>
                <w:color w:val="000000"/>
              </w:rPr>
            </w:pPr>
            <w:r>
              <w:rPr>
                <w:rFonts w:hint="eastAsia"/>
                <w:b/>
                <w:color w:val="000000"/>
              </w:rPr>
              <w:t>第二阶段</w:t>
            </w:r>
          </w:p>
        </w:tc>
        <w:tc>
          <w:tcPr>
            <w:tcW w:w="4111"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color w:val="000000"/>
              </w:rPr>
            </w:pPr>
            <w:r>
              <w:rPr>
                <w:rFonts w:hint="eastAsia"/>
                <w:color w:val="000000"/>
              </w:rPr>
              <w:t>项目正式上线试运行。</w:t>
            </w:r>
          </w:p>
        </w:tc>
        <w:tc>
          <w:tcPr>
            <w:tcW w:w="3543"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color w:val="000000"/>
              </w:rPr>
            </w:pPr>
            <w:r>
              <w:rPr>
                <w:rFonts w:hint="eastAsia"/>
                <w:color w:val="000000"/>
              </w:rPr>
              <w:t>2021年 月 日- 2021年 月 日</w:t>
            </w:r>
          </w:p>
        </w:tc>
      </w:tr>
      <w:tr>
        <w:tblPrEx>
          <w:tblCellMar>
            <w:top w:w="0" w:type="dxa"/>
            <w:left w:w="108" w:type="dxa"/>
            <w:bottom w:w="0" w:type="dxa"/>
            <w:right w:w="108" w:type="dxa"/>
          </w:tblCellMar>
        </w:tblPrEx>
        <w:trPr>
          <w:jc w:val="center"/>
        </w:trPr>
        <w:tc>
          <w:tcPr>
            <w:tcW w:w="1410"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b/>
                <w:color w:val="000000"/>
              </w:rPr>
            </w:pPr>
            <w:r>
              <w:rPr>
                <w:rFonts w:hint="eastAsia"/>
                <w:b/>
                <w:color w:val="000000"/>
              </w:rPr>
              <w:t>第三阶段</w:t>
            </w:r>
          </w:p>
        </w:tc>
        <w:tc>
          <w:tcPr>
            <w:tcW w:w="4111"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color w:val="000000"/>
              </w:rPr>
            </w:pPr>
            <w:r>
              <w:rPr>
                <w:rFonts w:hint="eastAsia"/>
              </w:rPr>
              <w:t>软件正式验收。</w:t>
            </w:r>
          </w:p>
        </w:tc>
        <w:tc>
          <w:tcPr>
            <w:tcW w:w="3543" w:type="dxa"/>
            <w:tcBorders>
              <w:top w:val="single" w:color="000000" w:sz="6" w:space="0"/>
              <w:left w:val="single" w:color="000000" w:sz="6" w:space="0"/>
              <w:bottom w:val="single" w:color="000000" w:sz="6" w:space="0"/>
              <w:right w:val="single" w:color="000000" w:sz="6" w:space="0"/>
            </w:tcBorders>
          </w:tcPr>
          <w:p>
            <w:pPr>
              <w:pStyle w:val="50"/>
              <w:spacing w:before="0" w:beforeAutospacing="0" w:after="0" w:afterAutospacing="0" w:line="360" w:lineRule="auto"/>
              <w:jc w:val="center"/>
              <w:rPr>
                <w:color w:val="000000"/>
              </w:rPr>
            </w:pPr>
            <w:r>
              <w:rPr>
                <w:rFonts w:hint="eastAsia"/>
                <w:color w:val="000000"/>
              </w:rPr>
              <w:t>2021年 月 日- 2021年 月 日</w:t>
            </w:r>
          </w:p>
        </w:tc>
      </w:tr>
    </w:tbl>
    <w:p>
      <w:pPr>
        <w:adjustRightInd w:val="0"/>
        <w:snapToGrid w:val="0"/>
        <w:spacing w:line="360" w:lineRule="auto"/>
        <w:ind w:firstLine="420"/>
        <w:rPr>
          <w:rFonts w:ascii="宋体" w:hAnsi="宋体" w:cs="宋体"/>
          <w:color w:val="000000"/>
          <w:sz w:val="24"/>
          <w:szCs w:val="24"/>
        </w:rPr>
      </w:pPr>
      <w:r>
        <w:rPr>
          <w:rFonts w:hint="eastAsia" w:ascii="宋体" w:hAnsi="宋体" w:cs="宋体"/>
          <w:color w:val="000000"/>
          <w:sz w:val="24"/>
          <w:szCs w:val="24"/>
        </w:rPr>
        <w:t>甲方应与乙方共同保证项目严格按照拟定的项目计划执行，项目的阶段确认以乙方提交的阶段成果为依据，甲方应及时接收、评估、确认乙方提交的阶段性报告或阶段成果。项目实施过程中，在收到乙方提交的需要确认的各项报告后，甲方需要在10个工作日内给予答复，如果逾期没有答复，则视为甲方默认确认该份报告。</w:t>
      </w:r>
    </w:p>
    <w:p>
      <w:pPr>
        <w:numPr>
          <w:ilvl w:val="0"/>
          <w:numId w:val="23"/>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项目核心成员</w:t>
      </w:r>
    </w:p>
    <w:p>
      <w:pPr>
        <w:tabs>
          <w:tab w:val="left" w:pos="525"/>
        </w:tabs>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在按照合同履行服务时，双方应指派足够的、具备相应能力的人员参与，并确保相应人员的相对稳定。双方确定，在本合同有效期内，甲方指定</w:t>
      </w:r>
      <w:r>
        <w:rPr>
          <w:rFonts w:hint="eastAsia" w:ascii="宋体" w:hAnsi="宋体" w:cs="宋体"/>
          <w:color w:val="000000"/>
          <w:sz w:val="24"/>
          <w:szCs w:val="24"/>
          <w:u w:val="single"/>
        </w:rPr>
        <w:t xml:space="preserve">        </w:t>
      </w: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）为甲方项目联系人，乙方指定</w:t>
      </w:r>
      <w:r>
        <w:rPr>
          <w:rFonts w:hint="eastAsia" w:ascii="宋体" w:hAnsi="宋体" w:cs="宋体"/>
          <w:color w:val="000000"/>
          <w:sz w:val="24"/>
          <w:szCs w:val="24"/>
          <w:u w:val="single"/>
        </w:rPr>
        <w:t xml:space="preserve">       </w:t>
      </w: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）为乙方项目联系人。项目联系人承担以下责任：</w:t>
      </w:r>
    </w:p>
    <w:p>
      <w:pPr>
        <w:numPr>
          <w:ilvl w:val="0"/>
          <w:numId w:val="24"/>
        </w:numPr>
        <w:tabs>
          <w:tab w:val="left" w:pos="525"/>
        </w:tabs>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协调</w:t>
      </w:r>
      <w:r>
        <w:rPr>
          <w:rFonts w:hint="eastAsia" w:ascii="宋体" w:hAnsi="宋体" w:cs="宋体"/>
          <w:color w:val="000000"/>
          <w:spacing w:val="5"/>
          <w:sz w:val="24"/>
          <w:szCs w:val="24"/>
        </w:rPr>
        <w:t>华侨城梦幻之城售票平台项目</w:t>
      </w:r>
      <w:r>
        <w:rPr>
          <w:rFonts w:hint="eastAsia" w:ascii="宋体" w:hAnsi="宋体" w:cs="宋体"/>
          <w:color w:val="000000"/>
          <w:sz w:val="24"/>
          <w:szCs w:val="24"/>
        </w:rPr>
        <w:t>应用技术服务的进度；</w:t>
      </w:r>
    </w:p>
    <w:p>
      <w:pPr>
        <w:numPr>
          <w:ilvl w:val="0"/>
          <w:numId w:val="24"/>
        </w:numPr>
        <w:tabs>
          <w:tab w:val="left" w:pos="525"/>
        </w:tabs>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完善应用环境，拓展应用领域；</w:t>
      </w:r>
    </w:p>
    <w:p>
      <w:pPr>
        <w:numPr>
          <w:ilvl w:val="0"/>
          <w:numId w:val="24"/>
        </w:numPr>
        <w:tabs>
          <w:tab w:val="left" w:pos="525"/>
        </w:tabs>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安排和协调系统和数据维护服务，及咨询服务。</w:t>
      </w:r>
    </w:p>
    <w:p>
      <w:pPr>
        <w:tabs>
          <w:tab w:val="left" w:pos="525"/>
        </w:tabs>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项目联系人若有变动，变动的一方需以书面形式通知另一方，否则，变动的一方应承担未及时通知所造成的法律后果。</w:t>
      </w:r>
    </w:p>
    <w:p>
      <w:pPr>
        <w:numPr>
          <w:ilvl w:val="0"/>
          <w:numId w:val="23"/>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乙方应按下列要求完成技术服务工作</w:t>
      </w:r>
    </w:p>
    <w:p>
      <w:pPr>
        <w:numPr>
          <w:ilvl w:val="0"/>
          <w:numId w:val="25"/>
        </w:numPr>
        <w:tabs>
          <w:tab w:val="left" w:pos="525"/>
        </w:tabs>
        <w:adjustRightInd w:val="0"/>
        <w:snapToGrid w:val="0"/>
        <w:spacing w:line="360" w:lineRule="auto"/>
        <w:ind w:left="0" w:firstLine="480" w:firstLineChars="200"/>
        <w:rPr>
          <w:rFonts w:ascii="宋体" w:hAnsi="宋体" w:cs="宋体"/>
          <w:sz w:val="24"/>
          <w:szCs w:val="24"/>
        </w:rPr>
      </w:pPr>
      <w:r>
        <w:rPr>
          <w:rFonts w:hint="eastAsia" w:ascii="宋体" w:hAnsi="宋体" w:cs="宋体"/>
          <w:color w:val="000000"/>
          <w:sz w:val="24"/>
          <w:szCs w:val="24"/>
        </w:rPr>
        <w:t>技术服</w:t>
      </w:r>
      <w:r>
        <w:rPr>
          <w:rFonts w:hint="eastAsia" w:ascii="宋体" w:hAnsi="宋体" w:cs="宋体"/>
          <w:sz w:val="24"/>
          <w:szCs w:val="24"/>
        </w:rPr>
        <w:t>务地点：扬州市民卡有限责任公司；</w:t>
      </w:r>
    </w:p>
    <w:p>
      <w:pPr>
        <w:numPr>
          <w:ilvl w:val="0"/>
          <w:numId w:val="25"/>
        </w:numPr>
        <w:tabs>
          <w:tab w:val="left" w:pos="525"/>
        </w:tabs>
        <w:adjustRightInd w:val="0"/>
        <w:snapToGrid w:val="0"/>
        <w:spacing w:line="360" w:lineRule="auto"/>
        <w:ind w:left="0" w:firstLine="480" w:firstLineChars="200"/>
        <w:rPr>
          <w:rFonts w:ascii="宋体" w:hAnsi="宋体" w:cs="宋体"/>
          <w:sz w:val="24"/>
          <w:szCs w:val="24"/>
        </w:rPr>
      </w:pPr>
      <w:r>
        <w:rPr>
          <w:rFonts w:hint="eastAsia" w:ascii="宋体" w:hAnsi="宋体" w:cs="宋体"/>
          <w:sz w:val="24"/>
          <w:szCs w:val="24"/>
        </w:rPr>
        <w:t>技术服务进度：按照业务需求提出的进度进行后续技术服务；</w:t>
      </w:r>
    </w:p>
    <w:p>
      <w:pPr>
        <w:numPr>
          <w:ilvl w:val="0"/>
          <w:numId w:val="25"/>
        </w:numPr>
        <w:tabs>
          <w:tab w:val="left" w:pos="525"/>
        </w:tabs>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sz w:val="24"/>
          <w:szCs w:val="24"/>
        </w:rPr>
        <w:t>技术服务质量要求：开发服务满足</w:t>
      </w:r>
      <w:r>
        <w:rPr>
          <w:rFonts w:hint="eastAsia" w:ascii="宋体" w:hAnsi="宋体" w:cs="宋体"/>
          <w:spacing w:val="5"/>
          <w:sz w:val="24"/>
          <w:szCs w:val="24"/>
        </w:rPr>
        <w:t>华侨城梦幻之城售票平台项</w:t>
      </w:r>
      <w:r>
        <w:rPr>
          <w:rFonts w:hint="eastAsia" w:ascii="宋体" w:hAnsi="宋体" w:cs="宋体"/>
          <w:color w:val="000000"/>
          <w:spacing w:val="5"/>
          <w:sz w:val="24"/>
          <w:szCs w:val="24"/>
        </w:rPr>
        <w:t>目</w:t>
      </w:r>
      <w:r>
        <w:rPr>
          <w:rFonts w:hint="eastAsia" w:ascii="宋体" w:hAnsi="宋体" w:cs="宋体"/>
          <w:color w:val="000000"/>
          <w:sz w:val="24"/>
          <w:szCs w:val="24"/>
        </w:rPr>
        <w:t>需求的要求，系统维护服务保证系统正常运作，系统运营保证安全、稳定、高效，提供高效专业的系统咨询；乙方提供7*24服务时间，紧急需求首次响应时间4小时内，一般需求首次响应时间24小时内。2个工作日内解决。</w:t>
      </w:r>
    </w:p>
    <w:p>
      <w:pPr>
        <w:numPr>
          <w:ilvl w:val="0"/>
          <w:numId w:val="23"/>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进度报告</w:t>
      </w:r>
    </w:p>
    <w:p>
      <w:pPr>
        <w:pStyle w:val="50"/>
        <w:widowControl w:val="0"/>
        <w:adjustRightInd w:val="0"/>
        <w:snapToGrid w:val="0"/>
        <w:spacing w:before="0" w:beforeAutospacing="0" w:after="0" w:afterAutospacing="0" w:line="360" w:lineRule="auto"/>
        <w:ind w:firstLine="420"/>
        <w:jc w:val="both"/>
        <w:rPr>
          <w:color w:val="000000"/>
        </w:rPr>
      </w:pPr>
      <w:r>
        <w:rPr>
          <w:rFonts w:hint="eastAsia"/>
          <w:color w:val="000000"/>
          <w:highlight w:val="yellow"/>
        </w:rPr>
        <w:t>乙方应于每月[十]个工作日内</w:t>
      </w:r>
      <w:r>
        <w:rPr>
          <w:rFonts w:hint="eastAsia"/>
          <w:color w:val="000000"/>
        </w:rPr>
        <w:t>以书面形式向甲方提供书面的项目阶段进度报告，内容包括：项目总体进度、本月计划执行情况、主要困难或障碍、存在风险、有无项目重大变更、项目下月计划等情况。 </w:t>
      </w:r>
    </w:p>
    <w:p>
      <w:pPr>
        <w:tabs>
          <w:tab w:val="left" w:pos="525"/>
        </w:tabs>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5.系统安装调试</w:t>
      </w:r>
    </w:p>
    <w:p>
      <w:pPr>
        <w:tabs>
          <w:tab w:val="left" w:pos="525"/>
        </w:tabs>
        <w:adjustRightInd w:val="0"/>
        <w:snapToGrid w:val="0"/>
        <w:spacing w:line="360" w:lineRule="auto"/>
        <w:ind w:left="420" w:firstLine="480" w:firstLineChars="200"/>
        <w:rPr>
          <w:rFonts w:ascii="宋体" w:hAnsi="宋体" w:cs="宋体"/>
          <w:color w:val="000000"/>
          <w:sz w:val="24"/>
          <w:szCs w:val="24"/>
        </w:rPr>
      </w:pPr>
      <w:r>
        <w:rPr>
          <w:rFonts w:hint="eastAsia" w:ascii="宋体" w:hAnsi="宋体" w:cs="宋体"/>
          <w:color w:val="000000"/>
          <w:sz w:val="24"/>
          <w:szCs w:val="24"/>
        </w:rPr>
        <w:t>乙方负责软件系统在甲方实际使用环境中的安装、配置和调试，确保系统上线正常运行。</w:t>
      </w:r>
    </w:p>
    <w:p>
      <w:pPr>
        <w:numPr>
          <w:ilvl w:val="0"/>
          <w:numId w:val="22"/>
        </w:numPr>
        <w:tabs>
          <w:tab w:val="left" w:pos="525"/>
        </w:tabs>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交付与系统验收</w:t>
      </w:r>
    </w:p>
    <w:p>
      <w:pPr>
        <w:numPr>
          <w:ilvl w:val="0"/>
          <w:numId w:val="26"/>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交付</w:t>
      </w:r>
    </w:p>
    <w:p>
      <w:pPr>
        <w:adjustRightInd w:val="0"/>
        <w:snapToGrid w:val="0"/>
        <w:spacing w:line="360" w:lineRule="auto"/>
        <w:ind w:firstLine="420"/>
        <w:rPr>
          <w:rFonts w:ascii="宋体" w:hAnsi="宋体" w:cs="宋体"/>
          <w:color w:val="000000"/>
          <w:sz w:val="24"/>
          <w:szCs w:val="24"/>
        </w:rPr>
      </w:pPr>
      <w:r>
        <w:rPr>
          <w:rFonts w:hint="eastAsia" w:ascii="宋体" w:hAnsi="宋体" w:cs="宋体"/>
          <w:color w:val="000000"/>
          <w:sz w:val="24"/>
          <w:szCs w:val="24"/>
        </w:rPr>
        <w:t>乙方应按照合同及其附件所约定的内容进行交付。所交付的文档与文件应当是电子或纸质版式并可供人阅读。</w:t>
      </w:r>
    </w:p>
    <w:p>
      <w:pPr>
        <w:adjustRightInd w:val="0"/>
        <w:snapToGrid w:val="0"/>
        <w:spacing w:line="360" w:lineRule="auto"/>
        <w:ind w:firstLine="420"/>
        <w:rPr>
          <w:rFonts w:ascii="宋体" w:hAnsi="宋体" w:cs="宋体"/>
          <w:color w:val="000000"/>
          <w:sz w:val="24"/>
          <w:szCs w:val="24"/>
        </w:rPr>
      </w:pPr>
      <w:r>
        <w:rPr>
          <w:rFonts w:hint="eastAsia" w:ascii="宋体" w:hAnsi="宋体" w:cs="宋体"/>
          <w:color w:val="000000"/>
          <w:sz w:val="24"/>
          <w:szCs w:val="24"/>
        </w:rPr>
        <w:t>乙方完成技术服务工作的形式：提交华侨城梦幻之城售票平台项目的需求、功能和解决程序问题的源码，并进行代码核查，上线相关功能，完成系统运营过程中提出的数据维护服务，提供解答系统运营过程提出的疑难问题的咨询规划文档。</w:t>
      </w:r>
    </w:p>
    <w:p>
      <w:pPr>
        <w:numPr>
          <w:ilvl w:val="0"/>
          <w:numId w:val="26"/>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系统验收</w:t>
      </w:r>
    </w:p>
    <w:p>
      <w:pPr>
        <w:numPr>
          <w:ilvl w:val="0"/>
          <w:numId w:val="2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系统上线验收</w:t>
      </w:r>
    </w:p>
    <w:p>
      <w:pPr>
        <w:adjustRightInd w:val="0"/>
        <w:snapToGrid w:val="0"/>
        <w:spacing w:line="360" w:lineRule="auto"/>
        <w:ind w:firstLine="420"/>
        <w:rPr>
          <w:rFonts w:ascii="宋体" w:hAnsi="宋体" w:cs="宋体"/>
          <w:color w:val="000000"/>
          <w:sz w:val="24"/>
          <w:szCs w:val="24"/>
        </w:rPr>
      </w:pPr>
      <w:r>
        <w:rPr>
          <w:rFonts w:hint="eastAsia" w:ascii="宋体" w:hAnsi="宋体" w:cs="宋体"/>
          <w:color w:val="000000"/>
          <w:sz w:val="24"/>
          <w:szCs w:val="24"/>
        </w:rPr>
        <w:t>系统实现后，甲方应及时进行系统上线验收。乙方应当以书面形式向甲方递交验收通知书，甲方在收到验收通知书后的[5]个工作日内确认并组织验收，并于[10]个工作日内完成系统上线验收。上线验收标准为：满足技术说明书要求和软件相关规范。系统上线测试验收通过后，双方共同签署《上线验收报告》。</w:t>
      </w:r>
    </w:p>
    <w:p>
      <w:pPr>
        <w:numPr>
          <w:ilvl w:val="0"/>
          <w:numId w:val="2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系统试运行</w:t>
      </w:r>
    </w:p>
    <w:p>
      <w:pPr>
        <w:adjustRightInd w:val="0"/>
        <w:snapToGrid w:val="0"/>
        <w:spacing w:line="360" w:lineRule="auto"/>
        <w:ind w:firstLine="420"/>
        <w:rPr>
          <w:rFonts w:ascii="宋体" w:hAnsi="宋体" w:cs="宋体"/>
          <w:color w:val="000000"/>
          <w:sz w:val="24"/>
          <w:szCs w:val="24"/>
        </w:rPr>
      </w:pPr>
      <w:r>
        <w:rPr>
          <w:rFonts w:hint="eastAsia" w:ascii="宋体" w:hAnsi="宋体" w:cs="宋体"/>
          <w:color w:val="000000"/>
          <w:sz w:val="24"/>
          <w:szCs w:val="24"/>
        </w:rPr>
        <w:t>系统上线验收通过后安排[30]天的系统试运行期。项目进度计划内的试运行期间，如果是硬件或其他环境方面的问题,甲方应及时更换或修理故障部分的设备和环境；如果是软件方面的缺陷或者问题，乙方应及时排除该缺陷或问题，由此产生的开发及维护费用，由乙方承担。</w:t>
      </w:r>
    </w:p>
    <w:p>
      <w:pPr>
        <w:numPr>
          <w:ilvl w:val="0"/>
          <w:numId w:val="2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系统终验</w:t>
      </w:r>
    </w:p>
    <w:p>
      <w:pPr>
        <w:adjustRightInd w:val="0"/>
        <w:snapToGrid w:val="0"/>
        <w:spacing w:line="360" w:lineRule="auto"/>
        <w:ind w:firstLine="420"/>
        <w:rPr>
          <w:rFonts w:ascii="宋体" w:hAnsi="宋体" w:cs="宋体"/>
          <w:color w:val="000000"/>
          <w:sz w:val="24"/>
          <w:szCs w:val="24"/>
        </w:rPr>
      </w:pPr>
      <w:r>
        <w:rPr>
          <w:rFonts w:hint="eastAsia" w:ascii="宋体" w:hAnsi="宋体" w:cs="宋体"/>
          <w:color w:val="000000"/>
          <w:sz w:val="24"/>
          <w:szCs w:val="24"/>
          <w:highlight w:val="yellow"/>
        </w:rPr>
        <w:t>系统上线并试运行[30]天后，甲方应及时进行系统终验。</w:t>
      </w:r>
      <w:r>
        <w:rPr>
          <w:rFonts w:hint="eastAsia" w:ascii="宋体" w:hAnsi="宋体" w:cs="宋体"/>
          <w:color w:val="000000"/>
          <w:sz w:val="24"/>
          <w:szCs w:val="24"/>
        </w:rPr>
        <w:t>乙方应当以书面形式向甲方递交验收通知书，甲方在收到验收通知书后的[5]个工作日内确认并组织验收，并于[10]个工作日内完成系统终验。终验标准为：满足技术说明书要求和软件相关规范。系统终验合格后，双方共同签署《运行验收报告》。</w:t>
      </w:r>
    </w:p>
    <w:p>
      <w:pPr>
        <w:numPr>
          <w:ilvl w:val="0"/>
          <w:numId w:val="27"/>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果属于乙方原因致使系统未能通过验收，乙方应当排除故障，并自行承担相关费用，同时延长实施直至系统完全符合验收标准。甲方应于乙方完成此部分开发工作后重新组织验收。如果属于下列甲方原因致使系统未能通过验收，甲方应在合理时间内排除故障，再次进行验收。归属甲方的原因包括但不限于：</w:t>
      </w:r>
    </w:p>
    <w:p>
      <w:pPr>
        <w:numPr>
          <w:ilvl w:val="0"/>
          <w:numId w:val="28"/>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硬件及其环境出现的故障未得到甲方及时排除；</w:t>
      </w:r>
    </w:p>
    <w:p>
      <w:pPr>
        <w:numPr>
          <w:ilvl w:val="0"/>
          <w:numId w:val="28"/>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甲方提供的相关需求说明、资料、信息和数据本身存在错误；</w:t>
      </w:r>
    </w:p>
    <w:p>
      <w:pPr>
        <w:numPr>
          <w:ilvl w:val="0"/>
          <w:numId w:val="28"/>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甲方在试运行期间，提出变更内容，而双方并未签订书面变更通知单。</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color w:val="000000"/>
          <w:sz w:val="24"/>
          <w:szCs w:val="24"/>
        </w:rPr>
        <w:t>由甲方牵头第三方进行联调的，第三方调试及上线时间超过约定时间，从而导致乙方未能在规定时间内完成自身工作。</w:t>
      </w:r>
    </w:p>
    <w:p>
      <w:pPr>
        <w:numPr>
          <w:ilvl w:val="0"/>
          <w:numId w:val="2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本合同总金额为¥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r>
        <w:rPr>
          <w:rFonts w:hint="eastAsia" w:ascii="宋体" w:hAnsi="宋体" w:cs="宋体"/>
          <w:sz w:val="24"/>
          <w:szCs w:val="24"/>
        </w:rPr>
        <w:t>（大写：人民币</w:t>
      </w:r>
      <w:r>
        <w:rPr>
          <w:rFonts w:hint="eastAsia" w:ascii="宋体" w:hAnsi="宋体" w:cs="宋体"/>
          <w:color w:val="000000"/>
          <w:sz w:val="24"/>
          <w:szCs w:val="24"/>
          <w:u w:val="single"/>
        </w:rPr>
        <w:t xml:space="preserve">           </w:t>
      </w:r>
      <w:r>
        <w:rPr>
          <w:rFonts w:hint="eastAsia" w:ascii="宋体" w:hAnsi="宋体" w:cs="宋体"/>
          <w:sz w:val="24"/>
          <w:szCs w:val="24"/>
        </w:rPr>
        <w:t>元整）</w:t>
      </w:r>
      <w:r>
        <w:rPr>
          <w:rFonts w:hint="eastAsia" w:ascii="宋体" w:hAnsi="宋体" w:cs="宋体"/>
          <w:color w:val="000000"/>
          <w:sz w:val="24"/>
          <w:szCs w:val="24"/>
        </w:rPr>
        <w:t>。</w:t>
      </w:r>
    </w:p>
    <w:p>
      <w:pPr>
        <w:numPr>
          <w:ilvl w:val="0"/>
          <w:numId w:val="2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支付方式及条件：</w:t>
      </w:r>
    </w:p>
    <w:p>
      <w:pPr>
        <w:numPr>
          <w:ilvl w:val="0"/>
          <w:numId w:val="30"/>
        </w:numPr>
        <w:adjustRightInd w:val="0"/>
        <w:snapToGrid w:val="0"/>
        <w:spacing w:line="360" w:lineRule="auto"/>
        <w:ind w:left="-350" w:firstLine="560"/>
        <w:rPr>
          <w:rFonts w:ascii="宋体" w:hAnsi="宋体" w:cs="宋体"/>
          <w:color w:val="000000"/>
          <w:sz w:val="24"/>
          <w:szCs w:val="24"/>
          <w:highlight w:val="yellow"/>
        </w:rPr>
      </w:pPr>
      <w:r>
        <w:rPr>
          <w:rFonts w:hint="eastAsia" w:ascii="宋体" w:hAnsi="宋体" w:cs="宋体"/>
          <w:color w:val="000000"/>
          <w:sz w:val="24"/>
          <w:szCs w:val="24"/>
          <w:highlight w:val="yellow"/>
        </w:rPr>
        <w:t>第一次付款：项目完成，由甲方完成验收工作后，经双方在验收报告上签字确认，甲方在收到乙方开具的</w:t>
      </w:r>
      <w:r>
        <w:rPr>
          <w:rFonts w:hint="eastAsia" w:eastAsia="仿宋_GB2312"/>
          <w:color w:val="FF0000"/>
          <w:sz w:val="24"/>
          <w:highlight w:val="yellow"/>
        </w:rPr>
        <w:t>税率为6%的</w:t>
      </w:r>
      <w:r>
        <w:rPr>
          <w:rFonts w:eastAsia="仿宋_GB2312"/>
          <w:color w:val="FF0000"/>
          <w:sz w:val="24"/>
          <w:highlight w:val="yellow"/>
        </w:rPr>
        <w:t>增值税专用发票</w:t>
      </w:r>
      <w:r>
        <w:rPr>
          <w:rFonts w:hint="eastAsia" w:ascii="宋体" w:hAnsi="宋体" w:cs="宋体"/>
          <w:color w:val="000000"/>
          <w:sz w:val="24"/>
          <w:szCs w:val="24"/>
          <w:highlight w:val="yellow"/>
        </w:rPr>
        <w:t>后的[10]个工作日内，甲方向乙方支付合同总金额的90 % 款项，即¥</w:t>
      </w:r>
      <w:r>
        <w:rPr>
          <w:rFonts w:hint="eastAsia" w:ascii="宋体" w:hAnsi="宋体" w:cs="宋体"/>
          <w:color w:val="000000"/>
          <w:sz w:val="24"/>
          <w:szCs w:val="24"/>
          <w:highlight w:val="yellow"/>
          <w:u w:val="single"/>
        </w:rPr>
        <w:t xml:space="preserve">           </w:t>
      </w:r>
      <w:r>
        <w:rPr>
          <w:rFonts w:hint="eastAsia" w:ascii="宋体" w:hAnsi="宋体" w:cs="宋体"/>
          <w:color w:val="000000"/>
          <w:sz w:val="24"/>
          <w:szCs w:val="24"/>
          <w:highlight w:val="yellow"/>
        </w:rPr>
        <w:t>元（大写：人民币</w:t>
      </w:r>
      <w:r>
        <w:rPr>
          <w:rFonts w:hint="eastAsia" w:ascii="宋体" w:hAnsi="宋体" w:cs="宋体"/>
          <w:color w:val="000000"/>
          <w:sz w:val="24"/>
          <w:szCs w:val="24"/>
          <w:highlight w:val="yellow"/>
          <w:u w:val="single"/>
        </w:rPr>
        <w:t xml:space="preserve">           </w:t>
      </w:r>
      <w:r>
        <w:rPr>
          <w:rFonts w:hint="eastAsia" w:ascii="宋体" w:hAnsi="宋体" w:cs="宋体"/>
          <w:color w:val="000000"/>
          <w:sz w:val="24"/>
          <w:szCs w:val="24"/>
          <w:highlight w:val="yellow"/>
        </w:rPr>
        <w:t>整）。</w:t>
      </w:r>
    </w:p>
    <w:p>
      <w:pPr>
        <w:numPr>
          <w:ilvl w:val="0"/>
          <w:numId w:val="30"/>
        </w:numPr>
        <w:adjustRightInd w:val="0"/>
        <w:snapToGrid w:val="0"/>
        <w:spacing w:line="360" w:lineRule="auto"/>
        <w:ind w:left="-350" w:firstLine="560"/>
        <w:rPr>
          <w:rFonts w:ascii="宋体" w:hAnsi="宋体" w:cs="宋体"/>
          <w:color w:val="000000"/>
          <w:sz w:val="24"/>
          <w:szCs w:val="24"/>
          <w:highlight w:val="yellow"/>
        </w:rPr>
      </w:pPr>
      <w:r>
        <w:rPr>
          <w:rFonts w:hint="eastAsia" w:ascii="宋体" w:hAnsi="宋体" w:cs="宋体"/>
          <w:color w:val="000000"/>
          <w:sz w:val="24"/>
          <w:szCs w:val="24"/>
          <w:highlight w:val="yellow"/>
        </w:rPr>
        <w:t>第二次付款：在项目验收一年后，甲方在收到乙方正式发票后10个工作日内，甲方向乙方支付合同总金额的10% ，即¥</w:t>
      </w:r>
      <w:r>
        <w:rPr>
          <w:rFonts w:hint="eastAsia" w:ascii="宋体" w:hAnsi="宋体" w:cs="宋体"/>
          <w:color w:val="000000"/>
          <w:sz w:val="24"/>
          <w:szCs w:val="24"/>
          <w:highlight w:val="yellow"/>
          <w:u w:val="single"/>
        </w:rPr>
        <w:t xml:space="preserve">           </w:t>
      </w:r>
      <w:r>
        <w:rPr>
          <w:rFonts w:hint="eastAsia" w:ascii="宋体" w:hAnsi="宋体" w:cs="宋体"/>
          <w:color w:val="000000"/>
          <w:sz w:val="24"/>
          <w:szCs w:val="24"/>
          <w:highlight w:val="yellow"/>
        </w:rPr>
        <w:t>元（大写：人民币</w:t>
      </w:r>
      <w:r>
        <w:rPr>
          <w:rFonts w:hint="eastAsia" w:ascii="宋体" w:hAnsi="宋体" w:cs="宋体"/>
          <w:color w:val="000000"/>
          <w:sz w:val="24"/>
          <w:szCs w:val="24"/>
          <w:highlight w:val="yellow"/>
          <w:u w:val="single"/>
        </w:rPr>
        <w:t xml:space="preserve">           </w:t>
      </w:r>
      <w:r>
        <w:rPr>
          <w:rFonts w:hint="eastAsia" w:ascii="宋体" w:hAnsi="宋体" w:cs="宋体"/>
          <w:color w:val="000000"/>
          <w:sz w:val="24"/>
          <w:szCs w:val="24"/>
          <w:highlight w:val="yellow"/>
        </w:rPr>
        <w:t>元整）。</w:t>
      </w:r>
    </w:p>
    <w:p>
      <w:pPr>
        <w:pStyle w:val="50"/>
        <w:widowControl w:val="0"/>
        <w:numPr>
          <w:ilvl w:val="0"/>
          <w:numId w:val="30"/>
        </w:numPr>
        <w:adjustRightInd w:val="0"/>
        <w:snapToGrid w:val="0"/>
        <w:spacing w:before="0" w:beforeAutospacing="0" w:after="0" w:afterAutospacing="0" w:line="360" w:lineRule="auto"/>
        <w:ind w:left="-350" w:firstLine="560"/>
        <w:jc w:val="both"/>
        <w:rPr>
          <w:color w:val="000000"/>
        </w:rPr>
      </w:pPr>
      <w:r>
        <w:rPr>
          <w:rFonts w:hint="eastAsia"/>
          <w:color w:val="000000"/>
        </w:rPr>
        <w:t>扣除</w:t>
      </w:r>
    </w:p>
    <w:p>
      <w:pPr>
        <w:pStyle w:val="50"/>
        <w:widowControl w:val="0"/>
        <w:adjustRightInd w:val="0"/>
        <w:snapToGrid w:val="0"/>
        <w:spacing w:before="0" w:beforeAutospacing="0" w:after="0" w:afterAutospacing="0" w:line="360" w:lineRule="auto"/>
        <w:ind w:firstLine="480" w:firstLineChars="200"/>
        <w:jc w:val="both"/>
        <w:rPr>
          <w:color w:val="000000"/>
        </w:rPr>
      </w:pPr>
      <w:r>
        <w:rPr>
          <w:rFonts w:hint="eastAsia"/>
          <w:color w:val="000000"/>
        </w:rPr>
        <w:t>根据本合同的规定，如果乙方有赔偿和/或支付违约金的责任，或实际工作量减少的，则甲方有权从上述任何一笔未付款中扣除相应金额。</w:t>
      </w:r>
    </w:p>
    <w:p>
      <w:pPr>
        <w:pStyle w:val="50"/>
        <w:widowControl w:val="0"/>
        <w:numPr>
          <w:ilvl w:val="0"/>
          <w:numId w:val="30"/>
        </w:numPr>
        <w:adjustRightInd w:val="0"/>
        <w:snapToGrid w:val="0"/>
        <w:spacing w:before="0" w:beforeAutospacing="0" w:after="0" w:afterAutospacing="0" w:line="360" w:lineRule="auto"/>
        <w:ind w:left="-350" w:firstLine="560"/>
        <w:jc w:val="both"/>
        <w:rPr>
          <w:color w:val="000000"/>
        </w:rPr>
      </w:pPr>
      <w:r>
        <w:rPr>
          <w:rFonts w:hint="eastAsia"/>
          <w:b/>
          <w:bCs/>
          <w:color w:val="000000"/>
        </w:rPr>
        <w:t>乙方需向甲方提供税率为[6]%的增值税专用发票，发票名目技术服务费。</w:t>
      </w:r>
      <w:r>
        <w:rPr>
          <w:rFonts w:hint="eastAsia"/>
          <w:color w:val="000000"/>
        </w:rPr>
        <w:t>因乙方提供发票有误或发票的真实、合法、有效、及时性存在瑕疵造成甲方延迟付款的，不视为甲方违约，甲方不承担责任。</w:t>
      </w:r>
    </w:p>
    <w:p>
      <w:pPr>
        <w:numPr>
          <w:ilvl w:val="0"/>
          <w:numId w:val="29"/>
        </w:numPr>
        <w:adjustRightInd w:val="0"/>
        <w:snapToGrid w:val="0"/>
        <w:spacing w:line="360" w:lineRule="auto"/>
        <w:ind w:left="0" w:firstLine="0"/>
        <w:rPr>
          <w:rFonts w:ascii="宋体" w:hAnsi="宋体" w:cs="宋体"/>
          <w:b/>
          <w:bCs/>
          <w:color w:val="000000"/>
          <w:sz w:val="24"/>
          <w:szCs w:val="24"/>
          <w:highlight w:val="yellow"/>
        </w:rPr>
      </w:pPr>
      <w:r>
        <w:rPr>
          <w:rFonts w:hint="eastAsia" w:ascii="宋体" w:hAnsi="宋体" w:cs="宋体"/>
          <w:b/>
          <w:bCs/>
          <w:color w:val="000000"/>
          <w:sz w:val="24"/>
          <w:szCs w:val="24"/>
          <w:highlight w:val="yellow"/>
        </w:rPr>
        <w:t>付款方式：转账</w:t>
      </w:r>
    </w:p>
    <w:p>
      <w:pPr>
        <w:numPr>
          <w:ilvl w:val="0"/>
          <w:numId w:val="2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关于新需求或需求变更的处理</w:t>
      </w:r>
    </w:p>
    <w:p>
      <w:pPr>
        <w:numPr>
          <w:ilvl w:val="3"/>
          <w:numId w:val="31"/>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新需求的定义：</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①超出开发内容约定范围，并经甲、乙双方签字确认的客户提出的客户化需求。</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②对甲方项目管理组已经甲乙双方签字确认的需求进行的变更。</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③甲、乙双方同意对在系统上线后的推广过程中需要对系统进行客户化开发或修改。</w:t>
      </w:r>
    </w:p>
    <w:p>
      <w:pPr>
        <w:numPr>
          <w:ilvl w:val="3"/>
          <w:numId w:val="31"/>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新需求处理流程</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双方按照以下流程和方法处理需要客户化开发的新需求及需求变更：</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①新需求及需求变更提出：甲方项目管理组以书面形式汇总审核甲方新需求，并定期提交乙方项目组。</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②新需求及需求变更处理方案反馈：乙方项目管理组根据甲方书面提出的具体需求进行分析，反馈解决方案、业务分析书、预估工作量、实现费用和实现新需求的可能时限和条件（包括可能需要调整的原版本计划）。</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③新需求及需求变更开发确认：经甲、乙双方签字确认后，新需求及需求变更纳入开发计划。</w:t>
      </w:r>
    </w:p>
    <w:p>
      <w:pPr>
        <w:numPr>
          <w:ilvl w:val="3"/>
          <w:numId w:val="31"/>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新需求及需求变更费用的支付方式</w:t>
      </w:r>
    </w:p>
    <w:p>
      <w:pPr>
        <w:adjustRightInd w:val="0"/>
        <w:snapToGrid w:val="0"/>
        <w:spacing w:line="360" w:lineRule="auto"/>
        <w:ind w:firstLine="480" w:firstLineChars="200"/>
        <w:rPr>
          <w:rFonts w:ascii="宋体" w:hAnsi="宋体" w:cs="宋体"/>
          <w:color w:val="000000"/>
          <w:spacing w:val="5"/>
          <w:sz w:val="24"/>
          <w:szCs w:val="24"/>
        </w:rPr>
      </w:pPr>
      <w:r>
        <w:rPr>
          <w:rFonts w:hint="eastAsia" w:ascii="宋体" w:hAnsi="宋体" w:cs="宋体"/>
          <w:color w:val="000000"/>
          <w:sz w:val="24"/>
          <w:szCs w:val="24"/>
        </w:rPr>
        <w:t>费用结算标准：按照新需求及需求变更的实际工作量进行结算，开发费用和工作量计算标准参照附件三。</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技术情报和资料的保密事项，及后续改进的提供与分享规定：</w:t>
      </w:r>
    </w:p>
    <w:p>
      <w:pPr>
        <w:numPr>
          <w:ilvl w:val="0"/>
          <w:numId w:val="3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甲乙双方有责任对技术开发中涉及的</w:t>
      </w:r>
      <w:r>
        <w:rPr>
          <w:rFonts w:hint="eastAsia" w:ascii="宋体" w:hAnsi="宋体" w:cs="宋体"/>
          <w:color w:val="000000"/>
          <w:spacing w:val="5"/>
          <w:sz w:val="24"/>
          <w:szCs w:val="24"/>
        </w:rPr>
        <w:t>商业情报、</w:t>
      </w:r>
      <w:r>
        <w:rPr>
          <w:rFonts w:hint="eastAsia" w:ascii="宋体" w:hAnsi="宋体" w:cs="宋体"/>
          <w:color w:val="000000"/>
          <w:sz w:val="24"/>
          <w:szCs w:val="24"/>
        </w:rPr>
        <w:t>技术情报及相关文档资料保密，未经对方书面允许，不得向第三方泄露。</w:t>
      </w:r>
    </w:p>
    <w:p>
      <w:pPr>
        <w:numPr>
          <w:ilvl w:val="0"/>
          <w:numId w:val="3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不得对外披露。</w:t>
      </w:r>
    </w:p>
    <w:p>
      <w:pPr>
        <w:numPr>
          <w:ilvl w:val="0"/>
          <w:numId w:val="3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双方同意，双方均不得使用或允许第三方使用在履行本项目过程中得到的对方商业秘密，从事与对方有竞争性的业务。</w:t>
      </w:r>
    </w:p>
    <w:p>
      <w:pPr>
        <w:numPr>
          <w:ilvl w:val="0"/>
          <w:numId w:val="3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涉密人员范围：</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甲方、乙方参与并知悉项目的所有工作人员。</w:t>
      </w:r>
    </w:p>
    <w:p>
      <w:pPr>
        <w:numPr>
          <w:ilvl w:val="0"/>
          <w:numId w:val="3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保密期限：</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永久。</w:t>
      </w:r>
    </w:p>
    <w:p>
      <w:pPr>
        <w:numPr>
          <w:ilvl w:val="0"/>
          <w:numId w:val="3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泄密责任：</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任何一方违反保密约定，需向受损方支付合同总额10 %（百分之十）的违约金，不足以弥补受损方损失的，应当另行赔偿。</w:t>
      </w:r>
    </w:p>
    <w:p>
      <w:pPr>
        <w:adjustRightInd w:val="0"/>
        <w:snapToGrid w:val="0"/>
        <w:spacing w:line="360" w:lineRule="auto"/>
        <w:rPr>
          <w:rFonts w:ascii="宋体" w:hAnsi="宋体" w:cs="宋体"/>
          <w:color w:val="000000"/>
          <w:sz w:val="24"/>
          <w:szCs w:val="24"/>
        </w:rPr>
      </w:pP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不可抗力：</w:t>
      </w:r>
    </w:p>
    <w:p>
      <w:pPr>
        <w:numPr>
          <w:ilvl w:val="0"/>
          <w:numId w:val="33"/>
        </w:numPr>
        <w:adjustRightInd w:val="0"/>
        <w:snapToGrid w:val="0"/>
        <w:spacing w:line="360" w:lineRule="auto"/>
        <w:ind w:left="0" w:firstLine="0"/>
        <w:rPr>
          <w:rFonts w:ascii="宋体" w:hAnsi="宋体" w:cs="宋体"/>
          <w:color w:val="000000"/>
          <w:spacing w:val="5"/>
          <w:sz w:val="24"/>
          <w:szCs w:val="24"/>
        </w:rPr>
      </w:pPr>
      <w:r>
        <w:rPr>
          <w:rFonts w:hint="eastAsia" w:ascii="宋体" w:hAnsi="宋体" w:cs="宋体"/>
          <w:color w:val="000000"/>
          <w:spacing w:val="5"/>
          <w:sz w:val="24"/>
          <w:szCs w:val="24"/>
        </w:rPr>
        <w:t>由于地震、台风、水灾、火灾、战争以及其他不能预见并对其发生和后果不能预防、不能克服或避免的不可抗力（</w:t>
      </w:r>
      <w:r>
        <w:rPr>
          <w:rFonts w:hint="eastAsia" w:ascii="宋体" w:hAnsi="宋体"/>
          <w:b/>
          <w:bCs/>
          <w:sz w:val="24"/>
          <w:szCs w:val="24"/>
          <w:u w:val="single"/>
        </w:rPr>
        <w:t>根据苏建价〔2020〕20号文，因新冠肺炎疫情防控造成的损失和费用增加，适用合同不可抗力相关条款规定</w:t>
      </w:r>
      <w:r>
        <w:rPr>
          <w:rFonts w:hint="eastAsia" w:ascii="宋体" w:hAnsi="宋体" w:cs="宋体"/>
          <w:color w:val="000000"/>
          <w:spacing w:val="5"/>
          <w:sz w:val="24"/>
          <w:szCs w:val="24"/>
        </w:rPr>
        <w:t>），直接影响本合同的履行或者不能按照合同的约定履行时，遇有上述不可抗力的一方可以免除相关合同责任。但遇有上述不可抗力的一方应至迟于不可抗力事件发生之日起7个工作日内书面通知对方，并在不可抗力事件发生之日起15个工作日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numPr>
          <w:ilvl w:val="0"/>
          <w:numId w:val="33"/>
        </w:numPr>
        <w:adjustRightInd w:val="0"/>
        <w:snapToGrid w:val="0"/>
        <w:spacing w:line="360" w:lineRule="auto"/>
        <w:ind w:left="0" w:firstLine="0"/>
        <w:rPr>
          <w:rFonts w:ascii="宋体" w:hAnsi="宋体" w:cs="宋体"/>
          <w:color w:val="000000"/>
          <w:spacing w:val="5"/>
          <w:sz w:val="24"/>
          <w:szCs w:val="24"/>
        </w:rPr>
      </w:pPr>
      <w:r>
        <w:rPr>
          <w:rFonts w:hint="eastAsia" w:ascii="宋体" w:hAnsi="宋体" w:cs="宋体"/>
          <w:color w:val="000000"/>
          <w:spacing w:val="5"/>
          <w:sz w:val="24"/>
          <w:szCs w:val="24"/>
        </w:rPr>
        <w:t>若由于不可抗力原因，甲方应向乙方提交《技术开发需求变更申请书》，乙方应在收到《技术开发需求变更申请书》之后5日内，与甲方进行技术论证和友好协商，编写并确认《技术开发需求变更说明书》，乙方负责按照《技术开发需求变更说明书》对本技术开发内容进行修改；同时，双方应重新商定技术开发计划，签订本合同的补充条款以修改本合同中有关技术开发内容、技术开发费用的相关条款。</w:t>
      </w:r>
    </w:p>
    <w:p>
      <w:pPr>
        <w:numPr>
          <w:ilvl w:val="0"/>
          <w:numId w:val="33"/>
        </w:numPr>
        <w:adjustRightInd w:val="0"/>
        <w:snapToGrid w:val="0"/>
        <w:spacing w:line="360" w:lineRule="auto"/>
        <w:ind w:left="0" w:firstLine="0"/>
        <w:rPr>
          <w:rFonts w:ascii="宋体" w:hAnsi="宋体" w:cs="宋体"/>
          <w:color w:val="000000"/>
          <w:spacing w:val="5"/>
          <w:sz w:val="24"/>
          <w:szCs w:val="24"/>
        </w:rPr>
      </w:pPr>
      <w:r>
        <w:rPr>
          <w:rFonts w:hint="eastAsia" w:ascii="宋体" w:hAnsi="宋体" w:cs="宋体"/>
          <w:spacing w:val="5"/>
          <w:sz w:val="24"/>
          <w:szCs w:val="24"/>
        </w:rPr>
        <w:t>若由于不可抗力原因，需要增加本合同所附件《华侨城梦幻之城售票平台项目技术开发说明书》所没</w:t>
      </w:r>
      <w:r>
        <w:rPr>
          <w:rFonts w:hint="eastAsia" w:ascii="宋体" w:hAnsi="宋体" w:cs="宋体"/>
          <w:color w:val="000000"/>
          <w:spacing w:val="5"/>
          <w:sz w:val="24"/>
          <w:szCs w:val="24"/>
        </w:rPr>
        <w:t>有叙述的技术开发内容，双方应进行友好协商，另行商谈和签订新的合同。</w:t>
      </w:r>
    </w:p>
    <w:p>
      <w:pPr>
        <w:numPr>
          <w:ilvl w:val="0"/>
          <w:numId w:val="33"/>
        </w:numPr>
        <w:adjustRightInd w:val="0"/>
        <w:snapToGrid w:val="0"/>
        <w:spacing w:line="360" w:lineRule="auto"/>
        <w:ind w:left="0" w:firstLine="0"/>
        <w:rPr>
          <w:rFonts w:ascii="宋体" w:hAnsi="宋体" w:cs="宋体"/>
          <w:color w:val="000000"/>
          <w:spacing w:val="5"/>
          <w:sz w:val="24"/>
          <w:szCs w:val="24"/>
        </w:rPr>
      </w:pPr>
      <w:r>
        <w:rPr>
          <w:rFonts w:hint="eastAsia" w:ascii="宋体" w:hAnsi="宋体" w:cs="宋体"/>
          <w:color w:val="000000"/>
          <w:spacing w:val="5"/>
          <w:sz w:val="24"/>
          <w:szCs w:val="24"/>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知识产权</w:t>
      </w:r>
    </w:p>
    <w:p>
      <w:pPr>
        <w:pStyle w:val="50"/>
        <w:widowControl w:val="0"/>
        <w:numPr>
          <w:ilvl w:val="0"/>
          <w:numId w:val="34"/>
        </w:numPr>
        <w:adjustRightInd w:val="0"/>
        <w:snapToGrid w:val="0"/>
        <w:spacing w:before="0" w:beforeAutospacing="0" w:after="0" w:afterAutospacing="0" w:line="360" w:lineRule="auto"/>
        <w:ind w:left="0" w:firstLine="0"/>
        <w:jc w:val="both"/>
        <w:rPr>
          <w:color w:val="000000"/>
        </w:rPr>
      </w:pPr>
      <w:r>
        <w:rPr>
          <w:rFonts w:hint="eastAsia"/>
          <w:u w:val="single"/>
        </w:rPr>
        <w:t>华侨城梦幻之城售票平台项目</w:t>
      </w:r>
      <w:r>
        <w:rPr>
          <w:rFonts w:hint="eastAsia"/>
        </w:rPr>
        <w:t>开发应用</w:t>
      </w:r>
      <w:r>
        <w:rPr>
          <w:rFonts w:hint="eastAsia"/>
          <w:color w:val="000000"/>
        </w:rPr>
        <w:t>软件的技术开发成果的所有权归甲乙双方共有。但先于本合同由乙方独立开发的任何计算机编码或资料中的所有权利应属于乙方所有。</w:t>
      </w:r>
    </w:p>
    <w:p>
      <w:pPr>
        <w:pStyle w:val="50"/>
        <w:widowControl w:val="0"/>
        <w:numPr>
          <w:ilvl w:val="0"/>
          <w:numId w:val="34"/>
        </w:numPr>
        <w:adjustRightInd w:val="0"/>
        <w:snapToGrid w:val="0"/>
        <w:spacing w:before="0" w:beforeAutospacing="0" w:after="0" w:afterAutospacing="0" w:line="360" w:lineRule="auto"/>
        <w:ind w:left="0" w:firstLine="0"/>
        <w:jc w:val="both"/>
        <w:rPr>
          <w:color w:val="000000"/>
        </w:rPr>
      </w:pPr>
      <w:r>
        <w:rPr>
          <w:rFonts w:hint="eastAsia"/>
          <w:color w:val="000000"/>
        </w:rPr>
        <w:t>乙方保证在技术开发过程中不侵犯第三方的知识产权，如发生此类问题，乙方承担一切法律责任并赔偿由此给甲方造成的直接经济损失。</w:t>
      </w:r>
    </w:p>
    <w:p>
      <w:pPr>
        <w:pStyle w:val="50"/>
        <w:numPr>
          <w:ilvl w:val="0"/>
          <w:numId w:val="34"/>
        </w:numPr>
        <w:adjustRightInd w:val="0"/>
        <w:snapToGrid w:val="0"/>
        <w:spacing w:before="0" w:beforeAutospacing="0" w:after="0" w:afterAutospacing="0" w:line="360" w:lineRule="auto"/>
        <w:ind w:left="0" w:firstLine="0"/>
        <w:jc w:val="both"/>
        <w:rPr>
          <w:color w:val="000000"/>
        </w:rPr>
      </w:pPr>
      <w:r>
        <w:rPr>
          <w:rFonts w:hint="eastAsia"/>
          <w:color w:val="000000"/>
        </w:rPr>
        <w:t>甲乙双方同意，此次项目开发所形成的相关成果，包括应用系统和技术文档归属甲方。甲方是该项成果的著作权、专利申请权、专利权、技术秘密及其他相关知识产权的所有人。乙方可以保留与开发成果相关的副本供乙方内部使用，可以为准备制作在乙方内部使用的其他产品而修改和翻译该等资料，或与其他资料结合使用，不得以任何方式提供给第三方使用。</w:t>
      </w:r>
    </w:p>
    <w:p>
      <w:pPr>
        <w:pStyle w:val="50"/>
        <w:widowControl w:val="0"/>
        <w:numPr>
          <w:ilvl w:val="0"/>
          <w:numId w:val="34"/>
        </w:numPr>
        <w:adjustRightInd w:val="0"/>
        <w:snapToGrid w:val="0"/>
        <w:spacing w:before="0" w:beforeAutospacing="0" w:after="0" w:afterAutospacing="0" w:line="360" w:lineRule="auto"/>
        <w:ind w:left="0" w:firstLine="0"/>
        <w:jc w:val="both"/>
        <w:rPr>
          <w:color w:val="000000"/>
        </w:rPr>
      </w:pPr>
      <w:r>
        <w:rPr>
          <w:rFonts w:hint="eastAsia"/>
          <w:color w:val="000000"/>
        </w:rPr>
        <w:t>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pStyle w:val="50"/>
        <w:widowControl w:val="0"/>
        <w:numPr>
          <w:ilvl w:val="0"/>
          <w:numId w:val="34"/>
        </w:numPr>
        <w:adjustRightInd w:val="0"/>
        <w:snapToGrid w:val="0"/>
        <w:spacing w:before="0" w:beforeAutospacing="0" w:after="0" w:afterAutospacing="0" w:line="360" w:lineRule="auto"/>
        <w:ind w:left="0" w:firstLine="0"/>
        <w:jc w:val="both"/>
        <w:rPr>
          <w:color w:val="000000"/>
        </w:rPr>
      </w:pPr>
      <w:r>
        <w:rPr>
          <w:rFonts w:hint="eastAsia"/>
          <w:color w:val="000000"/>
        </w:rPr>
        <w:t>甲方在领受本合同项下的软件后，应严格遵守相关的知识产权及软件版权保护的法律、法规，并在本合同所规定的范围内使用本软件。乙方因非经授权而实施的商业性复制行为构成违约或侵权责任造成对方损失的，由其承但相关责任。</w:t>
      </w:r>
    </w:p>
    <w:p>
      <w:pPr>
        <w:pStyle w:val="50"/>
        <w:widowControl w:val="0"/>
        <w:numPr>
          <w:ilvl w:val="0"/>
          <w:numId w:val="34"/>
        </w:numPr>
        <w:adjustRightInd w:val="0"/>
        <w:snapToGrid w:val="0"/>
        <w:spacing w:before="0" w:beforeAutospacing="0" w:after="0" w:afterAutospacing="0" w:line="360" w:lineRule="auto"/>
        <w:ind w:left="0" w:firstLine="0"/>
        <w:jc w:val="both"/>
        <w:rPr>
          <w:b/>
          <w:color w:val="000000"/>
        </w:rPr>
      </w:pPr>
      <w:r>
        <w:rPr>
          <w:rFonts w:hint="eastAsia"/>
          <w:color w:val="000000"/>
        </w:rPr>
        <w:t>乙方在未获得甲方允许的情况下，不得擅自修改甲方正在运行的软件；甲方自行修改软件带来的法律及经济责任后果需甲方独自承担。</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各方当事人的义务或协作事项及承担的责任与义务</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甲方应按本合同约定向乙方支付合同费用。</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甲方应按本合同约定向乙方提供各种配合条件，指派相应的管理人员、技术人员参加需求分析、系统安装、系统测试、技术指导和其它辅助工作。</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乙方应按照本合同所</w:t>
      </w:r>
      <w:r>
        <w:rPr>
          <w:rFonts w:hint="eastAsia" w:ascii="宋体" w:hAnsi="宋体" w:cs="宋体"/>
          <w:sz w:val="24"/>
          <w:szCs w:val="24"/>
        </w:rPr>
        <w:t>附件《华侨城梦幻之城售票平台项目技术开发说明书》的要</w:t>
      </w:r>
      <w:r>
        <w:rPr>
          <w:rFonts w:hint="eastAsia" w:ascii="宋体" w:hAnsi="宋体" w:cs="宋体"/>
          <w:color w:val="000000"/>
          <w:sz w:val="24"/>
          <w:szCs w:val="24"/>
        </w:rPr>
        <w:t>求，如期完成和交付开发软件（正版的系统软件和其拥有自主知识产权的业务应用系统），并向甲方提供开发软件相应的文档资料。</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若本合同其它条款明文规定乙方需在甲方指定的地点进行技术开发，甲方应按照本合同所附或双方稍后商定的《技术开发环境要求说明书》准备环境（包括，办公场地准备、通讯设备准备、计算机系统设备准备、计算机环境准备等）。若甲方未能按时按照《技术开发环境要求说明书》完成环境的准备，乙方有权顺延开发时间进度。</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乙方保证在技术开发过程中不使用非法的第三方工具、开源软件、组件等如发生此类问题，乙方承担一切法律责任并赔偿由此给甲方造成的直接经济损失。</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乙方保证在技术开发过程中使用的第三方工具、开源软件、组件等的安全性，并针对相关工具、软件、组件的最新漏洞进行相应的修复；</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本合同所需设备均由甲方提供。</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未经甲方同意，乙方不得将本合同项下的系统项目转包或分包给其他方。</w:t>
      </w:r>
    </w:p>
    <w:p>
      <w:pPr>
        <w:numPr>
          <w:ilvl w:val="0"/>
          <w:numId w:val="35"/>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乙方需确保合同涉及系统在合同规定期限内的稳定运行；对系统故障、系统缺陷、以及甲方数据维护需求及时响应，及时处理；对于未能在合同要求期限内完成的系统故障和系统缺陷的修复以及甲方数据维护需求调整的需承担本合同第十一条第6款约定的违约责任；</w:t>
      </w:r>
    </w:p>
    <w:p>
      <w:pPr>
        <w:numPr>
          <w:ilvl w:val="0"/>
          <w:numId w:val="36"/>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系统故障修复要求：从故障发生之时起1个工作日内完成修复，如不能完成需书面或电子邮件说明详细情况和计划修复周期，并得到甲方确认；</w:t>
      </w:r>
    </w:p>
    <w:p>
      <w:pPr>
        <w:numPr>
          <w:ilvl w:val="0"/>
          <w:numId w:val="36"/>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系统缺陷修复要求：从缺陷单发出之日起10个工作日内完成修复，如不能完成需书面或电子邮件说明详细情况和计划修复周期，并得到甲方确认；</w:t>
      </w:r>
    </w:p>
    <w:p>
      <w:pPr>
        <w:numPr>
          <w:ilvl w:val="0"/>
          <w:numId w:val="36"/>
        </w:numPr>
        <w:adjustRightInd w:val="0"/>
        <w:snapToGrid w:val="0"/>
        <w:spacing w:line="360" w:lineRule="auto"/>
        <w:ind w:left="0" w:firstLine="480" w:firstLineChars="200"/>
        <w:rPr>
          <w:rFonts w:ascii="宋体" w:hAnsi="宋体" w:cs="宋体"/>
          <w:color w:val="000000"/>
          <w:sz w:val="24"/>
          <w:szCs w:val="24"/>
        </w:rPr>
      </w:pPr>
      <w:r>
        <w:rPr>
          <w:rFonts w:hint="eastAsia" w:ascii="宋体" w:hAnsi="宋体" w:cs="宋体"/>
          <w:color w:val="000000"/>
          <w:sz w:val="24"/>
          <w:szCs w:val="24"/>
        </w:rPr>
        <w:t>数据维护需求要求：从数据维护单发出之日起2个工作日内完成调整。</w:t>
      </w:r>
    </w:p>
    <w:p>
      <w:pPr>
        <w:adjustRightInd w:val="0"/>
        <w:snapToGrid w:val="0"/>
        <w:spacing w:line="360" w:lineRule="auto"/>
        <w:ind w:left="480"/>
        <w:rPr>
          <w:rFonts w:ascii="宋体" w:hAnsi="宋体" w:cs="宋体"/>
          <w:color w:val="000000"/>
          <w:sz w:val="24"/>
          <w:szCs w:val="24"/>
        </w:rPr>
      </w:pP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工作量核实标准和方法：</w:t>
      </w:r>
    </w:p>
    <w:p>
      <w:pPr>
        <w:numPr>
          <w:ilvl w:val="0"/>
          <w:numId w:val="37"/>
        </w:numPr>
        <w:adjustRightInd w:val="0"/>
        <w:snapToGrid w:val="0"/>
        <w:spacing w:line="360" w:lineRule="auto"/>
        <w:ind w:left="0" w:firstLine="0"/>
        <w:rPr>
          <w:rFonts w:ascii="宋体" w:hAnsi="宋体" w:cs="宋体"/>
          <w:sz w:val="24"/>
          <w:szCs w:val="24"/>
        </w:rPr>
      </w:pPr>
      <w:r>
        <w:rPr>
          <w:rFonts w:hint="eastAsia" w:ascii="宋体" w:hAnsi="宋体" w:cs="宋体"/>
          <w:color w:val="000000"/>
          <w:sz w:val="24"/>
          <w:szCs w:val="24"/>
        </w:rPr>
        <w:t>标准：</w:t>
      </w:r>
      <w:r>
        <w:rPr>
          <w:rFonts w:hint="eastAsia" w:ascii="宋体" w:hAnsi="宋体" w:cs="宋体"/>
          <w:sz w:val="24"/>
          <w:szCs w:val="24"/>
        </w:rPr>
        <w:t>按照本合同所附件《华侨城梦幻之城售票平台项目技术开发说明书》所叙述的技术开发功能，以及在技术开发过程中所补充商定并确认的《技术开发需求变更说明书》所叙述的技术开发功能要求为基础进行工作量核实。</w:t>
      </w:r>
    </w:p>
    <w:p>
      <w:pPr>
        <w:numPr>
          <w:ilvl w:val="0"/>
          <w:numId w:val="37"/>
        </w:numPr>
        <w:adjustRightInd w:val="0"/>
        <w:snapToGrid w:val="0"/>
        <w:spacing w:line="360" w:lineRule="auto"/>
        <w:ind w:left="0" w:firstLine="0"/>
        <w:rPr>
          <w:rFonts w:ascii="宋体" w:hAnsi="宋体" w:cs="宋体"/>
          <w:color w:val="000000"/>
          <w:spacing w:val="5"/>
          <w:sz w:val="24"/>
          <w:szCs w:val="24"/>
        </w:rPr>
      </w:pPr>
      <w:r>
        <w:rPr>
          <w:rFonts w:hint="eastAsia" w:ascii="宋体" w:hAnsi="宋体" w:cs="宋体"/>
          <w:sz w:val="24"/>
          <w:szCs w:val="24"/>
        </w:rPr>
        <w:t>乙方在完成系统调测后需得到甲方全面的应用测试和认可，对于不合理或达不</w:t>
      </w:r>
      <w:r>
        <w:rPr>
          <w:rFonts w:hint="eastAsia" w:ascii="宋体" w:hAnsi="宋体" w:cs="宋体"/>
          <w:color w:val="000000"/>
          <w:sz w:val="24"/>
          <w:szCs w:val="24"/>
        </w:rPr>
        <w:t>到甲方使用要求的，乙方必须根据甲方提出的意见和建议进行修改和调整，直至甲方满意后方可签工作量核实单。在附件三约定的工作清单内，为满足验收条件带来的修改和调整工作量不另外收费。</w:t>
      </w:r>
    </w:p>
    <w:p>
      <w:pPr>
        <w:numPr>
          <w:ilvl w:val="0"/>
          <w:numId w:val="16"/>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违约金或者损失赔偿的计算方法：</w:t>
      </w:r>
    </w:p>
    <w:p>
      <w:pPr>
        <w:pStyle w:val="22"/>
        <w:numPr>
          <w:ilvl w:val="1"/>
          <w:numId w:val="38"/>
        </w:numPr>
        <w:adjustRightInd w:val="0"/>
        <w:snapToGrid w:val="0"/>
        <w:spacing w:line="360" w:lineRule="auto"/>
        <w:ind w:left="0" w:firstLine="0"/>
        <w:rPr>
          <w:rFonts w:ascii="宋体" w:hAnsi="宋体" w:eastAsia="宋体" w:cs="宋体"/>
          <w:sz w:val="24"/>
        </w:rPr>
      </w:pPr>
      <w:r>
        <w:rPr>
          <w:rFonts w:hint="eastAsia" w:ascii="宋体" w:hAnsi="宋体" w:eastAsia="宋体" w:cs="宋体"/>
          <w:sz w:val="24"/>
        </w:rPr>
        <w:t>付款违约</w:t>
      </w:r>
    </w:p>
    <w:p>
      <w:pPr>
        <w:numPr>
          <w:ilvl w:val="1"/>
          <w:numId w:val="3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如甲方未按合同约定的期限和金额付款，则自本合同约定的付款之日起，每延期1天，甲方应向乙方支付逾期付款金额1‰的违约金，但违约金的总数不超过合同总价的5％；</w:t>
      </w:r>
    </w:p>
    <w:p>
      <w:pPr>
        <w:numPr>
          <w:ilvl w:val="1"/>
          <w:numId w:val="3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如延期时间超过60天，乙方有权终止合同，除前款所约定的违约金外，乙方还可要求甲方支付合同总价的5％作为对乙方的赔偿；</w:t>
      </w:r>
    </w:p>
    <w:p>
      <w:pPr>
        <w:numPr>
          <w:ilvl w:val="1"/>
          <w:numId w:val="3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如合同继续履行，甲方除支付上述违约金外，仍应按照合同规定的金额付款，乙方履行本合同的日期相应顺延；</w:t>
      </w:r>
    </w:p>
    <w:p>
      <w:pPr>
        <w:numPr>
          <w:ilvl w:val="1"/>
          <w:numId w:val="39"/>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如乙方选择终止合同，甲方应在两个星期内按已交付和已完成的软件的价格向乙方付款。甲方付款后，乙方应向甲方交付已付款的软件。甲方如要在以后使用所接受的软件，仍应按照本合同的规定使用。</w:t>
      </w:r>
    </w:p>
    <w:p>
      <w:pPr>
        <w:pStyle w:val="22"/>
        <w:numPr>
          <w:ilvl w:val="1"/>
          <w:numId w:val="38"/>
        </w:numPr>
        <w:adjustRightInd w:val="0"/>
        <w:snapToGrid w:val="0"/>
        <w:spacing w:line="360" w:lineRule="auto"/>
        <w:ind w:left="0" w:firstLine="0"/>
        <w:rPr>
          <w:rFonts w:ascii="宋体" w:hAnsi="宋体" w:eastAsia="宋体" w:cs="宋体"/>
          <w:sz w:val="24"/>
        </w:rPr>
      </w:pPr>
      <w:r>
        <w:rPr>
          <w:rFonts w:hint="eastAsia" w:ascii="宋体" w:hAnsi="宋体" w:eastAsia="宋体" w:cs="宋体"/>
          <w:sz w:val="24"/>
        </w:rPr>
        <w:t>甲方违反本合同约定的知识产权义务的，应向乙方按本合同总价的5％支付违约金，如甲方因此获得收益的，除支付上述违约金外，甲方还应向乙方支付与所获得收益相同金额的违约金。如对乙方造成实际损失的，乙方有权要求甲方赔偿超过违约金部分的损失。</w:t>
      </w:r>
    </w:p>
    <w:p>
      <w:pPr>
        <w:pStyle w:val="22"/>
        <w:numPr>
          <w:ilvl w:val="1"/>
          <w:numId w:val="38"/>
        </w:numPr>
        <w:adjustRightInd w:val="0"/>
        <w:snapToGrid w:val="0"/>
        <w:spacing w:line="360" w:lineRule="auto"/>
        <w:ind w:left="0" w:firstLine="0"/>
        <w:rPr>
          <w:rFonts w:ascii="宋体" w:hAnsi="宋体" w:eastAsia="宋体" w:cs="宋体"/>
          <w:sz w:val="24"/>
        </w:rPr>
      </w:pPr>
      <w:r>
        <w:rPr>
          <w:rFonts w:hint="eastAsia" w:ascii="宋体" w:hAnsi="宋体" w:eastAsia="宋体" w:cs="宋体"/>
          <w:sz w:val="24"/>
        </w:rPr>
        <w:t>交付违约</w:t>
      </w:r>
    </w:p>
    <w:p>
      <w:pPr>
        <w:numPr>
          <w:ilvl w:val="0"/>
          <w:numId w:val="40"/>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如乙方未按合同约定的期限交付项目，则自项目应完成之日起，每延期1天，乙方应向甲方支付延期完成部分的本合同相应款项的1‰的违约金，但违约金的总数不超过合同总价的5％；</w:t>
      </w:r>
    </w:p>
    <w:p>
      <w:pPr>
        <w:numPr>
          <w:ilvl w:val="0"/>
          <w:numId w:val="40"/>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如延期时间超过30天，甲方有权终止合同，除前款所约定的违约金外，甲方还可要求乙方支付合同总价的5％作为对乙方的赔偿；</w:t>
      </w:r>
    </w:p>
    <w:p>
      <w:pPr>
        <w:numPr>
          <w:ilvl w:val="0"/>
          <w:numId w:val="40"/>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如合同继续履行，乙方除支付上述违约金外，仍应按照合同规定的时间交付，甲方履行本合同的日期相应顺延；</w:t>
      </w:r>
    </w:p>
    <w:p>
      <w:pPr>
        <w:pStyle w:val="22"/>
        <w:numPr>
          <w:ilvl w:val="1"/>
          <w:numId w:val="38"/>
        </w:numPr>
        <w:adjustRightInd w:val="0"/>
        <w:snapToGrid w:val="0"/>
        <w:spacing w:line="360" w:lineRule="auto"/>
        <w:ind w:left="0" w:firstLine="0"/>
        <w:rPr>
          <w:rFonts w:ascii="宋体" w:hAnsi="宋体" w:eastAsia="宋体" w:cs="宋体"/>
          <w:sz w:val="24"/>
        </w:rPr>
      </w:pPr>
      <w:r>
        <w:rPr>
          <w:rFonts w:hint="eastAsia" w:ascii="宋体" w:hAnsi="宋体" w:eastAsia="宋体" w:cs="宋体"/>
          <w:color w:val="000000"/>
          <w:sz w:val="24"/>
        </w:rPr>
        <w:t>如甲方选择终止合同，甲方付款后，乙方应向甲方交付已付款的软件。甲方如要在以</w:t>
      </w:r>
      <w:r>
        <w:rPr>
          <w:rFonts w:hint="eastAsia" w:ascii="宋体" w:hAnsi="宋体" w:eastAsia="宋体" w:cs="宋体"/>
          <w:sz w:val="24"/>
        </w:rPr>
        <w:t>后使用所接受的软件，仍应按照本合同的规定使用。</w:t>
      </w:r>
    </w:p>
    <w:p>
      <w:pPr>
        <w:pStyle w:val="22"/>
        <w:numPr>
          <w:ilvl w:val="1"/>
          <w:numId w:val="38"/>
        </w:numPr>
        <w:adjustRightInd w:val="0"/>
        <w:snapToGrid w:val="0"/>
        <w:spacing w:line="360" w:lineRule="auto"/>
        <w:ind w:left="0" w:firstLine="0"/>
        <w:rPr>
          <w:rFonts w:ascii="宋体" w:hAnsi="宋体" w:eastAsia="宋体" w:cs="宋体"/>
          <w:color w:val="000000"/>
          <w:sz w:val="24"/>
        </w:rPr>
      </w:pPr>
      <w:r>
        <w:rPr>
          <w:rFonts w:hint="eastAsia" w:ascii="宋体" w:hAnsi="宋体" w:eastAsia="宋体" w:cs="宋体"/>
          <w:color w:val="000000"/>
          <w:sz w:val="24"/>
        </w:rPr>
        <w:t>乙方违反本合同约定的知识产权义务的，应向甲方按本合同总价的5％支付违约金，如乙方因此获得收益的，除支付上述违约金外，乙方还应向甲方支付与所获得收益相同金额的违约金。如对甲方造成实际损失的，甲方有权要求乙方赔偿超过违约金部分的损失。</w:t>
      </w:r>
    </w:p>
    <w:p>
      <w:pPr>
        <w:pStyle w:val="22"/>
        <w:numPr>
          <w:ilvl w:val="1"/>
          <w:numId w:val="38"/>
        </w:numPr>
        <w:adjustRightInd w:val="0"/>
        <w:snapToGrid w:val="0"/>
        <w:spacing w:line="360" w:lineRule="auto"/>
        <w:ind w:left="0" w:firstLine="0"/>
        <w:rPr>
          <w:rFonts w:ascii="宋体" w:hAnsi="宋体" w:eastAsia="宋体" w:cs="宋体"/>
          <w:color w:val="000000"/>
          <w:sz w:val="24"/>
        </w:rPr>
      </w:pPr>
      <w:r>
        <w:rPr>
          <w:rFonts w:hint="eastAsia" w:ascii="宋体" w:hAnsi="宋体" w:eastAsia="宋体" w:cs="宋体"/>
          <w:color w:val="000000"/>
          <w:sz w:val="24"/>
        </w:rPr>
        <w:t>乙方应在合同第九条第9款要求的期限内完成的系统故障和系统缺陷的修复以及甲方数据维护需求调整，对未按合同要求及时完成且未提供合理书面说明的，每发生一起应向甲方支付合同总金额1%的违约金。</w:t>
      </w:r>
    </w:p>
    <w:p>
      <w:pPr>
        <w:pStyle w:val="22"/>
        <w:adjustRightInd w:val="0"/>
        <w:snapToGrid w:val="0"/>
        <w:spacing w:line="360" w:lineRule="auto"/>
        <w:rPr>
          <w:rFonts w:ascii="宋体" w:hAnsi="宋体" w:eastAsia="宋体" w:cs="宋体"/>
          <w:sz w:val="24"/>
        </w:rPr>
      </w:pPr>
      <w:r>
        <w:rPr>
          <w:rFonts w:hint="eastAsia" w:ascii="宋体" w:hAnsi="宋体" w:eastAsia="宋体" w:cs="宋体"/>
          <w:color w:val="000000"/>
          <w:sz w:val="24"/>
        </w:rPr>
        <w:t>7.因乙方原因导致甲方系统发生故障的，由乙方承担甲方实际损失，具体金额由甲乙双方协商解决。</w:t>
      </w:r>
    </w:p>
    <w:p>
      <w:pPr>
        <w:pStyle w:val="40"/>
        <w:spacing w:before="0" w:after="0" w:line="360" w:lineRule="auto"/>
        <w:rPr>
          <w:rFonts w:ascii="宋体" w:hAnsi="宋体" w:eastAsia="宋体" w:cs="宋体"/>
          <w:sz w:val="24"/>
          <w:szCs w:val="24"/>
        </w:rPr>
      </w:pPr>
    </w:p>
    <w:p>
      <w:pPr>
        <w:pStyle w:val="22"/>
        <w:numPr>
          <w:ilvl w:val="0"/>
          <w:numId w:val="41"/>
        </w:numPr>
        <w:adjustRightInd w:val="0"/>
        <w:snapToGrid w:val="0"/>
        <w:spacing w:line="360" w:lineRule="auto"/>
        <w:rPr>
          <w:rFonts w:ascii="宋体" w:hAnsi="宋体" w:eastAsia="宋体" w:cs="宋体"/>
          <w:b/>
          <w:color w:val="000000"/>
          <w:sz w:val="24"/>
        </w:rPr>
      </w:pPr>
      <w:r>
        <w:rPr>
          <w:rFonts w:hint="eastAsia" w:ascii="宋体" w:hAnsi="宋体" w:eastAsia="宋体" w:cs="宋体"/>
          <w:b/>
          <w:color w:val="000000"/>
          <w:sz w:val="24"/>
        </w:rPr>
        <w:t>争议的解决办法：</w:t>
      </w:r>
    </w:p>
    <w:p>
      <w:pPr>
        <w:numPr>
          <w:ilvl w:val="0"/>
          <w:numId w:val="4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一切由执行合同引起或者与合同有关的争端，均应通过双方友好协商解决，通过友好协商不能解决的争端，双方可以向甲方所在地有管辖权的人民法院提起诉讼。</w:t>
      </w:r>
    </w:p>
    <w:p>
      <w:pPr>
        <w:numPr>
          <w:ilvl w:val="0"/>
          <w:numId w:val="42"/>
        </w:numPr>
        <w:adjustRightInd w:val="0"/>
        <w:snapToGrid w:val="0"/>
        <w:spacing w:line="360" w:lineRule="auto"/>
        <w:ind w:left="0" w:firstLine="0"/>
        <w:rPr>
          <w:rFonts w:ascii="宋体" w:hAnsi="宋体" w:cs="宋体"/>
          <w:color w:val="000000"/>
          <w:sz w:val="24"/>
          <w:szCs w:val="24"/>
        </w:rPr>
      </w:pPr>
      <w:r>
        <w:rPr>
          <w:rFonts w:hint="eastAsia" w:ascii="宋体" w:hAnsi="宋体" w:cs="宋体"/>
          <w:color w:val="000000"/>
          <w:sz w:val="24"/>
          <w:szCs w:val="24"/>
        </w:rPr>
        <w:t>除争议处理期间正在审理的部分以外，双方应继续执行合同的其余部分。</w:t>
      </w:r>
    </w:p>
    <w:p>
      <w:pPr>
        <w:numPr>
          <w:ilvl w:val="0"/>
          <w:numId w:val="42"/>
        </w:numPr>
        <w:adjustRightInd w:val="0"/>
        <w:snapToGrid w:val="0"/>
        <w:spacing w:line="360" w:lineRule="auto"/>
        <w:ind w:left="0" w:firstLine="0"/>
        <w:rPr>
          <w:rFonts w:ascii="宋体" w:hAnsi="宋体" w:cs="宋体"/>
          <w:b/>
          <w:color w:val="000000"/>
          <w:sz w:val="24"/>
          <w:szCs w:val="24"/>
        </w:rPr>
      </w:pPr>
      <w:r>
        <w:rPr>
          <w:rFonts w:hint="eastAsia" w:ascii="宋体" w:hAnsi="宋体" w:cs="宋体"/>
          <w:color w:val="000000"/>
          <w:sz w:val="24"/>
          <w:szCs w:val="24"/>
        </w:rPr>
        <w:t>本合同适用于中华人民共和国法律。</w:t>
      </w:r>
    </w:p>
    <w:p>
      <w:pPr>
        <w:adjustRightInd w:val="0"/>
        <w:snapToGrid w:val="0"/>
        <w:spacing w:line="360" w:lineRule="auto"/>
        <w:rPr>
          <w:rFonts w:ascii="宋体" w:hAnsi="宋体" w:cs="宋体"/>
          <w:b/>
          <w:color w:val="000000"/>
          <w:sz w:val="24"/>
          <w:szCs w:val="24"/>
        </w:rPr>
      </w:pPr>
    </w:p>
    <w:p>
      <w:pPr>
        <w:numPr>
          <w:ilvl w:val="0"/>
          <w:numId w:val="43"/>
        </w:numPr>
        <w:tabs>
          <w:tab w:val="left" w:pos="525"/>
        </w:tabs>
        <w:adjustRightInd w:val="0"/>
        <w:snapToGrid w:val="0"/>
        <w:spacing w:line="360" w:lineRule="auto"/>
        <w:ind w:left="0" w:firstLine="0"/>
        <w:rPr>
          <w:rFonts w:ascii="宋体" w:hAnsi="宋体" w:cs="宋体"/>
          <w:b/>
          <w:color w:val="000000"/>
          <w:sz w:val="24"/>
          <w:szCs w:val="24"/>
        </w:rPr>
      </w:pPr>
      <w:r>
        <w:rPr>
          <w:rFonts w:hint="eastAsia" w:ascii="宋体" w:hAnsi="宋体" w:cs="宋体"/>
          <w:b/>
          <w:color w:val="000000"/>
          <w:sz w:val="24"/>
          <w:szCs w:val="24"/>
        </w:rPr>
        <w:t>其它：</w:t>
      </w:r>
    </w:p>
    <w:p>
      <w:pPr>
        <w:pStyle w:val="50"/>
        <w:widowControl w:val="0"/>
        <w:numPr>
          <w:ilvl w:val="0"/>
          <w:numId w:val="44"/>
        </w:numPr>
        <w:adjustRightInd w:val="0"/>
        <w:snapToGrid w:val="0"/>
        <w:spacing w:before="0" w:beforeAutospacing="0" w:after="0" w:afterAutospacing="0" w:line="360" w:lineRule="auto"/>
        <w:ind w:left="0" w:firstLine="0"/>
        <w:jc w:val="both"/>
        <w:rPr>
          <w:color w:val="000000"/>
        </w:rPr>
      </w:pPr>
      <w:r>
        <w:rPr>
          <w:rFonts w:hint="eastAsia"/>
          <w:color w:val="000000"/>
          <w:spacing w:val="5"/>
        </w:rPr>
        <w:t>本合同正本一式六份，甲方三份，乙方三份。</w:t>
      </w:r>
      <w:r>
        <w:rPr>
          <w:rFonts w:hint="eastAsia"/>
          <w:spacing w:val="5"/>
        </w:rPr>
        <w:t>自双方加盖公章，法定代表人或代理人签字起生效，均具有同等法律效力。</w:t>
      </w:r>
      <w:r>
        <w:rPr>
          <w:rFonts w:hint="eastAsia"/>
          <w:color w:val="000000"/>
        </w:rPr>
        <w:t>本合同于双方各自履行了合同的全部义务，包括项目验收合格且乙方运营服务期届满后终止。</w:t>
      </w:r>
    </w:p>
    <w:p>
      <w:pPr>
        <w:pStyle w:val="50"/>
        <w:widowControl w:val="0"/>
        <w:numPr>
          <w:ilvl w:val="0"/>
          <w:numId w:val="44"/>
        </w:numPr>
        <w:adjustRightInd w:val="0"/>
        <w:snapToGrid w:val="0"/>
        <w:spacing w:before="0" w:beforeAutospacing="0" w:after="0" w:afterAutospacing="0" w:line="360" w:lineRule="auto"/>
        <w:ind w:left="0" w:firstLine="0"/>
        <w:jc w:val="both"/>
        <w:rPr>
          <w:color w:val="000000"/>
          <w:spacing w:val="5"/>
        </w:rPr>
      </w:pPr>
      <w:r>
        <w:rPr>
          <w:rFonts w:hint="eastAsia"/>
          <w:color w:val="000000"/>
          <w:spacing w:val="5"/>
        </w:rPr>
        <w:t>本合同所有附件及合同补充条款均为本合同不可分割的组成部分，与合同正文有同等的法律效力。</w:t>
      </w:r>
    </w:p>
    <w:p>
      <w:pPr>
        <w:pStyle w:val="50"/>
        <w:widowControl w:val="0"/>
        <w:numPr>
          <w:ilvl w:val="0"/>
          <w:numId w:val="44"/>
        </w:numPr>
        <w:adjustRightInd w:val="0"/>
        <w:snapToGrid w:val="0"/>
        <w:spacing w:before="0" w:beforeAutospacing="0" w:after="0" w:afterAutospacing="0" w:line="360" w:lineRule="auto"/>
        <w:ind w:left="0" w:firstLine="0"/>
        <w:jc w:val="both"/>
        <w:rPr>
          <w:color w:val="000000"/>
          <w:spacing w:val="5"/>
        </w:rPr>
      </w:pPr>
      <w:r>
        <w:rPr>
          <w:rFonts w:hint="eastAsia"/>
          <w:color w:val="000000"/>
          <w:spacing w:val="5"/>
        </w:rPr>
        <w:t>对本合同的任何修改和增补，以双方签章的书面文件为准。</w:t>
      </w:r>
    </w:p>
    <w:p>
      <w:pPr>
        <w:pStyle w:val="50"/>
        <w:widowControl w:val="0"/>
        <w:numPr>
          <w:ilvl w:val="0"/>
          <w:numId w:val="44"/>
        </w:numPr>
        <w:adjustRightInd w:val="0"/>
        <w:snapToGrid w:val="0"/>
        <w:spacing w:before="0" w:beforeAutospacing="0" w:after="0" w:afterAutospacing="0" w:line="360" w:lineRule="auto"/>
        <w:ind w:left="0" w:firstLine="0"/>
        <w:jc w:val="both"/>
        <w:rPr>
          <w:color w:val="000000"/>
          <w:spacing w:val="5"/>
        </w:rPr>
      </w:pPr>
      <w:r>
        <w:rPr>
          <w:rFonts w:hint="eastAsia"/>
          <w:color w:val="000000"/>
          <w:spacing w:val="5"/>
        </w:rPr>
        <w:t>未尽事宜由双方友好协商决定。</w:t>
      </w:r>
    </w:p>
    <w:p>
      <w:pPr>
        <w:adjustRightInd w:val="0"/>
        <w:snapToGrid w:val="0"/>
        <w:spacing w:line="360" w:lineRule="auto"/>
        <w:rPr>
          <w:rFonts w:ascii="宋体" w:hAnsi="宋体" w:cs="宋体"/>
          <w:b/>
          <w:color w:val="000000"/>
          <w:sz w:val="24"/>
          <w:szCs w:val="24"/>
        </w:rPr>
      </w:pPr>
    </w:p>
    <w:p>
      <w:pPr>
        <w:spacing w:line="360" w:lineRule="auto"/>
        <w:rPr>
          <w:rFonts w:ascii="宋体" w:hAnsi="宋体" w:cs="宋体"/>
          <w:sz w:val="24"/>
          <w:szCs w:val="24"/>
        </w:rPr>
      </w:pPr>
      <w:r>
        <w:rPr>
          <w:rFonts w:hint="eastAsia" w:ascii="宋体" w:hAnsi="宋体" w:cs="宋体"/>
          <w:sz w:val="24"/>
          <w:szCs w:val="24"/>
        </w:rPr>
        <w:br w:type="page"/>
      </w:r>
    </w:p>
    <w:tbl>
      <w:tblPr>
        <w:tblStyle w:val="56"/>
        <w:tblpPr w:leftFromText="180" w:rightFromText="180" w:vertAnchor="text" w:tblpY="1"/>
        <w:tblOverlap w:val="never"/>
        <w:tblW w:w="0" w:type="auto"/>
        <w:tblInd w:w="0" w:type="dxa"/>
        <w:tblLayout w:type="fixed"/>
        <w:tblCellMar>
          <w:top w:w="0" w:type="dxa"/>
          <w:left w:w="0" w:type="dxa"/>
          <w:bottom w:w="0" w:type="dxa"/>
          <w:right w:w="0" w:type="dxa"/>
        </w:tblCellMar>
      </w:tblPr>
      <w:tblGrid>
        <w:gridCol w:w="742"/>
        <w:gridCol w:w="8021"/>
      </w:tblGrid>
      <w:tr>
        <w:tblPrEx>
          <w:tblCellMar>
            <w:top w:w="0" w:type="dxa"/>
            <w:left w:w="0" w:type="dxa"/>
            <w:bottom w:w="0" w:type="dxa"/>
            <w:right w:w="0" w:type="dxa"/>
          </w:tblCellMar>
        </w:tblPrEx>
        <w:trPr>
          <w:trHeight w:val="3736" w:hRule="atLeast"/>
        </w:trPr>
        <w:tc>
          <w:tcPr>
            <w:tcW w:w="742" w:type="dxa"/>
            <w:tcMar>
              <w:top w:w="0" w:type="dxa"/>
              <w:left w:w="108" w:type="dxa"/>
              <w:bottom w:w="0" w:type="dxa"/>
              <w:right w:w="108" w:type="dxa"/>
            </w:tcMar>
          </w:tcPr>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p>
          <w:p>
            <w:pPr>
              <w:spacing w:line="360" w:lineRule="auto"/>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甲</w:t>
            </w: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r>
              <w:rPr>
                <w:rFonts w:hint="eastAsia" w:ascii="宋体" w:hAnsi="宋体" w:cs="宋体"/>
                <w:b/>
                <w:color w:val="000000"/>
                <w:sz w:val="24"/>
                <w:szCs w:val="24"/>
              </w:rPr>
              <w:t xml:space="preserve"> </w:t>
            </w:r>
          </w:p>
          <w:p>
            <w:pPr>
              <w:spacing w:line="360" w:lineRule="auto"/>
              <w:rPr>
                <w:rFonts w:ascii="宋体" w:hAnsi="宋体" w:cs="宋体"/>
                <w:b/>
                <w:color w:val="000000"/>
                <w:sz w:val="24"/>
                <w:szCs w:val="24"/>
              </w:rPr>
            </w:pPr>
          </w:p>
          <w:p>
            <w:pPr>
              <w:spacing w:line="360" w:lineRule="auto"/>
              <w:rPr>
                <w:rFonts w:ascii="宋体" w:hAnsi="宋体" w:cs="宋体"/>
                <w:color w:val="000000"/>
                <w:sz w:val="24"/>
                <w:szCs w:val="24"/>
              </w:rPr>
            </w:pPr>
            <w:r>
              <w:rPr>
                <w:rFonts w:hint="eastAsia" w:ascii="宋体" w:hAnsi="宋体" w:cs="宋体"/>
                <w:b/>
                <w:color w:val="000000"/>
                <w:sz w:val="24"/>
                <w:szCs w:val="24"/>
              </w:rPr>
              <w:t xml:space="preserve"> 方</w:t>
            </w:r>
          </w:p>
        </w:tc>
        <w:tc>
          <w:tcPr>
            <w:tcW w:w="8021" w:type="dxa"/>
            <w:tcMar>
              <w:top w:w="0" w:type="dxa"/>
              <w:left w:w="108" w:type="dxa"/>
              <w:bottom w:w="0" w:type="dxa"/>
              <w:right w:w="108" w:type="dxa"/>
            </w:tcMar>
          </w:tcPr>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单位名称：</w:t>
            </w:r>
            <w:r>
              <w:rPr>
                <w:rFonts w:hint="eastAsia" w:ascii="宋体" w:hAnsi="宋体" w:cs="宋体"/>
                <w:sz w:val="24"/>
                <w:szCs w:val="24"/>
              </w:rPr>
              <w:t xml:space="preserve">                           </w:t>
            </w:r>
            <w:r>
              <w:rPr>
                <w:rFonts w:hint="eastAsia" w:ascii="宋体" w:hAnsi="宋体" w:cs="宋体"/>
                <w:color w:val="000000"/>
                <w:sz w:val="24"/>
                <w:szCs w:val="24"/>
              </w:rPr>
              <w:t xml:space="preserve">             （公 章）</w:t>
            </w:r>
          </w:p>
          <w:p>
            <w:pPr>
              <w:spacing w:line="360" w:lineRule="auto"/>
              <w:rPr>
                <w:rFonts w:ascii="宋体" w:hAnsi="宋体" w:cs="宋体"/>
                <w:color w:val="000000"/>
                <w:sz w:val="24"/>
                <w:szCs w:val="24"/>
              </w:rPr>
            </w:pPr>
          </w:p>
          <w:p>
            <w:pPr>
              <w:spacing w:line="360" w:lineRule="auto"/>
              <w:rPr>
                <w:rFonts w:ascii="宋体" w:hAnsi="宋体" w:cs="宋体"/>
                <w:sz w:val="24"/>
                <w:szCs w:val="24"/>
              </w:rPr>
            </w:pPr>
            <w:r>
              <w:rPr>
                <w:rFonts w:hint="eastAsia" w:ascii="宋体" w:hAnsi="宋体" w:cs="宋体"/>
                <w:color w:val="000000"/>
                <w:sz w:val="24"/>
                <w:szCs w:val="24"/>
              </w:rPr>
              <w:t xml:space="preserve">地    址：                        </w:t>
            </w:r>
            <w:r>
              <w:rPr>
                <w:rFonts w:hint="eastAsia" w:ascii="宋体" w:hAnsi="宋体" w:cs="宋体"/>
                <w:sz w:val="24"/>
                <w:szCs w:val="24"/>
              </w:rPr>
              <w:t xml:space="preserve">                 电  话：       </w:t>
            </w:r>
          </w:p>
          <w:p>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000000"/>
                <w:sz w:val="24"/>
                <w:szCs w:val="24"/>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开户银行：                                         帐  号：</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法定代表人：</w:t>
            </w:r>
          </w:p>
          <w:p>
            <w:pPr>
              <w:spacing w:line="360" w:lineRule="auto"/>
              <w:rPr>
                <w:rFonts w:ascii="宋体" w:hAnsi="宋体" w:cs="宋体"/>
                <w:color w:val="000000"/>
                <w:sz w:val="24"/>
                <w:szCs w:val="24"/>
              </w:rPr>
            </w:pPr>
            <w:r>
              <w:rPr>
                <w:rFonts w:hint="eastAsia" w:ascii="宋体" w:hAnsi="宋体" w:cs="宋体"/>
                <w:color w:val="000000"/>
                <w:sz w:val="24"/>
                <w:szCs w:val="24"/>
              </w:rPr>
              <w:t>或代理人：                项目负责人：                 年    月     日</w:t>
            </w:r>
          </w:p>
          <w:p>
            <w:pPr>
              <w:spacing w:line="360" w:lineRule="auto"/>
              <w:rPr>
                <w:rFonts w:ascii="宋体" w:hAnsi="宋体" w:cs="宋体"/>
                <w:color w:val="000000"/>
                <w:sz w:val="24"/>
                <w:szCs w:val="24"/>
              </w:rPr>
            </w:pPr>
          </w:p>
        </w:tc>
      </w:tr>
      <w:tr>
        <w:tblPrEx>
          <w:tblCellMar>
            <w:top w:w="0" w:type="dxa"/>
            <w:left w:w="0" w:type="dxa"/>
            <w:bottom w:w="0" w:type="dxa"/>
            <w:right w:w="0" w:type="dxa"/>
          </w:tblCellMar>
        </w:tblPrEx>
        <w:trPr>
          <w:trHeight w:val="3228" w:hRule="atLeast"/>
        </w:trPr>
        <w:tc>
          <w:tcPr>
            <w:tcW w:w="742" w:type="dxa"/>
            <w:tcMar>
              <w:top w:w="0" w:type="dxa"/>
              <w:left w:w="108" w:type="dxa"/>
              <w:bottom w:w="0" w:type="dxa"/>
              <w:right w:w="108" w:type="dxa"/>
            </w:tcMar>
          </w:tcPr>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r>
              <w:rPr>
                <w:rFonts w:hint="eastAsia" w:ascii="宋体" w:hAnsi="宋体" w:cs="宋体"/>
                <w:b/>
                <w:color w:val="000000"/>
                <w:sz w:val="24"/>
                <w:szCs w:val="24"/>
              </w:rPr>
              <w:t xml:space="preserve"> 乙</w:t>
            </w: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r>
              <w:rPr>
                <w:rFonts w:hint="eastAsia" w:ascii="宋体" w:hAnsi="宋体" w:cs="宋体"/>
                <w:b/>
                <w:color w:val="000000"/>
                <w:sz w:val="24"/>
                <w:szCs w:val="24"/>
              </w:rPr>
              <w:t xml:space="preserve"> 方</w:t>
            </w:r>
          </w:p>
        </w:tc>
        <w:tc>
          <w:tcPr>
            <w:tcW w:w="8021" w:type="dxa"/>
            <w:tcMar>
              <w:top w:w="0" w:type="dxa"/>
              <w:left w:w="108" w:type="dxa"/>
              <w:bottom w:w="0" w:type="dxa"/>
              <w:right w:w="108" w:type="dxa"/>
            </w:tcMar>
          </w:tcPr>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单位名称：                                      （公 章）</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 xml:space="preserve">地    址：                                </w:t>
            </w:r>
            <w:r>
              <w:rPr>
                <w:rFonts w:hint="eastAsia" w:ascii="宋体" w:hAnsi="宋体" w:cs="宋体"/>
                <w:sz w:val="24"/>
                <w:szCs w:val="24"/>
              </w:rPr>
              <w:t xml:space="preserve">     </w:t>
            </w:r>
            <w:r>
              <w:rPr>
                <w:rFonts w:hint="eastAsia" w:ascii="宋体" w:hAnsi="宋体" w:cs="宋体"/>
                <w:color w:val="000000"/>
                <w:sz w:val="24"/>
                <w:szCs w:val="24"/>
              </w:rPr>
              <w:t xml:space="preserve">电  话： </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开户银行：                                     帐  号：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法定代表人：</w:t>
            </w:r>
          </w:p>
          <w:p>
            <w:pPr>
              <w:spacing w:line="360" w:lineRule="auto"/>
              <w:rPr>
                <w:rFonts w:ascii="宋体" w:hAnsi="宋体" w:cs="宋体"/>
                <w:color w:val="000000"/>
                <w:sz w:val="24"/>
                <w:szCs w:val="24"/>
              </w:rPr>
            </w:pPr>
            <w:r>
              <w:rPr>
                <w:rFonts w:hint="eastAsia" w:ascii="宋体" w:hAnsi="宋体" w:cs="宋体"/>
                <w:color w:val="000000"/>
                <w:sz w:val="24"/>
                <w:szCs w:val="24"/>
              </w:rPr>
              <w:t>或代理人：                项目负责人：                  年    月    日</w:t>
            </w:r>
          </w:p>
          <w:p>
            <w:pPr>
              <w:spacing w:line="360" w:lineRule="auto"/>
              <w:rPr>
                <w:rFonts w:ascii="宋体" w:hAnsi="宋体" w:cs="宋体"/>
                <w:color w:val="000000"/>
                <w:sz w:val="24"/>
                <w:szCs w:val="24"/>
              </w:rPr>
            </w:pPr>
          </w:p>
        </w:tc>
      </w:tr>
      <w:tr>
        <w:tblPrEx>
          <w:tblCellMar>
            <w:top w:w="0" w:type="dxa"/>
            <w:left w:w="0" w:type="dxa"/>
            <w:bottom w:w="0" w:type="dxa"/>
            <w:right w:w="0" w:type="dxa"/>
          </w:tblCellMar>
        </w:tblPrEx>
        <w:trPr>
          <w:trHeight w:val="3228" w:hRule="atLeast"/>
        </w:trPr>
        <w:tc>
          <w:tcPr>
            <w:tcW w:w="742" w:type="dxa"/>
            <w:tcBorders>
              <w:bottom w:val="single" w:color="000000" w:sz="4" w:space="0"/>
            </w:tcBorders>
            <w:tcMar>
              <w:top w:w="0" w:type="dxa"/>
              <w:left w:w="108" w:type="dxa"/>
              <w:bottom w:w="0" w:type="dxa"/>
              <w:right w:w="108" w:type="dxa"/>
            </w:tcMar>
          </w:tcPr>
          <w:p>
            <w:pPr>
              <w:spacing w:line="360" w:lineRule="auto"/>
              <w:rPr>
                <w:rFonts w:ascii="宋体" w:hAnsi="宋体" w:cs="宋体"/>
                <w:b/>
                <w:color w:val="000000"/>
                <w:sz w:val="24"/>
                <w:szCs w:val="24"/>
              </w:rPr>
            </w:pPr>
          </w:p>
        </w:tc>
        <w:tc>
          <w:tcPr>
            <w:tcW w:w="8021" w:type="dxa"/>
            <w:tcBorders>
              <w:bottom w:val="single" w:color="000000" w:sz="4" w:space="0"/>
            </w:tcBorders>
            <w:tcMar>
              <w:top w:w="0" w:type="dxa"/>
              <w:left w:w="108" w:type="dxa"/>
              <w:bottom w:w="0" w:type="dxa"/>
              <w:right w:w="108" w:type="dxa"/>
            </w:tcMar>
          </w:tcPr>
          <w:p>
            <w:pPr>
              <w:spacing w:line="360" w:lineRule="auto"/>
              <w:rPr>
                <w:rFonts w:ascii="宋体" w:hAnsi="宋体" w:cs="宋体"/>
                <w:color w:val="000000"/>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tabs>
                <w:tab w:val="left" w:pos="6930"/>
              </w:tabs>
              <w:spacing w:line="360" w:lineRule="auto"/>
              <w:rPr>
                <w:rFonts w:ascii="宋体" w:hAnsi="宋体" w:cs="宋体"/>
                <w:sz w:val="24"/>
                <w:szCs w:val="24"/>
              </w:rPr>
            </w:pPr>
          </w:p>
        </w:tc>
      </w:tr>
    </w:tbl>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p>
    <w:p>
      <w:pPr>
        <w:adjustRightInd w:val="0"/>
        <w:snapToGrid w:val="0"/>
        <w:spacing w:line="360" w:lineRule="auto"/>
        <w:rPr>
          <w:rFonts w:ascii="宋体" w:hAnsi="宋体" w:cs="宋体"/>
          <w:b/>
          <w:color w:val="000000"/>
          <w:sz w:val="24"/>
          <w:szCs w:val="24"/>
        </w:rPr>
      </w:pPr>
      <w:r>
        <w:rPr>
          <w:rFonts w:hint="eastAsia" w:ascii="宋体" w:hAnsi="宋体" w:cs="宋体"/>
          <w:color w:val="000000"/>
          <w:sz w:val="24"/>
          <w:szCs w:val="24"/>
        </w:rPr>
        <w:br w:type="page"/>
      </w:r>
      <w:r>
        <w:rPr>
          <w:rFonts w:hint="eastAsia" w:ascii="宋体" w:hAnsi="宋体" w:cs="宋体"/>
          <w:color w:val="000000"/>
          <w:sz w:val="24"/>
          <w:szCs w:val="24"/>
        </w:rPr>
        <w:t>附件一：</w:t>
      </w:r>
    </w:p>
    <w:p>
      <w:pPr>
        <w:adjustRightInd w:val="0"/>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反商业贿赂条款</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反商业贿赂条款是本合同之必备附件，与本合同具有同等法律效力，合同各方同意签订并遵守如下反商业贿赂条款的各项约定：</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1、合同各方都清楚并愿意严格遵守中华人民共和国关于反商业贿赂的有关法律法规的规定，双方都清楚任何形式的贿赂行为都可能触犯法律，并受到法律的严惩。</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2、合同各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adjustRightInd w:val="0"/>
        <w:snapToGrid w:val="0"/>
        <w:spacing w:line="360" w:lineRule="auto"/>
        <w:rPr>
          <w:rFonts w:ascii="宋体" w:hAnsi="宋体" w:cs="宋体"/>
          <w:color w:val="000000"/>
          <w:sz w:val="24"/>
          <w:szCs w:val="24"/>
        </w:rPr>
      </w:pPr>
      <w:bookmarkStart w:id="247" w:name="OLE_LINK6"/>
      <w:r>
        <w:rPr>
          <w:rFonts w:hint="eastAsia" w:ascii="宋体" w:hAnsi="宋体" w:cs="宋体"/>
          <w:color w:val="000000"/>
          <w:sz w:val="24"/>
          <w:szCs w:val="24"/>
        </w:rPr>
        <w:t>3、扬州市民卡有限责任公司</w:t>
      </w:r>
      <w:bookmarkEnd w:id="247"/>
      <w:r>
        <w:rPr>
          <w:rFonts w:hint="eastAsia" w:ascii="宋体" w:hAnsi="宋体" w:cs="宋体"/>
          <w:color w:val="000000"/>
          <w:sz w:val="24"/>
          <w:szCs w:val="24"/>
        </w:rPr>
        <w:t>严格禁止其人员的任何商业贿赂（包括行贿及受贿）行为。扬州市民卡有限责任公司人员在签订、履行本合同过程中及其后发生本条款第2项所列示的任何一种行为，都是违反扬州市民卡有限责任公司制度的，其他合同当事人及其工作人员均有义务向扬州市民卡有限责任公司举报有关人员及行为。扬州市民卡有限责任公司举报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，举报邮箱：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4、其他合同当事方违反本协议约定，为谋取直接或间接的商业利益（包括但不限于合作机会和合同利益）而向扬州市民卡有限责任公司人员行贿的，视为该合同当事方违约。扬州市民卡有限责任公司有权解除本合同，并/或要求该方按本合同的总价款10%支付违约金，违约金可直接在应支付的合同价款中扣除。因合同解除造成扬州市民卡有限责任公司其他损失的，违约方还应按照合同约定赔偿损失。若该方积极配合查处接受商业贿赂人员的，扬州市民卡有限责任公司可减免相对应的违约金。有关人员的商业贿赂行为构成犯罪的，移交司法机关处理，合同各方应积极配合司法机关处理。</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5、扬州市民卡有限责任公司亦反对其他合同当事人及其人员为了本合同之目的，与本合同以外的任何第三方发生本条款第2条所列示的任何一种行为。</w:t>
      </w:r>
    </w:p>
    <w:p>
      <w:pPr>
        <w:pStyle w:val="52"/>
        <w:spacing w:before="0" w:after="0" w:line="360" w:lineRule="auto"/>
        <w:rPr>
          <w:rFonts w:ascii="宋体" w:hAnsi="宋体" w:eastAsia="宋体" w:cs="宋体"/>
          <w:sz w:val="24"/>
        </w:rPr>
      </w:pPr>
    </w:p>
    <w:p>
      <w:pPr>
        <w:adjustRightInd w:val="0"/>
        <w:snapToGrid w:val="0"/>
        <w:spacing w:line="360" w:lineRule="auto"/>
        <w:ind w:firstLine="480" w:firstLineChars="200"/>
        <w:rPr>
          <w:rFonts w:ascii="宋体" w:hAnsi="宋体" w:cs="宋体"/>
          <w:bCs/>
          <w:sz w:val="24"/>
          <w:szCs w:val="24"/>
        </w:rPr>
      </w:pPr>
    </w:p>
    <w:p>
      <w:pPr>
        <w:adjustRightInd w:val="0"/>
        <w:snapToGrid w:val="0"/>
        <w:spacing w:line="360" w:lineRule="auto"/>
        <w:ind w:firstLine="480" w:firstLineChars="200"/>
        <w:rPr>
          <w:rFonts w:ascii="宋体" w:hAnsi="宋体" w:cs="宋体"/>
          <w:bCs/>
          <w:sz w:val="24"/>
          <w:szCs w:val="24"/>
        </w:rPr>
      </w:pPr>
    </w:p>
    <w:p>
      <w:pPr>
        <w:adjustRightInd w:val="0"/>
        <w:snapToGrid w:val="0"/>
        <w:spacing w:line="360" w:lineRule="auto"/>
        <w:ind w:firstLine="480" w:firstLineChars="200"/>
        <w:rPr>
          <w:rFonts w:ascii="宋体" w:hAnsi="宋体" w:cs="宋体"/>
          <w:bCs/>
          <w:sz w:val="24"/>
          <w:szCs w:val="24"/>
        </w:rPr>
      </w:pPr>
    </w:p>
    <w:p>
      <w:pPr>
        <w:adjustRightInd w:val="0"/>
        <w:snapToGrid w:val="0"/>
        <w:spacing w:line="360" w:lineRule="auto"/>
        <w:rPr>
          <w:rFonts w:ascii="宋体" w:hAnsi="宋体" w:cs="宋体"/>
          <w:bCs/>
          <w:sz w:val="24"/>
          <w:szCs w:val="24"/>
        </w:rPr>
      </w:pPr>
    </w:p>
    <w:p>
      <w:pPr>
        <w:pStyle w:val="52"/>
        <w:spacing w:before="0" w:after="0" w:line="360" w:lineRule="auto"/>
        <w:rPr>
          <w:rFonts w:ascii="宋体" w:hAnsi="宋体" w:eastAsia="宋体" w:cs="Times New Roman"/>
          <w:snapToGrid w:val="0"/>
          <w:kern w:val="0"/>
          <w:sz w:val="44"/>
          <w:szCs w:val="20"/>
          <w:lang w:val="zh-CN"/>
        </w:rPr>
      </w:pPr>
      <w:bookmarkStart w:id="248" w:name="_Toc363573860"/>
      <w:r>
        <w:rPr>
          <w:rFonts w:hint="eastAsia" w:ascii="宋体" w:hAnsi="宋体" w:eastAsia="宋体" w:cs="宋体"/>
          <w:sz w:val="24"/>
        </w:rPr>
        <w:br w:type="page"/>
      </w:r>
      <w:bookmarkStart w:id="249" w:name="_Toc523208573"/>
      <w:bookmarkStart w:id="250" w:name="_Toc4778"/>
      <w:r>
        <w:rPr>
          <w:rFonts w:hint="eastAsia" w:ascii="宋体" w:hAnsi="宋体" w:eastAsia="宋体" w:cs="Times New Roman"/>
          <w:snapToGrid w:val="0"/>
          <w:kern w:val="0"/>
          <w:sz w:val="44"/>
          <w:szCs w:val="20"/>
          <w:lang w:val="zh-CN"/>
        </w:rPr>
        <w:t>第六章 投标文件组成</w:t>
      </w:r>
      <w:bookmarkEnd w:id="249"/>
      <w:bookmarkEnd w:id="250"/>
    </w:p>
    <w:p>
      <w:pPr>
        <w:snapToGrid w:val="0"/>
        <w:spacing w:line="360" w:lineRule="auto"/>
        <w:ind w:firstLine="555"/>
        <w:jc w:val="left"/>
        <w:rPr>
          <w:rFonts w:ascii="宋体" w:hAnsi="宋体" w:cs="宋体"/>
          <w:b/>
          <w:sz w:val="24"/>
          <w:szCs w:val="24"/>
        </w:rPr>
      </w:pPr>
      <w:r>
        <w:rPr>
          <w:rFonts w:hint="eastAsia" w:ascii="宋体" w:hAnsi="宋体" w:cs="宋体"/>
          <w:b/>
          <w:sz w:val="24"/>
          <w:szCs w:val="24"/>
        </w:rPr>
        <w:t>响应文件由资格审查证明材料、价格响应文件、商务技术响应文件三部分组成。</w:t>
      </w:r>
    </w:p>
    <w:p>
      <w:pPr>
        <w:pStyle w:val="431"/>
        <w:snapToGrid w:val="0"/>
        <w:spacing w:before="0" w:beforeAutospacing="0" w:after="0" w:afterAutospacing="0" w:line="360" w:lineRule="auto"/>
        <w:ind w:left="549"/>
        <w:contextualSpacing/>
        <w:rPr>
          <w:b/>
          <w:color w:val="000000"/>
          <w:szCs w:val="24"/>
        </w:rPr>
      </w:pPr>
      <w:r>
        <w:rPr>
          <w:rFonts w:hint="eastAsia"/>
          <w:b/>
          <w:color w:val="000000"/>
          <w:szCs w:val="24"/>
        </w:rPr>
        <w:t>一、资格审查证明材料（一正两副；单独密封并牢固装订）：</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1、关于资格的声明函；</w:t>
      </w:r>
    </w:p>
    <w:p>
      <w:pPr>
        <w:pStyle w:val="293"/>
        <w:snapToGrid w:val="0"/>
        <w:spacing w:line="360" w:lineRule="auto"/>
        <w:ind w:firstLine="480" w:firstLineChars="200"/>
        <w:rPr>
          <w:rFonts w:ascii="宋体" w:eastAsia="宋体" w:cs="宋体"/>
          <w:color w:val="000000"/>
          <w:sz w:val="24"/>
          <w:szCs w:val="24"/>
        </w:rPr>
      </w:pPr>
      <w:r>
        <w:rPr>
          <w:rFonts w:hint="eastAsia" w:ascii="宋体" w:eastAsia="宋体" w:cs="宋体"/>
          <w:color w:val="000000"/>
          <w:sz w:val="24"/>
          <w:szCs w:val="24"/>
        </w:rPr>
        <w:t>2、法定代表人身份证明书（提供复印件并加盖公章）；</w:t>
      </w:r>
    </w:p>
    <w:p>
      <w:pPr>
        <w:tabs>
          <w:tab w:val="left" w:pos="3375"/>
        </w:tabs>
        <w:autoSpaceDE w:val="0"/>
        <w:autoSpaceDN w:val="0"/>
        <w:adjustRightInd w:val="0"/>
        <w:snapToGrid w:val="0"/>
        <w:spacing w:line="360" w:lineRule="auto"/>
        <w:ind w:left="1" w:firstLine="538"/>
        <w:rPr>
          <w:rFonts w:ascii="宋体" w:hAnsi="宋体" w:cs="宋体"/>
          <w:color w:val="000000"/>
          <w:sz w:val="24"/>
          <w:szCs w:val="24"/>
          <w:lang w:val="zh-CN"/>
        </w:rPr>
      </w:pPr>
      <w:r>
        <w:rPr>
          <w:rFonts w:hint="eastAsia" w:ascii="宋体" w:hAnsi="宋体" w:cs="宋体"/>
          <w:color w:val="000000"/>
          <w:sz w:val="24"/>
          <w:szCs w:val="24"/>
          <w:lang w:val="zh-CN"/>
        </w:rPr>
        <w:t>3、法定代表人授权委托书原件，投标代表本人身份证复印件（原件随身备查）；</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4、请按公开招标公告资格要求中的（5）至（8）提供相应的佐证材料（提供复印件并加盖公章）；</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5、其它在投标文件中需要提交的材料。</w:t>
      </w:r>
    </w:p>
    <w:p>
      <w:pPr>
        <w:pStyle w:val="293"/>
        <w:snapToGrid w:val="0"/>
        <w:spacing w:line="360" w:lineRule="auto"/>
        <w:ind w:firstLine="496"/>
        <w:rPr>
          <w:rFonts w:ascii="宋体" w:eastAsia="宋体" w:cs="宋体"/>
          <w:b/>
          <w:color w:val="000000"/>
          <w:sz w:val="24"/>
          <w:szCs w:val="24"/>
        </w:rPr>
      </w:pPr>
      <w:r>
        <w:rPr>
          <w:rFonts w:hint="eastAsia" w:ascii="宋体" w:eastAsia="宋体" w:cs="宋体"/>
          <w:b/>
          <w:color w:val="000000"/>
          <w:sz w:val="24"/>
          <w:szCs w:val="24"/>
        </w:rPr>
        <w:t>二、价格响应文件，一式二份（单独密封并牢固装订），不得出现在商务技术响应文件部分：</w:t>
      </w:r>
    </w:p>
    <w:p>
      <w:pPr>
        <w:pStyle w:val="293"/>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1、报价总表；</w:t>
      </w:r>
    </w:p>
    <w:p>
      <w:pPr>
        <w:pStyle w:val="293"/>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2、报价明细表。</w:t>
      </w:r>
    </w:p>
    <w:p>
      <w:pPr>
        <w:pStyle w:val="293"/>
        <w:snapToGrid w:val="0"/>
        <w:spacing w:line="360" w:lineRule="auto"/>
        <w:ind w:firstLine="496"/>
        <w:rPr>
          <w:rFonts w:ascii="宋体" w:eastAsia="宋体" w:cs="宋体"/>
          <w:color w:val="000000"/>
          <w:sz w:val="24"/>
          <w:szCs w:val="24"/>
        </w:rPr>
      </w:pPr>
      <w:r>
        <w:rPr>
          <w:rFonts w:hint="eastAsia" w:ascii="宋体" w:eastAsia="宋体" w:cs="宋体"/>
          <w:b/>
          <w:color w:val="000000"/>
          <w:sz w:val="24"/>
          <w:szCs w:val="24"/>
        </w:rPr>
        <w:t>三、商务技术响应文件（不能出现报价；一正两副，单独密封并牢固装订）：</w:t>
      </w:r>
    </w:p>
    <w:p>
      <w:pPr>
        <w:tabs>
          <w:tab w:val="left" w:pos="1260"/>
        </w:tabs>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1、供应商情况一览表；</w:t>
      </w:r>
    </w:p>
    <w:p>
      <w:pPr>
        <w:pStyle w:val="293"/>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2、响应方案、货物（服务）清单；</w:t>
      </w:r>
    </w:p>
    <w:p>
      <w:pPr>
        <w:pStyle w:val="293"/>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3、为方便评委评审，请供应商按评审办法中所涉及的事项顺序进行编制，可以补充相关材料；</w:t>
      </w:r>
    </w:p>
    <w:p>
      <w:pPr>
        <w:pStyle w:val="293"/>
        <w:snapToGrid w:val="0"/>
        <w:spacing w:line="360" w:lineRule="auto"/>
        <w:ind w:firstLine="494"/>
        <w:rPr>
          <w:rFonts w:ascii="宋体" w:eastAsia="宋体" w:cs="宋体"/>
          <w:sz w:val="24"/>
          <w:szCs w:val="24"/>
        </w:rPr>
      </w:pPr>
      <w:r>
        <w:rPr>
          <w:rFonts w:hint="eastAsia" w:ascii="宋体" w:eastAsia="宋体" w:cs="宋体"/>
          <w:color w:val="000000"/>
          <w:sz w:val="24"/>
          <w:szCs w:val="24"/>
        </w:rPr>
        <w:t>4、评审办法中未涉及的事项，供应商认为需要提交的其他资料。</w:t>
      </w:r>
      <w:bookmarkEnd w:id="1"/>
      <w:bookmarkEnd w:id="248"/>
    </w:p>
    <w:sectPr>
      <w:footerReference r:id="rId7" w:type="first"/>
      <w:headerReference r:id="rId3" w:type="default"/>
      <w:footerReference r:id="rId5" w:type="default"/>
      <w:headerReference r:id="rId4" w:type="even"/>
      <w:footerReference r:id="rId6" w:type="even"/>
      <w:pgSz w:w="11906" w:h="16838"/>
      <w:pgMar w:top="414" w:right="1469" w:bottom="312"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separate"/>
    </w:r>
    <w:r>
      <w:rPr>
        <w:rStyle w:val="61"/>
      </w:rPr>
      <w:t>35</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separate"/>
    </w:r>
    <w:r>
      <w:rPr>
        <w:rStyle w:val="61"/>
      </w:rPr>
      <w:t>19</w: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FCBAA"/>
    <w:multiLevelType w:val="singleLevel"/>
    <w:tmpl w:val="B94FCBAA"/>
    <w:lvl w:ilvl="0" w:tentative="0">
      <w:start w:val="1"/>
      <w:numFmt w:val="decimal"/>
      <w:suff w:val="nothing"/>
      <w:lvlText w:val="（%1）"/>
      <w:lvlJc w:val="left"/>
    </w:lvl>
  </w:abstractNum>
  <w:abstractNum w:abstractNumId="1">
    <w:nsid w:val="0000001A"/>
    <w:multiLevelType w:val="multilevel"/>
    <w:tmpl w:val="0000001A"/>
    <w:lvl w:ilvl="0" w:tentative="0">
      <w:start w:val="1"/>
      <w:numFmt w:val="japaneseCounting"/>
      <w:pStyle w:val="101"/>
      <w:lvlText w:val="（%1）"/>
      <w:lvlJc w:val="left"/>
      <w:pPr>
        <w:tabs>
          <w:tab w:val="left" w:pos="1837"/>
        </w:tabs>
        <w:ind w:left="1837" w:hanging="720"/>
      </w:pPr>
    </w:lvl>
    <w:lvl w:ilvl="1" w:tentative="0">
      <w:start w:val="1"/>
      <w:numFmt w:val="lowerLetter"/>
      <w:lvlText w:val="%2)"/>
      <w:lvlJc w:val="left"/>
      <w:pPr>
        <w:tabs>
          <w:tab w:val="left" w:pos="1957"/>
        </w:tabs>
        <w:ind w:left="1957" w:hanging="420"/>
      </w:pPr>
    </w:lvl>
    <w:lvl w:ilvl="2" w:tentative="0">
      <w:start w:val="1"/>
      <w:numFmt w:val="lowerRoman"/>
      <w:lvlText w:val="%3."/>
      <w:lvlJc w:val="right"/>
      <w:pPr>
        <w:tabs>
          <w:tab w:val="left" w:pos="2377"/>
        </w:tabs>
        <w:ind w:left="2377" w:hanging="420"/>
      </w:pPr>
    </w:lvl>
    <w:lvl w:ilvl="3" w:tentative="0">
      <w:start w:val="1"/>
      <w:numFmt w:val="decimal"/>
      <w:lvlText w:val="%4."/>
      <w:lvlJc w:val="left"/>
      <w:pPr>
        <w:tabs>
          <w:tab w:val="left" w:pos="2797"/>
        </w:tabs>
        <w:ind w:left="2797" w:hanging="420"/>
      </w:pPr>
    </w:lvl>
    <w:lvl w:ilvl="4" w:tentative="0">
      <w:start w:val="1"/>
      <w:numFmt w:val="lowerLetter"/>
      <w:lvlText w:val="%5)"/>
      <w:lvlJc w:val="left"/>
      <w:pPr>
        <w:tabs>
          <w:tab w:val="left" w:pos="3217"/>
        </w:tabs>
        <w:ind w:left="3217" w:hanging="420"/>
      </w:pPr>
    </w:lvl>
    <w:lvl w:ilvl="5" w:tentative="0">
      <w:start w:val="1"/>
      <w:numFmt w:val="lowerRoman"/>
      <w:lvlText w:val="%6."/>
      <w:lvlJc w:val="right"/>
      <w:pPr>
        <w:tabs>
          <w:tab w:val="left" w:pos="3637"/>
        </w:tabs>
        <w:ind w:left="3637" w:hanging="420"/>
      </w:pPr>
    </w:lvl>
    <w:lvl w:ilvl="6" w:tentative="0">
      <w:start w:val="1"/>
      <w:numFmt w:val="decimal"/>
      <w:lvlText w:val="%7."/>
      <w:lvlJc w:val="left"/>
      <w:pPr>
        <w:tabs>
          <w:tab w:val="left" w:pos="4057"/>
        </w:tabs>
        <w:ind w:left="4057" w:hanging="420"/>
      </w:pPr>
    </w:lvl>
    <w:lvl w:ilvl="7" w:tentative="0">
      <w:start w:val="1"/>
      <w:numFmt w:val="lowerLetter"/>
      <w:lvlText w:val="%8)"/>
      <w:lvlJc w:val="left"/>
      <w:pPr>
        <w:tabs>
          <w:tab w:val="left" w:pos="4477"/>
        </w:tabs>
        <w:ind w:left="4477" w:hanging="420"/>
      </w:pPr>
    </w:lvl>
    <w:lvl w:ilvl="8" w:tentative="0">
      <w:start w:val="1"/>
      <w:numFmt w:val="lowerRoman"/>
      <w:lvlText w:val="%9."/>
      <w:lvlJc w:val="right"/>
      <w:pPr>
        <w:tabs>
          <w:tab w:val="left" w:pos="4897"/>
        </w:tabs>
        <w:ind w:left="4897" w:hanging="420"/>
      </w:pPr>
    </w:lvl>
  </w:abstractNum>
  <w:abstractNum w:abstractNumId="2">
    <w:nsid w:val="02AD44AE"/>
    <w:multiLevelType w:val="multilevel"/>
    <w:tmpl w:val="02AD44AE"/>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75F71FB"/>
    <w:multiLevelType w:val="multilevel"/>
    <w:tmpl w:val="075F71FB"/>
    <w:lvl w:ilvl="0" w:tentative="0">
      <w:start w:val="1"/>
      <w:numFmt w:val="upperLetter"/>
      <w:suff w:val="space"/>
      <w:lvlText w:val="%1."/>
      <w:lvlJc w:val="left"/>
      <w:pPr>
        <w:ind w:left="231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A7423B3"/>
    <w:multiLevelType w:val="multilevel"/>
    <w:tmpl w:val="0A7423B3"/>
    <w:lvl w:ilvl="0" w:tentative="0">
      <w:start w:val="5"/>
      <w:numFmt w:val="japaneseCounting"/>
      <w:pStyle w:val="196"/>
      <w:lvlText w:val="第%1章"/>
      <w:lvlJc w:val="left"/>
      <w:pPr>
        <w:ind w:left="3572" w:hanging="1080"/>
      </w:pPr>
      <w:rPr>
        <w:rFonts w:hint="default"/>
      </w:rPr>
    </w:lvl>
    <w:lvl w:ilvl="1" w:tentative="0">
      <w:start w:val="1"/>
      <w:numFmt w:val="lowerLetter"/>
      <w:lvlText w:val="%2)"/>
      <w:lvlJc w:val="left"/>
      <w:pPr>
        <w:ind w:left="3332" w:hanging="420"/>
      </w:pPr>
    </w:lvl>
    <w:lvl w:ilvl="2" w:tentative="0">
      <w:start w:val="1"/>
      <w:numFmt w:val="lowerRoman"/>
      <w:lvlText w:val="%3."/>
      <w:lvlJc w:val="right"/>
      <w:pPr>
        <w:ind w:left="3752" w:hanging="420"/>
      </w:pPr>
    </w:lvl>
    <w:lvl w:ilvl="3" w:tentative="0">
      <w:start w:val="1"/>
      <w:numFmt w:val="decimal"/>
      <w:lvlText w:val="%4."/>
      <w:lvlJc w:val="left"/>
      <w:pPr>
        <w:ind w:left="4172" w:hanging="420"/>
      </w:pPr>
    </w:lvl>
    <w:lvl w:ilvl="4" w:tentative="0">
      <w:start w:val="1"/>
      <w:numFmt w:val="lowerLetter"/>
      <w:lvlText w:val="%5)"/>
      <w:lvlJc w:val="left"/>
      <w:pPr>
        <w:ind w:left="4592" w:hanging="420"/>
      </w:pPr>
    </w:lvl>
    <w:lvl w:ilvl="5" w:tentative="0">
      <w:start w:val="1"/>
      <w:numFmt w:val="lowerRoman"/>
      <w:lvlText w:val="%6."/>
      <w:lvlJc w:val="right"/>
      <w:pPr>
        <w:ind w:left="5012" w:hanging="420"/>
      </w:pPr>
    </w:lvl>
    <w:lvl w:ilvl="6" w:tentative="0">
      <w:start w:val="1"/>
      <w:numFmt w:val="decimal"/>
      <w:lvlText w:val="%7."/>
      <w:lvlJc w:val="left"/>
      <w:pPr>
        <w:ind w:left="5432" w:hanging="420"/>
      </w:pPr>
    </w:lvl>
    <w:lvl w:ilvl="7" w:tentative="0">
      <w:start w:val="1"/>
      <w:numFmt w:val="lowerLetter"/>
      <w:lvlText w:val="%8)"/>
      <w:lvlJc w:val="left"/>
      <w:pPr>
        <w:ind w:left="5852" w:hanging="420"/>
      </w:pPr>
    </w:lvl>
    <w:lvl w:ilvl="8" w:tentative="0">
      <w:start w:val="1"/>
      <w:numFmt w:val="lowerRoman"/>
      <w:lvlText w:val="%9."/>
      <w:lvlJc w:val="right"/>
      <w:pPr>
        <w:ind w:left="6272" w:hanging="420"/>
      </w:pPr>
    </w:lvl>
  </w:abstractNum>
  <w:abstractNum w:abstractNumId="5">
    <w:nsid w:val="0EF86CB1"/>
    <w:multiLevelType w:val="multilevel"/>
    <w:tmpl w:val="0EF86CB1"/>
    <w:lvl w:ilvl="0" w:tentative="0">
      <w:start w:val="1"/>
      <w:numFmt w:val="ideographTradition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B546ED"/>
    <w:multiLevelType w:val="multilevel"/>
    <w:tmpl w:val="16B546ED"/>
    <w:lvl w:ilvl="0" w:tentative="0">
      <w:start w:val="1"/>
      <w:numFmt w:val="decimal"/>
      <w:pStyle w:val="400"/>
      <w:lvlText w:val="%1"/>
      <w:lvlJc w:val="left"/>
      <w:pPr>
        <w:tabs>
          <w:tab w:val="left" w:pos="425"/>
        </w:tabs>
        <w:ind w:left="425" w:hanging="425"/>
      </w:pPr>
    </w:lvl>
    <w:lvl w:ilvl="1" w:tentative="0">
      <w:start w:val="1"/>
      <w:numFmt w:val="decimal"/>
      <w:pStyle w:val="262"/>
      <w:lvlText w:val="%1.%2"/>
      <w:lvlJc w:val="left"/>
      <w:pPr>
        <w:tabs>
          <w:tab w:val="left" w:pos="992"/>
        </w:tabs>
        <w:ind w:left="992" w:hanging="567"/>
      </w:pPr>
    </w:lvl>
    <w:lvl w:ilvl="2" w:tentative="0">
      <w:start w:val="1"/>
      <w:numFmt w:val="decimal"/>
      <w:pStyle w:val="261"/>
      <w:lvlText w:val="%1.%2.%3"/>
      <w:lvlJc w:val="left"/>
      <w:pPr>
        <w:tabs>
          <w:tab w:val="left" w:pos="1418"/>
        </w:tabs>
        <w:ind w:left="1418" w:hanging="567"/>
      </w:pPr>
    </w:lvl>
    <w:lvl w:ilvl="3" w:tentative="0">
      <w:start w:val="1"/>
      <w:numFmt w:val="decimal"/>
      <w:pStyle w:val="274"/>
      <w:lvlText w:val="%1.%2.%3.%4"/>
      <w:lvlJc w:val="left"/>
      <w:pPr>
        <w:tabs>
          <w:tab w:val="left" w:pos="1984"/>
        </w:tabs>
        <w:ind w:left="1984" w:hanging="708"/>
      </w:pPr>
    </w:lvl>
    <w:lvl w:ilvl="4" w:tentative="0">
      <w:start w:val="1"/>
      <w:numFmt w:val="decimal"/>
      <w:pStyle w:val="349"/>
      <w:lvlText w:val="%1.%2.%3.%4.%5"/>
      <w:lvlJc w:val="left"/>
      <w:pPr>
        <w:tabs>
          <w:tab w:val="left" w:pos="2551"/>
        </w:tabs>
        <w:ind w:left="2551" w:hanging="850"/>
      </w:pPr>
    </w:lvl>
    <w:lvl w:ilvl="5" w:tentative="0">
      <w:start w:val="1"/>
      <w:numFmt w:val="decimal"/>
      <w:pStyle w:val="348"/>
      <w:lvlText w:val="%1.%2.%3.%4.%5.%6"/>
      <w:lvlJc w:val="left"/>
      <w:pPr>
        <w:tabs>
          <w:tab w:val="left" w:pos="3260"/>
        </w:tabs>
        <w:ind w:left="3260" w:hanging="1134"/>
      </w:pPr>
    </w:lvl>
    <w:lvl w:ilvl="6" w:tentative="0">
      <w:start w:val="1"/>
      <w:numFmt w:val="decimal"/>
      <w:pStyle w:val="347"/>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1CE369E7"/>
    <w:multiLevelType w:val="multilevel"/>
    <w:tmpl w:val="1CE369E7"/>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992"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1EB375EF"/>
    <w:multiLevelType w:val="multilevel"/>
    <w:tmpl w:val="1EB375EF"/>
    <w:lvl w:ilvl="0" w:tentative="0">
      <w:start w:val="12"/>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CF7A1A"/>
    <w:multiLevelType w:val="multilevel"/>
    <w:tmpl w:val="23CF7A1A"/>
    <w:lvl w:ilvl="0" w:tentative="0">
      <w:start w:val="1"/>
      <w:numFmt w:val="chineseCountingThousand"/>
      <w:lvlText w:val="%1、"/>
      <w:lvlJc w:val="left"/>
      <w:pPr>
        <w:ind w:left="4531"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50378B"/>
    <w:multiLevelType w:val="multilevel"/>
    <w:tmpl w:val="255037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suff w:val="space"/>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337CE2"/>
    <w:multiLevelType w:val="multilevel"/>
    <w:tmpl w:val="27337CE2"/>
    <w:lvl w:ilvl="0" w:tentative="0">
      <w:start w:val="1"/>
      <w:numFmt w:val="decimal"/>
      <w:suff w:val="space"/>
      <w:lvlText w:val="%1."/>
      <w:lvlJc w:val="left"/>
      <w:pPr>
        <w:ind w:left="147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954406"/>
    <w:multiLevelType w:val="multilevel"/>
    <w:tmpl w:val="27954406"/>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2D041BBC"/>
    <w:multiLevelType w:val="multilevel"/>
    <w:tmpl w:val="2D041BBC"/>
    <w:lvl w:ilvl="0" w:tentative="0">
      <w:start w:val="1"/>
      <w:numFmt w:val="decimal"/>
      <w:lvlText w:val="%1."/>
      <w:lvlJc w:val="left"/>
      <w:pPr>
        <w:ind w:left="420" w:hanging="420"/>
      </w:pPr>
    </w:lvl>
    <w:lvl w:ilvl="1" w:tentative="0">
      <w:start w:val="1"/>
      <w:numFmt w:val="decimal"/>
      <w:suff w:val="space"/>
      <w:lvlText w:val="%2."/>
      <w:lvlJc w:val="left"/>
      <w:pPr>
        <w:ind w:left="168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E06F751"/>
    <w:multiLevelType w:val="singleLevel"/>
    <w:tmpl w:val="2E06F751"/>
    <w:lvl w:ilvl="0" w:tentative="0">
      <w:start w:val="1"/>
      <w:numFmt w:val="decimal"/>
      <w:suff w:val="nothing"/>
      <w:lvlText w:val="（%1）"/>
      <w:lvlJc w:val="left"/>
    </w:lvl>
  </w:abstractNum>
  <w:abstractNum w:abstractNumId="15">
    <w:nsid w:val="302F2553"/>
    <w:multiLevelType w:val="multilevel"/>
    <w:tmpl w:val="302F2553"/>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3084B4E"/>
    <w:multiLevelType w:val="singleLevel"/>
    <w:tmpl w:val="33084B4E"/>
    <w:lvl w:ilvl="0" w:tentative="0">
      <w:start w:val="1"/>
      <w:numFmt w:val="upperLetter"/>
      <w:suff w:val="nothing"/>
      <w:lvlText w:val="%1、"/>
      <w:lvlJc w:val="left"/>
    </w:lvl>
  </w:abstractNum>
  <w:abstractNum w:abstractNumId="17">
    <w:nsid w:val="34E0428A"/>
    <w:multiLevelType w:val="singleLevel"/>
    <w:tmpl w:val="34E0428A"/>
    <w:lvl w:ilvl="0" w:tentative="0">
      <w:start w:val="1"/>
      <w:numFmt w:val="decimal"/>
      <w:suff w:val="space"/>
      <w:lvlText w:val="%1."/>
      <w:lvlJc w:val="left"/>
      <w:pPr>
        <w:ind w:left="360" w:hanging="425"/>
      </w:pPr>
      <w:rPr>
        <w:rFonts w:hint="default"/>
        <w:b w:val="0"/>
        <w:w w:val="100"/>
      </w:rPr>
    </w:lvl>
  </w:abstractNum>
  <w:abstractNum w:abstractNumId="18">
    <w:nsid w:val="3BE329CE"/>
    <w:multiLevelType w:val="multilevel"/>
    <w:tmpl w:val="3BE329CE"/>
    <w:lvl w:ilvl="0" w:tentative="0">
      <w:start w:val="1"/>
      <w:numFmt w:val="decimal"/>
      <w:suff w:val="space"/>
      <w:lvlText w:val="%1."/>
      <w:lvlJc w:val="left"/>
      <w:pPr>
        <w:ind w:left="425" w:hanging="425"/>
      </w:pPr>
      <w:rPr>
        <w:rFonts w:hint="eastAsia"/>
      </w:rPr>
    </w:lvl>
    <w:lvl w:ilvl="1" w:tentative="0">
      <w:start w:val="1"/>
      <w:numFmt w:val="decimal"/>
      <w:pStyle w:val="455"/>
      <w:suff w:val="space"/>
      <w:lvlText w:val="%1.%2"/>
      <w:lvlJc w:val="left"/>
      <w:pPr>
        <w:ind w:left="0" w:firstLine="0"/>
      </w:pPr>
      <w:rPr>
        <w:rFonts w:hint="eastAsia"/>
      </w:rPr>
    </w:lvl>
    <w:lvl w:ilvl="2" w:tentative="0">
      <w:start w:val="1"/>
      <w:numFmt w:val="decimal"/>
      <w:suff w:val="space"/>
      <w:lvlText w:val="%1.%2.%3"/>
      <w:lvlJc w:val="left"/>
      <w:pPr>
        <w:ind w:left="0" w:firstLine="425"/>
      </w:pPr>
      <w:rPr>
        <w:rFonts w:hint="eastAsia"/>
      </w:rPr>
    </w:lvl>
    <w:lvl w:ilvl="3" w:tentative="0">
      <w:start w:val="1"/>
      <w:numFmt w:val="decimal"/>
      <w:pStyle w:val="454"/>
      <w:suff w:val="space"/>
      <w:lvlText w:val="%1.%2.%3.%4"/>
      <w:lvlJc w:val="left"/>
      <w:pPr>
        <w:ind w:left="1984" w:hanging="1559"/>
      </w:pPr>
      <w:rPr>
        <w:rFonts w:hint="eastAsia"/>
        <w:sz w:val="28"/>
        <w:szCs w:val="28"/>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0">
    <w:nsid w:val="411C0BD1"/>
    <w:multiLevelType w:val="multilevel"/>
    <w:tmpl w:val="411C0BD1"/>
    <w:lvl w:ilvl="0" w:tentative="0">
      <w:start w:val="1"/>
      <w:numFmt w:val="chineseCountingThousand"/>
      <w:suff w:val="space"/>
      <w:lvlText w:val="(%1)"/>
      <w:lvlJc w:val="left"/>
      <w:pPr>
        <w:ind w:left="892" w:hanging="420"/>
      </w:pPr>
      <w:rPr>
        <w:rFonts w:hint="eastAsia"/>
        <w:b w:val="0"/>
      </w:rPr>
    </w:lvl>
    <w:lvl w:ilvl="1" w:tentative="0">
      <w:start w:val="1"/>
      <w:numFmt w:val="lowerLetter"/>
      <w:lvlText w:val="%2)"/>
      <w:lvlJc w:val="left"/>
      <w:pPr>
        <w:ind w:left="1312" w:hanging="420"/>
      </w:pPr>
      <w:rPr>
        <w:rFonts w:hint="eastAsia"/>
      </w:rPr>
    </w:lvl>
    <w:lvl w:ilvl="2" w:tentative="0">
      <w:start w:val="1"/>
      <w:numFmt w:val="lowerRoman"/>
      <w:lvlText w:val="%3."/>
      <w:lvlJc w:val="right"/>
      <w:pPr>
        <w:ind w:left="1732" w:hanging="420"/>
      </w:pPr>
      <w:rPr>
        <w:rFonts w:hint="eastAsia"/>
      </w:rPr>
    </w:lvl>
    <w:lvl w:ilvl="3" w:tentative="0">
      <w:start w:val="1"/>
      <w:numFmt w:val="decimal"/>
      <w:lvlText w:val="%4."/>
      <w:lvlJc w:val="left"/>
      <w:pPr>
        <w:ind w:left="2152" w:hanging="420"/>
      </w:pPr>
      <w:rPr>
        <w:rFonts w:hint="eastAsia"/>
      </w:rPr>
    </w:lvl>
    <w:lvl w:ilvl="4" w:tentative="0">
      <w:start w:val="1"/>
      <w:numFmt w:val="lowerLetter"/>
      <w:lvlText w:val="%5)"/>
      <w:lvlJc w:val="left"/>
      <w:pPr>
        <w:ind w:left="2572" w:hanging="420"/>
      </w:pPr>
      <w:rPr>
        <w:rFonts w:hint="eastAsia"/>
      </w:rPr>
    </w:lvl>
    <w:lvl w:ilvl="5" w:tentative="0">
      <w:start w:val="1"/>
      <w:numFmt w:val="lowerRoman"/>
      <w:lvlText w:val="%6."/>
      <w:lvlJc w:val="right"/>
      <w:pPr>
        <w:ind w:left="2992" w:hanging="420"/>
      </w:pPr>
      <w:rPr>
        <w:rFonts w:hint="eastAsia"/>
      </w:rPr>
    </w:lvl>
    <w:lvl w:ilvl="6" w:tentative="0">
      <w:start w:val="1"/>
      <w:numFmt w:val="decimal"/>
      <w:lvlText w:val="%7."/>
      <w:lvlJc w:val="left"/>
      <w:pPr>
        <w:ind w:left="3412" w:hanging="420"/>
      </w:pPr>
      <w:rPr>
        <w:rFonts w:hint="eastAsia"/>
      </w:rPr>
    </w:lvl>
    <w:lvl w:ilvl="7" w:tentative="0">
      <w:start w:val="1"/>
      <w:numFmt w:val="lowerLetter"/>
      <w:lvlText w:val="%8)"/>
      <w:lvlJc w:val="left"/>
      <w:pPr>
        <w:ind w:left="3832" w:hanging="420"/>
      </w:pPr>
      <w:rPr>
        <w:rFonts w:hint="eastAsia"/>
      </w:rPr>
    </w:lvl>
    <w:lvl w:ilvl="8" w:tentative="0">
      <w:start w:val="1"/>
      <w:numFmt w:val="lowerRoman"/>
      <w:lvlText w:val="%9."/>
      <w:lvlJc w:val="right"/>
      <w:pPr>
        <w:ind w:left="4252" w:hanging="420"/>
      </w:pPr>
      <w:rPr>
        <w:rFonts w:hint="eastAsia"/>
      </w:rPr>
    </w:lvl>
  </w:abstractNum>
  <w:abstractNum w:abstractNumId="21">
    <w:nsid w:val="453A136A"/>
    <w:multiLevelType w:val="multilevel"/>
    <w:tmpl w:val="453A136A"/>
    <w:lvl w:ilvl="0" w:tentative="0">
      <w:start w:val="1"/>
      <w:numFmt w:val="decimal"/>
      <w:suff w:val="nothing"/>
      <w:lvlText w:val="（%1）"/>
      <w:lvlJc w:val="left"/>
      <w:pPr>
        <w:ind w:left="147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867517E"/>
    <w:multiLevelType w:val="multilevel"/>
    <w:tmpl w:val="4867517E"/>
    <w:lvl w:ilvl="0" w:tentative="0">
      <w:start w:val="1"/>
      <w:numFmt w:val="decimal"/>
      <w:suff w:val="space"/>
      <w:lvlText w:val="%1)"/>
      <w:lvlJc w:val="left"/>
      <w:pPr>
        <w:ind w:left="147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C5D58F9"/>
    <w:multiLevelType w:val="multilevel"/>
    <w:tmpl w:val="4C5D58F9"/>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1557426"/>
    <w:multiLevelType w:val="multilevel"/>
    <w:tmpl w:val="5155742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5AF95D2C"/>
    <w:multiLevelType w:val="multilevel"/>
    <w:tmpl w:val="5AF95D2C"/>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52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C946295"/>
    <w:multiLevelType w:val="singleLevel"/>
    <w:tmpl w:val="5C946295"/>
    <w:lvl w:ilvl="0" w:tentative="0">
      <w:start w:val="1"/>
      <w:numFmt w:val="decimal"/>
      <w:suff w:val="space"/>
      <w:lvlText w:val="%1."/>
      <w:lvlJc w:val="left"/>
      <w:pPr>
        <w:ind w:left="585" w:hanging="420"/>
      </w:pPr>
      <w:rPr>
        <w:rFonts w:hint="default"/>
        <w:w w:val="100"/>
      </w:rPr>
    </w:lvl>
  </w:abstractNum>
  <w:abstractNum w:abstractNumId="27">
    <w:nsid w:val="5C946299"/>
    <w:multiLevelType w:val="singleLevel"/>
    <w:tmpl w:val="5C946299"/>
    <w:lvl w:ilvl="0" w:tentative="0">
      <w:start w:val="1"/>
      <w:numFmt w:val="decimal"/>
      <w:lvlText w:val="%1."/>
      <w:lvlJc w:val="left"/>
      <w:pPr>
        <w:ind w:left="993" w:hanging="425"/>
      </w:pPr>
      <w:rPr>
        <w:rFonts w:hint="default"/>
        <w:w w:val="100"/>
      </w:rPr>
    </w:lvl>
  </w:abstractNum>
  <w:abstractNum w:abstractNumId="28">
    <w:nsid w:val="5C94629A"/>
    <w:multiLevelType w:val="singleLevel"/>
    <w:tmpl w:val="5C94629A"/>
    <w:lvl w:ilvl="0" w:tentative="0">
      <w:start w:val="1"/>
      <w:numFmt w:val="decimal"/>
      <w:suff w:val="nothing"/>
      <w:lvlText w:val="%1."/>
      <w:lvlJc w:val="left"/>
      <w:pPr>
        <w:ind w:left="360" w:hanging="425"/>
      </w:pPr>
      <w:rPr>
        <w:rFonts w:hint="default"/>
        <w:w w:val="100"/>
      </w:rPr>
    </w:lvl>
  </w:abstractNum>
  <w:abstractNum w:abstractNumId="29">
    <w:nsid w:val="5C94629B"/>
    <w:multiLevelType w:val="singleLevel"/>
    <w:tmpl w:val="5C94629B"/>
    <w:lvl w:ilvl="0" w:tentative="0">
      <w:start w:val="1"/>
      <w:numFmt w:val="decimal"/>
      <w:suff w:val="space"/>
      <w:lvlText w:val="%1."/>
      <w:lvlJc w:val="left"/>
      <w:pPr>
        <w:ind w:left="993" w:hanging="425"/>
      </w:pPr>
      <w:rPr>
        <w:rFonts w:hint="default"/>
        <w:w w:val="100"/>
      </w:rPr>
    </w:lvl>
  </w:abstractNum>
  <w:abstractNum w:abstractNumId="30">
    <w:nsid w:val="5C94629E"/>
    <w:multiLevelType w:val="singleLevel"/>
    <w:tmpl w:val="5C94629E"/>
    <w:lvl w:ilvl="0" w:tentative="0">
      <w:start w:val="1"/>
      <w:numFmt w:val="decimal"/>
      <w:lvlText w:val="%1."/>
      <w:lvlJc w:val="left"/>
      <w:pPr>
        <w:ind w:left="360" w:hanging="425"/>
      </w:pPr>
      <w:rPr>
        <w:rFonts w:hint="default"/>
        <w:w w:val="100"/>
      </w:rPr>
    </w:lvl>
  </w:abstractNum>
  <w:abstractNum w:abstractNumId="31">
    <w:nsid w:val="5C9462A0"/>
    <w:multiLevelType w:val="singleLevel"/>
    <w:tmpl w:val="5C9462A0"/>
    <w:lvl w:ilvl="0" w:tentative="0">
      <w:start w:val="1"/>
      <w:numFmt w:val="decimal"/>
      <w:lvlText w:val="%1."/>
      <w:lvlJc w:val="left"/>
      <w:pPr>
        <w:ind w:left="360" w:hanging="425"/>
      </w:pPr>
      <w:rPr>
        <w:rFonts w:hint="default"/>
        <w:b w:val="0"/>
        <w:w w:val="100"/>
      </w:rPr>
    </w:lvl>
  </w:abstractNum>
  <w:abstractNum w:abstractNumId="32">
    <w:nsid w:val="5F0C8844"/>
    <w:multiLevelType w:val="singleLevel"/>
    <w:tmpl w:val="5F0C8844"/>
    <w:lvl w:ilvl="0" w:tentative="0">
      <w:start w:val="1"/>
      <w:numFmt w:val="bullet"/>
      <w:lvlText w:val=""/>
      <w:lvlJc w:val="left"/>
      <w:pPr>
        <w:ind w:left="420" w:hanging="420"/>
      </w:pPr>
      <w:rPr>
        <w:rFonts w:hint="default" w:ascii="Wingdings" w:hAnsi="Wingdings"/>
      </w:rPr>
    </w:lvl>
  </w:abstractNum>
  <w:abstractNum w:abstractNumId="33">
    <w:nsid w:val="5F2B32CB"/>
    <w:multiLevelType w:val="multilevel"/>
    <w:tmpl w:val="5F2B32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F766D5F"/>
    <w:multiLevelType w:val="multilevel"/>
    <w:tmpl w:val="5F766D5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F8F2949"/>
    <w:multiLevelType w:val="multilevel"/>
    <w:tmpl w:val="5F8F2949"/>
    <w:lvl w:ilvl="0" w:tentative="0">
      <w:start w:val="1"/>
      <w:numFmt w:val="bullet"/>
      <w:pStyle w:val="354"/>
      <w:lvlText w:val=""/>
      <w:lvlJc w:val="left"/>
      <w:pPr>
        <w:tabs>
          <w:tab w:val="left" w:pos="1320"/>
        </w:tabs>
        <w:ind w:left="13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2F9435F"/>
    <w:multiLevelType w:val="multilevel"/>
    <w:tmpl w:val="62F9435F"/>
    <w:lvl w:ilvl="0" w:tentative="0">
      <w:start w:val="1"/>
      <w:numFmt w:val="decimal"/>
      <w:suff w:val="space"/>
      <w:lvlText w:val="%1."/>
      <w:lvlJc w:val="left"/>
      <w:pPr>
        <w:ind w:left="420" w:hanging="420"/>
      </w:pPr>
      <w:rPr>
        <w:rFonts w:hint="eastAsia"/>
        <w:b w:val="0"/>
      </w:r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37">
    <w:nsid w:val="63E22F95"/>
    <w:multiLevelType w:val="multilevel"/>
    <w:tmpl w:val="63E22F95"/>
    <w:lvl w:ilvl="0" w:tentative="0">
      <w:start w:val="1"/>
      <w:numFmt w:val="decimal"/>
      <w:suff w:val="space"/>
      <w:lvlText w:val="%1."/>
      <w:lvlJc w:val="left"/>
      <w:pPr>
        <w:ind w:left="892" w:hanging="420"/>
      </w:pPr>
      <w:rPr>
        <w:rFonts w:hint="default"/>
        <w:w w:val="100"/>
      </w:rPr>
    </w:lvl>
    <w:lvl w:ilvl="1" w:tentative="0">
      <w:start w:val="1"/>
      <w:numFmt w:val="lowerLetter"/>
      <w:lvlText w:val="%2)"/>
      <w:lvlJc w:val="left"/>
      <w:pPr>
        <w:ind w:left="1312" w:hanging="420"/>
      </w:pPr>
      <w:rPr>
        <w:rFonts w:hint="eastAsia"/>
      </w:rPr>
    </w:lvl>
    <w:lvl w:ilvl="2" w:tentative="0">
      <w:start w:val="1"/>
      <w:numFmt w:val="lowerRoman"/>
      <w:lvlText w:val="%3."/>
      <w:lvlJc w:val="right"/>
      <w:pPr>
        <w:ind w:left="1732" w:hanging="420"/>
      </w:pPr>
      <w:rPr>
        <w:rFonts w:hint="eastAsia"/>
      </w:rPr>
    </w:lvl>
    <w:lvl w:ilvl="3" w:tentative="0">
      <w:start w:val="1"/>
      <w:numFmt w:val="decimal"/>
      <w:lvlText w:val="%4."/>
      <w:lvlJc w:val="left"/>
      <w:pPr>
        <w:ind w:left="2152" w:hanging="420"/>
      </w:pPr>
      <w:rPr>
        <w:rFonts w:hint="eastAsia"/>
      </w:rPr>
    </w:lvl>
    <w:lvl w:ilvl="4" w:tentative="0">
      <w:start w:val="1"/>
      <w:numFmt w:val="lowerLetter"/>
      <w:lvlText w:val="%5)"/>
      <w:lvlJc w:val="left"/>
      <w:pPr>
        <w:ind w:left="2572" w:hanging="420"/>
      </w:pPr>
      <w:rPr>
        <w:rFonts w:hint="eastAsia"/>
      </w:rPr>
    </w:lvl>
    <w:lvl w:ilvl="5" w:tentative="0">
      <w:start w:val="1"/>
      <w:numFmt w:val="lowerRoman"/>
      <w:lvlText w:val="%6."/>
      <w:lvlJc w:val="right"/>
      <w:pPr>
        <w:ind w:left="2992" w:hanging="420"/>
      </w:pPr>
      <w:rPr>
        <w:rFonts w:hint="eastAsia"/>
      </w:rPr>
    </w:lvl>
    <w:lvl w:ilvl="6" w:tentative="0">
      <w:start w:val="1"/>
      <w:numFmt w:val="decimal"/>
      <w:lvlText w:val="%7."/>
      <w:lvlJc w:val="left"/>
      <w:pPr>
        <w:ind w:left="3412" w:hanging="420"/>
      </w:pPr>
      <w:rPr>
        <w:rFonts w:hint="eastAsia"/>
      </w:rPr>
    </w:lvl>
    <w:lvl w:ilvl="7" w:tentative="0">
      <w:start w:val="1"/>
      <w:numFmt w:val="lowerLetter"/>
      <w:lvlText w:val="%8)"/>
      <w:lvlJc w:val="left"/>
      <w:pPr>
        <w:ind w:left="3832" w:hanging="420"/>
      </w:pPr>
      <w:rPr>
        <w:rFonts w:hint="eastAsia"/>
      </w:rPr>
    </w:lvl>
    <w:lvl w:ilvl="8" w:tentative="0">
      <w:start w:val="1"/>
      <w:numFmt w:val="lowerRoman"/>
      <w:lvlText w:val="%9."/>
      <w:lvlJc w:val="right"/>
      <w:pPr>
        <w:ind w:left="4252" w:hanging="420"/>
      </w:pPr>
      <w:rPr>
        <w:rFonts w:hint="eastAsia"/>
      </w:rPr>
    </w:lvl>
  </w:abstractNum>
  <w:abstractNum w:abstractNumId="38">
    <w:nsid w:val="64543E22"/>
    <w:multiLevelType w:val="multilevel"/>
    <w:tmpl w:val="64543E22"/>
    <w:lvl w:ilvl="0" w:tentative="0">
      <w:start w:val="1"/>
      <w:numFmt w:val="decimal"/>
      <w:suff w:val="space"/>
      <w:lvlText w:val="%1)"/>
      <w:lvlJc w:val="left"/>
      <w:pPr>
        <w:ind w:left="70" w:hanging="420"/>
      </w:pPr>
      <w:rPr>
        <w:rFonts w:hint="eastAsia"/>
      </w:rPr>
    </w:lvl>
    <w:lvl w:ilvl="1" w:tentative="0">
      <w:start w:val="1"/>
      <w:numFmt w:val="lowerLetter"/>
      <w:lvlText w:val="%2)"/>
      <w:lvlJc w:val="left"/>
      <w:pPr>
        <w:ind w:left="490" w:hanging="420"/>
      </w:pPr>
    </w:lvl>
    <w:lvl w:ilvl="2" w:tentative="0">
      <w:start w:val="1"/>
      <w:numFmt w:val="lowerRoman"/>
      <w:lvlText w:val="%3."/>
      <w:lvlJc w:val="right"/>
      <w:pPr>
        <w:ind w:left="910" w:hanging="420"/>
      </w:pPr>
    </w:lvl>
    <w:lvl w:ilvl="3" w:tentative="0">
      <w:start w:val="1"/>
      <w:numFmt w:val="decimal"/>
      <w:lvlText w:val="%4."/>
      <w:lvlJc w:val="left"/>
      <w:pPr>
        <w:ind w:left="1330" w:hanging="420"/>
      </w:pPr>
    </w:lvl>
    <w:lvl w:ilvl="4" w:tentative="0">
      <w:start w:val="1"/>
      <w:numFmt w:val="lowerLetter"/>
      <w:lvlText w:val="%5)"/>
      <w:lvlJc w:val="left"/>
      <w:pPr>
        <w:ind w:left="1750" w:hanging="420"/>
      </w:pPr>
    </w:lvl>
    <w:lvl w:ilvl="5" w:tentative="0">
      <w:start w:val="1"/>
      <w:numFmt w:val="lowerRoman"/>
      <w:lvlText w:val="%6."/>
      <w:lvlJc w:val="right"/>
      <w:pPr>
        <w:ind w:left="2170" w:hanging="420"/>
      </w:pPr>
    </w:lvl>
    <w:lvl w:ilvl="6" w:tentative="0">
      <w:start w:val="1"/>
      <w:numFmt w:val="decimal"/>
      <w:lvlText w:val="%7."/>
      <w:lvlJc w:val="left"/>
      <w:pPr>
        <w:ind w:left="2590" w:hanging="420"/>
      </w:pPr>
    </w:lvl>
    <w:lvl w:ilvl="7" w:tentative="0">
      <w:start w:val="1"/>
      <w:numFmt w:val="lowerLetter"/>
      <w:lvlText w:val="%8)"/>
      <w:lvlJc w:val="left"/>
      <w:pPr>
        <w:ind w:left="3010" w:hanging="420"/>
      </w:pPr>
    </w:lvl>
    <w:lvl w:ilvl="8" w:tentative="0">
      <w:start w:val="1"/>
      <w:numFmt w:val="lowerRoman"/>
      <w:lvlText w:val="%9."/>
      <w:lvlJc w:val="right"/>
      <w:pPr>
        <w:ind w:left="3430" w:hanging="420"/>
      </w:pPr>
    </w:lvl>
  </w:abstractNum>
  <w:abstractNum w:abstractNumId="39">
    <w:nsid w:val="70C628C0"/>
    <w:multiLevelType w:val="multilevel"/>
    <w:tmpl w:val="70C628C0"/>
    <w:lvl w:ilvl="0" w:tentative="0">
      <w:start w:val="1"/>
      <w:numFmt w:val="decimal"/>
      <w:suff w:val="space"/>
      <w:lvlText w:val="%1."/>
      <w:lvlJc w:val="left"/>
      <w:pPr>
        <w:ind w:left="420" w:hanging="420"/>
      </w:pPr>
      <w:rPr>
        <w:rFonts w:hint="default"/>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8D97DE5"/>
    <w:multiLevelType w:val="multilevel"/>
    <w:tmpl w:val="78D97DE5"/>
    <w:lvl w:ilvl="0" w:tentative="0">
      <w:start w:val="1"/>
      <w:numFmt w:val="decimal"/>
      <w:suff w:val="space"/>
      <w:lvlText w:val="%1."/>
      <w:lvlJc w:val="left"/>
      <w:pPr>
        <w:ind w:left="420" w:hanging="420"/>
      </w:pPr>
      <w:rPr>
        <w:rFonts w:hint="default"/>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8E787C8"/>
    <w:multiLevelType w:val="singleLevel"/>
    <w:tmpl w:val="78E787C8"/>
    <w:lvl w:ilvl="0" w:tentative="0">
      <w:start w:val="1"/>
      <w:numFmt w:val="decimal"/>
      <w:suff w:val="nothing"/>
      <w:lvlText w:val="（%1）"/>
      <w:lvlJc w:val="left"/>
    </w:lvl>
  </w:abstractNum>
  <w:abstractNum w:abstractNumId="42">
    <w:nsid w:val="7A0F6794"/>
    <w:multiLevelType w:val="multilevel"/>
    <w:tmpl w:val="7A0F6794"/>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BCD3F17"/>
    <w:multiLevelType w:val="multilevel"/>
    <w:tmpl w:val="7BCD3F17"/>
    <w:lvl w:ilvl="0" w:tentative="0">
      <w:start w:val="13"/>
      <w:numFmt w:val="chineseCountingThousand"/>
      <w:lvlText w:val="%1、"/>
      <w:lvlJc w:val="left"/>
      <w:pPr>
        <w:ind w:left="4531"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9"/>
  </w:num>
  <w:num w:numId="2">
    <w:abstractNumId w:val="1"/>
  </w:num>
  <w:num w:numId="3">
    <w:abstractNumId w:val="4"/>
  </w:num>
  <w:num w:numId="4">
    <w:abstractNumId w:val="6"/>
  </w:num>
  <w:num w:numId="5">
    <w:abstractNumId w:val="35"/>
  </w:num>
  <w:num w:numId="6">
    <w:abstractNumId w:val="18"/>
  </w:num>
  <w:num w:numId="7">
    <w:abstractNumId w:val="16"/>
  </w:num>
  <w:num w:numId="8">
    <w:abstractNumId w:val="0"/>
  </w:num>
  <w:num w:numId="9">
    <w:abstractNumId w:val="14"/>
  </w:num>
  <w:num w:numId="10">
    <w:abstractNumId w:val="41"/>
  </w:num>
  <w:num w:numId="11">
    <w:abstractNumId w:val="7"/>
  </w:num>
  <w:num w:numId="12">
    <w:abstractNumId w:val="32"/>
  </w:num>
  <w:num w:numId="13">
    <w:abstractNumId w:val="12"/>
  </w:num>
  <w:num w:numId="14">
    <w:abstractNumId w:val="26"/>
  </w:num>
  <w:num w:numId="15">
    <w:abstractNumId w:val="5"/>
  </w:num>
  <w:num w:numId="16">
    <w:abstractNumId w:val="9"/>
  </w:num>
  <w:num w:numId="17">
    <w:abstractNumId w:val="10"/>
  </w:num>
  <w:num w:numId="18">
    <w:abstractNumId w:val="24"/>
  </w:num>
  <w:num w:numId="19">
    <w:abstractNumId w:val="39"/>
  </w:num>
  <w:num w:numId="20">
    <w:abstractNumId w:val="40"/>
  </w:num>
  <w:num w:numId="21">
    <w:abstractNumId w:val="33"/>
  </w:num>
  <w:num w:numId="22">
    <w:abstractNumId w:val="20"/>
  </w:num>
  <w:num w:numId="23">
    <w:abstractNumId w:val="37"/>
  </w:num>
  <w:num w:numId="24">
    <w:abstractNumId w:val="2"/>
  </w:num>
  <w:num w:numId="25">
    <w:abstractNumId w:val="22"/>
  </w:num>
  <w:num w:numId="26">
    <w:abstractNumId w:val="11"/>
  </w:num>
  <w:num w:numId="27">
    <w:abstractNumId w:val="21"/>
  </w:num>
  <w:num w:numId="28">
    <w:abstractNumId w:val="3"/>
  </w:num>
  <w:num w:numId="29">
    <w:abstractNumId w:val="27"/>
  </w:num>
  <w:num w:numId="30">
    <w:abstractNumId w:val="38"/>
  </w:num>
  <w:num w:numId="31">
    <w:abstractNumId w:val="34"/>
  </w:num>
  <w:num w:numId="32">
    <w:abstractNumId w:val="28"/>
  </w:num>
  <w:num w:numId="33">
    <w:abstractNumId w:val="29"/>
  </w:num>
  <w:num w:numId="34">
    <w:abstractNumId w:val="36"/>
  </w:num>
  <w:num w:numId="35">
    <w:abstractNumId w:val="17"/>
  </w:num>
  <w:num w:numId="36">
    <w:abstractNumId w:val="42"/>
  </w:num>
  <w:num w:numId="37">
    <w:abstractNumId w:val="30"/>
  </w:num>
  <w:num w:numId="38">
    <w:abstractNumId w:val="13"/>
  </w:num>
  <w:num w:numId="39">
    <w:abstractNumId w:val="25"/>
  </w:num>
  <w:num w:numId="40">
    <w:abstractNumId w:val="23"/>
  </w:num>
  <w:num w:numId="41">
    <w:abstractNumId w:val="8"/>
  </w:num>
  <w:num w:numId="42">
    <w:abstractNumId w:val="31"/>
  </w:num>
  <w:num w:numId="43">
    <w:abstractNumId w:val="4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20"/>
    <w:rsid w:val="000067DE"/>
    <w:rsid w:val="00014739"/>
    <w:rsid w:val="000357D0"/>
    <w:rsid w:val="00044D0E"/>
    <w:rsid w:val="000547A0"/>
    <w:rsid w:val="00063F38"/>
    <w:rsid w:val="000705B2"/>
    <w:rsid w:val="00074BD7"/>
    <w:rsid w:val="000815B2"/>
    <w:rsid w:val="000862AE"/>
    <w:rsid w:val="0008798B"/>
    <w:rsid w:val="00093138"/>
    <w:rsid w:val="000B5EBE"/>
    <w:rsid w:val="000C2A45"/>
    <w:rsid w:val="000C3954"/>
    <w:rsid w:val="000C4FEF"/>
    <w:rsid w:val="000D5274"/>
    <w:rsid w:val="000E2D27"/>
    <w:rsid w:val="000E2D5E"/>
    <w:rsid w:val="000E6D8D"/>
    <w:rsid w:val="000E6EB6"/>
    <w:rsid w:val="00111CD1"/>
    <w:rsid w:val="00181262"/>
    <w:rsid w:val="00185B6E"/>
    <w:rsid w:val="001A7213"/>
    <w:rsid w:val="001B0771"/>
    <w:rsid w:val="001B29F1"/>
    <w:rsid w:val="001B2D12"/>
    <w:rsid w:val="001B7878"/>
    <w:rsid w:val="001C515E"/>
    <w:rsid w:val="001C63A9"/>
    <w:rsid w:val="001D4FF8"/>
    <w:rsid w:val="00214EA1"/>
    <w:rsid w:val="00215B43"/>
    <w:rsid w:val="00226306"/>
    <w:rsid w:val="0023055B"/>
    <w:rsid w:val="00242160"/>
    <w:rsid w:val="002441EC"/>
    <w:rsid w:val="00251B89"/>
    <w:rsid w:val="00255367"/>
    <w:rsid w:val="00263EE3"/>
    <w:rsid w:val="0028037F"/>
    <w:rsid w:val="00286E20"/>
    <w:rsid w:val="00290AE0"/>
    <w:rsid w:val="00295607"/>
    <w:rsid w:val="00297778"/>
    <w:rsid w:val="002C0176"/>
    <w:rsid w:val="002C6831"/>
    <w:rsid w:val="002D04B6"/>
    <w:rsid w:val="002F7C16"/>
    <w:rsid w:val="00302C1A"/>
    <w:rsid w:val="00310EA0"/>
    <w:rsid w:val="00322A5A"/>
    <w:rsid w:val="00330BD4"/>
    <w:rsid w:val="00332E70"/>
    <w:rsid w:val="003477E6"/>
    <w:rsid w:val="00356166"/>
    <w:rsid w:val="0036547F"/>
    <w:rsid w:val="00392C0F"/>
    <w:rsid w:val="003A2A91"/>
    <w:rsid w:val="003B2C2A"/>
    <w:rsid w:val="003B3C12"/>
    <w:rsid w:val="003C0D6B"/>
    <w:rsid w:val="003C32E3"/>
    <w:rsid w:val="003D0500"/>
    <w:rsid w:val="003D1004"/>
    <w:rsid w:val="003D7BE3"/>
    <w:rsid w:val="003E1994"/>
    <w:rsid w:val="003E3764"/>
    <w:rsid w:val="004016CC"/>
    <w:rsid w:val="004173D2"/>
    <w:rsid w:val="004261A6"/>
    <w:rsid w:val="0043273D"/>
    <w:rsid w:val="00463FF7"/>
    <w:rsid w:val="00466B20"/>
    <w:rsid w:val="0047165E"/>
    <w:rsid w:val="00483C10"/>
    <w:rsid w:val="00485013"/>
    <w:rsid w:val="00492370"/>
    <w:rsid w:val="004E4132"/>
    <w:rsid w:val="004F1AB9"/>
    <w:rsid w:val="00515017"/>
    <w:rsid w:val="00521B85"/>
    <w:rsid w:val="0052672D"/>
    <w:rsid w:val="0054501B"/>
    <w:rsid w:val="005523AE"/>
    <w:rsid w:val="00552619"/>
    <w:rsid w:val="0055429A"/>
    <w:rsid w:val="00556B33"/>
    <w:rsid w:val="00562B66"/>
    <w:rsid w:val="00575942"/>
    <w:rsid w:val="00575AB7"/>
    <w:rsid w:val="005820BB"/>
    <w:rsid w:val="00584D69"/>
    <w:rsid w:val="0059695E"/>
    <w:rsid w:val="005A21CC"/>
    <w:rsid w:val="005A6DB6"/>
    <w:rsid w:val="005B652B"/>
    <w:rsid w:val="005D2FAA"/>
    <w:rsid w:val="005D5271"/>
    <w:rsid w:val="005F28B8"/>
    <w:rsid w:val="00607212"/>
    <w:rsid w:val="0061119A"/>
    <w:rsid w:val="00613539"/>
    <w:rsid w:val="00615248"/>
    <w:rsid w:val="006259B4"/>
    <w:rsid w:val="006419B3"/>
    <w:rsid w:val="00651073"/>
    <w:rsid w:val="00653179"/>
    <w:rsid w:val="006535A3"/>
    <w:rsid w:val="00676BA9"/>
    <w:rsid w:val="00683113"/>
    <w:rsid w:val="00692C55"/>
    <w:rsid w:val="00697589"/>
    <w:rsid w:val="006A2085"/>
    <w:rsid w:val="006A3EDC"/>
    <w:rsid w:val="006A65D4"/>
    <w:rsid w:val="006A6956"/>
    <w:rsid w:val="006B5D6E"/>
    <w:rsid w:val="006C3244"/>
    <w:rsid w:val="006F1306"/>
    <w:rsid w:val="00717EC7"/>
    <w:rsid w:val="007272F5"/>
    <w:rsid w:val="00735076"/>
    <w:rsid w:val="007553DF"/>
    <w:rsid w:val="007573B7"/>
    <w:rsid w:val="00772BBD"/>
    <w:rsid w:val="0077309C"/>
    <w:rsid w:val="0078142C"/>
    <w:rsid w:val="00797C50"/>
    <w:rsid w:val="007D77DA"/>
    <w:rsid w:val="007F03DD"/>
    <w:rsid w:val="00807668"/>
    <w:rsid w:val="00810B0E"/>
    <w:rsid w:val="00811788"/>
    <w:rsid w:val="00813F64"/>
    <w:rsid w:val="0085497F"/>
    <w:rsid w:val="00855092"/>
    <w:rsid w:val="008557AD"/>
    <w:rsid w:val="00857789"/>
    <w:rsid w:val="00860D82"/>
    <w:rsid w:val="0089006B"/>
    <w:rsid w:val="008B18E0"/>
    <w:rsid w:val="008B54EA"/>
    <w:rsid w:val="008C7444"/>
    <w:rsid w:val="008E5D0F"/>
    <w:rsid w:val="008E70C7"/>
    <w:rsid w:val="008E7492"/>
    <w:rsid w:val="008F079A"/>
    <w:rsid w:val="00901BA3"/>
    <w:rsid w:val="00904011"/>
    <w:rsid w:val="00914182"/>
    <w:rsid w:val="00926A67"/>
    <w:rsid w:val="00927F52"/>
    <w:rsid w:val="00944617"/>
    <w:rsid w:val="009465D7"/>
    <w:rsid w:val="00955B24"/>
    <w:rsid w:val="00962B40"/>
    <w:rsid w:val="00964A41"/>
    <w:rsid w:val="00973E92"/>
    <w:rsid w:val="00974C52"/>
    <w:rsid w:val="0098230E"/>
    <w:rsid w:val="009A1A08"/>
    <w:rsid w:val="009A2948"/>
    <w:rsid w:val="009B58C5"/>
    <w:rsid w:val="009C4780"/>
    <w:rsid w:val="009E47CD"/>
    <w:rsid w:val="00A03FBB"/>
    <w:rsid w:val="00A05B44"/>
    <w:rsid w:val="00A20CD3"/>
    <w:rsid w:val="00A21787"/>
    <w:rsid w:val="00A25E1D"/>
    <w:rsid w:val="00A31AC5"/>
    <w:rsid w:val="00A417CA"/>
    <w:rsid w:val="00A60102"/>
    <w:rsid w:val="00A63293"/>
    <w:rsid w:val="00A65F06"/>
    <w:rsid w:val="00A9421D"/>
    <w:rsid w:val="00AA6169"/>
    <w:rsid w:val="00AB108E"/>
    <w:rsid w:val="00AD2C6C"/>
    <w:rsid w:val="00AD3D41"/>
    <w:rsid w:val="00AE06BC"/>
    <w:rsid w:val="00AE3D58"/>
    <w:rsid w:val="00AF0BAF"/>
    <w:rsid w:val="00AF1DA5"/>
    <w:rsid w:val="00B00B07"/>
    <w:rsid w:val="00B038C1"/>
    <w:rsid w:val="00B1558D"/>
    <w:rsid w:val="00B166B3"/>
    <w:rsid w:val="00B32A27"/>
    <w:rsid w:val="00B36827"/>
    <w:rsid w:val="00B43359"/>
    <w:rsid w:val="00B55D72"/>
    <w:rsid w:val="00B76452"/>
    <w:rsid w:val="00B801A8"/>
    <w:rsid w:val="00B95864"/>
    <w:rsid w:val="00BA131A"/>
    <w:rsid w:val="00BA35EE"/>
    <w:rsid w:val="00BA4215"/>
    <w:rsid w:val="00BA5171"/>
    <w:rsid w:val="00BB2281"/>
    <w:rsid w:val="00BB7C92"/>
    <w:rsid w:val="00BC2F41"/>
    <w:rsid w:val="00BD6154"/>
    <w:rsid w:val="00BD75EE"/>
    <w:rsid w:val="00BE29CC"/>
    <w:rsid w:val="00BE2B40"/>
    <w:rsid w:val="00BE5423"/>
    <w:rsid w:val="00BE5BA7"/>
    <w:rsid w:val="00C047BA"/>
    <w:rsid w:val="00C05B5B"/>
    <w:rsid w:val="00C20D23"/>
    <w:rsid w:val="00C33E12"/>
    <w:rsid w:val="00C57B49"/>
    <w:rsid w:val="00C60D64"/>
    <w:rsid w:val="00C61579"/>
    <w:rsid w:val="00C77D00"/>
    <w:rsid w:val="00C91D19"/>
    <w:rsid w:val="00C9672A"/>
    <w:rsid w:val="00CB15B8"/>
    <w:rsid w:val="00CB1AB4"/>
    <w:rsid w:val="00CD79E6"/>
    <w:rsid w:val="00CE52F9"/>
    <w:rsid w:val="00CF3A05"/>
    <w:rsid w:val="00CF4E22"/>
    <w:rsid w:val="00D02FA0"/>
    <w:rsid w:val="00D04648"/>
    <w:rsid w:val="00D04EC1"/>
    <w:rsid w:val="00D31A5D"/>
    <w:rsid w:val="00D34DC8"/>
    <w:rsid w:val="00D36615"/>
    <w:rsid w:val="00D4239B"/>
    <w:rsid w:val="00D5617E"/>
    <w:rsid w:val="00D56F98"/>
    <w:rsid w:val="00D8783C"/>
    <w:rsid w:val="00DB4762"/>
    <w:rsid w:val="00DE77DD"/>
    <w:rsid w:val="00DE79F9"/>
    <w:rsid w:val="00DF172B"/>
    <w:rsid w:val="00DF5259"/>
    <w:rsid w:val="00DF69D8"/>
    <w:rsid w:val="00DF6D8F"/>
    <w:rsid w:val="00E11F62"/>
    <w:rsid w:val="00E16101"/>
    <w:rsid w:val="00E208E5"/>
    <w:rsid w:val="00E50DDE"/>
    <w:rsid w:val="00E52B12"/>
    <w:rsid w:val="00E53221"/>
    <w:rsid w:val="00E55780"/>
    <w:rsid w:val="00E5730C"/>
    <w:rsid w:val="00E71DCE"/>
    <w:rsid w:val="00E75099"/>
    <w:rsid w:val="00E7695A"/>
    <w:rsid w:val="00E866F8"/>
    <w:rsid w:val="00EB1E75"/>
    <w:rsid w:val="00EB7003"/>
    <w:rsid w:val="00ED396D"/>
    <w:rsid w:val="00EF1628"/>
    <w:rsid w:val="00F02D21"/>
    <w:rsid w:val="00F100B0"/>
    <w:rsid w:val="00F20222"/>
    <w:rsid w:val="00F33A0D"/>
    <w:rsid w:val="00F42E9B"/>
    <w:rsid w:val="00F475D0"/>
    <w:rsid w:val="00F60208"/>
    <w:rsid w:val="00F619D5"/>
    <w:rsid w:val="00FB5F93"/>
    <w:rsid w:val="00FC0765"/>
    <w:rsid w:val="00FC096D"/>
    <w:rsid w:val="00FC77D5"/>
    <w:rsid w:val="00FD691D"/>
    <w:rsid w:val="00FE0FB0"/>
    <w:rsid w:val="00FE1510"/>
    <w:rsid w:val="044F49EE"/>
    <w:rsid w:val="0A1F69F7"/>
    <w:rsid w:val="0AB0265F"/>
    <w:rsid w:val="0B625E39"/>
    <w:rsid w:val="0D203981"/>
    <w:rsid w:val="0F6752E4"/>
    <w:rsid w:val="11030DBD"/>
    <w:rsid w:val="15B40A6B"/>
    <w:rsid w:val="16B0685A"/>
    <w:rsid w:val="17A05C63"/>
    <w:rsid w:val="19C00839"/>
    <w:rsid w:val="1A054B3F"/>
    <w:rsid w:val="1C1005C5"/>
    <w:rsid w:val="1D232E50"/>
    <w:rsid w:val="1EA178FC"/>
    <w:rsid w:val="210500DE"/>
    <w:rsid w:val="216C13A8"/>
    <w:rsid w:val="289D622A"/>
    <w:rsid w:val="2AF80431"/>
    <w:rsid w:val="2D7A66E8"/>
    <w:rsid w:val="2F866E22"/>
    <w:rsid w:val="322F45F9"/>
    <w:rsid w:val="325F4B23"/>
    <w:rsid w:val="32963E1D"/>
    <w:rsid w:val="329F7E09"/>
    <w:rsid w:val="334B70FB"/>
    <w:rsid w:val="341B53D8"/>
    <w:rsid w:val="341C1760"/>
    <w:rsid w:val="34FC225A"/>
    <w:rsid w:val="357416F0"/>
    <w:rsid w:val="365407B2"/>
    <w:rsid w:val="3815490D"/>
    <w:rsid w:val="3A484EFD"/>
    <w:rsid w:val="3C9427FB"/>
    <w:rsid w:val="3D0B4286"/>
    <w:rsid w:val="3E2D3BB9"/>
    <w:rsid w:val="408A1AD2"/>
    <w:rsid w:val="44ED245B"/>
    <w:rsid w:val="46431E9B"/>
    <w:rsid w:val="52233F9E"/>
    <w:rsid w:val="52CE4568"/>
    <w:rsid w:val="53C444D5"/>
    <w:rsid w:val="55972629"/>
    <w:rsid w:val="55E15C6D"/>
    <w:rsid w:val="579C6453"/>
    <w:rsid w:val="5C450498"/>
    <w:rsid w:val="5CAE04F8"/>
    <w:rsid w:val="61CF72AE"/>
    <w:rsid w:val="64BC2546"/>
    <w:rsid w:val="654D750A"/>
    <w:rsid w:val="66E86F9C"/>
    <w:rsid w:val="68AB281E"/>
    <w:rsid w:val="690A279D"/>
    <w:rsid w:val="6D161E2D"/>
    <w:rsid w:val="6D954EAB"/>
    <w:rsid w:val="70410C8F"/>
    <w:rsid w:val="70CC2132"/>
    <w:rsid w:val="73B33715"/>
    <w:rsid w:val="78CF96CC"/>
    <w:rsid w:val="79AB0EC3"/>
    <w:rsid w:val="79AD5428"/>
    <w:rsid w:val="79D46000"/>
    <w:rsid w:val="7AB6798E"/>
    <w:rsid w:val="7DE56F78"/>
    <w:rsid w:val="7E836322"/>
    <w:rsid w:val="7FAC4BA4"/>
    <w:rsid w:val="97CDC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50"/>
    <w:qFormat/>
    <w:uiPriority w:val="0"/>
    <w:pPr>
      <w:keepNext/>
      <w:keepLines/>
      <w:spacing w:before="340" w:after="330" w:line="578" w:lineRule="auto"/>
      <w:ind w:left="420"/>
      <w:jc w:val="center"/>
      <w:outlineLvl w:val="0"/>
    </w:pPr>
    <w:rPr>
      <w:b/>
      <w:bCs/>
      <w:kern w:val="44"/>
      <w:sz w:val="44"/>
      <w:szCs w:val="44"/>
      <w:lang w:val="zh-CN"/>
    </w:rPr>
  </w:style>
  <w:style w:type="paragraph" w:styleId="5">
    <w:name w:val="heading 2"/>
    <w:basedOn w:val="1"/>
    <w:next w:val="1"/>
    <w:link w:val="92"/>
    <w:qFormat/>
    <w:uiPriority w:val="0"/>
    <w:pPr>
      <w:keepNext/>
      <w:keepLines/>
      <w:tabs>
        <w:tab w:val="left" w:pos="2410"/>
      </w:tabs>
      <w:spacing w:before="120" w:after="120" w:line="416" w:lineRule="auto"/>
      <w:outlineLvl w:val="1"/>
    </w:pPr>
    <w:rPr>
      <w:rFonts w:ascii="Arial" w:hAnsi="Arial" w:eastAsia="黑体"/>
      <w:bCs/>
      <w:sz w:val="32"/>
      <w:szCs w:val="32"/>
      <w:lang w:val="zh-CN"/>
    </w:rPr>
  </w:style>
  <w:style w:type="paragraph" w:styleId="6">
    <w:name w:val="heading 3"/>
    <w:basedOn w:val="1"/>
    <w:next w:val="1"/>
    <w:link w:val="199"/>
    <w:qFormat/>
    <w:uiPriority w:val="0"/>
    <w:pPr>
      <w:keepNext/>
      <w:keepLines/>
      <w:spacing w:before="260" w:after="260" w:line="416" w:lineRule="auto"/>
      <w:outlineLvl w:val="2"/>
    </w:pPr>
    <w:rPr>
      <w:b/>
      <w:bCs/>
      <w:sz w:val="32"/>
      <w:szCs w:val="32"/>
      <w:lang w:val="zh-CN"/>
    </w:rPr>
  </w:style>
  <w:style w:type="paragraph" w:styleId="7">
    <w:name w:val="heading 4"/>
    <w:basedOn w:val="1"/>
    <w:next w:val="8"/>
    <w:link w:val="219"/>
    <w:qFormat/>
    <w:uiPriority w:val="0"/>
    <w:pPr>
      <w:keepNext/>
      <w:keepLines/>
      <w:spacing w:before="280" w:after="290" w:line="376" w:lineRule="auto"/>
      <w:outlineLvl w:val="3"/>
    </w:pPr>
    <w:rPr>
      <w:rFonts w:ascii="Arial" w:hAnsi="Arial" w:eastAsia="黑体"/>
      <w:b/>
      <w:bCs/>
      <w:sz w:val="28"/>
      <w:szCs w:val="28"/>
      <w:lang w:val="zh-CN"/>
    </w:rPr>
  </w:style>
  <w:style w:type="paragraph" w:styleId="9">
    <w:name w:val="heading 5"/>
    <w:basedOn w:val="1"/>
    <w:next w:val="1"/>
    <w:link w:val="116"/>
    <w:qFormat/>
    <w:uiPriority w:val="0"/>
    <w:pPr>
      <w:keepNext/>
      <w:keepLines/>
      <w:spacing w:before="280" w:after="290" w:line="372" w:lineRule="auto"/>
      <w:outlineLvl w:val="4"/>
    </w:pPr>
    <w:rPr>
      <w:rFonts w:ascii="Calibri" w:hAnsi="Calibri"/>
      <w:b/>
      <w:bCs/>
      <w:sz w:val="28"/>
      <w:szCs w:val="28"/>
      <w:lang w:val="zh-CN"/>
    </w:rPr>
  </w:style>
  <w:style w:type="paragraph" w:styleId="10">
    <w:name w:val="heading 6"/>
    <w:basedOn w:val="1"/>
    <w:next w:val="1"/>
    <w:link w:val="153"/>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lang w:val="zh-CN"/>
    </w:rPr>
  </w:style>
  <w:style w:type="paragraph" w:styleId="11">
    <w:name w:val="heading 7"/>
    <w:basedOn w:val="1"/>
    <w:next w:val="1"/>
    <w:link w:val="118"/>
    <w:qFormat/>
    <w:uiPriority w:val="0"/>
    <w:pPr>
      <w:keepNext/>
      <w:keepLines/>
      <w:widowControl/>
      <w:tabs>
        <w:tab w:val="left" w:pos="2520"/>
      </w:tabs>
      <w:spacing w:before="240" w:after="64" w:line="320" w:lineRule="auto"/>
      <w:ind w:left="1296" w:hanging="1296"/>
      <w:jc w:val="left"/>
      <w:outlineLvl w:val="6"/>
    </w:pPr>
    <w:rPr>
      <w:b/>
      <w:bCs/>
      <w:kern w:val="0"/>
      <w:sz w:val="24"/>
      <w:szCs w:val="24"/>
      <w:lang w:val="zh-CN"/>
    </w:rPr>
  </w:style>
  <w:style w:type="paragraph" w:styleId="12">
    <w:name w:val="heading 8"/>
    <w:basedOn w:val="1"/>
    <w:next w:val="1"/>
    <w:link w:val="17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lang w:val="zh-CN"/>
    </w:rPr>
  </w:style>
  <w:style w:type="paragraph" w:styleId="13">
    <w:name w:val="heading 9"/>
    <w:basedOn w:val="1"/>
    <w:next w:val="1"/>
    <w:link w:val="136"/>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lang w:val="zh-CN"/>
    </w:rPr>
  </w:style>
  <w:style w:type="character" w:default="1" w:styleId="58">
    <w:name w:val="Default Paragraph Font"/>
    <w:semiHidden/>
    <w:unhideWhenUsed/>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link w:val="187"/>
    <w:qFormat/>
    <w:uiPriority w:val="0"/>
    <w:pPr>
      <w:adjustRightInd w:val="0"/>
      <w:spacing w:line="360" w:lineRule="atLeast"/>
      <w:ind w:firstLine="482"/>
    </w:pPr>
    <w:rPr>
      <w:rFonts w:asciiTheme="minorHAnsi" w:hAnsiTheme="minorHAnsi" w:cstheme="minorBidi"/>
      <w:sz w:val="24"/>
      <w:szCs w:val="24"/>
    </w:rPr>
  </w:style>
  <w:style w:type="paragraph" w:styleId="14">
    <w:name w:val="List 3"/>
    <w:basedOn w:val="1"/>
    <w:qFormat/>
    <w:uiPriority w:val="0"/>
    <w:pPr>
      <w:ind w:left="100" w:leftChars="400" w:hanging="200" w:hangingChars="200"/>
    </w:pPr>
    <w:rPr>
      <w:szCs w:val="24"/>
    </w:rPr>
  </w:style>
  <w:style w:type="paragraph" w:styleId="15">
    <w:name w:val="toc 7"/>
    <w:basedOn w:val="1"/>
    <w:next w:val="1"/>
    <w:qFormat/>
    <w:uiPriority w:val="0"/>
    <w:pPr>
      <w:ind w:left="2520" w:leftChars="1200"/>
    </w:pPr>
    <w:rPr>
      <w:rFonts w:ascii="Calibri" w:hAnsi="Calibri"/>
      <w:szCs w:val="22"/>
    </w:rPr>
  </w:style>
  <w:style w:type="paragraph" w:styleId="16">
    <w:name w:val="caption"/>
    <w:basedOn w:val="1"/>
    <w:next w:val="1"/>
    <w:qFormat/>
    <w:uiPriority w:val="0"/>
    <w:rPr>
      <w:rFonts w:ascii="Cambria" w:hAnsi="Cambria" w:eastAsia="黑体"/>
      <w:sz w:val="20"/>
    </w:rPr>
  </w:style>
  <w:style w:type="paragraph" w:styleId="17">
    <w:name w:val="List Bullet"/>
    <w:basedOn w:val="1"/>
    <w:qFormat/>
    <w:uiPriority w:val="0"/>
    <w:pPr>
      <w:tabs>
        <w:tab w:val="left" w:pos="1418"/>
      </w:tabs>
      <w:spacing w:line="360" w:lineRule="auto"/>
      <w:ind w:left="1418" w:hanging="397"/>
    </w:pPr>
    <w:rPr>
      <w:sz w:val="24"/>
      <w:szCs w:val="24"/>
    </w:rPr>
  </w:style>
  <w:style w:type="paragraph" w:styleId="18">
    <w:name w:val="Document Map"/>
    <w:basedOn w:val="1"/>
    <w:link w:val="203"/>
    <w:qFormat/>
    <w:uiPriority w:val="0"/>
    <w:pPr>
      <w:shd w:val="clear" w:color="auto" w:fill="000080"/>
    </w:pPr>
    <w:rPr>
      <w:rFonts w:asciiTheme="minorHAnsi" w:hAnsiTheme="minorHAnsi" w:eastAsiaTheme="minorEastAsia" w:cstheme="minorBidi"/>
      <w:szCs w:val="22"/>
    </w:rPr>
  </w:style>
  <w:style w:type="paragraph" w:styleId="19">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20">
    <w:name w:val="annotation text"/>
    <w:basedOn w:val="1"/>
    <w:link w:val="168"/>
    <w:qFormat/>
    <w:uiPriority w:val="0"/>
    <w:pPr>
      <w:jc w:val="left"/>
    </w:pPr>
    <w:rPr>
      <w:rFonts w:asciiTheme="minorHAnsi" w:hAnsiTheme="minorHAnsi" w:eastAsiaTheme="minorEastAsia" w:cstheme="minorBidi"/>
      <w:szCs w:val="24"/>
    </w:rPr>
  </w:style>
  <w:style w:type="paragraph" w:styleId="21">
    <w:name w:val="Body Text 3"/>
    <w:basedOn w:val="1"/>
    <w:link w:val="113"/>
    <w:qFormat/>
    <w:uiPriority w:val="0"/>
    <w:rPr>
      <w:rFonts w:ascii="宋体" w:hAnsiTheme="minorHAnsi" w:eastAsiaTheme="minorEastAsia" w:cstheme="minorBidi"/>
      <w:sz w:val="24"/>
      <w:szCs w:val="24"/>
    </w:rPr>
  </w:style>
  <w:style w:type="paragraph" w:styleId="22">
    <w:name w:val="Body Text"/>
    <w:basedOn w:val="1"/>
    <w:link w:val="108"/>
    <w:qFormat/>
    <w:uiPriority w:val="0"/>
    <w:rPr>
      <w:rFonts w:asciiTheme="minorHAnsi" w:hAnsiTheme="minorHAnsi" w:eastAsiaTheme="minorEastAsia" w:cstheme="minorBidi"/>
      <w:sz w:val="28"/>
      <w:szCs w:val="24"/>
    </w:rPr>
  </w:style>
  <w:style w:type="paragraph" w:styleId="23">
    <w:name w:val="Body Text Indent"/>
    <w:basedOn w:val="1"/>
    <w:link w:val="239"/>
    <w:unhideWhenUsed/>
    <w:qFormat/>
    <w:uiPriority w:val="0"/>
    <w:pPr>
      <w:spacing w:after="120"/>
      <w:ind w:left="420" w:leftChars="200"/>
    </w:pPr>
  </w:style>
  <w:style w:type="paragraph" w:styleId="24">
    <w:name w:val="List 2"/>
    <w:basedOn w:val="1"/>
    <w:qFormat/>
    <w:uiPriority w:val="0"/>
    <w:pPr>
      <w:ind w:left="100" w:leftChars="200" w:hanging="200" w:hangingChars="200"/>
    </w:pPr>
    <w:rPr>
      <w:szCs w:val="24"/>
    </w:rPr>
  </w:style>
  <w:style w:type="paragraph" w:styleId="25">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6">
    <w:name w:val="List Bullet 2"/>
    <w:basedOn w:val="1"/>
    <w:qFormat/>
    <w:uiPriority w:val="0"/>
    <w:pPr>
      <w:widowControl/>
      <w:tabs>
        <w:tab w:val="left" w:pos="1550"/>
      </w:tabs>
      <w:adjustRightInd w:val="0"/>
      <w:snapToGrid w:val="0"/>
      <w:spacing w:before="120" w:line="360" w:lineRule="auto"/>
      <w:ind w:left="1550" w:hanging="990"/>
      <w:jc w:val="left"/>
    </w:pPr>
    <w:rPr>
      <w:rFonts w:ascii="宋体" w:hAnsi="宋体"/>
      <w:spacing w:val="-5"/>
      <w:kern w:val="0"/>
    </w:rPr>
  </w:style>
  <w:style w:type="paragraph" w:styleId="27">
    <w:name w:val="index 4"/>
    <w:basedOn w:val="1"/>
    <w:next w:val="1"/>
    <w:qFormat/>
    <w:uiPriority w:val="0"/>
    <w:pPr>
      <w:ind w:left="600" w:leftChars="600"/>
    </w:pPr>
    <w:rPr>
      <w:szCs w:val="24"/>
    </w:rPr>
  </w:style>
  <w:style w:type="paragraph" w:styleId="28">
    <w:name w:val="toc 5"/>
    <w:basedOn w:val="1"/>
    <w:next w:val="1"/>
    <w:qFormat/>
    <w:uiPriority w:val="0"/>
    <w:pPr>
      <w:ind w:left="1680" w:leftChars="800"/>
    </w:pPr>
    <w:rPr>
      <w:szCs w:val="24"/>
    </w:rPr>
  </w:style>
  <w:style w:type="paragraph" w:styleId="29">
    <w:name w:val="toc 3"/>
    <w:basedOn w:val="1"/>
    <w:next w:val="1"/>
    <w:qFormat/>
    <w:uiPriority w:val="0"/>
    <w:pPr>
      <w:ind w:left="840" w:leftChars="400"/>
    </w:pPr>
    <w:rPr>
      <w:szCs w:val="24"/>
    </w:rPr>
  </w:style>
  <w:style w:type="paragraph" w:styleId="30">
    <w:name w:val="Plain Text"/>
    <w:basedOn w:val="1"/>
    <w:link w:val="180"/>
    <w:qFormat/>
    <w:uiPriority w:val="0"/>
    <w:rPr>
      <w:rFonts w:ascii="宋体" w:hAnsi="Courier New" w:cs="Courier New" w:eastAsiaTheme="minorEastAsia"/>
      <w:szCs w:val="21"/>
    </w:rPr>
  </w:style>
  <w:style w:type="paragraph" w:styleId="31">
    <w:name w:val="toc 8"/>
    <w:basedOn w:val="1"/>
    <w:next w:val="1"/>
    <w:qFormat/>
    <w:uiPriority w:val="0"/>
    <w:pPr>
      <w:ind w:left="2940" w:leftChars="1400"/>
    </w:pPr>
    <w:rPr>
      <w:rFonts w:ascii="Calibri" w:hAnsi="Calibri"/>
      <w:szCs w:val="22"/>
    </w:rPr>
  </w:style>
  <w:style w:type="paragraph" w:styleId="32">
    <w:name w:val="Date"/>
    <w:basedOn w:val="1"/>
    <w:next w:val="1"/>
    <w:link w:val="223"/>
    <w:qFormat/>
    <w:uiPriority w:val="0"/>
    <w:pPr>
      <w:ind w:left="100" w:leftChars="2500"/>
    </w:pPr>
    <w:rPr>
      <w:rFonts w:asciiTheme="minorHAnsi" w:hAnsiTheme="minorHAnsi" w:eastAsiaTheme="minorEastAsia" w:cstheme="minorBidi"/>
      <w:szCs w:val="24"/>
    </w:rPr>
  </w:style>
  <w:style w:type="paragraph" w:styleId="33">
    <w:name w:val="Body Text Indent 2"/>
    <w:basedOn w:val="1"/>
    <w:link w:val="90"/>
    <w:qFormat/>
    <w:uiPriority w:val="0"/>
    <w:pPr>
      <w:spacing w:after="120" w:line="480" w:lineRule="auto"/>
      <w:ind w:left="420" w:leftChars="200"/>
    </w:pPr>
    <w:rPr>
      <w:rFonts w:asciiTheme="minorHAnsi" w:hAnsiTheme="minorHAnsi" w:eastAsiaTheme="minorEastAsia" w:cstheme="minorBidi"/>
      <w:szCs w:val="24"/>
    </w:rPr>
  </w:style>
  <w:style w:type="paragraph" w:styleId="34">
    <w:name w:val="endnote text"/>
    <w:basedOn w:val="1"/>
    <w:link w:val="253"/>
    <w:qFormat/>
    <w:uiPriority w:val="0"/>
    <w:pPr>
      <w:snapToGrid w:val="0"/>
      <w:spacing w:line="360" w:lineRule="auto"/>
      <w:jc w:val="left"/>
    </w:pPr>
    <w:rPr>
      <w:sz w:val="24"/>
      <w:szCs w:val="24"/>
    </w:rPr>
  </w:style>
  <w:style w:type="paragraph" w:styleId="35">
    <w:name w:val="Balloon Text"/>
    <w:basedOn w:val="1"/>
    <w:link w:val="186"/>
    <w:qFormat/>
    <w:uiPriority w:val="0"/>
    <w:rPr>
      <w:rFonts w:asciiTheme="minorHAnsi" w:hAnsiTheme="minorHAnsi" w:eastAsiaTheme="minorEastAsia" w:cstheme="minorBidi"/>
      <w:sz w:val="18"/>
      <w:szCs w:val="18"/>
    </w:rPr>
  </w:style>
  <w:style w:type="paragraph" w:styleId="36">
    <w:name w:val="footer"/>
    <w:basedOn w:val="1"/>
    <w:link w:val="73"/>
    <w:unhideWhenUsed/>
    <w:qFormat/>
    <w:uiPriority w:val="0"/>
    <w:pPr>
      <w:tabs>
        <w:tab w:val="center" w:pos="4153"/>
        <w:tab w:val="right" w:pos="8306"/>
      </w:tabs>
      <w:snapToGrid w:val="0"/>
      <w:jc w:val="left"/>
    </w:pPr>
    <w:rPr>
      <w:sz w:val="18"/>
      <w:szCs w:val="18"/>
    </w:rPr>
  </w:style>
  <w:style w:type="paragraph" w:styleId="37">
    <w:name w:val="header"/>
    <w:basedOn w:val="1"/>
    <w:link w:val="72"/>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rPr>
      <w:szCs w:val="24"/>
    </w:rPr>
  </w:style>
  <w:style w:type="paragraph" w:styleId="39">
    <w:name w:val="toc 4"/>
    <w:basedOn w:val="1"/>
    <w:next w:val="1"/>
    <w:qFormat/>
    <w:uiPriority w:val="0"/>
    <w:pPr>
      <w:ind w:left="1260" w:leftChars="600"/>
    </w:pPr>
    <w:rPr>
      <w:szCs w:val="24"/>
    </w:rPr>
  </w:style>
  <w:style w:type="paragraph" w:styleId="40">
    <w:name w:val="Subtitle"/>
    <w:basedOn w:val="1"/>
    <w:next w:val="1"/>
    <w:link w:val="206"/>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1">
    <w:name w:val="List"/>
    <w:basedOn w:val="1"/>
    <w:qFormat/>
    <w:uiPriority w:val="0"/>
    <w:pPr>
      <w:tabs>
        <w:tab w:val="left" w:pos="964"/>
      </w:tabs>
      <w:spacing w:line="360" w:lineRule="auto"/>
      <w:ind w:left="964" w:hanging="284"/>
    </w:pPr>
    <w:rPr>
      <w:sz w:val="24"/>
      <w:szCs w:val="24"/>
    </w:rPr>
  </w:style>
  <w:style w:type="paragraph" w:styleId="42">
    <w:name w:val="footnote text"/>
    <w:basedOn w:val="1"/>
    <w:link w:val="202"/>
    <w:unhideWhenUsed/>
    <w:qFormat/>
    <w:uiPriority w:val="0"/>
    <w:pPr>
      <w:widowControl/>
      <w:jc w:val="left"/>
    </w:pPr>
    <w:rPr>
      <w:rFonts w:asciiTheme="minorHAnsi" w:hAnsiTheme="minorHAnsi" w:cstheme="minorBidi"/>
      <w:sz w:val="24"/>
      <w:szCs w:val="24"/>
    </w:rPr>
  </w:style>
  <w:style w:type="paragraph" w:styleId="43">
    <w:name w:val="toc 6"/>
    <w:basedOn w:val="1"/>
    <w:next w:val="1"/>
    <w:qFormat/>
    <w:uiPriority w:val="0"/>
    <w:pPr>
      <w:ind w:left="2100" w:leftChars="1000"/>
    </w:pPr>
    <w:rPr>
      <w:rFonts w:ascii="Calibri" w:hAnsi="Calibri"/>
      <w:szCs w:val="22"/>
    </w:rPr>
  </w:style>
  <w:style w:type="paragraph" w:styleId="44">
    <w:name w:val="Body Text Indent 3"/>
    <w:basedOn w:val="1"/>
    <w:link w:val="107"/>
    <w:qFormat/>
    <w:uiPriority w:val="0"/>
    <w:pPr>
      <w:spacing w:after="120"/>
      <w:ind w:left="420" w:leftChars="200"/>
    </w:pPr>
    <w:rPr>
      <w:rFonts w:asciiTheme="minorHAnsi" w:hAnsiTheme="minorHAnsi" w:eastAsiaTheme="minorEastAsia" w:cstheme="minorBidi"/>
      <w:sz w:val="16"/>
      <w:szCs w:val="16"/>
    </w:rPr>
  </w:style>
  <w:style w:type="paragraph" w:styleId="45">
    <w:name w:val="table of figures"/>
    <w:basedOn w:val="1"/>
    <w:next w:val="1"/>
    <w:qFormat/>
    <w:uiPriority w:val="0"/>
    <w:pPr>
      <w:spacing w:line="360" w:lineRule="auto"/>
      <w:ind w:left="200" w:leftChars="200" w:hanging="200" w:hangingChars="200"/>
    </w:pPr>
    <w:rPr>
      <w:sz w:val="24"/>
      <w:szCs w:val="24"/>
    </w:rPr>
  </w:style>
  <w:style w:type="paragraph" w:styleId="46">
    <w:name w:val="toc 2"/>
    <w:basedOn w:val="1"/>
    <w:next w:val="1"/>
    <w:qFormat/>
    <w:uiPriority w:val="0"/>
    <w:pPr>
      <w:ind w:left="420" w:leftChars="200"/>
    </w:pPr>
    <w:rPr>
      <w:szCs w:val="24"/>
    </w:rPr>
  </w:style>
  <w:style w:type="paragraph" w:styleId="47">
    <w:name w:val="toc 9"/>
    <w:basedOn w:val="1"/>
    <w:next w:val="1"/>
    <w:qFormat/>
    <w:uiPriority w:val="0"/>
    <w:pPr>
      <w:ind w:left="3360" w:leftChars="1600"/>
    </w:pPr>
    <w:rPr>
      <w:rFonts w:ascii="Calibri" w:hAnsi="Calibri"/>
      <w:szCs w:val="22"/>
    </w:rPr>
  </w:style>
  <w:style w:type="paragraph" w:styleId="48">
    <w:name w:val="Body Text 2"/>
    <w:basedOn w:val="1"/>
    <w:link w:val="242"/>
    <w:qFormat/>
    <w:uiPriority w:val="0"/>
    <w:pPr>
      <w:spacing w:after="120" w:line="480" w:lineRule="auto"/>
    </w:pPr>
    <w:rPr>
      <w:rFonts w:eastAsia="Times New Roman"/>
      <w:sz w:val="28"/>
    </w:rPr>
  </w:style>
  <w:style w:type="paragraph" w:styleId="49">
    <w:name w:val="HTML Preformatted"/>
    <w:basedOn w:val="1"/>
    <w:link w:val="2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theme="minorBidi"/>
      <w:sz w:val="24"/>
      <w:szCs w:val="24"/>
    </w:rPr>
  </w:style>
  <w:style w:type="paragraph" w:styleId="5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1">
    <w:name w:val="index 1"/>
    <w:basedOn w:val="1"/>
    <w:next w:val="1"/>
    <w:qFormat/>
    <w:uiPriority w:val="0"/>
  </w:style>
  <w:style w:type="paragraph" w:styleId="52">
    <w:name w:val="Title"/>
    <w:basedOn w:val="1"/>
    <w:link w:val="95"/>
    <w:qFormat/>
    <w:uiPriority w:val="0"/>
    <w:pPr>
      <w:adjustRightInd w:val="0"/>
      <w:spacing w:before="240" w:after="60" w:line="420" w:lineRule="atLeast"/>
      <w:jc w:val="center"/>
      <w:textAlignment w:val="baseline"/>
      <w:outlineLvl w:val="0"/>
    </w:pPr>
    <w:rPr>
      <w:rFonts w:ascii="Arial" w:hAnsi="Arial" w:eastAsiaTheme="minorEastAsia" w:cstheme="minorBidi"/>
      <w:b/>
      <w:sz w:val="32"/>
      <w:szCs w:val="24"/>
    </w:rPr>
  </w:style>
  <w:style w:type="paragraph" w:styleId="53">
    <w:name w:val="annotation subject"/>
    <w:basedOn w:val="20"/>
    <w:next w:val="20"/>
    <w:link w:val="86"/>
    <w:qFormat/>
    <w:uiPriority w:val="0"/>
    <w:rPr>
      <w:b/>
      <w:bCs/>
    </w:rPr>
  </w:style>
  <w:style w:type="paragraph" w:styleId="54">
    <w:name w:val="Body Text First Indent"/>
    <w:basedOn w:val="22"/>
    <w:link w:val="252"/>
    <w:qFormat/>
    <w:uiPriority w:val="0"/>
    <w:pPr>
      <w:spacing w:line="300" w:lineRule="auto"/>
      <w:ind w:firstLine="602"/>
      <w:jc w:val="left"/>
    </w:pPr>
    <w:rPr>
      <w:rFonts w:eastAsia="Times New Roman"/>
    </w:rPr>
  </w:style>
  <w:style w:type="paragraph" w:styleId="55">
    <w:name w:val="Body Text First Indent 2"/>
    <w:basedOn w:val="23"/>
    <w:link w:val="240"/>
    <w:qFormat/>
    <w:uiPriority w:val="0"/>
    <w:pPr>
      <w:ind w:firstLine="420" w:firstLineChars="200"/>
    </w:pPr>
    <w:rPr>
      <w:rFonts w:eastAsia="仿宋_GB2312"/>
      <w:sz w:val="25"/>
      <w:szCs w:val="24"/>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rPr>
      <w:szCs w:val="24"/>
    </w:rPr>
  </w:style>
  <w:style w:type="character" w:styleId="62">
    <w:name w:val="FollowedHyperlink"/>
    <w:qFormat/>
    <w:uiPriority w:val="0"/>
    <w:rPr>
      <w:color w:val="800080"/>
      <w:u w:val="single"/>
    </w:rPr>
  </w:style>
  <w:style w:type="character" w:styleId="63">
    <w:name w:val="Emphasis"/>
    <w:qFormat/>
    <w:uiPriority w:val="0"/>
    <w:rPr>
      <w:i/>
      <w:iCs/>
    </w:rPr>
  </w:style>
  <w:style w:type="character" w:styleId="64">
    <w:name w:val="HTML Definition"/>
    <w:basedOn w:val="58"/>
    <w:unhideWhenUsed/>
    <w:qFormat/>
    <w:uiPriority w:val="99"/>
  </w:style>
  <w:style w:type="character" w:styleId="65">
    <w:name w:val="HTML Variable"/>
    <w:basedOn w:val="58"/>
    <w:unhideWhenUsed/>
    <w:qFormat/>
    <w:uiPriority w:val="99"/>
  </w:style>
  <w:style w:type="character" w:styleId="66">
    <w:name w:val="Hyperlink"/>
    <w:qFormat/>
    <w:uiPriority w:val="0"/>
    <w:rPr>
      <w:color w:val="0000FF"/>
      <w:szCs w:val="24"/>
      <w:u w:val="single"/>
    </w:rPr>
  </w:style>
  <w:style w:type="character" w:styleId="67">
    <w:name w:val="HTML Code"/>
    <w:basedOn w:val="58"/>
    <w:unhideWhenUsed/>
    <w:qFormat/>
    <w:uiPriority w:val="99"/>
    <w:rPr>
      <w:rFonts w:ascii="Courier New" w:hAnsi="Courier New"/>
      <w:sz w:val="20"/>
    </w:rPr>
  </w:style>
  <w:style w:type="character" w:styleId="68">
    <w:name w:val="annotation reference"/>
    <w:qFormat/>
    <w:uiPriority w:val="0"/>
    <w:rPr>
      <w:sz w:val="21"/>
      <w:szCs w:val="21"/>
    </w:rPr>
  </w:style>
  <w:style w:type="character" w:styleId="69">
    <w:name w:val="HTML Cite"/>
    <w:basedOn w:val="58"/>
    <w:unhideWhenUsed/>
    <w:qFormat/>
    <w:uiPriority w:val="99"/>
  </w:style>
  <w:style w:type="character" w:styleId="70">
    <w:name w:val="HTML Keyboard"/>
    <w:basedOn w:val="58"/>
    <w:unhideWhenUsed/>
    <w:qFormat/>
    <w:uiPriority w:val="99"/>
    <w:rPr>
      <w:rFonts w:ascii="Courier New" w:hAnsi="Courier New"/>
      <w:sz w:val="20"/>
    </w:rPr>
  </w:style>
  <w:style w:type="character" w:styleId="71">
    <w:name w:val="HTML Sample"/>
    <w:basedOn w:val="58"/>
    <w:unhideWhenUsed/>
    <w:qFormat/>
    <w:uiPriority w:val="99"/>
    <w:rPr>
      <w:rFonts w:ascii="Courier New" w:hAnsi="Courier New"/>
    </w:rPr>
  </w:style>
  <w:style w:type="character" w:customStyle="1" w:styleId="72">
    <w:name w:val="页眉 字符1"/>
    <w:basedOn w:val="58"/>
    <w:link w:val="37"/>
    <w:qFormat/>
    <w:uiPriority w:val="0"/>
    <w:rPr>
      <w:sz w:val="18"/>
      <w:szCs w:val="18"/>
    </w:rPr>
  </w:style>
  <w:style w:type="character" w:customStyle="1" w:styleId="73">
    <w:name w:val="页脚 字符1"/>
    <w:basedOn w:val="58"/>
    <w:link w:val="36"/>
    <w:qFormat/>
    <w:uiPriority w:val="0"/>
    <w:rPr>
      <w:sz w:val="18"/>
      <w:szCs w:val="18"/>
    </w:rPr>
  </w:style>
  <w:style w:type="character" w:customStyle="1" w:styleId="74">
    <w:name w:val="标题 1 Char"/>
    <w:basedOn w:val="58"/>
    <w:qFormat/>
    <w:uiPriority w:val="0"/>
    <w:rPr>
      <w:rFonts w:ascii="Times New Roman" w:hAnsi="Times New Roman" w:eastAsia="宋体" w:cs="Times New Roman"/>
      <w:b/>
      <w:bCs/>
      <w:kern w:val="44"/>
      <w:sz w:val="44"/>
      <w:szCs w:val="44"/>
    </w:rPr>
  </w:style>
  <w:style w:type="character" w:customStyle="1" w:styleId="75">
    <w:name w:val="标题 2 Char"/>
    <w:basedOn w:val="58"/>
    <w:qFormat/>
    <w:uiPriority w:val="0"/>
    <w:rPr>
      <w:rFonts w:asciiTheme="majorHAnsi" w:hAnsiTheme="majorHAnsi" w:eastAsiaTheme="majorEastAsia" w:cstheme="majorBidi"/>
      <w:b/>
      <w:bCs/>
      <w:sz w:val="32"/>
      <w:szCs w:val="32"/>
    </w:rPr>
  </w:style>
  <w:style w:type="character" w:customStyle="1" w:styleId="76">
    <w:name w:val="标题 3 Char"/>
    <w:basedOn w:val="58"/>
    <w:semiHidden/>
    <w:qFormat/>
    <w:uiPriority w:val="9"/>
    <w:rPr>
      <w:rFonts w:ascii="Times New Roman" w:hAnsi="Times New Roman" w:eastAsia="宋体" w:cs="Times New Roman"/>
      <w:b/>
      <w:bCs/>
      <w:sz w:val="32"/>
      <w:szCs w:val="32"/>
    </w:rPr>
  </w:style>
  <w:style w:type="character" w:customStyle="1" w:styleId="77">
    <w:name w:val="标题 4 Char"/>
    <w:basedOn w:val="58"/>
    <w:qFormat/>
    <w:uiPriority w:val="0"/>
    <w:rPr>
      <w:rFonts w:asciiTheme="majorHAnsi" w:hAnsiTheme="majorHAnsi" w:eastAsiaTheme="majorEastAsia" w:cstheme="majorBidi"/>
      <w:b/>
      <w:bCs/>
      <w:sz w:val="28"/>
      <w:szCs w:val="28"/>
    </w:rPr>
  </w:style>
  <w:style w:type="character" w:customStyle="1" w:styleId="78">
    <w:name w:val="标题 5 Char"/>
    <w:basedOn w:val="58"/>
    <w:qFormat/>
    <w:uiPriority w:val="0"/>
    <w:rPr>
      <w:rFonts w:ascii="Times New Roman" w:hAnsi="Times New Roman" w:eastAsia="宋体" w:cs="Times New Roman"/>
      <w:b/>
      <w:bCs/>
      <w:sz w:val="28"/>
      <w:szCs w:val="28"/>
    </w:rPr>
  </w:style>
  <w:style w:type="character" w:customStyle="1" w:styleId="79">
    <w:name w:val="标题 6 Char"/>
    <w:basedOn w:val="58"/>
    <w:qFormat/>
    <w:uiPriority w:val="0"/>
    <w:rPr>
      <w:rFonts w:asciiTheme="majorHAnsi" w:hAnsiTheme="majorHAnsi" w:eastAsiaTheme="majorEastAsia" w:cstheme="majorBidi"/>
      <w:b/>
      <w:bCs/>
      <w:sz w:val="24"/>
      <w:szCs w:val="24"/>
    </w:rPr>
  </w:style>
  <w:style w:type="character" w:customStyle="1" w:styleId="80">
    <w:name w:val="标题 7 Char"/>
    <w:basedOn w:val="58"/>
    <w:qFormat/>
    <w:uiPriority w:val="0"/>
    <w:rPr>
      <w:rFonts w:ascii="Times New Roman" w:hAnsi="Times New Roman" w:eastAsia="宋体" w:cs="Times New Roman"/>
      <w:b/>
      <w:bCs/>
      <w:sz w:val="24"/>
      <w:szCs w:val="24"/>
    </w:rPr>
  </w:style>
  <w:style w:type="character" w:customStyle="1" w:styleId="81">
    <w:name w:val="标题 8 Char"/>
    <w:basedOn w:val="58"/>
    <w:qFormat/>
    <w:uiPriority w:val="0"/>
    <w:rPr>
      <w:rFonts w:asciiTheme="majorHAnsi" w:hAnsiTheme="majorHAnsi" w:eastAsiaTheme="majorEastAsia" w:cstheme="majorBidi"/>
      <w:sz w:val="24"/>
      <w:szCs w:val="24"/>
    </w:rPr>
  </w:style>
  <w:style w:type="character" w:customStyle="1" w:styleId="82">
    <w:name w:val="标题 9 Char"/>
    <w:basedOn w:val="58"/>
    <w:qFormat/>
    <w:uiPriority w:val="0"/>
    <w:rPr>
      <w:rFonts w:asciiTheme="majorHAnsi" w:hAnsiTheme="majorHAnsi" w:eastAsiaTheme="majorEastAsia" w:cstheme="majorBidi"/>
      <w:szCs w:val="21"/>
    </w:rPr>
  </w:style>
  <w:style w:type="character" w:customStyle="1" w:styleId="83">
    <w:name w:val="a9"/>
    <w:basedOn w:val="58"/>
    <w:qFormat/>
    <w:uiPriority w:val="0"/>
    <w:rPr>
      <w:szCs w:val="24"/>
    </w:rPr>
  </w:style>
  <w:style w:type="character" w:customStyle="1" w:styleId="84">
    <w:name w:val="正文缩进[1] Char Char"/>
    <w:link w:val="85"/>
    <w:qFormat/>
    <w:uiPriority w:val="0"/>
  </w:style>
  <w:style w:type="paragraph" w:customStyle="1" w:styleId="85">
    <w:name w:val="正文缩进[1] Char"/>
    <w:basedOn w:val="1"/>
    <w:link w:val="84"/>
    <w:qFormat/>
    <w:uiPriority w:val="0"/>
    <w:pPr>
      <w:spacing w:before="62" w:beforeLines="20" w:after="62" w:afterLines="20" w:line="300" w:lineRule="auto"/>
      <w:ind w:firstLine="420"/>
    </w:pPr>
    <w:rPr>
      <w:rFonts w:asciiTheme="minorHAnsi" w:hAnsiTheme="minorHAnsi" w:eastAsiaTheme="minorEastAsia" w:cstheme="minorBidi"/>
      <w:szCs w:val="22"/>
    </w:rPr>
  </w:style>
  <w:style w:type="character" w:customStyle="1" w:styleId="86">
    <w:name w:val="批注主题 字符"/>
    <w:link w:val="53"/>
    <w:qFormat/>
    <w:uiPriority w:val="0"/>
    <w:rPr>
      <w:b/>
      <w:bCs/>
      <w:szCs w:val="24"/>
    </w:rPr>
  </w:style>
  <w:style w:type="character" w:customStyle="1" w:styleId="87">
    <w:name w:val="font161"/>
    <w:qFormat/>
    <w:uiPriority w:val="0"/>
    <w:rPr>
      <w:b/>
      <w:bCs/>
      <w:sz w:val="32"/>
      <w:szCs w:val="32"/>
    </w:rPr>
  </w:style>
  <w:style w:type="character" w:customStyle="1" w:styleId="88">
    <w:name w:val="Char Char30"/>
    <w:qFormat/>
    <w:uiPriority w:val="0"/>
    <w:rPr>
      <w:rFonts w:eastAsia="宋体"/>
      <w:b/>
      <w:kern w:val="2"/>
      <w:sz w:val="28"/>
      <w:lang w:bidi="ar-SA"/>
    </w:rPr>
  </w:style>
  <w:style w:type="character" w:customStyle="1" w:styleId="89">
    <w:name w:val="标题3 Char2"/>
    <w:qFormat/>
    <w:uiPriority w:val="0"/>
    <w:rPr>
      <w:rFonts w:eastAsia="仿宋_GB2312"/>
      <w:bCs/>
      <w:kern w:val="2"/>
      <w:sz w:val="28"/>
      <w:szCs w:val="32"/>
      <w:lang w:val="en-US" w:eastAsia="zh-CN" w:bidi="ar-SA"/>
    </w:rPr>
  </w:style>
  <w:style w:type="character" w:customStyle="1" w:styleId="90">
    <w:name w:val="正文文本缩进 2 字符"/>
    <w:link w:val="33"/>
    <w:qFormat/>
    <w:uiPriority w:val="0"/>
    <w:rPr>
      <w:szCs w:val="24"/>
    </w:rPr>
  </w:style>
  <w:style w:type="character" w:customStyle="1" w:styleId="91">
    <w:name w:val="正文文本 Char2"/>
    <w:qFormat/>
    <w:uiPriority w:val="0"/>
    <w:rPr>
      <w:rFonts w:eastAsia="宋体"/>
      <w:kern w:val="2"/>
      <w:sz w:val="21"/>
      <w:szCs w:val="24"/>
      <w:lang w:val="en-US" w:eastAsia="zh-CN" w:bidi="ar-SA"/>
    </w:rPr>
  </w:style>
  <w:style w:type="character" w:customStyle="1" w:styleId="92">
    <w:name w:val="标题 2 字符"/>
    <w:link w:val="5"/>
    <w:qFormat/>
    <w:uiPriority w:val="0"/>
    <w:rPr>
      <w:rFonts w:ascii="Arial" w:hAnsi="Arial" w:eastAsia="黑体" w:cs="Times New Roman"/>
      <w:bCs/>
      <w:sz w:val="32"/>
      <w:szCs w:val="32"/>
      <w:lang w:val="zh-CN" w:eastAsia="zh-CN"/>
    </w:rPr>
  </w:style>
  <w:style w:type="character" w:customStyle="1" w:styleId="93">
    <w:name w:val="正文文本 (3)5"/>
    <w:qFormat/>
    <w:uiPriority w:val="0"/>
    <w:rPr>
      <w:rFonts w:ascii="宋体" w:cs="宋体"/>
      <w:szCs w:val="24"/>
      <w:shd w:val="clear" w:color="auto" w:fill="FFFFFF"/>
    </w:rPr>
  </w:style>
  <w:style w:type="character" w:customStyle="1" w:styleId="94">
    <w:name w:val="font61"/>
    <w:qFormat/>
    <w:uiPriority w:val="0"/>
    <w:rPr>
      <w:rFonts w:hint="eastAsia" w:ascii="宋体" w:hAnsi="宋体" w:eastAsia="宋体" w:cs="宋体"/>
      <w:b/>
      <w:color w:val="000000"/>
      <w:sz w:val="20"/>
      <w:szCs w:val="20"/>
      <w:u w:val="none"/>
    </w:rPr>
  </w:style>
  <w:style w:type="character" w:customStyle="1" w:styleId="95">
    <w:name w:val="标题 字符"/>
    <w:link w:val="52"/>
    <w:qFormat/>
    <w:uiPriority w:val="0"/>
    <w:rPr>
      <w:rFonts w:ascii="Arial" w:hAnsi="Arial"/>
      <w:b/>
      <w:sz w:val="32"/>
      <w:szCs w:val="24"/>
    </w:rPr>
  </w:style>
  <w:style w:type="character" w:customStyle="1" w:styleId="96">
    <w:name w:val="text-4"/>
    <w:basedOn w:val="58"/>
    <w:qFormat/>
    <w:uiPriority w:val="0"/>
    <w:rPr>
      <w:szCs w:val="24"/>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skip_21"/>
    <w:qFormat/>
    <w:uiPriority w:val="0"/>
    <w:rPr>
      <w:color w:val="333333"/>
      <w:sz w:val="18"/>
      <w:szCs w:val="18"/>
      <w:u w:val="none"/>
    </w:rPr>
  </w:style>
  <w:style w:type="character" w:customStyle="1" w:styleId="100">
    <w:name w:val="样式3 Char1"/>
    <w:link w:val="101"/>
    <w:qFormat/>
    <w:locked/>
    <w:uiPriority w:val="0"/>
    <w:rPr>
      <w:kern w:val="2"/>
      <w:sz w:val="28"/>
      <w:szCs w:val="22"/>
    </w:rPr>
  </w:style>
  <w:style w:type="paragraph" w:customStyle="1" w:styleId="101">
    <w:name w:val="样式3"/>
    <w:basedOn w:val="1"/>
    <w:link w:val="100"/>
    <w:qFormat/>
    <w:uiPriority w:val="0"/>
    <w:pPr>
      <w:widowControl/>
      <w:numPr>
        <w:ilvl w:val="0"/>
        <w:numId w:val="2"/>
      </w:numPr>
      <w:tabs>
        <w:tab w:val="left" w:pos="840"/>
      </w:tabs>
      <w:spacing w:line="288" w:lineRule="auto"/>
      <w:outlineLvl w:val="1"/>
    </w:pPr>
    <w:rPr>
      <w:rFonts w:asciiTheme="minorHAnsi" w:hAnsiTheme="minorHAnsi" w:eastAsiaTheme="minorEastAsia" w:cstheme="minorBidi"/>
      <w:sz w:val="28"/>
      <w:szCs w:val="22"/>
    </w:rPr>
  </w:style>
  <w:style w:type="character" w:customStyle="1" w:styleId="102">
    <w:name w:val="明显参考1"/>
    <w:qFormat/>
    <w:uiPriority w:val="0"/>
    <w:rPr>
      <w:b/>
      <w:bCs/>
      <w:smallCaps/>
      <w:color w:val="C0504D"/>
      <w:spacing w:val="5"/>
      <w:u w:val="single"/>
    </w:rPr>
  </w:style>
  <w:style w:type="character" w:customStyle="1" w:styleId="103">
    <w:name w:val="verdana14ptboldblack1"/>
    <w:qFormat/>
    <w:uiPriority w:val="0"/>
    <w:rPr>
      <w:rFonts w:hint="default" w:ascii="Verdana" w:hAnsi="Verdana"/>
      <w:b/>
      <w:bCs/>
      <w:color w:val="000000"/>
      <w:sz w:val="22"/>
      <w:szCs w:val="22"/>
    </w:rPr>
  </w:style>
  <w:style w:type="character" w:customStyle="1" w:styleId="104">
    <w:name w:val="font11"/>
    <w:qFormat/>
    <w:uiPriority w:val="0"/>
    <w:rPr>
      <w:rFonts w:hint="eastAsia" w:ascii="宋体" w:hAnsi="宋体" w:eastAsia="宋体" w:cs="宋体"/>
      <w:color w:val="000000"/>
      <w:sz w:val="24"/>
      <w:szCs w:val="24"/>
      <w:u w:val="none"/>
    </w:rPr>
  </w:style>
  <w:style w:type="character" w:customStyle="1" w:styleId="105">
    <w:name w:val="表格文字 Char"/>
    <w:qFormat/>
    <w:uiPriority w:val="0"/>
    <w:rPr>
      <w:rFonts w:ascii="宋体" w:hAnsi="宋体" w:eastAsia="宋体"/>
      <w:kern w:val="2"/>
      <w:sz w:val="21"/>
      <w:szCs w:val="24"/>
      <w:lang w:val="en-US" w:eastAsia="zh-CN" w:bidi="ar-SA"/>
    </w:rPr>
  </w:style>
  <w:style w:type="character" w:customStyle="1" w:styleId="106">
    <w:name w:val="标题4 Char2"/>
    <w:qFormat/>
    <w:uiPriority w:val="0"/>
    <w:rPr>
      <w:rFonts w:eastAsia="宋体"/>
      <w:sz w:val="24"/>
      <w:szCs w:val="24"/>
      <w:lang w:val="en-US" w:eastAsia="zh-CN" w:bidi="ar-SA"/>
    </w:rPr>
  </w:style>
  <w:style w:type="character" w:customStyle="1" w:styleId="107">
    <w:name w:val="正文文本缩进 3 字符"/>
    <w:link w:val="44"/>
    <w:qFormat/>
    <w:uiPriority w:val="0"/>
    <w:rPr>
      <w:sz w:val="16"/>
      <w:szCs w:val="16"/>
    </w:rPr>
  </w:style>
  <w:style w:type="character" w:customStyle="1" w:styleId="108">
    <w:name w:val="正文文本 字符"/>
    <w:link w:val="22"/>
    <w:qFormat/>
    <w:uiPriority w:val="0"/>
    <w:rPr>
      <w:sz w:val="28"/>
      <w:szCs w:val="24"/>
    </w:rPr>
  </w:style>
  <w:style w:type="character" w:customStyle="1" w:styleId="109">
    <w:name w:val="font"/>
    <w:basedOn w:val="58"/>
    <w:qFormat/>
    <w:uiPriority w:val="0"/>
    <w:rPr>
      <w:szCs w:val="24"/>
    </w:rPr>
  </w:style>
  <w:style w:type="character" w:customStyle="1" w:styleId="110">
    <w:name w:val="font21"/>
    <w:qFormat/>
    <w:uiPriority w:val="0"/>
    <w:rPr>
      <w:rFonts w:hint="eastAsia" w:ascii="仿宋" w:hAnsi="仿宋" w:eastAsia="仿宋" w:cs="仿宋"/>
      <w:color w:val="000000"/>
      <w:sz w:val="24"/>
      <w:szCs w:val="24"/>
      <w:u w:val="none"/>
    </w:rPr>
  </w:style>
  <w:style w:type="character" w:customStyle="1" w:styleId="111">
    <w:name w:val="文字 Char"/>
    <w:link w:val="112"/>
    <w:qFormat/>
    <w:uiPriority w:val="0"/>
    <w:rPr>
      <w:rFonts w:ascii="宋体"/>
      <w:sz w:val="28"/>
    </w:rPr>
  </w:style>
  <w:style w:type="paragraph" w:customStyle="1" w:styleId="112">
    <w:name w:val="文字"/>
    <w:basedOn w:val="1"/>
    <w:link w:val="111"/>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3">
    <w:name w:val="正文文本 3 字符"/>
    <w:link w:val="21"/>
    <w:qFormat/>
    <w:uiPriority w:val="0"/>
    <w:rPr>
      <w:rFonts w:ascii="宋体"/>
      <w:sz w:val="24"/>
      <w:szCs w:val="24"/>
    </w:rPr>
  </w:style>
  <w:style w:type="character" w:customStyle="1" w:styleId="114">
    <w:name w:val="副标题 Char"/>
    <w:qFormat/>
    <w:uiPriority w:val="0"/>
    <w:rPr>
      <w:rFonts w:ascii="Cambria" w:hAnsi="Cambria"/>
      <w:b/>
      <w:bCs/>
      <w:kern w:val="28"/>
      <w:sz w:val="32"/>
      <w:szCs w:val="32"/>
      <w:lang w:bidi="ar-SA"/>
    </w:rPr>
  </w:style>
  <w:style w:type="character" w:customStyle="1" w:styleId="115">
    <w:name w:val="标题 3 Char1"/>
    <w:qFormat/>
    <w:uiPriority w:val="0"/>
    <w:rPr>
      <w:rFonts w:ascii="Times New Roman" w:hAnsi="Times New Roman" w:eastAsia="黑体"/>
      <w:bCs/>
      <w:sz w:val="24"/>
      <w:szCs w:val="32"/>
    </w:rPr>
  </w:style>
  <w:style w:type="character" w:customStyle="1" w:styleId="116">
    <w:name w:val="标题 5 字符"/>
    <w:link w:val="9"/>
    <w:qFormat/>
    <w:uiPriority w:val="0"/>
    <w:rPr>
      <w:rFonts w:ascii="Calibri" w:hAnsi="Calibri" w:eastAsia="宋体" w:cs="Times New Roman"/>
      <w:b/>
      <w:bCs/>
      <w:sz w:val="28"/>
      <w:szCs w:val="28"/>
      <w:lang w:val="zh-CN" w:eastAsia="zh-CN"/>
    </w:rPr>
  </w:style>
  <w:style w:type="character" w:customStyle="1" w:styleId="117">
    <w:name w:val="正文文本 Char1"/>
    <w:qFormat/>
    <w:uiPriority w:val="0"/>
    <w:rPr>
      <w:kern w:val="2"/>
      <w:sz w:val="21"/>
      <w:szCs w:val="22"/>
    </w:rPr>
  </w:style>
  <w:style w:type="character" w:customStyle="1" w:styleId="118">
    <w:name w:val="标题 7 字符"/>
    <w:link w:val="11"/>
    <w:qFormat/>
    <w:uiPriority w:val="0"/>
    <w:rPr>
      <w:rFonts w:ascii="Times New Roman" w:hAnsi="Times New Roman" w:eastAsia="宋体" w:cs="Times New Roman"/>
      <w:b/>
      <w:bCs/>
      <w:kern w:val="0"/>
      <w:sz w:val="24"/>
      <w:szCs w:val="24"/>
      <w:lang w:val="zh-CN" w:eastAsia="zh-CN"/>
    </w:rPr>
  </w:style>
  <w:style w:type="character" w:customStyle="1" w:styleId="119">
    <w:name w:val="标题 4 Char Char"/>
    <w:qFormat/>
    <w:uiPriority w:val="0"/>
    <w:rPr>
      <w:rFonts w:ascii="Arial" w:hAnsi="Arial" w:eastAsia="黑体"/>
      <w:b/>
      <w:bCs/>
      <w:kern w:val="2"/>
      <w:sz w:val="28"/>
      <w:szCs w:val="28"/>
      <w:lang w:val="en-US" w:eastAsia="zh-CN" w:bidi="ar-SA"/>
    </w:rPr>
  </w:style>
  <w:style w:type="character" w:customStyle="1" w:styleId="120">
    <w:name w:val="表格文字 Char Char"/>
    <w:qFormat/>
    <w:uiPriority w:val="0"/>
    <w:rPr>
      <w:rFonts w:ascii="宋体" w:hAnsi="宋体" w:eastAsia="宋体"/>
      <w:kern w:val="2"/>
      <w:sz w:val="21"/>
      <w:szCs w:val="24"/>
      <w:lang w:val="en-US" w:eastAsia="zh-CN" w:bidi="ar-SA"/>
    </w:rPr>
  </w:style>
  <w:style w:type="character" w:customStyle="1" w:styleId="121">
    <w:name w:val="正文new Char"/>
    <w:link w:val="122"/>
    <w:qFormat/>
    <w:uiPriority w:val="0"/>
    <w:rPr>
      <w:rFonts w:ascii="宋体" w:hAnsi="宋体"/>
      <w:color w:val="000000"/>
      <w:sz w:val="24"/>
      <w:szCs w:val="24"/>
    </w:rPr>
  </w:style>
  <w:style w:type="paragraph" w:customStyle="1" w:styleId="122">
    <w:name w:val="正文new"/>
    <w:basedOn w:val="1"/>
    <w:link w:val="121"/>
    <w:qFormat/>
    <w:uiPriority w:val="0"/>
    <w:pPr>
      <w:spacing w:line="360" w:lineRule="auto"/>
      <w:ind w:firstLine="480" w:firstLineChars="200"/>
    </w:pPr>
    <w:rPr>
      <w:rFonts w:ascii="宋体" w:hAnsi="宋体" w:eastAsiaTheme="minorEastAsia" w:cstheme="minorBidi"/>
      <w:color w:val="000000"/>
      <w:sz w:val="24"/>
      <w:szCs w:val="24"/>
    </w:rPr>
  </w:style>
  <w:style w:type="character" w:customStyle="1" w:styleId="123">
    <w:name w:val="文档结构图 Char"/>
    <w:qFormat/>
    <w:uiPriority w:val="0"/>
    <w:rPr>
      <w:rFonts w:eastAsia="宋体"/>
      <w:kern w:val="2"/>
      <w:sz w:val="21"/>
      <w:szCs w:val="24"/>
      <w:lang w:val="en-US" w:eastAsia="zh-CN" w:bidi="ar-SA"/>
    </w:rPr>
  </w:style>
  <w:style w:type="character" w:customStyle="1" w:styleId="124">
    <w:name w:val="CD正文 Char"/>
    <w:link w:val="125"/>
    <w:qFormat/>
    <w:uiPriority w:val="0"/>
    <w:rPr>
      <w:rFonts w:eastAsia="宋体"/>
      <w:sz w:val="30"/>
      <w:szCs w:val="28"/>
    </w:rPr>
  </w:style>
  <w:style w:type="paragraph" w:customStyle="1" w:styleId="125">
    <w:name w:val="CD正文"/>
    <w:basedOn w:val="1"/>
    <w:link w:val="124"/>
    <w:qFormat/>
    <w:uiPriority w:val="0"/>
    <w:pPr>
      <w:spacing w:line="360" w:lineRule="auto"/>
      <w:ind w:firstLine="493"/>
    </w:pPr>
    <w:rPr>
      <w:rFonts w:asciiTheme="minorHAnsi" w:hAnsiTheme="minorHAnsi" w:cstheme="minorBidi"/>
      <w:sz w:val="30"/>
      <w:szCs w:val="28"/>
    </w:rPr>
  </w:style>
  <w:style w:type="character" w:customStyle="1" w:styleId="126">
    <w:name w:val="pt101"/>
    <w:qFormat/>
    <w:uiPriority w:val="0"/>
    <w:rPr>
      <w:sz w:val="14"/>
      <w:szCs w:val="14"/>
    </w:rPr>
  </w:style>
  <w:style w:type="character" w:customStyle="1" w:styleId="127">
    <w:name w:val="页脚 字符"/>
    <w:qFormat/>
    <w:uiPriority w:val="0"/>
    <w:rPr>
      <w:kern w:val="2"/>
      <w:sz w:val="18"/>
      <w:szCs w:val="18"/>
    </w:rPr>
  </w:style>
  <w:style w:type="character" w:customStyle="1" w:styleId="128">
    <w:name w:val="标题4 Char1"/>
    <w:qFormat/>
    <w:uiPriority w:val="0"/>
    <w:rPr>
      <w:rFonts w:eastAsia="宋体"/>
      <w:sz w:val="24"/>
      <w:szCs w:val="24"/>
      <w:lang w:val="en-US" w:eastAsia="zh-CN" w:bidi="ar-SA"/>
    </w:rPr>
  </w:style>
  <w:style w:type="character" w:customStyle="1" w:styleId="129">
    <w:name w:val="引用 字符"/>
    <w:link w:val="130"/>
    <w:qFormat/>
    <w:uiPriority w:val="0"/>
    <w:rPr>
      <w:i/>
      <w:iCs/>
      <w:color w:val="000000"/>
    </w:rPr>
  </w:style>
  <w:style w:type="paragraph" w:customStyle="1" w:styleId="130">
    <w:name w:val="引用1"/>
    <w:basedOn w:val="1"/>
    <w:next w:val="1"/>
    <w:link w:val="129"/>
    <w:qFormat/>
    <w:uiPriority w:val="0"/>
    <w:rPr>
      <w:rFonts w:asciiTheme="minorHAnsi" w:hAnsiTheme="minorHAnsi" w:eastAsiaTheme="minorEastAsia" w:cstheme="minorBidi"/>
      <w:i/>
      <w:iCs/>
      <w:color w:val="000000"/>
      <w:szCs w:val="22"/>
    </w:rPr>
  </w:style>
  <w:style w:type="character" w:customStyle="1" w:styleId="131">
    <w:name w:val="正文文字 Char Char"/>
    <w:link w:val="132"/>
    <w:qFormat/>
    <w:uiPriority w:val="0"/>
    <w:rPr>
      <w:rFonts w:eastAsia="宋体"/>
      <w:color w:val="000000"/>
      <w:sz w:val="28"/>
      <w:szCs w:val="28"/>
    </w:rPr>
  </w:style>
  <w:style w:type="paragraph" w:customStyle="1" w:styleId="132">
    <w:name w:val="正文文字"/>
    <w:basedOn w:val="1"/>
    <w:link w:val="131"/>
    <w:qFormat/>
    <w:uiPriority w:val="0"/>
    <w:pPr>
      <w:ind w:firstLine="482"/>
    </w:pPr>
    <w:rPr>
      <w:rFonts w:asciiTheme="minorHAnsi" w:hAnsiTheme="minorHAnsi" w:cstheme="minorBidi"/>
      <w:color w:val="000000"/>
      <w:sz w:val="28"/>
      <w:szCs w:val="28"/>
    </w:rPr>
  </w:style>
  <w:style w:type="character" w:customStyle="1" w:styleId="133">
    <w:name w:val="Char Char17"/>
    <w:qFormat/>
    <w:uiPriority w:val="0"/>
    <w:rPr>
      <w:rFonts w:ascii="Cambria" w:hAnsi="Cambria" w:eastAsia="宋体" w:cs="Times New Roman"/>
      <w:b/>
      <w:bCs/>
      <w:kern w:val="2"/>
      <w:sz w:val="32"/>
      <w:szCs w:val="32"/>
    </w:rPr>
  </w:style>
  <w:style w:type="character" w:customStyle="1" w:styleId="134">
    <w:name w:val="正文文本 (3)_"/>
    <w:link w:val="135"/>
    <w:qFormat/>
    <w:uiPriority w:val="0"/>
    <w:rPr>
      <w:rFonts w:ascii="宋体"/>
      <w:szCs w:val="24"/>
      <w:shd w:val="clear" w:color="auto" w:fill="FFFFFF"/>
    </w:rPr>
  </w:style>
  <w:style w:type="paragraph" w:customStyle="1" w:styleId="135">
    <w:name w:val="正文文本 (3)1"/>
    <w:basedOn w:val="1"/>
    <w:link w:val="134"/>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36">
    <w:name w:val="标题 9 字符"/>
    <w:link w:val="13"/>
    <w:qFormat/>
    <w:uiPriority w:val="0"/>
    <w:rPr>
      <w:rFonts w:ascii="Arial" w:hAnsi="Arial" w:eastAsia="黑体" w:cs="Times New Roman"/>
      <w:kern w:val="0"/>
      <w:szCs w:val="21"/>
      <w:lang w:val="zh-CN" w:eastAsia="zh-CN"/>
    </w:rPr>
  </w:style>
  <w:style w:type="character" w:customStyle="1" w:styleId="137">
    <w:name w:val="txt1"/>
    <w:qFormat/>
    <w:uiPriority w:val="0"/>
    <w:rPr>
      <w:rFonts w:hint="default" w:ascii="ˎ̥" w:hAnsi="ˎ̥"/>
      <w:sz w:val="18"/>
      <w:szCs w:val="18"/>
    </w:rPr>
  </w:style>
  <w:style w:type="character" w:customStyle="1" w:styleId="13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9">
    <w:name w:val="列表段落 字符"/>
    <w:link w:val="140"/>
    <w:qFormat/>
    <w:uiPriority w:val="0"/>
    <w:rPr>
      <w:rFonts w:ascii="Calibri" w:hAnsi="Calibri" w:eastAsia="宋体"/>
    </w:rPr>
  </w:style>
  <w:style w:type="paragraph" w:customStyle="1" w:styleId="140">
    <w:name w:val="列表段落1"/>
    <w:basedOn w:val="1"/>
    <w:link w:val="139"/>
    <w:qFormat/>
    <w:uiPriority w:val="34"/>
    <w:pPr>
      <w:ind w:firstLine="420" w:firstLineChars="200"/>
    </w:pPr>
    <w:rPr>
      <w:rFonts w:ascii="Calibri" w:hAnsi="Calibri" w:cstheme="minorBidi"/>
      <w:szCs w:val="22"/>
    </w:rPr>
  </w:style>
  <w:style w:type="character" w:customStyle="1" w:styleId="141">
    <w:name w:val="表格 Char"/>
    <w:link w:val="142"/>
    <w:qFormat/>
    <w:uiPriority w:val="0"/>
    <w:rPr>
      <w:rFonts w:ascii="华文细黑" w:hAnsi="华文细黑" w:eastAsia="宋体"/>
    </w:rPr>
  </w:style>
  <w:style w:type="paragraph" w:customStyle="1" w:styleId="142">
    <w:name w:val="表格"/>
    <w:basedOn w:val="1"/>
    <w:link w:val="141"/>
    <w:qFormat/>
    <w:uiPriority w:val="0"/>
    <w:pPr>
      <w:jc w:val="center"/>
      <w:textAlignment w:val="center"/>
    </w:pPr>
    <w:rPr>
      <w:rFonts w:ascii="华文细黑" w:hAnsi="华文细黑" w:cstheme="minorBidi"/>
      <w:szCs w:val="22"/>
    </w:rPr>
  </w:style>
  <w:style w:type="character" w:customStyle="1" w:styleId="143">
    <w:name w:val="批注框文本 Char"/>
    <w:qFormat/>
    <w:uiPriority w:val="0"/>
    <w:rPr>
      <w:rFonts w:eastAsia="宋体"/>
      <w:kern w:val="2"/>
      <w:sz w:val="18"/>
      <w:szCs w:val="18"/>
      <w:lang w:val="en-US" w:eastAsia="zh-CN" w:bidi="ar-SA"/>
    </w:rPr>
  </w:style>
  <w:style w:type="character" w:customStyle="1" w:styleId="144">
    <w:name w:val="H2 Char"/>
    <w:qFormat/>
    <w:uiPriority w:val="0"/>
    <w:rPr>
      <w:rFonts w:ascii="Arial" w:hAnsi="Arial" w:eastAsia="仿宋_GB2312"/>
      <w:b/>
      <w:kern w:val="2"/>
      <w:sz w:val="28"/>
      <w:lang w:val="en-US" w:eastAsia="zh-CN" w:bidi="ar-SA"/>
    </w:rPr>
  </w:style>
  <w:style w:type="character" w:customStyle="1" w:styleId="145">
    <w:name w:val="不明显强调1"/>
    <w:qFormat/>
    <w:uiPriority w:val="0"/>
    <w:rPr>
      <w:i/>
      <w:iCs/>
      <w:color w:val="808080"/>
    </w:rPr>
  </w:style>
  <w:style w:type="character" w:customStyle="1" w:styleId="146">
    <w:name w:val="常用正文 Char"/>
    <w:link w:val="147"/>
    <w:qFormat/>
    <w:uiPriority w:val="0"/>
    <w:rPr>
      <w:rFonts w:ascii="Arial" w:hAnsi="Arial" w:eastAsia="楷体_GB2312"/>
      <w:sz w:val="24"/>
    </w:rPr>
  </w:style>
  <w:style w:type="paragraph" w:customStyle="1" w:styleId="147">
    <w:name w:val="常用正文"/>
    <w:link w:val="146"/>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正文文本缩进 字符"/>
    <w:qFormat/>
    <w:uiPriority w:val="0"/>
    <w:rPr>
      <w:kern w:val="2"/>
      <w:sz w:val="21"/>
      <w:szCs w:val="24"/>
    </w:rPr>
  </w:style>
  <w:style w:type="character" w:customStyle="1" w:styleId="150">
    <w:name w:val="标题 1 字符"/>
    <w:link w:val="4"/>
    <w:qFormat/>
    <w:uiPriority w:val="0"/>
    <w:rPr>
      <w:rFonts w:ascii="Times New Roman" w:hAnsi="Times New Roman" w:eastAsia="宋体" w:cs="Times New Roman"/>
      <w:b/>
      <w:bCs/>
      <w:kern w:val="44"/>
      <w:sz w:val="44"/>
      <w:szCs w:val="44"/>
      <w:lang w:val="zh-CN" w:eastAsia="zh-CN"/>
    </w:rPr>
  </w:style>
  <w:style w:type="character" w:customStyle="1" w:styleId="151">
    <w:name w:val="标题4 Char3"/>
    <w:qFormat/>
    <w:uiPriority w:val="0"/>
    <w:rPr>
      <w:rFonts w:eastAsia="宋体"/>
      <w:sz w:val="24"/>
      <w:szCs w:val="24"/>
      <w:lang w:val="en-US" w:eastAsia="zh-CN" w:bidi="ar-SA"/>
    </w:rPr>
  </w:style>
  <w:style w:type="character" w:customStyle="1" w:styleId="152">
    <w:name w:val="明显引用 Char1"/>
    <w:qFormat/>
    <w:uiPriority w:val="30"/>
    <w:rPr>
      <w:b/>
      <w:bCs/>
      <w:i/>
      <w:iCs/>
      <w:color w:val="4F81BD"/>
      <w:kern w:val="2"/>
      <w:sz w:val="21"/>
      <w:szCs w:val="24"/>
    </w:rPr>
  </w:style>
  <w:style w:type="character" w:customStyle="1" w:styleId="153">
    <w:name w:val="标题 6 字符"/>
    <w:link w:val="10"/>
    <w:qFormat/>
    <w:uiPriority w:val="0"/>
    <w:rPr>
      <w:rFonts w:ascii="Arial" w:hAnsi="Arial" w:eastAsia="黑体" w:cs="Times New Roman"/>
      <w:b/>
      <w:bCs/>
      <w:kern w:val="0"/>
      <w:sz w:val="24"/>
      <w:szCs w:val="24"/>
      <w:lang w:val="zh-CN" w:eastAsia="zh-CN"/>
    </w:rPr>
  </w:style>
  <w:style w:type="character" w:customStyle="1" w:styleId="154">
    <w:name w:val="h3 Char1"/>
    <w:qFormat/>
    <w:uiPriority w:val="0"/>
    <w:rPr>
      <w:rFonts w:eastAsia="仿宋_GB2312"/>
      <w:bCs/>
      <w:kern w:val="2"/>
      <w:sz w:val="28"/>
      <w:szCs w:val="32"/>
      <w:lang w:val="en-US" w:eastAsia="zh-CN" w:bidi="ar-SA"/>
    </w:rPr>
  </w:style>
  <w:style w:type="character" w:customStyle="1" w:styleId="155">
    <w:name w:val="副标题 Char1"/>
    <w:qFormat/>
    <w:uiPriority w:val="0"/>
    <w:rPr>
      <w:rFonts w:ascii="Cambria" w:hAnsi="Cambria" w:cs="Times New Roman"/>
      <w:b/>
      <w:bCs/>
      <w:kern w:val="28"/>
      <w:sz w:val="32"/>
      <w:szCs w:val="32"/>
    </w:rPr>
  </w:style>
  <w:style w:type="character" w:customStyle="1" w:styleId="156">
    <w:name w:val="标题5 Char Char"/>
    <w:link w:val="157"/>
    <w:qFormat/>
    <w:uiPriority w:val="0"/>
    <w:rPr>
      <w:rFonts w:ascii="Arial" w:hAnsi="Arial"/>
      <w:b/>
      <w:bCs/>
      <w:sz w:val="24"/>
      <w:szCs w:val="32"/>
    </w:rPr>
  </w:style>
  <w:style w:type="paragraph" w:customStyle="1" w:styleId="157">
    <w:name w:val="标题5"/>
    <w:basedOn w:val="6"/>
    <w:link w:val="156"/>
    <w:qFormat/>
    <w:uiPriority w:val="0"/>
    <w:pPr>
      <w:spacing w:line="413" w:lineRule="auto"/>
    </w:pPr>
    <w:rPr>
      <w:rFonts w:ascii="Arial" w:hAnsi="Arial" w:eastAsiaTheme="minorEastAsia" w:cstheme="minorBidi"/>
      <w:sz w:val="24"/>
      <w:lang w:val="en-US"/>
    </w:rPr>
  </w:style>
  <w:style w:type="character" w:customStyle="1" w:styleId="158">
    <w:name w:val="spantitle"/>
    <w:basedOn w:val="58"/>
    <w:qFormat/>
    <w:uiPriority w:val="0"/>
    <w:rPr>
      <w:szCs w:val="24"/>
    </w:rPr>
  </w:style>
  <w:style w:type="character" w:customStyle="1" w:styleId="159">
    <w:name w:val="msonormal"/>
    <w:basedOn w:val="58"/>
    <w:qFormat/>
    <w:uiPriority w:val="0"/>
    <w:rPr>
      <w:szCs w:val="24"/>
    </w:rPr>
  </w:style>
  <w:style w:type="character" w:customStyle="1" w:styleId="160">
    <w:name w:val="无间隔 字符"/>
    <w:link w:val="161"/>
    <w:qFormat/>
    <w:uiPriority w:val="0"/>
    <w:rPr>
      <w:rFonts w:ascii="Calibri" w:hAnsi="Calibri"/>
    </w:rPr>
  </w:style>
  <w:style w:type="paragraph" w:customStyle="1" w:styleId="161">
    <w:name w:val="无间隔1"/>
    <w:link w:val="160"/>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162">
    <w:name w:val="批注框文本 Char1"/>
    <w:qFormat/>
    <w:uiPriority w:val="0"/>
    <w:rPr>
      <w:kern w:val="2"/>
      <w:sz w:val="18"/>
      <w:szCs w:val="18"/>
    </w:rPr>
  </w:style>
  <w:style w:type="character" w:customStyle="1" w:styleId="163">
    <w:name w:val="样式 正文缩进 + 首行缩进:  2 字符 Char"/>
    <w:link w:val="164"/>
    <w:qFormat/>
    <w:uiPriority w:val="0"/>
    <w:rPr>
      <w:rFonts w:eastAsia="宋体" w:cs="宋体"/>
      <w:sz w:val="24"/>
    </w:rPr>
  </w:style>
  <w:style w:type="paragraph" w:customStyle="1" w:styleId="164">
    <w:name w:val="样式 正文缩进 + 首行缩进:  2 字符"/>
    <w:basedOn w:val="8"/>
    <w:link w:val="163"/>
    <w:qFormat/>
    <w:uiPriority w:val="0"/>
    <w:pPr>
      <w:adjustRightInd/>
      <w:spacing w:line="360" w:lineRule="auto"/>
      <w:ind w:firstLine="200" w:firstLineChars="200"/>
    </w:pPr>
    <w:rPr>
      <w:rFonts w:cs="宋体"/>
      <w:szCs w:val="22"/>
    </w:rPr>
  </w:style>
  <w:style w:type="character" w:customStyle="1" w:styleId="165">
    <w:name w:val="正文缩进 Char Char Char"/>
    <w:qFormat/>
    <w:uiPriority w:val="0"/>
    <w:rPr>
      <w:rFonts w:eastAsia="宋体"/>
      <w:sz w:val="24"/>
      <w:szCs w:val="24"/>
      <w:lang w:val="en-US" w:eastAsia="zh-CN" w:bidi="ar-SA"/>
    </w:rPr>
  </w:style>
  <w:style w:type="character" w:customStyle="1" w:styleId="166">
    <w:name w:val="正文缩进2字符 Char"/>
    <w:link w:val="167"/>
    <w:qFormat/>
    <w:uiPriority w:val="0"/>
    <w:rPr>
      <w:rFonts w:eastAsia="宋体"/>
      <w:sz w:val="24"/>
    </w:rPr>
  </w:style>
  <w:style w:type="paragraph" w:customStyle="1" w:styleId="167">
    <w:name w:val="正文缩进2字符"/>
    <w:basedOn w:val="1"/>
    <w:link w:val="166"/>
    <w:qFormat/>
    <w:uiPriority w:val="0"/>
    <w:pPr>
      <w:spacing w:line="360" w:lineRule="auto"/>
      <w:ind w:firstLine="480" w:firstLineChars="200"/>
    </w:pPr>
    <w:rPr>
      <w:rFonts w:asciiTheme="minorHAnsi" w:hAnsiTheme="minorHAnsi" w:cstheme="minorBidi"/>
      <w:sz w:val="24"/>
      <w:szCs w:val="22"/>
    </w:rPr>
  </w:style>
  <w:style w:type="character" w:customStyle="1" w:styleId="168">
    <w:name w:val="批注文字 字符"/>
    <w:link w:val="20"/>
    <w:qFormat/>
    <w:uiPriority w:val="0"/>
    <w:rPr>
      <w:szCs w:val="24"/>
    </w:rPr>
  </w:style>
  <w:style w:type="character" w:customStyle="1" w:styleId="169">
    <w:name w:val="正文缩进 Char Char1"/>
    <w:qFormat/>
    <w:uiPriority w:val="0"/>
    <w:rPr>
      <w:rFonts w:eastAsia="宋体"/>
      <w:kern w:val="2"/>
      <w:sz w:val="24"/>
      <w:szCs w:val="24"/>
      <w:lang w:val="en-US" w:eastAsia="zh-CN" w:bidi="ar-SA"/>
    </w:rPr>
  </w:style>
  <w:style w:type="character" w:customStyle="1" w:styleId="170">
    <w:name w:val="标题3 Char1"/>
    <w:qFormat/>
    <w:uiPriority w:val="0"/>
    <w:rPr>
      <w:rFonts w:eastAsia="仿宋_GB2312"/>
      <w:bCs/>
      <w:kern w:val="2"/>
      <w:sz w:val="28"/>
      <w:szCs w:val="32"/>
      <w:lang w:val="en-US" w:eastAsia="zh-CN" w:bidi="ar-SA"/>
    </w:rPr>
  </w:style>
  <w:style w:type="character" w:customStyle="1" w:styleId="171">
    <w:name w:val="Body Char"/>
    <w:link w:val="172"/>
    <w:qFormat/>
    <w:uiPriority w:val="0"/>
    <w:rPr>
      <w:rFonts w:ascii="宋体" w:hAnsi="宋体"/>
      <w:sz w:val="24"/>
    </w:rPr>
  </w:style>
  <w:style w:type="paragraph" w:customStyle="1" w:styleId="172">
    <w:name w:val="Body"/>
    <w:basedOn w:val="1"/>
    <w:link w:val="171"/>
    <w:qFormat/>
    <w:uiPriority w:val="0"/>
    <w:pPr>
      <w:widowControl/>
      <w:tabs>
        <w:tab w:val="left" w:pos="9255"/>
      </w:tabs>
      <w:spacing w:before="156" w:beforeLines="50" w:after="156" w:afterLines="50" w:line="360" w:lineRule="auto"/>
    </w:pPr>
    <w:rPr>
      <w:rFonts w:ascii="宋体" w:hAnsi="宋体" w:eastAsiaTheme="minorEastAsia" w:cstheme="minorBidi"/>
      <w:sz w:val="24"/>
      <w:szCs w:val="22"/>
    </w:rPr>
  </w:style>
  <w:style w:type="character" w:customStyle="1" w:styleId="173">
    <w:name w:val="纯文本 Char"/>
    <w:qFormat/>
    <w:uiPriority w:val="0"/>
    <w:rPr>
      <w:rFonts w:ascii="宋体" w:hAnsi="宋体" w:eastAsia="宋体"/>
      <w:kern w:val="2"/>
      <w:sz w:val="21"/>
      <w:szCs w:val="24"/>
      <w:lang w:val="en-US" w:eastAsia="zh-CN" w:bidi="ar-SA"/>
    </w:rPr>
  </w:style>
  <w:style w:type="character" w:customStyle="1" w:styleId="174">
    <w:name w:val="h3 Char"/>
    <w:qFormat/>
    <w:uiPriority w:val="0"/>
    <w:rPr>
      <w:kern w:val="2"/>
      <w:sz w:val="24"/>
    </w:rPr>
  </w:style>
  <w:style w:type="character" w:customStyle="1" w:styleId="175">
    <w:name w:val="case31"/>
    <w:qFormat/>
    <w:uiPriority w:val="0"/>
    <w:rPr>
      <w:rFonts w:hint="default" w:eastAsia="宋体"/>
      <w:kern w:val="2"/>
      <w:sz w:val="21"/>
      <w:lang w:val="en-US" w:eastAsia="zh-CN"/>
    </w:rPr>
  </w:style>
  <w:style w:type="character" w:customStyle="1" w:styleId="176">
    <w:name w:val="标题 8 字符"/>
    <w:link w:val="12"/>
    <w:qFormat/>
    <w:uiPriority w:val="0"/>
    <w:rPr>
      <w:rFonts w:ascii="Arial" w:hAnsi="Arial" w:eastAsia="黑体" w:cs="Times New Roman"/>
      <w:kern w:val="0"/>
      <w:sz w:val="24"/>
      <w:szCs w:val="24"/>
      <w:lang w:val="zh-CN" w:eastAsia="zh-CN"/>
    </w:rPr>
  </w:style>
  <w:style w:type="character" w:customStyle="1" w:styleId="177">
    <w:name w:val="Variable"/>
    <w:qFormat/>
    <w:uiPriority w:val="0"/>
    <w:rPr>
      <w:i/>
    </w:rPr>
  </w:style>
  <w:style w:type="character" w:customStyle="1" w:styleId="178">
    <w:name w:val="标题 2 Char Char"/>
    <w:qFormat/>
    <w:uiPriority w:val="0"/>
    <w:rPr>
      <w:rFonts w:ascii="Arial" w:hAnsi="Arial" w:eastAsia="黑体"/>
      <w:b/>
      <w:bCs/>
      <w:kern w:val="2"/>
      <w:sz w:val="32"/>
      <w:szCs w:val="32"/>
      <w:lang w:val="en-US" w:eastAsia="zh-CN" w:bidi="ar-SA"/>
    </w:rPr>
  </w:style>
  <w:style w:type="character" w:customStyle="1" w:styleId="179">
    <w:name w:val="Char Char16"/>
    <w:qFormat/>
    <w:uiPriority w:val="0"/>
    <w:rPr>
      <w:b/>
      <w:bCs/>
      <w:kern w:val="2"/>
      <w:sz w:val="32"/>
      <w:szCs w:val="32"/>
    </w:rPr>
  </w:style>
  <w:style w:type="character" w:customStyle="1" w:styleId="180">
    <w:name w:val="纯文本 字符"/>
    <w:link w:val="30"/>
    <w:qFormat/>
    <w:uiPriority w:val="0"/>
    <w:rPr>
      <w:rFonts w:ascii="宋体" w:hAnsi="Courier New" w:cs="Courier New"/>
      <w:szCs w:val="21"/>
    </w:rPr>
  </w:style>
  <w:style w:type="character" w:customStyle="1" w:styleId="181">
    <w:name w:val="正文2 Char Char"/>
    <w:link w:val="182"/>
    <w:qFormat/>
    <w:uiPriority w:val="0"/>
    <w:rPr>
      <w:rFonts w:eastAsia="仿宋_GB2312"/>
      <w:sz w:val="28"/>
    </w:rPr>
  </w:style>
  <w:style w:type="paragraph" w:customStyle="1" w:styleId="182">
    <w:name w:val="正文2 Char"/>
    <w:basedOn w:val="1"/>
    <w:link w:val="181"/>
    <w:qFormat/>
    <w:uiPriority w:val="0"/>
    <w:pPr>
      <w:spacing w:before="62" w:beforeLines="20" w:after="62" w:afterLines="20" w:line="360" w:lineRule="auto"/>
      <w:ind w:firstLine="200" w:firstLineChars="200"/>
    </w:pPr>
    <w:rPr>
      <w:rFonts w:eastAsia="仿宋_GB2312" w:asciiTheme="minorHAnsi" w:hAnsiTheme="minorHAnsi" w:cstheme="minorBidi"/>
      <w:sz w:val="28"/>
      <w:szCs w:val="22"/>
    </w:rPr>
  </w:style>
  <w:style w:type="character" w:customStyle="1" w:styleId="183">
    <w:name w:val="unnamed11"/>
    <w:qFormat/>
    <w:uiPriority w:val="0"/>
    <w:rPr>
      <w:color w:val="000000"/>
      <w:sz w:val="18"/>
      <w:szCs w:val="18"/>
      <w:u w:val="none"/>
    </w:rPr>
  </w:style>
  <w:style w:type="character" w:customStyle="1" w:styleId="184">
    <w:name w:val="H2 Char1"/>
    <w:qFormat/>
    <w:uiPriority w:val="0"/>
    <w:rPr>
      <w:rFonts w:ascii="宋体" w:hAnsi="宋体" w:eastAsia="宋体"/>
      <w:b/>
      <w:bCs/>
      <w:kern w:val="2"/>
      <w:sz w:val="22"/>
      <w:szCs w:val="24"/>
      <w:lang w:val="en-US" w:eastAsia="zh-CN" w:bidi="ar-SA"/>
    </w:rPr>
  </w:style>
  <w:style w:type="character" w:customStyle="1" w:styleId="185">
    <w:name w:val="wenben1"/>
    <w:qFormat/>
    <w:uiPriority w:val="0"/>
    <w:rPr>
      <w:u w:val="none"/>
    </w:rPr>
  </w:style>
  <w:style w:type="character" w:customStyle="1" w:styleId="186">
    <w:name w:val="批注框文本 字符"/>
    <w:link w:val="35"/>
    <w:qFormat/>
    <w:uiPriority w:val="0"/>
    <w:rPr>
      <w:sz w:val="18"/>
      <w:szCs w:val="18"/>
    </w:rPr>
  </w:style>
  <w:style w:type="character" w:customStyle="1" w:styleId="187">
    <w:name w:val="正文缩进 字符"/>
    <w:link w:val="8"/>
    <w:qFormat/>
    <w:uiPriority w:val="0"/>
    <w:rPr>
      <w:rFonts w:eastAsia="宋体"/>
      <w:sz w:val="24"/>
      <w:szCs w:val="24"/>
    </w:rPr>
  </w:style>
  <w:style w:type="character" w:customStyle="1" w:styleId="188">
    <w:name w:val="标题3 Char Char"/>
    <w:qFormat/>
    <w:uiPriority w:val="0"/>
    <w:rPr>
      <w:rFonts w:eastAsia="仿宋_GB2312"/>
      <w:bCs/>
      <w:kern w:val="2"/>
      <w:sz w:val="28"/>
      <w:szCs w:val="32"/>
      <w:lang w:val="en-US" w:eastAsia="zh-CN" w:bidi="ar-SA"/>
    </w:rPr>
  </w:style>
  <w:style w:type="character" w:customStyle="1" w:styleId="189">
    <w:name w:val="标书正文 Char"/>
    <w:link w:val="190"/>
    <w:qFormat/>
    <w:uiPriority w:val="0"/>
    <w:rPr>
      <w:rFonts w:eastAsia="仿宋_GB2312"/>
      <w:sz w:val="28"/>
      <w:szCs w:val="24"/>
    </w:rPr>
  </w:style>
  <w:style w:type="paragraph" w:customStyle="1" w:styleId="190">
    <w:name w:val="标书正文"/>
    <w:basedOn w:val="1"/>
    <w:link w:val="189"/>
    <w:qFormat/>
    <w:uiPriority w:val="0"/>
    <w:pPr>
      <w:ind w:firstLine="200" w:firstLineChars="200"/>
    </w:pPr>
    <w:rPr>
      <w:rFonts w:eastAsia="仿宋_GB2312" w:asciiTheme="minorHAnsi" w:hAnsiTheme="minorHAnsi" w:cstheme="minorBidi"/>
      <w:sz w:val="28"/>
      <w:szCs w:val="24"/>
    </w:rPr>
  </w:style>
  <w:style w:type="character" w:customStyle="1" w:styleId="191">
    <w:name w:val="明显强调1"/>
    <w:qFormat/>
    <w:uiPriority w:val="0"/>
    <w:rPr>
      <w:b/>
      <w:bCs/>
      <w:i/>
      <w:iCs/>
      <w:color w:val="4F81BD"/>
    </w:rPr>
  </w:style>
  <w:style w:type="character" w:customStyle="1" w:styleId="192">
    <w:name w:val="不明显参考1"/>
    <w:qFormat/>
    <w:uiPriority w:val="0"/>
    <w:rPr>
      <w:smallCaps/>
      <w:color w:val="C0504D"/>
      <w:u w:val="single"/>
    </w:rPr>
  </w:style>
  <w:style w:type="character" w:customStyle="1" w:styleId="193">
    <w:name w:val="标题 Char"/>
    <w:qFormat/>
    <w:uiPriority w:val="0"/>
    <w:rPr>
      <w:rFonts w:ascii="Arial" w:hAnsi="Arial" w:eastAsia="宋体"/>
      <w:b/>
      <w:sz w:val="32"/>
      <w:lang w:val="en-US" w:eastAsia="zh-CN" w:bidi="ar-SA"/>
    </w:rPr>
  </w:style>
  <w:style w:type="character" w:customStyle="1" w:styleId="194">
    <w:name w:val="标题4 Char4"/>
    <w:qFormat/>
    <w:uiPriority w:val="0"/>
    <w:rPr>
      <w:rFonts w:eastAsia="宋体"/>
      <w:sz w:val="24"/>
      <w:szCs w:val="24"/>
      <w:lang w:val="en-US" w:eastAsia="zh-CN" w:bidi="ar-SA"/>
    </w:rPr>
  </w:style>
  <w:style w:type="character" w:customStyle="1" w:styleId="195">
    <w:name w:val="正文首行缩进两字 Char"/>
    <w:link w:val="196"/>
    <w:qFormat/>
    <w:uiPriority w:val="0"/>
    <w:rPr>
      <w:rFonts w:ascii="宋体" w:hAnsi="宋体" w:eastAsia="Times New Roman"/>
      <w:kern w:val="2"/>
      <w:sz w:val="28"/>
      <w:szCs w:val="28"/>
    </w:rPr>
  </w:style>
  <w:style w:type="paragraph" w:customStyle="1" w:styleId="196">
    <w:name w:val="正文首行缩进两字"/>
    <w:link w:val="195"/>
    <w:qFormat/>
    <w:uiPriority w:val="0"/>
    <w:pPr>
      <w:numPr>
        <w:ilvl w:val="0"/>
        <w:numId w:val="3"/>
      </w:numPr>
      <w:tabs>
        <w:tab w:val="left" w:pos="420"/>
      </w:tabs>
      <w:spacing w:after="156" w:afterLines="50" w:line="360" w:lineRule="auto"/>
      <w:ind w:right="240"/>
    </w:pPr>
    <w:rPr>
      <w:rFonts w:ascii="宋体" w:hAnsi="宋体" w:eastAsia="Times New Roman" w:cstheme="minorBidi"/>
      <w:kern w:val="2"/>
      <w:sz w:val="28"/>
      <w:szCs w:val="28"/>
      <w:lang w:val="en-US" w:eastAsia="zh-CN" w:bidi="ar-SA"/>
    </w:rPr>
  </w:style>
  <w:style w:type="character" w:customStyle="1" w:styleId="197">
    <w:name w:val="标题2 Char Char"/>
    <w:link w:val="198"/>
    <w:qFormat/>
    <w:uiPriority w:val="0"/>
    <w:rPr>
      <w:rFonts w:eastAsia="仿宋_GB2312"/>
      <w:b/>
      <w:bCs/>
      <w:color w:val="000000"/>
      <w:kern w:val="44"/>
      <w:sz w:val="32"/>
      <w:szCs w:val="44"/>
    </w:rPr>
  </w:style>
  <w:style w:type="paragraph" w:customStyle="1" w:styleId="198">
    <w:name w:val="标题2 Char"/>
    <w:basedOn w:val="4"/>
    <w:link w:val="197"/>
    <w:qFormat/>
    <w:uiPriority w:val="0"/>
    <w:pPr>
      <w:spacing w:before="0" w:after="0"/>
    </w:pPr>
    <w:rPr>
      <w:rFonts w:eastAsia="仿宋_GB2312" w:asciiTheme="minorHAnsi" w:hAnsiTheme="minorHAnsi" w:cstheme="minorBidi"/>
      <w:color w:val="000000"/>
      <w:sz w:val="32"/>
      <w:lang w:val="en-US"/>
    </w:rPr>
  </w:style>
  <w:style w:type="character" w:customStyle="1" w:styleId="199">
    <w:name w:val="标题 3 字符"/>
    <w:link w:val="6"/>
    <w:qFormat/>
    <w:uiPriority w:val="0"/>
    <w:rPr>
      <w:rFonts w:ascii="Times New Roman" w:hAnsi="Times New Roman" w:eastAsia="宋体" w:cs="Times New Roman"/>
      <w:b/>
      <w:bCs/>
      <w:sz w:val="32"/>
      <w:szCs w:val="32"/>
      <w:lang w:val="zh-CN" w:eastAsia="zh-CN"/>
    </w:rPr>
  </w:style>
  <w:style w:type="character" w:customStyle="1" w:styleId="200">
    <w:name w:val="页眉 字符"/>
    <w:qFormat/>
    <w:uiPriority w:val="0"/>
    <w:rPr>
      <w:kern w:val="2"/>
      <w:sz w:val="18"/>
      <w:szCs w:val="18"/>
    </w:rPr>
  </w:style>
  <w:style w:type="character" w:customStyle="1" w:styleId="201">
    <w:name w:val="HTML 预设格式 字符"/>
    <w:link w:val="49"/>
    <w:qFormat/>
    <w:uiPriority w:val="0"/>
    <w:rPr>
      <w:rFonts w:ascii="宋体" w:hAnsi="Courier New" w:eastAsia="宋体"/>
      <w:sz w:val="24"/>
      <w:szCs w:val="24"/>
    </w:rPr>
  </w:style>
  <w:style w:type="character" w:customStyle="1" w:styleId="202">
    <w:name w:val="脚注文本 字符"/>
    <w:link w:val="42"/>
    <w:qFormat/>
    <w:uiPriority w:val="0"/>
    <w:rPr>
      <w:rFonts w:eastAsia="宋体"/>
      <w:sz w:val="24"/>
      <w:szCs w:val="24"/>
    </w:rPr>
  </w:style>
  <w:style w:type="character" w:customStyle="1" w:styleId="203">
    <w:name w:val="文档结构图 字符"/>
    <w:link w:val="18"/>
    <w:qFormat/>
    <w:uiPriority w:val="0"/>
    <w:rPr>
      <w:shd w:val="clear" w:color="auto" w:fill="000080"/>
    </w:rPr>
  </w:style>
  <w:style w:type="character" w:customStyle="1" w:styleId="204">
    <w:name w:val="H1 Char"/>
    <w:qFormat/>
    <w:uiPriority w:val="0"/>
    <w:rPr>
      <w:rFonts w:eastAsia="仿宋_GB2312"/>
      <w:b/>
      <w:bCs/>
      <w:kern w:val="44"/>
      <w:sz w:val="36"/>
      <w:szCs w:val="44"/>
      <w:lang w:val="en-US" w:eastAsia="zh-CN" w:bidi="ar-SA"/>
    </w:rPr>
  </w:style>
  <w:style w:type="character" w:customStyle="1" w:styleId="205">
    <w:name w:val="批注主题 Char"/>
    <w:qFormat/>
    <w:uiPriority w:val="0"/>
    <w:rPr>
      <w:rFonts w:eastAsia="宋体"/>
      <w:b/>
      <w:bCs/>
      <w:kern w:val="2"/>
      <w:sz w:val="21"/>
      <w:szCs w:val="24"/>
      <w:lang w:val="en-US" w:eastAsia="zh-CN" w:bidi="ar-SA"/>
    </w:rPr>
  </w:style>
  <w:style w:type="character" w:customStyle="1" w:styleId="206">
    <w:name w:val="副标题 字符"/>
    <w:link w:val="40"/>
    <w:qFormat/>
    <w:uiPriority w:val="0"/>
    <w:rPr>
      <w:rFonts w:ascii="Cambria" w:hAnsi="Cambria"/>
      <w:b/>
      <w:bCs/>
      <w:kern w:val="28"/>
      <w:sz w:val="32"/>
      <w:szCs w:val="32"/>
    </w:rPr>
  </w:style>
  <w:style w:type="character" w:customStyle="1" w:styleId="207">
    <w:name w:val="明显引用 字符"/>
    <w:link w:val="208"/>
    <w:qFormat/>
    <w:uiPriority w:val="0"/>
    <w:rPr>
      <w:b/>
      <w:bCs/>
      <w:i/>
      <w:iCs/>
      <w:color w:val="4F81BD"/>
    </w:rPr>
  </w:style>
  <w:style w:type="paragraph" w:customStyle="1" w:styleId="208">
    <w:name w:val="明显引用1"/>
    <w:basedOn w:val="1"/>
    <w:next w:val="1"/>
    <w:link w:val="20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09">
    <w:name w:val="style011"/>
    <w:qFormat/>
    <w:uiPriority w:val="0"/>
    <w:rPr>
      <w:sz w:val="24"/>
      <w:szCs w:val="24"/>
      <w:u w:val="single"/>
    </w:rPr>
  </w:style>
  <w:style w:type="character" w:customStyle="1" w:styleId="210">
    <w:name w:val="日期 Char1"/>
    <w:qFormat/>
    <w:uiPriority w:val="0"/>
    <w:rPr>
      <w:kern w:val="2"/>
      <w:sz w:val="21"/>
      <w:szCs w:val="22"/>
    </w:rPr>
  </w:style>
  <w:style w:type="character" w:customStyle="1" w:styleId="211">
    <w:name w:val="文档正文 Char"/>
    <w:link w:val="212"/>
    <w:qFormat/>
    <w:uiPriority w:val="0"/>
    <w:rPr>
      <w:rFonts w:ascii="长城仿宋"/>
      <w:sz w:val="24"/>
    </w:rPr>
  </w:style>
  <w:style w:type="paragraph" w:customStyle="1" w:styleId="212">
    <w:name w:val="文档正文"/>
    <w:basedOn w:val="1"/>
    <w:link w:val="211"/>
    <w:qFormat/>
    <w:uiPriority w:val="0"/>
    <w:pPr>
      <w:adjustRightInd w:val="0"/>
      <w:spacing w:line="480" w:lineRule="atLeast"/>
      <w:ind w:firstLine="567"/>
      <w:textAlignment w:val="baseline"/>
    </w:pPr>
    <w:rPr>
      <w:rFonts w:ascii="长城仿宋" w:hAnsiTheme="minorHAnsi" w:eastAsiaTheme="minorEastAsia" w:cstheme="minorBidi"/>
      <w:sz w:val="24"/>
      <w:szCs w:val="22"/>
    </w:rPr>
  </w:style>
  <w:style w:type="character" w:customStyle="1" w:styleId="213">
    <w:name w:val="批注文字 Char Char"/>
    <w:qFormat/>
    <w:uiPriority w:val="0"/>
    <w:rPr>
      <w:rFonts w:ascii="宋体" w:hAnsi="Times New Roman" w:eastAsia="宋体" w:cs="Times New Roman"/>
      <w:sz w:val="28"/>
      <w:szCs w:val="20"/>
    </w:rPr>
  </w:style>
  <w:style w:type="character" w:customStyle="1" w:styleId="214">
    <w:name w:val="Char Char161"/>
    <w:qFormat/>
    <w:uiPriority w:val="0"/>
    <w:rPr>
      <w:b/>
      <w:bCs/>
      <w:kern w:val="2"/>
      <w:sz w:val="32"/>
      <w:szCs w:val="32"/>
    </w:rPr>
  </w:style>
  <w:style w:type="character" w:customStyle="1" w:styleId="215">
    <w:name w:val="mytext Char"/>
    <w:link w:val="216"/>
    <w:qFormat/>
    <w:uiPriority w:val="0"/>
    <w:rPr>
      <w:rFonts w:eastAsia="宋体"/>
      <w:sz w:val="24"/>
    </w:rPr>
  </w:style>
  <w:style w:type="paragraph" w:customStyle="1" w:styleId="216">
    <w:name w:val="mytext"/>
    <w:basedOn w:val="1"/>
    <w:link w:val="215"/>
    <w:qFormat/>
    <w:uiPriority w:val="0"/>
    <w:pPr>
      <w:spacing w:line="300" w:lineRule="auto"/>
      <w:ind w:firstLine="480" w:firstLineChars="200"/>
    </w:pPr>
    <w:rPr>
      <w:rFonts w:asciiTheme="minorHAnsi" w:hAnsiTheme="minorHAnsi" w:cstheme="minorBidi"/>
      <w:sz w:val="24"/>
      <w:szCs w:val="22"/>
    </w:rPr>
  </w:style>
  <w:style w:type="character" w:customStyle="1" w:styleId="217">
    <w:name w:val="textcontents"/>
    <w:basedOn w:val="58"/>
    <w:qFormat/>
    <w:uiPriority w:val="0"/>
    <w:rPr>
      <w:szCs w:val="24"/>
    </w:rPr>
  </w:style>
  <w:style w:type="character" w:customStyle="1" w:styleId="218">
    <w:name w:val="bullet Char"/>
    <w:qFormat/>
    <w:uiPriority w:val="0"/>
    <w:rPr>
      <w:rFonts w:ascii="Arial" w:hAnsi="Arial" w:eastAsia="宋体"/>
      <w:kern w:val="2"/>
      <w:sz w:val="24"/>
      <w:lang w:bidi="ar-SA"/>
    </w:rPr>
  </w:style>
  <w:style w:type="character" w:customStyle="1" w:styleId="219">
    <w:name w:val="标题 4 字符"/>
    <w:link w:val="7"/>
    <w:qFormat/>
    <w:uiPriority w:val="0"/>
    <w:rPr>
      <w:rFonts w:ascii="Arial" w:hAnsi="Arial" w:eastAsia="黑体" w:cs="Times New Roman"/>
      <w:b/>
      <w:bCs/>
      <w:sz w:val="28"/>
      <w:szCs w:val="28"/>
      <w:lang w:val="zh-CN" w:eastAsia="zh-CN"/>
    </w:rPr>
  </w:style>
  <w:style w:type="character" w:customStyle="1" w:styleId="220">
    <w:name w:val="blacktext"/>
    <w:basedOn w:val="58"/>
    <w:qFormat/>
    <w:uiPriority w:val="0"/>
    <w:rPr>
      <w:szCs w:val="24"/>
    </w:rPr>
  </w:style>
  <w:style w:type="character" w:customStyle="1" w:styleId="221">
    <w:name w:val="nbsp"/>
    <w:basedOn w:val="58"/>
    <w:qFormat/>
    <w:uiPriority w:val="0"/>
    <w:rPr>
      <w:szCs w:val="24"/>
    </w:rPr>
  </w:style>
  <w:style w:type="character" w:customStyle="1" w:styleId="222">
    <w:name w:val="正文文本 (3)6"/>
    <w:qFormat/>
    <w:uiPriority w:val="0"/>
    <w:rPr>
      <w:rFonts w:ascii="宋体" w:cs="宋体"/>
      <w:szCs w:val="24"/>
      <w:u w:val="single"/>
      <w:shd w:val="clear" w:color="auto" w:fill="FFFFFF"/>
    </w:rPr>
  </w:style>
  <w:style w:type="character" w:customStyle="1" w:styleId="223">
    <w:name w:val="日期 字符"/>
    <w:link w:val="32"/>
    <w:qFormat/>
    <w:uiPriority w:val="0"/>
    <w:rPr>
      <w:szCs w:val="24"/>
    </w:rPr>
  </w:style>
  <w:style w:type="character" w:customStyle="1" w:styleId="224">
    <w:name w:val="书籍标题1"/>
    <w:qFormat/>
    <w:uiPriority w:val="0"/>
    <w:rPr>
      <w:b/>
      <w:bCs/>
      <w:smallCaps/>
      <w:spacing w:val="5"/>
    </w:rPr>
  </w:style>
  <w:style w:type="character" w:customStyle="1" w:styleId="225">
    <w:name w:val="Char Char29"/>
    <w:qFormat/>
    <w:uiPriority w:val="0"/>
    <w:rPr>
      <w:rFonts w:ascii="Arial" w:hAnsi="Arial" w:eastAsia="黑体"/>
      <w:b/>
      <w:kern w:val="2"/>
      <w:sz w:val="24"/>
      <w:lang w:bidi="ar-SA"/>
    </w:rPr>
  </w:style>
  <w:style w:type="character" w:customStyle="1" w:styleId="226">
    <w:name w:val="boldtitle1"/>
    <w:qFormat/>
    <w:uiPriority w:val="0"/>
    <w:rPr>
      <w:rFonts w:hint="default" w:ascii="Arial Black" w:hAnsi="Arial Black"/>
      <w:sz w:val="36"/>
    </w:rPr>
  </w:style>
  <w:style w:type="character" w:customStyle="1" w:styleId="227">
    <w:name w:val="引用 Char1"/>
    <w:qFormat/>
    <w:uiPriority w:val="29"/>
    <w:rPr>
      <w:i/>
      <w:iCs/>
      <w:color w:val="000000"/>
      <w:kern w:val="2"/>
      <w:sz w:val="21"/>
      <w:szCs w:val="24"/>
    </w:rPr>
  </w:style>
  <w:style w:type="character" w:customStyle="1" w:styleId="228">
    <w:name w:val="标题二 Char Char"/>
    <w:qFormat/>
    <w:uiPriority w:val="0"/>
    <w:rPr>
      <w:rFonts w:ascii="Cambria" w:hAnsi="Cambria" w:eastAsia="宋体"/>
      <w:kern w:val="28"/>
      <w:sz w:val="32"/>
      <w:szCs w:val="32"/>
      <w:lang w:bidi="ar-SA"/>
    </w:rPr>
  </w:style>
  <w:style w:type="character" w:customStyle="1" w:styleId="229">
    <w:name w:val="apple-converted-space"/>
    <w:unhideWhenUsed/>
    <w:qFormat/>
    <w:uiPriority w:val="0"/>
    <w:rPr>
      <w:rFonts w:hint="default" w:ascii="Times New Roman" w:hAnsi="Times New Roman" w:eastAsia="宋体"/>
    </w:rPr>
  </w:style>
  <w:style w:type="character" w:customStyle="1" w:styleId="230">
    <w:name w:val="Char Char18"/>
    <w:qFormat/>
    <w:uiPriority w:val="0"/>
    <w:rPr>
      <w:b/>
      <w:bCs/>
      <w:kern w:val="44"/>
      <w:sz w:val="44"/>
      <w:szCs w:val="44"/>
    </w:rPr>
  </w:style>
  <w:style w:type="character" w:customStyle="1" w:styleId="231">
    <w:name w:val="Char Char8"/>
    <w:qFormat/>
    <w:uiPriority w:val="0"/>
    <w:rPr>
      <w:rFonts w:eastAsia="宋体"/>
      <w:kern w:val="2"/>
      <w:sz w:val="18"/>
      <w:szCs w:val="18"/>
      <w:lang w:val="en-US" w:eastAsia="zh-CN" w:bidi="ar-SA"/>
    </w:rPr>
  </w:style>
  <w:style w:type="character" w:customStyle="1" w:styleId="232">
    <w:name w:val="highlight1"/>
    <w:qFormat/>
    <w:uiPriority w:val="0"/>
    <w:rPr>
      <w:sz w:val="21"/>
      <w:szCs w:val="21"/>
    </w:rPr>
  </w:style>
  <w:style w:type="character" w:customStyle="1" w:styleId="233">
    <w:name w:val="body1"/>
    <w:qFormat/>
    <w:uiPriority w:val="0"/>
    <w:rPr>
      <w:rFonts w:hint="default"/>
      <w:sz w:val="18"/>
      <w:szCs w:val="18"/>
    </w:rPr>
  </w:style>
  <w:style w:type="character" w:customStyle="1" w:styleId="234">
    <w:name w:val="批注主题 Char1"/>
    <w:qFormat/>
    <w:uiPriority w:val="0"/>
    <w:rPr>
      <w:b/>
      <w:bCs/>
      <w:kern w:val="2"/>
      <w:sz w:val="21"/>
      <w:szCs w:val="22"/>
    </w:rPr>
  </w:style>
  <w:style w:type="character" w:customStyle="1" w:styleId="235">
    <w:name w:val="纯文本 Char2"/>
    <w:basedOn w:val="58"/>
    <w:semiHidden/>
    <w:qFormat/>
    <w:uiPriority w:val="99"/>
    <w:rPr>
      <w:rFonts w:ascii="宋体" w:hAnsi="Courier New" w:eastAsia="宋体" w:cs="Courier New"/>
      <w:szCs w:val="21"/>
    </w:rPr>
  </w:style>
  <w:style w:type="character" w:customStyle="1" w:styleId="236">
    <w:name w:val="HTML 预设格式 Char"/>
    <w:basedOn w:val="58"/>
    <w:semiHidden/>
    <w:qFormat/>
    <w:uiPriority w:val="99"/>
    <w:rPr>
      <w:rFonts w:ascii="Courier New" w:hAnsi="Courier New" w:eastAsia="宋体" w:cs="Courier New"/>
      <w:sz w:val="20"/>
      <w:szCs w:val="20"/>
    </w:rPr>
  </w:style>
  <w:style w:type="character" w:customStyle="1" w:styleId="237">
    <w:name w:val="日期 Char"/>
    <w:basedOn w:val="58"/>
    <w:semiHidden/>
    <w:qFormat/>
    <w:uiPriority w:val="99"/>
    <w:rPr>
      <w:rFonts w:ascii="Times New Roman" w:hAnsi="Times New Roman" w:eastAsia="宋体" w:cs="Times New Roman"/>
      <w:szCs w:val="20"/>
    </w:rPr>
  </w:style>
  <w:style w:type="character" w:customStyle="1" w:styleId="238">
    <w:name w:val="文档结构图 Char2"/>
    <w:basedOn w:val="58"/>
    <w:semiHidden/>
    <w:qFormat/>
    <w:uiPriority w:val="99"/>
    <w:rPr>
      <w:rFonts w:ascii="Microsoft YaHei UI" w:hAnsi="Times New Roman" w:eastAsia="Microsoft YaHei UI" w:cs="Times New Roman"/>
      <w:sz w:val="18"/>
      <w:szCs w:val="18"/>
    </w:rPr>
  </w:style>
  <w:style w:type="character" w:customStyle="1" w:styleId="239">
    <w:name w:val="正文文本缩进 字符1"/>
    <w:basedOn w:val="58"/>
    <w:link w:val="23"/>
    <w:semiHidden/>
    <w:qFormat/>
    <w:uiPriority w:val="99"/>
    <w:rPr>
      <w:rFonts w:ascii="Times New Roman" w:hAnsi="Times New Roman" w:eastAsia="宋体" w:cs="Times New Roman"/>
      <w:szCs w:val="20"/>
    </w:rPr>
  </w:style>
  <w:style w:type="character" w:customStyle="1" w:styleId="240">
    <w:name w:val="正文文本首行缩进 2 字符"/>
    <w:basedOn w:val="239"/>
    <w:link w:val="55"/>
    <w:qFormat/>
    <w:uiPriority w:val="0"/>
    <w:rPr>
      <w:rFonts w:ascii="Times New Roman" w:hAnsi="Times New Roman" w:eastAsia="仿宋_GB2312" w:cs="Times New Roman"/>
      <w:sz w:val="25"/>
      <w:szCs w:val="24"/>
    </w:rPr>
  </w:style>
  <w:style w:type="character" w:customStyle="1" w:styleId="241">
    <w:name w:val="标题 Char1"/>
    <w:basedOn w:val="58"/>
    <w:qFormat/>
    <w:uiPriority w:val="10"/>
    <w:rPr>
      <w:rFonts w:eastAsia="宋体" w:asciiTheme="majorHAnsi" w:hAnsiTheme="majorHAnsi" w:cstheme="majorBidi"/>
      <w:b/>
      <w:bCs/>
      <w:sz w:val="32"/>
      <w:szCs w:val="32"/>
    </w:rPr>
  </w:style>
  <w:style w:type="character" w:customStyle="1" w:styleId="242">
    <w:name w:val="正文文本 2 字符"/>
    <w:basedOn w:val="58"/>
    <w:link w:val="48"/>
    <w:qFormat/>
    <w:uiPriority w:val="0"/>
    <w:rPr>
      <w:rFonts w:ascii="Times New Roman" w:hAnsi="Times New Roman" w:eastAsia="Times New Roman" w:cs="Times New Roman"/>
      <w:sz w:val="28"/>
      <w:szCs w:val="20"/>
      <w:lang w:val="en-US" w:eastAsia="zh-CN"/>
    </w:rPr>
  </w:style>
  <w:style w:type="character" w:customStyle="1" w:styleId="243">
    <w:name w:val="脚注文本 Char"/>
    <w:basedOn w:val="58"/>
    <w:semiHidden/>
    <w:qFormat/>
    <w:uiPriority w:val="99"/>
    <w:rPr>
      <w:rFonts w:ascii="Times New Roman" w:hAnsi="Times New Roman" w:eastAsia="宋体" w:cs="Times New Roman"/>
      <w:sz w:val="18"/>
      <w:szCs w:val="18"/>
    </w:rPr>
  </w:style>
  <w:style w:type="character" w:customStyle="1" w:styleId="244">
    <w:name w:val="副标题 Char2"/>
    <w:basedOn w:val="58"/>
    <w:qFormat/>
    <w:uiPriority w:val="11"/>
    <w:rPr>
      <w:rFonts w:eastAsia="宋体" w:asciiTheme="majorHAnsi" w:hAnsiTheme="majorHAnsi" w:cstheme="majorBidi"/>
      <w:b/>
      <w:bCs/>
      <w:kern w:val="28"/>
      <w:sz w:val="32"/>
      <w:szCs w:val="32"/>
    </w:rPr>
  </w:style>
  <w:style w:type="character" w:customStyle="1" w:styleId="245">
    <w:name w:val="批注文字 Char1"/>
    <w:basedOn w:val="58"/>
    <w:semiHidden/>
    <w:qFormat/>
    <w:uiPriority w:val="99"/>
    <w:rPr>
      <w:rFonts w:ascii="Times New Roman" w:hAnsi="Times New Roman" w:eastAsia="宋体" w:cs="Times New Roman"/>
      <w:szCs w:val="20"/>
    </w:rPr>
  </w:style>
  <w:style w:type="character" w:customStyle="1" w:styleId="246">
    <w:name w:val="正文文本 Char"/>
    <w:basedOn w:val="58"/>
    <w:semiHidden/>
    <w:qFormat/>
    <w:uiPriority w:val="99"/>
    <w:rPr>
      <w:rFonts w:ascii="Times New Roman" w:hAnsi="Times New Roman" w:eastAsia="宋体" w:cs="Times New Roman"/>
      <w:szCs w:val="20"/>
    </w:rPr>
  </w:style>
  <w:style w:type="character" w:customStyle="1" w:styleId="247">
    <w:name w:val="批注主题 Char2"/>
    <w:basedOn w:val="245"/>
    <w:semiHidden/>
    <w:qFormat/>
    <w:uiPriority w:val="99"/>
    <w:rPr>
      <w:rFonts w:ascii="Times New Roman" w:hAnsi="Times New Roman" w:eastAsia="宋体" w:cs="Times New Roman"/>
      <w:b/>
      <w:bCs/>
      <w:szCs w:val="20"/>
    </w:rPr>
  </w:style>
  <w:style w:type="character" w:customStyle="1" w:styleId="248">
    <w:name w:val="批注框文本 Char2"/>
    <w:basedOn w:val="58"/>
    <w:semiHidden/>
    <w:qFormat/>
    <w:uiPriority w:val="99"/>
    <w:rPr>
      <w:rFonts w:ascii="Times New Roman" w:hAnsi="Times New Roman" w:eastAsia="宋体" w:cs="Times New Roman"/>
      <w:sz w:val="18"/>
      <w:szCs w:val="18"/>
    </w:rPr>
  </w:style>
  <w:style w:type="character" w:customStyle="1" w:styleId="249">
    <w:name w:val="正文文本缩进 2 Char"/>
    <w:basedOn w:val="58"/>
    <w:semiHidden/>
    <w:qFormat/>
    <w:uiPriority w:val="99"/>
    <w:rPr>
      <w:rFonts w:ascii="Times New Roman" w:hAnsi="Times New Roman" w:eastAsia="宋体" w:cs="Times New Roman"/>
      <w:szCs w:val="20"/>
    </w:rPr>
  </w:style>
  <w:style w:type="character" w:customStyle="1" w:styleId="250">
    <w:name w:val="正文文本缩进 3 Char"/>
    <w:basedOn w:val="58"/>
    <w:semiHidden/>
    <w:qFormat/>
    <w:uiPriority w:val="99"/>
    <w:rPr>
      <w:rFonts w:ascii="Times New Roman" w:hAnsi="Times New Roman" w:eastAsia="宋体" w:cs="Times New Roman"/>
      <w:sz w:val="16"/>
      <w:szCs w:val="16"/>
    </w:rPr>
  </w:style>
  <w:style w:type="character" w:customStyle="1" w:styleId="251">
    <w:name w:val="正文文本 3 Char"/>
    <w:basedOn w:val="58"/>
    <w:semiHidden/>
    <w:qFormat/>
    <w:uiPriority w:val="99"/>
    <w:rPr>
      <w:rFonts w:ascii="Times New Roman" w:hAnsi="Times New Roman" w:eastAsia="宋体" w:cs="Times New Roman"/>
      <w:sz w:val="16"/>
      <w:szCs w:val="16"/>
    </w:rPr>
  </w:style>
  <w:style w:type="character" w:customStyle="1" w:styleId="252">
    <w:name w:val="正文文本首行缩进 字符"/>
    <w:basedOn w:val="246"/>
    <w:link w:val="54"/>
    <w:qFormat/>
    <w:uiPriority w:val="0"/>
    <w:rPr>
      <w:rFonts w:ascii="Times New Roman" w:hAnsi="Times New Roman" w:eastAsia="Times New Roman" w:cs="Times New Roman"/>
      <w:sz w:val="28"/>
      <w:szCs w:val="24"/>
      <w:lang w:val="en-US" w:eastAsia="zh-CN"/>
    </w:rPr>
  </w:style>
  <w:style w:type="character" w:customStyle="1" w:styleId="253">
    <w:name w:val="尾注文本 字符"/>
    <w:basedOn w:val="58"/>
    <w:link w:val="34"/>
    <w:qFormat/>
    <w:uiPriority w:val="0"/>
    <w:rPr>
      <w:rFonts w:ascii="Times New Roman" w:hAnsi="Times New Roman" w:eastAsia="宋体" w:cs="Times New Roman"/>
      <w:sz w:val="24"/>
      <w:szCs w:val="24"/>
    </w:rPr>
  </w:style>
  <w:style w:type="paragraph" w:customStyle="1" w:styleId="254">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255">
    <w:name w:val="font1"/>
    <w:basedOn w:val="1"/>
    <w:qFormat/>
    <w:uiPriority w:val="0"/>
    <w:pPr>
      <w:widowControl/>
      <w:spacing w:before="100" w:beforeAutospacing="1" w:after="100" w:afterAutospacing="1" w:line="300" w:lineRule="atLeast"/>
      <w:jc w:val="left"/>
    </w:pPr>
    <w:rPr>
      <w:rFonts w:ascii="宋体" w:hAnsi="宋体"/>
      <w:kern w:val="0"/>
      <w:sz w:val="18"/>
    </w:rPr>
  </w:style>
  <w:style w:type="paragraph" w:customStyle="1" w:styleId="25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rPr>
  </w:style>
  <w:style w:type="paragraph" w:customStyle="1" w:styleId="257">
    <w:name w:val="4-ST-点"/>
    <w:basedOn w:val="9"/>
    <w:qFormat/>
    <w:uiPriority w:val="0"/>
    <w:pPr>
      <w:adjustRightInd w:val="0"/>
      <w:snapToGrid w:val="0"/>
      <w:spacing w:beforeLines="30" w:afterLines="30" w:line="312" w:lineRule="auto"/>
    </w:pPr>
    <w:rPr>
      <w:rFonts w:ascii="楷体_GB2312" w:hAnsi="Times New Roman" w:eastAsia="楷体_GB2312"/>
    </w:rPr>
  </w:style>
  <w:style w:type="paragraph" w:customStyle="1" w:styleId="25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9">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rPr>
  </w:style>
  <w:style w:type="paragraph" w:customStyle="1" w:styleId="260">
    <w:name w:val="标书正文11"/>
    <w:basedOn w:val="1"/>
    <w:qFormat/>
    <w:uiPriority w:val="0"/>
    <w:pPr>
      <w:spacing w:line="360" w:lineRule="auto"/>
      <w:ind w:firstLine="200" w:firstLineChars="200"/>
    </w:pPr>
    <w:rPr>
      <w:rFonts w:ascii="宋体" w:hAnsi="宋体"/>
      <w:kern w:val="44"/>
      <w:sz w:val="24"/>
      <w:szCs w:val="24"/>
    </w:rPr>
  </w:style>
  <w:style w:type="paragraph" w:customStyle="1" w:styleId="261">
    <w:name w:val="一级条标题"/>
    <w:basedOn w:val="262"/>
    <w:next w:val="1"/>
    <w:qFormat/>
    <w:uiPriority w:val="0"/>
    <w:pPr>
      <w:numPr>
        <w:ilvl w:val="2"/>
      </w:numPr>
      <w:tabs>
        <w:tab w:val="left" w:pos="992"/>
      </w:tabs>
      <w:spacing w:before="0" w:beforeLines="0" w:after="0" w:afterLines="0"/>
      <w:outlineLvl w:val="2"/>
    </w:pPr>
  </w:style>
  <w:style w:type="paragraph" w:customStyle="1" w:styleId="262">
    <w:name w:val="章标题"/>
    <w:next w:val="1"/>
    <w:qFormat/>
    <w:uiPriority w:val="0"/>
    <w:pPr>
      <w:numPr>
        <w:ilvl w:val="1"/>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63">
    <w:name w:val="2册标题2"/>
    <w:basedOn w:val="1"/>
    <w:next w:val="1"/>
    <w:qFormat/>
    <w:uiPriority w:val="0"/>
    <w:pPr>
      <w:spacing w:before="156" w:beforeLines="50" w:after="156" w:afterLines="50" w:line="300" w:lineRule="auto"/>
      <w:outlineLvl w:val="1"/>
    </w:pPr>
    <w:rPr>
      <w:rFonts w:ascii="Arial" w:hAnsi="Arial" w:eastAsia="黑体"/>
      <w:sz w:val="30"/>
    </w:rPr>
  </w:style>
  <w:style w:type="paragraph" w:customStyle="1" w:styleId="264">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265">
    <w:name w:val="Char1 Char Char Char"/>
    <w:basedOn w:val="1"/>
    <w:qFormat/>
    <w:uiPriority w:val="0"/>
    <w:rPr>
      <w:szCs w:val="24"/>
    </w:rPr>
  </w:style>
  <w:style w:type="paragraph" w:customStyle="1" w:styleId="266">
    <w:name w:val="样式2"/>
    <w:basedOn w:val="5"/>
    <w:qFormat/>
    <w:uiPriority w:val="0"/>
    <w:pPr>
      <w:spacing w:before="260" w:after="260"/>
    </w:pPr>
    <w:rPr>
      <w:rFonts w:ascii="黑体" w:hAnsi="Times New Roman"/>
      <w:b/>
    </w:rPr>
  </w:style>
  <w:style w:type="paragraph" w:customStyle="1" w:styleId="267">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268">
    <w:name w:val="Char Char Char Char Char Char1 Char Char Char Char Char Char Char Char Char Char Char Char Char"/>
    <w:basedOn w:val="1"/>
    <w:qFormat/>
    <w:uiPriority w:val="0"/>
    <w:rPr>
      <w:szCs w:val="24"/>
    </w:rPr>
  </w:style>
  <w:style w:type="paragraph" w:customStyle="1" w:styleId="269">
    <w:name w:val="3-ST-小节"/>
    <w:basedOn w:val="7"/>
    <w:next w:val="270"/>
    <w:qFormat/>
    <w:uiPriority w:val="0"/>
    <w:pPr>
      <w:spacing w:beforeLines="50" w:after="120" w:line="240" w:lineRule="auto"/>
    </w:pPr>
    <w:rPr>
      <w:rFonts w:eastAsia="楷体_GB2312"/>
    </w:rPr>
  </w:style>
  <w:style w:type="paragraph" w:customStyle="1" w:styleId="270">
    <w:name w:val="10-ST-正文"/>
    <w:basedOn w:val="1"/>
    <w:qFormat/>
    <w:uiPriority w:val="0"/>
    <w:pPr>
      <w:adjustRightInd w:val="0"/>
      <w:snapToGrid w:val="0"/>
      <w:spacing w:line="360" w:lineRule="auto"/>
      <w:ind w:firstLine="200" w:firstLineChars="200"/>
    </w:pPr>
    <w:rPr>
      <w:sz w:val="24"/>
      <w:szCs w:val="28"/>
    </w:rPr>
  </w:style>
  <w:style w:type="paragraph" w:customStyle="1" w:styleId="271">
    <w:name w:val="Char1 Char Char Char Char Char Char"/>
    <w:basedOn w:val="1"/>
    <w:qFormat/>
    <w:uiPriority w:val="0"/>
    <w:rPr>
      <w:rFonts w:ascii="Tahoma" w:hAnsi="Tahoma"/>
      <w:sz w:val="24"/>
    </w:rPr>
  </w:style>
  <w:style w:type="paragraph" w:customStyle="1" w:styleId="272">
    <w:name w:val="正文文字缩进 2"/>
    <w:basedOn w:val="1"/>
    <w:qFormat/>
    <w:uiPriority w:val="0"/>
    <w:pPr>
      <w:spacing w:line="719" w:lineRule="atLeast"/>
      <w:ind w:left="1" w:firstLine="562"/>
      <w:textAlignment w:val="bottom"/>
    </w:pPr>
    <w:rPr>
      <w:color w:val="000000"/>
      <w:kern w:val="0"/>
      <w:sz w:val="28"/>
    </w:rPr>
  </w:style>
  <w:style w:type="paragraph" w:customStyle="1" w:styleId="27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74">
    <w:name w:val="二级条标题"/>
    <w:basedOn w:val="261"/>
    <w:next w:val="1"/>
    <w:qFormat/>
    <w:uiPriority w:val="0"/>
    <w:pPr>
      <w:numPr>
        <w:ilvl w:val="3"/>
      </w:numPr>
      <w:outlineLvl w:val="3"/>
    </w:pPr>
  </w:style>
  <w:style w:type="paragraph" w:customStyle="1" w:styleId="275">
    <w:name w:val="表格文字"/>
    <w:basedOn w:val="1"/>
    <w:qFormat/>
    <w:uiPriority w:val="0"/>
    <w:pPr>
      <w:adjustRightInd w:val="0"/>
      <w:spacing w:line="420" w:lineRule="atLeast"/>
      <w:jc w:val="left"/>
      <w:textAlignment w:val="baseline"/>
    </w:pPr>
    <w:rPr>
      <w:kern w:val="0"/>
    </w:rPr>
  </w:style>
  <w:style w:type="paragraph" w:customStyle="1" w:styleId="276">
    <w:name w:val="Char Char Char1 Char"/>
    <w:basedOn w:val="1"/>
    <w:qFormat/>
    <w:uiPriority w:val="0"/>
    <w:rPr>
      <w:szCs w:val="24"/>
    </w:r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79">
    <w:name w:val="Char Char Char Char Char Char1 Char Char Char Char Char Char Char"/>
    <w:basedOn w:val="1"/>
    <w:qFormat/>
    <w:uiPriority w:val="0"/>
    <w:rPr>
      <w:szCs w:val="24"/>
    </w:rPr>
  </w:style>
  <w:style w:type="paragraph" w:customStyle="1" w:styleId="280">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81">
    <w:name w:val="Char"/>
    <w:basedOn w:val="1"/>
    <w:qFormat/>
    <w:uiPriority w:val="0"/>
    <w:rPr>
      <w:rFonts w:ascii="Tahoma" w:hAnsi="Tahoma"/>
      <w:sz w:val="24"/>
    </w:rPr>
  </w:style>
  <w:style w:type="paragraph" w:customStyle="1" w:styleId="282">
    <w:name w:val="Char Char Char Char Char Char Char Char Char"/>
    <w:basedOn w:val="1"/>
    <w:qFormat/>
    <w:uiPriority w:val="0"/>
    <w:rPr>
      <w:szCs w:val="24"/>
    </w:rPr>
  </w:style>
  <w:style w:type="paragraph" w:customStyle="1" w:styleId="283">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4">
    <w:name w:val="È±Ê¡ÎÄ±¾"/>
    <w:basedOn w:val="1"/>
    <w:qFormat/>
    <w:uiPriority w:val="0"/>
    <w:pPr>
      <w:widowControl/>
      <w:overflowPunct w:val="0"/>
      <w:autoSpaceDE w:val="0"/>
      <w:autoSpaceDN w:val="0"/>
      <w:adjustRightInd w:val="0"/>
      <w:jc w:val="left"/>
    </w:pPr>
    <w:rPr>
      <w:kern w:val="0"/>
      <w:sz w:val="24"/>
    </w:rPr>
  </w:style>
  <w:style w:type="paragraph" w:customStyle="1" w:styleId="285">
    <w:name w:val="Char Char Char Char Char Char1 Char Char Char1"/>
    <w:basedOn w:val="1"/>
    <w:qFormat/>
    <w:uiPriority w:val="0"/>
    <w:rPr>
      <w:szCs w:val="24"/>
    </w:rPr>
  </w:style>
  <w:style w:type="paragraph" w:customStyle="1" w:styleId="286">
    <w:name w:val="Char Char Char Char Char Char1 Char Char Char Char Char Char Char Char Char Char Char Char Char Char Char Char Char Char Char Char Char Char"/>
    <w:basedOn w:val="1"/>
    <w:qFormat/>
    <w:uiPriority w:val="0"/>
    <w:rPr>
      <w:szCs w:val="24"/>
    </w:rPr>
  </w:style>
  <w:style w:type="paragraph" w:customStyle="1" w:styleId="287">
    <w:name w:val="Char Char2"/>
    <w:basedOn w:val="18"/>
    <w:qFormat/>
    <w:uiPriority w:val="0"/>
    <w:rPr>
      <w:rFonts w:ascii="Tahoma" w:hAnsi="Tahoma"/>
      <w:sz w:val="24"/>
      <w:szCs w:val="24"/>
    </w:rPr>
  </w:style>
  <w:style w:type="paragraph" w:customStyle="1" w:styleId="288">
    <w:name w:val="正文3"/>
    <w:basedOn w:val="1"/>
    <w:qFormat/>
    <w:uiPriority w:val="0"/>
    <w:pPr>
      <w:widowControl/>
      <w:spacing w:line="360" w:lineRule="auto"/>
      <w:ind w:firstLine="280" w:firstLineChars="100"/>
      <w:jc w:val="left"/>
    </w:pPr>
    <w:rPr>
      <w:rFonts w:ascii="宋体" w:hAnsi="宋体"/>
      <w:sz w:val="28"/>
    </w:rPr>
  </w:style>
  <w:style w:type="paragraph" w:customStyle="1" w:styleId="289">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rPr>
  </w:style>
  <w:style w:type="paragraph" w:customStyle="1" w:styleId="290">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291">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92">
    <w:name w:val="最终正文"/>
    <w:basedOn w:val="1"/>
    <w:qFormat/>
    <w:uiPriority w:val="0"/>
    <w:pPr>
      <w:spacing w:line="360" w:lineRule="auto"/>
      <w:ind w:firstLine="420"/>
    </w:pPr>
    <w:rPr>
      <w:rFonts w:ascii="仿宋_GB2312" w:hAnsi="宋体"/>
      <w:bCs/>
      <w:caps/>
      <w:sz w:val="24"/>
      <w:szCs w:val="24"/>
    </w:rPr>
  </w:style>
  <w:style w:type="paragraph" w:customStyle="1" w:styleId="2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4">
    <w:name w:val="Char Char Char Char Char Char1 Char Char Char Char Char Char Char Char Char Char Char Char1 Char Char Char Char"/>
    <w:basedOn w:val="1"/>
    <w:qFormat/>
    <w:uiPriority w:val="0"/>
  </w:style>
  <w:style w:type="paragraph" w:customStyle="1" w:styleId="295">
    <w:name w:val="+正文"/>
    <w:basedOn w:val="1"/>
    <w:qFormat/>
    <w:uiPriority w:val="0"/>
    <w:pPr>
      <w:spacing w:line="360" w:lineRule="auto"/>
      <w:ind w:firstLine="200" w:firstLineChars="200"/>
    </w:pPr>
    <w:rPr>
      <w:sz w:val="24"/>
      <w:szCs w:val="28"/>
    </w:rPr>
  </w:style>
  <w:style w:type="paragraph" w:customStyle="1" w:styleId="296">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297">
    <w:name w:val="缺省文本:1"/>
    <w:basedOn w:val="1"/>
    <w:qFormat/>
    <w:uiPriority w:val="0"/>
    <w:pPr>
      <w:autoSpaceDE w:val="0"/>
      <w:autoSpaceDN w:val="0"/>
      <w:adjustRightInd w:val="0"/>
      <w:jc w:val="left"/>
    </w:pPr>
    <w:rPr>
      <w:rFonts w:ascii="宋体"/>
      <w:kern w:val="0"/>
      <w:sz w:val="24"/>
    </w:rPr>
  </w:style>
  <w:style w:type="paragraph" w:customStyle="1" w:styleId="298">
    <w:name w:val="正文段"/>
    <w:basedOn w:val="1"/>
    <w:qFormat/>
    <w:uiPriority w:val="0"/>
    <w:pPr>
      <w:widowControl/>
      <w:adjustRightInd w:val="0"/>
      <w:spacing w:after="240" w:line="360" w:lineRule="atLeast"/>
      <w:ind w:firstLine="454"/>
      <w:textAlignment w:val="bottom"/>
    </w:pPr>
    <w:rPr>
      <w:rFonts w:ascii="宋体"/>
      <w:kern w:val="0"/>
      <w:sz w:val="24"/>
    </w:rPr>
  </w:style>
  <w:style w:type="paragraph" w:customStyle="1" w:styleId="299">
    <w:name w:val="图注"/>
    <w:qFormat/>
    <w:uiPriority w:val="0"/>
    <w:pPr>
      <w:spacing w:after="156" w:afterLines="50"/>
      <w:jc w:val="center"/>
    </w:pPr>
    <w:rPr>
      <w:rFonts w:ascii="Times New Roman" w:hAnsi="Times New Roman" w:eastAsia="宋体" w:cs="Times New Roman"/>
      <w:kern w:val="2"/>
      <w:sz w:val="24"/>
      <w:szCs w:val="24"/>
      <w:lang w:val="en-US" w:eastAsia="zh-CN" w:bidi="ar-SA"/>
    </w:rPr>
  </w:style>
  <w:style w:type="paragraph" w:customStyle="1" w:styleId="300">
    <w:name w:val="Char Char Char Char Char Char Char Char Char Char Char Char Char Char Char Char"/>
    <w:basedOn w:val="1"/>
    <w:qFormat/>
    <w:uiPriority w:val="0"/>
    <w:pPr>
      <w:tabs>
        <w:tab w:val="left" w:pos="360"/>
      </w:tabs>
    </w:pPr>
    <w:rPr>
      <w:sz w:val="24"/>
      <w:szCs w:val="24"/>
    </w:rPr>
  </w:style>
  <w:style w:type="paragraph" w:customStyle="1" w:styleId="301">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302">
    <w:name w:val="Char Char Char Char Char Char Char"/>
    <w:basedOn w:val="1"/>
    <w:qFormat/>
    <w:uiPriority w:val="0"/>
    <w:rPr>
      <w:szCs w:val="24"/>
    </w:rPr>
  </w:style>
  <w:style w:type="paragraph" w:customStyle="1" w:styleId="303">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 w:val="24"/>
    </w:rPr>
  </w:style>
  <w:style w:type="paragraph" w:customStyle="1" w:styleId="304">
    <w:name w:val="并列正文"/>
    <w:basedOn w:val="1"/>
    <w:qFormat/>
    <w:uiPriority w:val="0"/>
    <w:pPr>
      <w:spacing w:before="156" w:beforeLines="50" w:after="156" w:afterLines="50" w:line="360" w:lineRule="auto"/>
    </w:pPr>
    <w:rPr>
      <w:rFonts w:ascii="仿宋_GB2312" w:hAnsi="宋体" w:eastAsia="仿宋_GB2312"/>
      <w:b/>
      <w:bCs/>
      <w:color w:val="000000"/>
      <w:sz w:val="24"/>
      <w:szCs w:val="24"/>
    </w:rPr>
  </w:style>
  <w:style w:type="paragraph" w:customStyle="1" w:styleId="30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6">
    <w:name w:val="Char Char Char Char Char Char Char Char Char Char"/>
    <w:basedOn w:val="1"/>
    <w:qFormat/>
    <w:uiPriority w:val="0"/>
  </w:style>
  <w:style w:type="paragraph" w:customStyle="1" w:styleId="307">
    <w:name w:val="2-ST-节"/>
    <w:basedOn w:val="6"/>
    <w:next w:val="270"/>
    <w:qFormat/>
    <w:uiPriority w:val="0"/>
    <w:pPr>
      <w:spacing w:before="160" w:after="160" w:line="240" w:lineRule="auto"/>
    </w:pPr>
    <w:rPr>
      <w:rFonts w:ascii="Arial" w:hAnsi="Arial" w:eastAsia="楷体_GB2312"/>
      <w:shadow/>
      <w:sz w:val="30"/>
    </w:rPr>
  </w:style>
  <w:style w:type="paragraph" w:customStyle="1" w:styleId="308">
    <w:name w:val="百姓X"/>
    <w:basedOn w:val="1"/>
    <w:qFormat/>
    <w:uiPriority w:val="0"/>
    <w:pPr>
      <w:spacing w:before="120" w:after="120" w:line="360" w:lineRule="auto"/>
      <w:ind w:firstLine="539"/>
    </w:pPr>
    <w:rPr>
      <w:sz w:val="24"/>
    </w:rPr>
  </w:style>
  <w:style w:type="paragraph" w:customStyle="1" w:styleId="309">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310">
    <w:name w:val="z-窗体顶端1"/>
    <w:basedOn w:val="1"/>
    <w:next w:val="1"/>
    <w:link w:val="311"/>
    <w:qFormat/>
    <w:uiPriority w:val="0"/>
    <w:pPr>
      <w:widowControl/>
      <w:pBdr>
        <w:bottom w:val="single" w:color="auto" w:sz="6" w:space="1"/>
      </w:pBdr>
      <w:jc w:val="center"/>
    </w:pPr>
    <w:rPr>
      <w:rFonts w:ascii="Arial" w:hAnsi="Arial" w:cs="Arial"/>
      <w:vanish/>
      <w:kern w:val="0"/>
      <w:sz w:val="16"/>
      <w:szCs w:val="16"/>
    </w:rPr>
  </w:style>
  <w:style w:type="character" w:customStyle="1" w:styleId="311">
    <w:name w:val="z-窗体顶端 Char"/>
    <w:basedOn w:val="58"/>
    <w:link w:val="310"/>
    <w:qFormat/>
    <w:uiPriority w:val="0"/>
    <w:rPr>
      <w:rFonts w:ascii="Arial" w:hAnsi="Arial" w:eastAsia="宋体" w:cs="Arial"/>
      <w:vanish/>
      <w:kern w:val="0"/>
      <w:sz w:val="16"/>
      <w:szCs w:val="16"/>
    </w:rPr>
  </w:style>
  <w:style w:type="paragraph" w:customStyle="1" w:styleId="3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3">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4">
    <w:name w:val="引用 Char"/>
    <w:basedOn w:val="58"/>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rPr>
  </w:style>
  <w:style w:type="paragraph" w:customStyle="1" w:styleId="315">
    <w:name w:val="Bullet with text 1"/>
    <w:basedOn w:val="1"/>
    <w:qFormat/>
    <w:uiPriority w:val="0"/>
    <w:pPr>
      <w:widowControl/>
      <w:tabs>
        <w:tab w:val="left" w:pos="425"/>
      </w:tabs>
      <w:spacing w:line="360" w:lineRule="auto"/>
      <w:ind w:left="425" w:hanging="425"/>
      <w:jc w:val="left"/>
    </w:pPr>
    <w:rPr>
      <w:rFonts w:ascii="Futura Bk" w:hAnsi="Futura Bk"/>
      <w:kern w:val="0"/>
      <w:sz w:val="20"/>
      <w:lang w:val="en-GB"/>
    </w:rPr>
  </w:style>
  <w:style w:type="paragraph" w:customStyle="1" w:styleId="316">
    <w:name w:val="Address"/>
    <w:basedOn w:val="1"/>
    <w:next w:val="1"/>
    <w:qFormat/>
    <w:uiPriority w:val="0"/>
    <w:pPr>
      <w:autoSpaceDE w:val="0"/>
      <w:autoSpaceDN w:val="0"/>
      <w:adjustRightInd w:val="0"/>
      <w:jc w:val="left"/>
    </w:pPr>
    <w:rPr>
      <w:i/>
      <w:kern w:val="0"/>
      <w:sz w:val="24"/>
    </w:rPr>
  </w:style>
  <w:style w:type="paragraph" w:customStyle="1" w:styleId="31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18">
    <w:name w:val="正文内"/>
    <w:basedOn w:val="4"/>
    <w:qFormat/>
    <w:uiPriority w:val="0"/>
    <w:pPr>
      <w:spacing w:line="576" w:lineRule="auto"/>
    </w:pPr>
    <w:rPr>
      <w:sz w:val="21"/>
      <w:szCs w:val="21"/>
    </w:rPr>
  </w:style>
  <w:style w:type="paragraph" w:customStyle="1" w:styleId="319">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sz w:val="28"/>
    </w:rPr>
  </w:style>
  <w:style w:type="paragraph" w:customStyle="1" w:styleId="320">
    <w:name w:val="Char Char Char Char Char Char Char Char Char Char Char Char Char"/>
    <w:basedOn w:val="1"/>
    <w:qFormat/>
    <w:uiPriority w:val="0"/>
  </w:style>
  <w:style w:type="paragraph" w:customStyle="1" w:styleId="321">
    <w:name w:val="Char Char Char Char"/>
    <w:basedOn w:val="1"/>
    <w:qFormat/>
    <w:uiPriority w:val="0"/>
  </w:style>
  <w:style w:type="paragraph" w:customStyle="1" w:styleId="3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23">
    <w:name w:val="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24">
    <w:name w:val="5"/>
    <w:basedOn w:val="1"/>
    <w:qFormat/>
    <w:uiPriority w:val="0"/>
    <w:pPr>
      <w:spacing w:before="156" w:beforeLines="50" w:after="156" w:afterLines="50"/>
      <w:ind w:left="200" w:leftChars="200"/>
    </w:pPr>
    <w:rPr>
      <w:sz w:val="28"/>
      <w:szCs w:val="24"/>
    </w:rPr>
  </w:style>
  <w:style w:type="paragraph" w:customStyle="1" w:styleId="325">
    <w:name w:val="Char Char Char Char Char Char Char Char"/>
    <w:basedOn w:val="1"/>
    <w:qFormat/>
    <w:uiPriority w:val="0"/>
    <w:pPr>
      <w:tabs>
        <w:tab w:val="left" w:pos="360"/>
      </w:tabs>
    </w:pPr>
    <w:rPr>
      <w:sz w:val="24"/>
      <w:szCs w:val="24"/>
    </w:rPr>
  </w:style>
  <w:style w:type="paragraph" w:customStyle="1" w:styleId="32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b/>
      <w:kern w:val="0"/>
      <w:sz w:val="20"/>
    </w:rPr>
  </w:style>
  <w:style w:type="paragraph" w:customStyle="1" w:styleId="327">
    <w:name w:val="正文0"/>
    <w:basedOn w:val="1"/>
    <w:qFormat/>
    <w:uiPriority w:val="0"/>
    <w:pPr>
      <w:spacing w:line="360" w:lineRule="auto"/>
      <w:ind w:firstLine="482"/>
      <w:jc w:val="center"/>
    </w:pPr>
    <w:rPr>
      <w:color w:val="000000"/>
      <w:sz w:val="24"/>
      <w:szCs w:val="24"/>
    </w:rPr>
  </w:style>
  <w:style w:type="paragraph" w:customStyle="1" w:styleId="328">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9">
    <w:name w:val="Char Char5 Char Char"/>
    <w:basedOn w:val="18"/>
    <w:qFormat/>
    <w:uiPriority w:val="0"/>
    <w:rPr>
      <w:rFonts w:ascii="Tahoma" w:hAnsi="Tahoma" w:eastAsia="Times New Roman"/>
      <w:sz w:val="24"/>
      <w:szCs w:val="24"/>
    </w:rPr>
  </w:style>
  <w:style w:type="paragraph" w:customStyle="1" w:styleId="330">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31">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332">
    <w:name w:val="Char Char Char Char Char Char Char Char Char Char1"/>
    <w:basedOn w:val="1"/>
    <w:qFormat/>
    <w:uiPriority w:val="0"/>
  </w:style>
  <w:style w:type="paragraph" w:customStyle="1" w:styleId="33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34">
    <w:name w:val="表格内容"/>
    <w:basedOn w:val="1"/>
    <w:qFormat/>
    <w:uiPriority w:val="0"/>
    <w:pPr>
      <w:widowControl/>
      <w:autoSpaceDE w:val="0"/>
      <w:autoSpaceDN w:val="0"/>
      <w:adjustRightInd w:val="0"/>
      <w:spacing w:before="60"/>
      <w:jc w:val="center"/>
      <w:textAlignment w:val="bottom"/>
    </w:pPr>
    <w:rPr>
      <w:rFonts w:eastAsia="仿宋_GB2312"/>
      <w:kern w:val="0"/>
      <w:sz w:val="24"/>
    </w:rPr>
  </w:style>
  <w:style w:type="paragraph" w:customStyle="1" w:styleId="335">
    <w:name w:val="默认段落字体 Para Char Char Char Char Char Char Char Char Char Char Char Char Char"/>
    <w:basedOn w:val="1"/>
    <w:qFormat/>
    <w:uiPriority w:val="0"/>
  </w:style>
  <w:style w:type="paragraph" w:customStyle="1" w:styleId="336">
    <w:name w:val="默认段落字体 Para Char"/>
    <w:basedOn w:val="1"/>
    <w:qFormat/>
    <w:uiPriority w:val="0"/>
    <w:rPr>
      <w:rFonts w:ascii="Tahoma" w:hAnsi="Tahoma"/>
      <w:sz w:val="24"/>
    </w:rPr>
  </w:style>
  <w:style w:type="paragraph" w:customStyle="1" w:styleId="337">
    <w:name w:val="Char Char Char Char Char Char Char Char Char Char Char Char Char1"/>
    <w:basedOn w:val="1"/>
    <w:qFormat/>
    <w:uiPriority w:val="0"/>
  </w:style>
  <w:style w:type="paragraph" w:customStyle="1" w:styleId="338">
    <w:name w:val="正文 + 宋体"/>
    <w:basedOn w:val="48"/>
    <w:qFormat/>
    <w:uiPriority w:val="0"/>
    <w:rPr>
      <w:rFonts w:ascii="宋体" w:hAnsi="宋体"/>
      <w:kern w:val="0"/>
      <w:sz w:val="24"/>
      <w:szCs w:val="24"/>
    </w:rPr>
  </w:style>
  <w:style w:type="paragraph" w:customStyle="1" w:styleId="339">
    <w:name w:val="Char Char Char Char Char Char1 Char Char Char Char Char Char Char Char Char Char Char Char Char Char Char Char Char Char Char Char Char Char1"/>
    <w:basedOn w:val="1"/>
    <w:qFormat/>
    <w:uiPriority w:val="0"/>
    <w:rPr>
      <w:szCs w:val="24"/>
    </w:rPr>
  </w:style>
  <w:style w:type="paragraph" w:customStyle="1" w:styleId="340">
    <w:name w:val="表注"/>
    <w:qFormat/>
    <w:uiPriority w:val="0"/>
    <w:pPr>
      <w:spacing w:before="156" w:beforeLines="50" w:after="156" w:afterLines="50"/>
      <w:jc w:val="center"/>
    </w:pPr>
    <w:rPr>
      <w:rFonts w:ascii="Times New Roman" w:hAnsi="Times New Roman" w:eastAsia="宋体" w:cs="Times New Roman"/>
      <w:kern w:val="2"/>
      <w:sz w:val="24"/>
      <w:szCs w:val="24"/>
      <w:lang w:val="en-US" w:eastAsia="zh-CN" w:bidi="ar-SA"/>
    </w:rPr>
  </w:style>
  <w:style w:type="paragraph" w:customStyle="1" w:styleId="341">
    <w:name w:val="Char Char Char Char Char Char1 Char Char Char Char Char Char Char Char Char Char Char Char Char1"/>
    <w:basedOn w:val="1"/>
    <w:qFormat/>
    <w:uiPriority w:val="0"/>
    <w:rPr>
      <w:szCs w:val="24"/>
    </w:rPr>
  </w:style>
  <w:style w:type="paragraph" w:customStyle="1" w:styleId="3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43">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rPr>
  </w:style>
  <w:style w:type="paragraph" w:customStyle="1" w:styleId="344">
    <w:name w:val="浅色网格 - 强调文字颜色 31"/>
    <w:basedOn w:val="1"/>
    <w:qFormat/>
    <w:uiPriority w:val="0"/>
    <w:pPr>
      <w:ind w:firstLine="420" w:firstLineChars="200"/>
    </w:pPr>
    <w:rPr>
      <w:rFonts w:ascii="Calibri" w:hAnsi="Calibri"/>
      <w:sz w:val="24"/>
      <w:szCs w:val="22"/>
    </w:rPr>
  </w:style>
  <w:style w:type="paragraph" w:customStyle="1" w:styleId="345">
    <w:name w:val="规范正文"/>
    <w:basedOn w:val="1"/>
    <w:qFormat/>
    <w:uiPriority w:val="0"/>
    <w:pPr>
      <w:snapToGrid w:val="0"/>
      <w:spacing w:line="360" w:lineRule="auto"/>
      <w:ind w:firstLine="200" w:firstLineChars="200"/>
      <w:textAlignment w:val="baseline"/>
    </w:pPr>
    <w:rPr>
      <w:kern w:val="0"/>
      <w:sz w:val="24"/>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347">
    <w:name w:val="五级条标题"/>
    <w:basedOn w:val="348"/>
    <w:next w:val="1"/>
    <w:qFormat/>
    <w:uiPriority w:val="0"/>
    <w:pPr>
      <w:numPr>
        <w:ilvl w:val="6"/>
      </w:numPr>
      <w:tabs>
        <w:tab w:val="left" w:pos="992"/>
      </w:tabs>
      <w:outlineLvl w:val="6"/>
    </w:pPr>
  </w:style>
  <w:style w:type="paragraph" w:customStyle="1" w:styleId="348">
    <w:name w:val="四级条标题"/>
    <w:basedOn w:val="349"/>
    <w:next w:val="1"/>
    <w:qFormat/>
    <w:uiPriority w:val="0"/>
    <w:pPr>
      <w:numPr>
        <w:ilvl w:val="5"/>
      </w:numPr>
      <w:tabs>
        <w:tab w:val="left" w:pos="992"/>
      </w:tabs>
      <w:outlineLvl w:val="5"/>
    </w:pPr>
  </w:style>
  <w:style w:type="paragraph" w:customStyle="1" w:styleId="349">
    <w:name w:val="三级条标题"/>
    <w:basedOn w:val="274"/>
    <w:next w:val="1"/>
    <w:qFormat/>
    <w:uiPriority w:val="0"/>
    <w:pPr>
      <w:numPr>
        <w:ilvl w:val="4"/>
      </w:numPr>
      <w:outlineLvl w:val="4"/>
    </w:pPr>
  </w:style>
  <w:style w:type="paragraph" w:customStyle="1" w:styleId="350">
    <w:name w:val="Char Char1 Char Char Char Char Char Char Char Char"/>
    <w:basedOn w:val="1"/>
    <w:qFormat/>
    <w:uiPriority w:val="0"/>
    <w:pPr>
      <w:adjustRightInd w:val="0"/>
      <w:spacing w:after="160" w:line="240" w:lineRule="exact"/>
    </w:pPr>
    <w:rPr>
      <w:rFonts w:ascii="Verdana" w:hAnsi="Verdana"/>
      <w:kern w:val="0"/>
      <w:sz w:val="20"/>
      <w:lang w:eastAsia="en-US"/>
    </w:rPr>
  </w:style>
  <w:style w:type="paragraph" w:customStyle="1" w:styleId="351">
    <w:name w:val="2 Char Char Char Char Char Char Char Char Char Char"/>
    <w:basedOn w:val="1"/>
    <w:qFormat/>
    <w:uiPriority w:val="0"/>
    <w:pPr>
      <w:pageBreakBefore/>
      <w:ind w:left="1259"/>
    </w:pPr>
    <w:rPr>
      <w:kern w:val="44"/>
      <w:sz w:val="24"/>
      <w:szCs w:val="24"/>
    </w:rPr>
  </w:style>
  <w:style w:type="paragraph" w:customStyle="1" w:styleId="352">
    <w:name w:val="Char Char Char Char Char Char1 Char"/>
    <w:basedOn w:val="1"/>
    <w:qFormat/>
    <w:uiPriority w:val="0"/>
    <w:rPr>
      <w:szCs w:val="24"/>
    </w:rPr>
  </w:style>
  <w:style w:type="paragraph" w:customStyle="1" w:styleId="353">
    <w:name w:val="_Style 23"/>
    <w:basedOn w:val="1"/>
    <w:next w:val="22"/>
    <w:qFormat/>
    <w:uiPriority w:val="0"/>
    <w:pPr>
      <w:spacing w:after="120"/>
    </w:pPr>
  </w:style>
  <w:style w:type="paragraph" w:customStyle="1" w:styleId="354">
    <w:name w:val="文字列表"/>
    <w:basedOn w:val="54"/>
    <w:qFormat/>
    <w:uiPriority w:val="0"/>
    <w:pPr>
      <w:numPr>
        <w:ilvl w:val="0"/>
        <w:numId w:val="5"/>
      </w:numPr>
      <w:tabs>
        <w:tab w:val="left" w:pos="360"/>
        <w:tab w:val="left" w:pos="540"/>
        <w:tab w:val="left" w:pos="840"/>
        <w:tab w:val="clear" w:pos="1320"/>
      </w:tabs>
      <w:spacing w:line="360" w:lineRule="auto"/>
      <w:ind w:left="540" w:hanging="540"/>
      <w:jc w:val="both"/>
    </w:pPr>
    <w:rPr>
      <w:rFonts w:ascii="仿宋_GB2312" w:hAnsi="宋体" w:eastAsia="仿宋_GB2312"/>
      <w:sz w:val="24"/>
    </w:rPr>
  </w:style>
  <w:style w:type="paragraph" w:customStyle="1" w:styleId="355">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sz w:val="24"/>
      <w:szCs w:val="24"/>
    </w:rPr>
  </w:style>
  <w:style w:type="paragraph" w:customStyle="1" w:styleId="356">
    <w:name w:val="Char Char Char Char Char Char1 Char Char Char Char Char Char Char Char Char Char Char Char Char Char Char Char Char Char Char Char Char Char Char Char"/>
    <w:basedOn w:val="1"/>
    <w:qFormat/>
    <w:uiPriority w:val="0"/>
    <w:rPr>
      <w:szCs w:val="24"/>
    </w:rPr>
  </w:style>
  <w:style w:type="paragraph" w:customStyle="1" w:styleId="357">
    <w:name w:val="Char Char"/>
    <w:basedOn w:val="1"/>
    <w:qFormat/>
    <w:uiPriority w:val="0"/>
    <w:rPr>
      <w:rFonts w:ascii="Tahoma" w:hAnsi="Tahoma"/>
      <w:sz w:val="24"/>
    </w:rPr>
  </w:style>
  <w:style w:type="paragraph" w:customStyle="1" w:styleId="358">
    <w:name w:val="样式 标题 3 + (中文) 黑体 小四 非加粗 段前: 7.8 磅 段后: 0 磅 行距: 固定值 20 磅"/>
    <w:basedOn w:val="6"/>
    <w:qFormat/>
    <w:uiPriority w:val="0"/>
    <w:pPr>
      <w:spacing w:before="0" w:after="0" w:line="400" w:lineRule="exact"/>
    </w:pPr>
    <w:rPr>
      <w:rFonts w:eastAsia="黑体" w:cs="宋体"/>
      <w:bCs w:val="0"/>
      <w:kern w:val="0"/>
      <w:sz w:val="24"/>
      <w:szCs w:val="20"/>
    </w:rPr>
  </w:style>
  <w:style w:type="paragraph" w:customStyle="1" w:styleId="359">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sz w:val="28"/>
    </w:rPr>
  </w:style>
  <w:style w:type="paragraph" w:customStyle="1" w:styleId="360">
    <w:name w:val="标号"/>
    <w:basedOn w:val="1"/>
    <w:qFormat/>
    <w:uiPriority w:val="0"/>
    <w:pPr>
      <w:spacing w:line="360" w:lineRule="auto"/>
    </w:pPr>
    <w:rPr>
      <w:rFonts w:ascii="宋体" w:hAnsi="宋体"/>
      <w:sz w:val="24"/>
    </w:rPr>
  </w:style>
  <w:style w:type="paragraph" w:customStyle="1" w:styleId="361">
    <w:name w:val="Char Char Char"/>
    <w:basedOn w:val="1"/>
    <w:qFormat/>
    <w:uiPriority w:val="0"/>
    <w:rPr>
      <w:szCs w:val="24"/>
    </w:rPr>
  </w:style>
  <w:style w:type="paragraph" w:customStyle="1" w:styleId="362">
    <w:name w:val="列出段落1"/>
    <w:basedOn w:val="1"/>
    <w:qFormat/>
    <w:uiPriority w:val="0"/>
    <w:pPr>
      <w:ind w:firstLine="420" w:firstLineChars="200"/>
    </w:pPr>
    <w:rPr>
      <w:rFonts w:ascii="Calibri" w:hAnsi="Calibri" w:cs="Calibri"/>
      <w:szCs w:val="21"/>
    </w:rPr>
  </w:style>
  <w:style w:type="paragraph" w:customStyle="1" w:styleId="363">
    <w:name w:val="图片居中"/>
    <w:basedOn w:val="1"/>
    <w:qFormat/>
    <w:uiPriority w:val="0"/>
    <w:pPr>
      <w:jc w:val="center"/>
    </w:pPr>
    <w:rPr>
      <w:rFonts w:cs="宋体"/>
    </w:rPr>
  </w:style>
  <w:style w:type="paragraph" w:customStyle="1" w:styleId="364">
    <w:name w:val="表头"/>
    <w:qFormat/>
    <w:uiPriority w:val="0"/>
    <w:pPr>
      <w:jc w:val="center"/>
    </w:pPr>
    <w:rPr>
      <w:rFonts w:ascii="宋体" w:hAnsi="Times New Roman" w:eastAsia="宋体" w:cs="Times New Roman"/>
      <w:b/>
      <w:kern w:val="2"/>
      <w:lang w:val="en-US" w:eastAsia="zh-CN" w:bidi="ar-SA"/>
    </w:rPr>
  </w:style>
  <w:style w:type="paragraph" w:customStyle="1" w:styleId="365">
    <w:name w:val="Char Char2 Char Char"/>
    <w:basedOn w:val="18"/>
    <w:qFormat/>
    <w:uiPriority w:val="0"/>
    <w:rPr>
      <w:rFonts w:ascii="Tahoma" w:hAnsi="Tahoma"/>
      <w:sz w:val="24"/>
      <w:szCs w:val="24"/>
    </w:rPr>
  </w:style>
  <w:style w:type="paragraph" w:customStyle="1" w:styleId="366">
    <w:name w:val="TOC 标题1"/>
    <w:basedOn w:val="4"/>
    <w:next w:val="1"/>
    <w:qFormat/>
    <w:uiPriority w:val="0"/>
    <w:pPr>
      <w:spacing w:line="576" w:lineRule="auto"/>
      <w:outlineLvl w:val="9"/>
    </w:pPr>
    <w:rPr>
      <w:rFonts w:ascii="Calibri" w:hAnsi="Calibri"/>
    </w:rPr>
  </w:style>
  <w:style w:type="paragraph" w:customStyle="1" w:styleId="367">
    <w:name w:val="批注文字1"/>
    <w:basedOn w:val="1"/>
    <w:unhideWhenUsed/>
    <w:qFormat/>
    <w:uiPriority w:val="0"/>
    <w:rPr>
      <w:sz w:val="20"/>
    </w:rPr>
  </w:style>
  <w:style w:type="paragraph" w:customStyle="1" w:styleId="368">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6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70">
    <w:name w:val="默认段落字体 Para Char Char Char Char Char Char Char Char Char1 Char Char Char Char Char Char Char"/>
    <w:basedOn w:val="18"/>
    <w:qFormat/>
    <w:uiPriority w:val="0"/>
    <w:rPr>
      <w:rFonts w:ascii="Tahoma" w:hAnsi="Tahoma"/>
      <w:sz w:val="24"/>
      <w:szCs w:val="24"/>
    </w:rPr>
  </w:style>
  <w:style w:type="paragraph" w:customStyle="1" w:styleId="371">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72">
    <w:name w:val="Char Char1"/>
    <w:basedOn w:val="1"/>
    <w:qFormat/>
    <w:uiPriority w:val="0"/>
    <w:rPr>
      <w:szCs w:val="24"/>
    </w:rPr>
  </w:style>
  <w:style w:type="paragraph" w:customStyle="1" w:styleId="373">
    <w:name w:val="wenjianming"/>
    <w:basedOn w:val="1"/>
    <w:qFormat/>
    <w:uiPriority w:val="0"/>
    <w:pPr>
      <w:widowControl/>
      <w:spacing w:before="100" w:beforeAutospacing="1" w:after="100" w:afterAutospacing="1" w:line="300" w:lineRule="atLeast"/>
      <w:jc w:val="left"/>
    </w:pPr>
    <w:rPr>
      <w:rFonts w:eastAsia="Arial Unicode MS"/>
      <w:color w:val="000000"/>
      <w:kern w:val="0"/>
    </w:rPr>
  </w:style>
  <w:style w:type="paragraph" w:customStyle="1" w:styleId="374">
    <w:name w:val="Char Char Char1"/>
    <w:basedOn w:val="1"/>
    <w:qFormat/>
    <w:uiPriority w:val="0"/>
    <w:rPr>
      <w:rFonts w:ascii="Tahoma" w:hAnsi="Tahoma"/>
      <w:sz w:val="24"/>
    </w:rPr>
  </w:style>
  <w:style w:type="paragraph" w:customStyle="1" w:styleId="375">
    <w:name w:val="Char2"/>
    <w:basedOn w:val="1"/>
    <w:qFormat/>
    <w:uiPriority w:val="0"/>
    <w:rPr>
      <w:rFonts w:ascii="Tahoma" w:hAnsi="Tahoma"/>
      <w:sz w:val="24"/>
    </w:rPr>
  </w:style>
  <w:style w:type="paragraph" w:customStyle="1" w:styleId="376">
    <w:name w:val="列表编号1"/>
    <w:basedOn w:val="1"/>
    <w:qFormat/>
    <w:uiPriority w:val="0"/>
    <w:pPr>
      <w:tabs>
        <w:tab w:val="left" w:pos="780"/>
      </w:tabs>
      <w:spacing w:after="120" w:line="288" w:lineRule="auto"/>
      <w:ind w:left="780" w:hanging="420"/>
    </w:pPr>
    <w:rPr>
      <w:rFonts w:eastAsia="幼圆"/>
      <w:sz w:val="24"/>
    </w:rPr>
  </w:style>
  <w:style w:type="paragraph" w:customStyle="1" w:styleId="377">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 w:val="24"/>
    </w:rPr>
  </w:style>
  <w:style w:type="paragraph" w:customStyle="1" w:styleId="378">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rPr>
  </w:style>
  <w:style w:type="paragraph" w:customStyle="1" w:styleId="379">
    <w:name w:val="Char1 Char Char Char Char Char Char Char Char Char"/>
    <w:basedOn w:val="1"/>
    <w:qFormat/>
    <w:uiPriority w:val="0"/>
    <w:pPr>
      <w:jc w:val="left"/>
    </w:pPr>
    <w:rPr>
      <w:rFonts w:ascii="Tahoma" w:hAnsi="Tahoma"/>
      <w:sz w:val="24"/>
    </w:rPr>
  </w:style>
  <w:style w:type="paragraph" w:customStyle="1" w:styleId="380">
    <w:name w:val="一级目录"/>
    <w:next w:val="1"/>
    <w:qFormat/>
    <w:uiPriority w:val="0"/>
    <w:pPr>
      <w:spacing w:after="312" w:afterLines="100"/>
      <w:jc w:val="center"/>
      <w:outlineLvl w:val="0"/>
    </w:pPr>
    <w:rPr>
      <w:rFonts w:ascii="黑体" w:hAnsi="Calibri" w:eastAsia="黑体" w:cs="Times New Roman"/>
      <w:b/>
      <w:kern w:val="2"/>
      <w:sz w:val="44"/>
      <w:szCs w:val="44"/>
      <w:lang w:val="en-US" w:eastAsia="zh-CN" w:bidi="ar-SA"/>
    </w:rPr>
  </w:style>
  <w:style w:type="paragraph" w:customStyle="1" w:styleId="381">
    <w:name w:val="wen_2"/>
    <w:basedOn w:val="1"/>
    <w:qFormat/>
    <w:uiPriority w:val="0"/>
    <w:pPr>
      <w:widowControl/>
      <w:spacing w:before="100" w:beforeAutospacing="1" w:after="100" w:afterAutospacing="1" w:line="324" w:lineRule="auto"/>
      <w:jc w:val="left"/>
    </w:pPr>
    <w:rPr>
      <w:color w:val="000000"/>
      <w:kern w:val="0"/>
      <w:sz w:val="18"/>
      <w:szCs w:val="18"/>
    </w:rPr>
  </w:style>
  <w:style w:type="paragraph" w:customStyle="1" w:styleId="382">
    <w:name w:val="Table Text"/>
    <w:basedOn w:val="1"/>
    <w:qFormat/>
    <w:uiPriority w:val="0"/>
    <w:rPr>
      <w:sz w:val="18"/>
      <w:szCs w:val="24"/>
    </w:rPr>
  </w:style>
  <w:style w:type="paragraph" w:customStyle="1" w:styleId="383">
    <w:name w:val="公文正文"/>
    <w:basedOn w:val="1"/>
    <w:qFormat/>
    <w:uiPriority w:val="0"/>
    <w:pPr>
      <w:spacing w:line="360" w:lineRule="auto"/>
      <w:jc w:val="center"/>
    </w:pPr>
    <w:rPr>
      <w:rFonts w:eastAsia="华文仿宋"/>
      <w:b/>
      <w:sz w:val="32"/>
    </w:rPr>
  </w:style>
  <w:style w:type="paragraph" w:customStyle="1" w:styleId="384">
    <w:name w:val="Char Char Char Char1"/>
    <w:basedOn w:val="18"/>
    <w:qFormat/>
    <w:uiPriority w:val="0"/>
    <w:rPr>
      <w:sz w:val="28"/>
    </w:rPr>
  </w:style>
  <w:style w:type="paragraph" w:customStyle="1" w:styleId="385">
    <w:name w:val="样式 首行缩进:  0.85 厘米"/>
    <w:basedOn w:val="1"/>
    <w:qFormat/>
    <w:uiPriority w:val="0"/>
    <w:pPr>
      <w:spacing w:line="360" w:lineRule="auto"/>
      <w:ind w:firstLine="480" w:firstLineChars="200"/>
    </w:pPr>
    <w:rPr>
      <w:szCs w:val="24"/>
    </w:rPr>
  </w:style>
  <w:style w:type="paragraph" w:customStyle="1" w:styleId="386">
    <w:name w:val="正文，首行缩进"/>
    <w:basedOn w:val="22"/>
    <w:next w:val="8"/>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hAnsi="Arial" w:eastAsia="楷体"/>
      <w:kern w:val="0"/>
      <w:sz w:val="24"/>
      <w:szCs w:val="20"/>
      <w:lang w:val="de-DE"/>
    </w:rPr>
  </w:style>
  <w:style w:type="paragraph" w:customStyle="1" w:styleId="387">
    <w:name w:val="表格正文"/>
    <w:basedOn w:val="1"/>
    <w:qFormat/>
    <w:uiPriority w:val="0"/>
    <w:pPr>
      <w:spacing w:before="156" w:beforeLines="50"/>
    </w:pPr>
    <w:rPr>
      <w:rFonts w:cs="宋体"/>
      <w:kern w:val="0"/>
    </w:rPr>
  </w:style>
  <w:style w:type="paragraph" w:customStyle="1" w:styleId="388">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正文文字缩进--WRY"/>
    <w:basedOn w:val="1"/>
    <w:qFormat/>
    <w:uiPriority w:val="0"/>
    <w:pPr>
      <w:spacing w:before="240" w:after="64" w:line="360" w:lineRule="auto"/>
      <w:ind w:firstLine="480" w:firstLineChars="200"/>
    </w:pPr>
    <w:rPr>
      <w:sz w:val="24"/>
    </w:rPr>
  </w:style>
  <w:style w:type="paragraph" w:customStyle="1" w:styleId="390">
    <w:name w:val="_Style 165"/>
    <w:basedOn w:val="1"/>
    <w:qFormat/>
    <w:uiPriority w:val="0"/>
    <w:pPr>
      <w:spacing w:before="156" w:beforeLines="50" w:after="156" w:afterLines="50"/>
      <w:ind w:left="200" w:leftChars="200"/>
    </w:pPr>
    <w:rPr>
      <w:rFonts w:eastAsia="Times New Roman"/>
      <w:kern w:val="0"/>
      <w:sz w:val="20"/>
      <w:szCs w:val="24"/>
    </w:rPr>
  </w:style>
  <w:style w:type="paragraph" w:customStyle="1" w:styleId="391">
    <w:name w:val="正文2"/>
    <w:basedOn w:val="1"/>
    <w:qFormat/>
    <w:uiPriority w:val="0"/>
    <w:pPr>
      <w:spacing w:line="300" w:lineRule="auto"/>
      <w:ind w:left="500" w:leftChars="500"/>
    </w:pPr>
  </w:style>
  <w:style w:type="paragraph" w:customStyle="1" w:styleId="392">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kern w:val="0"/>
      <w:sz w:val="24"/>
      <w:szCs w:val="24"/>
    </w:rPr>
  </w:style>
  <w:style w:type="paragraph" w:customStyle="1" w:styleId="39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paragraph" w:customStyle="1" w:styleId="394">
    <w:name w:val="text"/>
    <w:basedOn w:val="1"/>
    <w:qFormat/>
    <w:uiPriority w:val="0"/>
    <w:pPr>
      <w:widowControl/>
      <w:spacing w:before="100" w:beforeAutospacing="1" w:after="100" w:afterAutospacing="1" w:line="300" w:lineRule="auto"/>
      <w:jc w:val="left"/>
    </w:pPr>
    <w:rPr>
      <w:rFonts w:ascii="仿宋_GB2312" w:hAnsi="宋体" w:eastAsia="仿宋_GB2312" w:cs="宋体"/>
      <w:kern w:val="0"/>
      <w:sz w:val="32"/>
      <w:szCs w:val="32"/>
    </w:rPr>
  </w:style>
  <w:style w:type="paragraph" w:customStyle="1" w:styleId="395">
    <w:name w:val="2册标题3"/>
    <w:basedOn w:val="1"/>
    <w:next w:val="1"/>
    <w:qFormat/>
    <w:uiPriority w:val="0"/>
    <w:pPr>
      <w:spacing w:before="156" w:beforeLines="50" w:after="156" w:afterLines="50" w:line="300" w:lineRule="auto"/>
      <w:ind w:left="210" w:leftChars="100"/>
      <w:jc w:val="center"/>
      <w:outlineLvl w:val="2"/>
    </w:pPr>
    <w:rPr>
      <w:rFonts w:ascii="宋体" w:hAnsi="宋体"/>
      <w:b/>
      <w:sz w:val="30"/>
    </w:rPr>
  </w:style>
  <w:style w:type="paragraph" w:customStyle="1" w:styleId="396">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397">
    <w:name w:val="无编号标题4"/>
    <w:next w:val="1"/>
    <w:qFormat/>
    <w:uiPriority w:val="0"/>
    <w:pPr>
      <w:jc w:val="center"/>
    </w:pPr>
    <w:rPr>
      <w:rFonts w:ascii="Arial" w:hAnsi="Arial" w:eastAsia="黑体" w:cs="Times New Roman"/>
      <w:kern w:val="2"/>
      <w:sz w:val="28"/>
      <w:szCs w:val="28"/>
      <w:lang w:val="en-US" w:eastAsia="zh-CN" w:bidi="ar-SA"/>
    </w:rPr>
  </w:style>
  <w:style w:type="paragraph" w:customStyle="1" w:styleId="398">
    <w:name w:val="样式3-A商务部分"/>
    <w:basedOn w:val="6"/>
    <w:qFormat/>
    <w:uiPriority w:val="0"/>
    <w:pPr>
      <w:tabs>
        <w:tab w:val="left" w:pos="1260"/>
      </w:tabs>
      <w:spacing w:line="360" w:lineRule="exact"/>
      <w:ind w:left="1260" w:hanging="420"/>
    </w:pPr>
    <w:rPr>
      <w:sz w:val="28"/>
    </w:rPr>
  </w:style>
  <w:style w:type="paragraph" w:customStyle="1" w:styleId="399">
    <w:name w:val="Char1"/>
    <w:basedOn w:val="1"/>
    <w:qFormat/>
    <w:uiPriority w:val="0"/>
    <w:pPr>
      <w:widowControl/>
      <w:spacing w:after="160" w:line="240" w:lineRule="exact"/>
      <w:jc w:val="left"/>
    </w:pPr>
    <w:rPr>
      <w:rFonts w:ascii="Verdana" w:hAnsi="Verdana"/>
      <w:kern w:val="0"/>
      <w:sz w:val="20"/>
      <w:lang w:eastAsia="en-US"/>
    </w:rPr>
  </w:style>
  <w:style w:type="paragraph" w:customStyle="1" w:styleId="400">
    <w:name w:val="正文-带编号1)"/>
    <w:basedOn w:val="1"/>
    <w:qFormat/>
    <w:uiPriority w:val="0"/>
    <w:pPr>
      <w:numPr>
        <w:ilvl w:val="0"/>
        <w:numId w:val="4"/>
      </w:numPr>
      <w:spacing w:line="400" w:lineRule="exact"/>
    </w:pPr>
    <w:rPr>
      <w:rFonts w:ascii="Arial" w:hAnsi="Arial"/>
      <w:szCs w:val="24"/>
    </w:rPr>
  </w:style>
  <w:style w:type="paragraph" w:customStyle="1" w:styleId="401">
    <w:name w:val="Char Char Char Char Char Char1 Char Char Char11"/>
    <w:basedOn w:val="1"/>
    <w:qFormat/>
    <w:uiPriority w:val="0"/>
    <w:rPr>
      <w:szCs w:val="24"/>
    </w:rPr>
  </w:style>
  <w:style w:type="paragraph" w:customStyle="1" w:styleId="402">
    <w:name w:val="p0"/>
    <w:basedOn w:val="1"/>
    <w:qFormat/>
    <w:uiPriority w:val="0"/>
    <w:pPr>
      <w:widowControl/>
    </w:pPr>
    <w:rPr>
      <w:kern w:val="0"/>
      <w:szCs w:val="21"/>
    </w:rPr>
  </w:style>
  <w:style w:type="paragraph" w:customStyle="1" w:styleId="403">
    <w:name w:val="Char Char Char Char Char Char Char Char Char Char Char Char Char Char Char Char1"/>
    <w:basedOn w:val="1"/>
    <w:qFormat/>
    <w:uiPriority w:val="0"/>
    <w:pPr>
      <w:widowControl/>
      <w:spacing w:after="160" w:line="240" w:lineRule="exact"/>
      <w:jc w:val="left"/>
    </w:pPr>
    <w:rPr>
      <w:szCs w:val="24"/>
    </w:rPr>
  </w:style>
  <w:style w:type="paragraph" w:customStyle="1" w:styleId="404">
    <w:name w:val="标题2级"/>
    <w:qFormat/>
    <w:uiPriority w:val="0"/>
    <w:pPr>
      <w:tabs>
        <w:tab w:val="left" w:pos="0"/>
      </w:tabs>
      <w:spacing w:line="240" w:lineRule="atLeast"/>
      <w:outlineLvl w:val="1"/>
    </w:pPr>
    <w:rPr>
      <w:rFonts w:ascii="宋体" w:hAnsi="宋体" w:eastAsia="宋体" w:cs="Times New Roman"/>
      <w:b/>
      <w:bCs/>
      <w:sz w:val="28"/>
      <w:szCs w:val="28"/>
      <w:lang w:val="en-US" w:eastAsia="zh-CN" w:bidi="ar-SA"/>
    </w:rPr>
  </w:style>
  <w:style w:type="paragraph" w:customStyle="1" w:styleId="405">
    <w:name w:val="Char Char Char Char Char Char"/>
    <w:basedOn w:val="1"/>
    <w:qFormat/>
    <w:uiPriority w:val="0"/>
    <w:rPr>
      <w:rFonts w:ascii="Tahoma" w:hAnsi="Tahoma"/>
      <w:sz w:val="24"/>
    </w:rPr>
  </w:style>
  <w:style w:type="paragraph" w:customStyle="1" w:styleId="406">
    <w:name w:val="±íÏî"/>
    <w:basedOn w:val="1"/>
    <w:qFormat/>
    <w:uiPriority w:val="0"/>
    <w:pPr>
      <w:widowControl/>
      <w:overflowPunct w:val="0"/>
      <w:autoSpaceDE w:val="0"/>
      <w:autoSpaceDN w:val="0"/>
      <w:adjustRightInd w:val="0"/>
      <w:spacing w:line="300" w:lineRule="auto"/>
      <w:jc w:val="center"/>
      <w:textAlignment w:val="baseline"/>
    </w:pPr>
    <w:rPr>
      <w:kern w:val="0"/>
      <w:sz w:val="18"/>
    </w:rPr>
  </w:style>
  <w:style w:type="character" w:customStyle="1" w:styleId="407">
    <w:name w:val="明显引用 Char"/>
    <w:basedOn w:val="58"/>
    <w:qFormat/>
    <w:uiPriority w:val="30"/>
    <w:rPr>
      <w:rFonts w:ascii="Times New Roman" w:hAnsi="Times New Roman" w:eastAsia="宋体" w:cs="Times New Roman"/>
      <w:i/>
      <w:iCs/>
      <w:color w:val="5B9BD5" w:themeColor="accent1"/>
      <w:szCs w:val="20"/>
      <w14:textFill>
        <w14:solidFill>
          <w14:schemeClr w14:val="accent1"/>
        </w14:solidFill>
      </w14:textFill>
    </w:rPr>
  </w:style>
  <w:style w:type="paragraph" w:customStyle="1" w:styleId="408">
    <w:name w:val="一般正文"/>
    <w:basedOn w:val="1"/>
    <w:qFormat/>
    <w:uiPriority w:val="0"/>
    <w:pPr>
      <w:spacing w:line="360" w:lineRule="auto"/>
      <w:ind w:firstLine="480" w:firstLineChars="200"/>
    </w:pPr>
    <w:rPr>
      <w:rFonts w:cs="宋体"/>
      <w:sz w:val="24"/>
    </w:rPr>
  </w:style>
  <w:style w:type="paragraph" w:customStyle="1" w:styleId="409">
    <w:name w:val="排版"/>
    <w:basedOn w:val="1"/>
    <w:next w:val="22"/>
    <w:qFormat/>
    <w:uiPriority w:val="0"/>
    <w:pPr>
      <w:spacing w:line="600" w:lineRule="exact"/>
    </w:pPr>
    <w:rPr>
      <w:rFonts w:eastAsia="华文仿宋"/>
      <w:spacing w:val="6"/>
      <w:sz w:val="32"/>
      <w:szCs w:val="24"/>
    </w:rPr>
  </w:style>
  <w:style w:type="paragraph" w:customStyle="1" w:styleId="410">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411">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sz w:val="24"/>
    </w:rPr>
  </w:style>
  <w:style w:type="paragraph" w:customStyle="1" w:styleId="412">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413">
    <w:name w:val="flType"/>
    <w:basedOn w:val="1"/>
    <w:qFormat/>
    <w:uiPriority w:val="0"/>
    <w:pPr>
      <w:adjustRightInd w:val="0"/>
      <w:spacing w:after="284" w:line="113" w:lineRule="atLeast"/>
      <w:jc w:val="center"/>
    </w:pPr>
    <w:rPr>
      <w:kern w:val="0"/>
      <w:sz w:val="24"/>
    </w:rPr>
  </w:style>
  <w:style w:type="paragraph" w:customStyle="1" w:styleId="414">
    <w:name w:val="无编号标题1"/>
    <w:next w:val="1"/>
    <w:qFormat/>
    <w:uiPriority w:val="0"/>
    <w:pPr>
      <w:spacing w:before="624" w:beforeLines="200" w:after="312" w:afterLines="100"/>
      <w:jc w:val="center"/>
    </w:pPr>
    <w:rPr>
      <w:rFonts w:ascii="Times New Roman" w:hAnsi="Times New Roman" w:eastAsia="黑体" w:cs="Times New Roman"/>
      <w:b/>
      <w:kern w:val="2"/>
      <w:sz w:val="44"/>
      <w:szCs w:val="24"/>
      <w:lang w:val="en-US" w:eastAsia="zh-CN" w:bidi="ar-SA"/>
    </w:rPr>
  </w:style>
  <w:style w:type="paragraph" w:customStyle="1" w:styleId="415">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416">
    <w:name w:val="样式1"/>
    <w:basedOn w:val="1"/>
    <w:qFormat/>
    <w:uiPriority w:val="0"/>
    <w:pPr>
      <w:tabs>
        <w:tab w:val="left" w:pos="1620"/>
      </w:tabs>
      <w:adjustRightInd w:val="0"/>
      <w:ind w:left="1620" w:hanging="1620"/>
      <w:textAlignment w:val="baseline"/>
    </w:pPr>
    <w:rPr>
      <w:rFonts w:ascii="宋体" w:hAnsi="宋体"/>
      <w:kern w:val="0"/>
    </w:rPr>
  </w:style>
  <w:style w:type="paragraph" w:customStyle="1" w:styleId="417">
    <w:name w:val="纯文本1"/>
    <w:basedOn w:val="1"/>
    <w:qFormat/>
    <w:uiPriority w:val="0"/>
    <w:pPr>
      <w:widowControl/>
      <w:spacing w:before="120" w:after="120"/>
      <w:jc w:val="left"/>
    </w:pPr>
    <w:rPr>
      <w:rFonts w:ascii="Courier New" w:hAnsi="Courier New"/>
      <w:kern w:val="0"/>
      <w:sz w:val="22"/>
      <w:lang w:val="en-GB" w:eastAsia="en-US"/>
    </w:rPr>
  </w:style>
  <w:style w:type="paragraph" w:customStyle="1" w:styleId="418">
    <w:name w:val="样式 宋体 三号 加粗 居中 行距: 最小值 12 磅"/>
    <w:basedOn w:val="1"/>
    <w:qFormat/>
    <w:uiPriority w:val="0"/>
    <w:pPr>
      <w:spacing w:line="240" w:lineRule="atLeast"/>
      <w:jc w:val="center"/>
    </w:pPr>
    <w:rPr>
      <w:rFonts w:ascii="宋体" w:hAnsi="宋体"/>
      <w:b/>
    </w:rPr>
  </w:style>
  <w:style w:type="paragraph" w:customStyle="1" w:styleId="419">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kern w:val="0"/>
      <w:sz w:val="24"/>
    </w:rPr>
  </w:style>
  <w:style w:type="paragraph" w:customStyle="1" w:styleId="420">
    <w:name w:val="标题  1"/>
    <w:basedOn w:val="1"/>
    <w:qFormat/>
    <w:uiPriority w:val="0"/>
    <w:pPr>
      <w:tabs>
        <w:tab w:val="left" w:pos="840"/>
      </w:tabs>
      <w:spacing w:line="360" w:lineRule="auto"/>
      <w:ind w:left="840" w:hanging="420"/>
    </w:pPr>
    <w:rPr>
      <w:sz w:val="24"/>
      <w:szCs w:val="24"/>
    </w:rPr>
  </w:style>
  <w:style w:type="paragraph" w:customStyle="1" w:styleId="421">
    <w:name w:val="font7"/>
    <w:basedOn w:val="1"/>
    <w:qFormat/>
    <w:uiPriority w:val="0"/>
    <w:pPr>
      <w:widowControl/>
      <w:spacing w:before="100" w:beforeAutospacing="1" w:after="100" w:afterAutospacing="1"/>
      <w:jc w:val="left"/>
    </w:pPr>
    <w:rPr>
      <w:kern w:val="0"/>
      <w:sz w:val="20"/>
    </w:rPr>
  </w:style>
  <w:style w:type="paragraph" w:customStyle="1" w:styleId="422">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1"/>
    </w:rPr>
  </w:style>
  <w:style w:type="paragraph" w:customStyle="1" w:styleId="423">
    <w:name w:val="表文字"/>
    <w:qFormat/>
    <w:uiPriority w:val="0"/>
    <w:rPr>
      <w:rFonts w:ascii="宋体" w:hAnsi="Times New Roman" w:eastAsia="宋体" w:cs="Times New Roman"/>
      <w:kern w:val="2"/>
      <w:lang w:val="en-US" w:eastAsia="zh-CN" w:bidi="ar-SA"/>
    </w:rPr>
  </w:style>
  <w:style w:type="paragraph" w:customStyle="1" w:styleId="424">
    <w:name w:val="正文 3"/>
    <w:basedOn w:val="330"/>
    <w:next w:val="330"/>
    <w:qFormat/>
    <w:uiPriority w:val="0"/>
    <w:pPr>
      <w:spacing w:before="120"/>
    </w:pPr>
    <w:rPr>
      <w:rFonts w:ascii="Garamond" w:hAnsi="Garamond"/>
      <w:color w:val="auto"/>
    </w:rPr>
  </w:style>
  <w:style w:type="paragraph" w:customStyle="1" w:styleId="425">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426">
    <w:name w:val="Char11"/>
    <w:basedOn w:val="1"/>
    <w:qFormat/>
    <w:uiPriority w:val="0"/>
    <w:pPr>
      <w:tabs>
        <w:tab w:val="left" w:pos="840"/>
      </w:tabs>
      <w:ind w:left="840" w:hanging="420"/>
    </w:pPr>
    <w:rPr>
      <w:sz w:val="24"/>
      <w:szCs w:val="24"/>
    </w:rPr>
  </w:style>
  <w:style w:type="paragraph" w:customStyle="1" w:styleId="427">
    <w:name w:val="样式4"/>
    <w:basedOn w:val="6"/>
    <w:qFormat/>
    <w:uiPriority w:val="0"/>
    <w:pPr>
      <w:spacing w:before="120" w:after="0" w:line="360" w:lineRule="auto"/>
    </w:pPr>
    <w:rPr>
      <w:rFonts w:ascii="黑体" w:hAnsi="黑体" w:eastAsia="黑体"/>
      <w:b w:val="0"/>
      <w:sz w:val="30"/>
      <w:szCs w:val="30"/>
    </w:rPr>
  </w:style>
  <w:style w:type="paragraph" w:customStyle="1" w:styleId="428">
    <w:name w:val="样式 首行缩进:  0 字符"/>
    <w:basedOn w:val="1"/>
    <w:qFormat/>
    <w:uiPriority w:val="0"/>
    <w:rPr>
      <w:rFonts w:cs="宋体"/>
    </w:rPr>
  </w:style>
  <w:style w:type="paragraph" w:customStyle="1" w:styleId="429">
    <w:name w:val="Char Char Char Char Char Char Char Char Char Char Char Char Char Char Char1 Char"/>
    <w:basedOn w:val="1"/>
    <w:qFormat/>
    <w:uiPriority w:val="0"/>
    <w:pPr>
      <w:widowControl/>
      <w:spacing w:after="160" w:line="240" w:lineRule="exact"/>
      <w:jc w:val="left"/>
    </w:pPr>
    <w:rPr>
      <w:rFonts w:ascii="Verdana" w:hAnsi="Verdana"/>
      <w:kern w:val="0"/>
      <w:sz w:val="20"/>
      <w:lang w:eastAsia="en-US"/>
    </w:rPr>
  </w:style>
  <w:style w:type="paragraph" w:customStyle="1" w:styleId="430">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43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2">
    <w:name w:val="0-ST-篇"/>
    <w:basedOn w:val="1"/>
    <w:next w:val="1"/>
    <w:qFormat/>
    <w:uiPriority w:val="0"/>
    <w:pPr>
      <w:jc w:val="center"/>
    </w:pPr>
    <w:rPr>
      <w:rFonts w:ascii="Calibri" w:hAnsi="Calibri" w:eastAsia="黑体"/>
      <w:sz w:val="32"/>
      <w:szCs w:val="21"/>
    </w:rPr>
  </w:style>
  <w:style w:type="paragraph" w:customStyle="1" w:styleId="433">
    <w:name w:val="Char Char Char Char Char Char1 Char Char Char Char Char Char Char1"/>
    <w:basedOn w:val="1"/>
    <w:qFormat/>
    <w:uiPriority w:val="0"/>
    <w:rPr>
      <w:szCs w:val="24"/>
    </w:rPr>
  </w:style>
  <w:style w:type="paragraph" w:customStyle="1" w:styleId="434">
    <w:name w:val="2册标题4"/>
    <w:basedOn w:val="1"/>
    <w:next w:val="1"/>
    <w:qFormat/>
    <w:uiPriority w:val="0"/>
    <w:pPr>
      <w:spacing w:before="156" w:beforeLines="50" w:after="156" w:afterLines="50" w:line="300" w:lineRule="auto"/>
      <w:ind w:left="420" w:leftChars="200"/>
      <w:outlineLvl w:val="3"/>
    </w:pPr>
    <w:rPr>
      <w:rFonts w:ascii="Arial" w:hAnsi="Arial" w:eastAsia="幼圆"/>
      <w:b/>
      <w:sz w:val="24"/>
    </w:rPr>
  </w:style>
  <w:style w:type="paragraph" w:customStyle="1" w:styleId="435">
    <w:name w:val="b2"/>
    <w:basedOn w:val="1"/>
    <w:qFormat/>
    <w:uiPriority w:val="0"/>
    <w:pPr>
      <w:tabs>
        <w:tab w:val="left" w:pos="720"/>
      </w:tabs>
      <w:spacing w:line="360" w:lineRule="auto"/>
      <w:ind w:left="420" w:hanging="420"/>
    </w:pPr>
    <w:rPr>
      <w:rFonts w:ascii="宋体" w:hAnsi="宋体"/>
      <w:sz w:val="24"/>
    </w:rPr>
  </w:style>
  <w:style w:type="paragraph" w:customStyle="1" w:styleId="436">
    <w:name w:val="标题2"/>
    <w:basedOn w:val="4"/>
    <w:qFormat/>
    <w:uiPriority w:val="0"/>
    <w:pPr>
      <w:spacing w:before="0" w:after="0" w:line="576" w:lineRule="auto"/>
    </w:pPr>
    <w:rPr>
      <w:rFonts w:eastAsia="仿宋_GB2312"/>
      <w:color w:val="000000"/>
      <w:sz w:val="32"/>
    </w:rPr>
  </w:style>
  <w:style w:type="paragraph" w:customStyle="1" w:styleId="437">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rPr>
  </w:style>
  <w:style w:type="paragraph" w:customStyle="1" w:styleId="438">
    <w:name w:val="1"/>
    <w:basedOn w:val="1"/>
    <w:next w:val="1"/>
    <w:qFormat/>
    <w:uiPriority w:val="0"/>
    <w:rPr>
      <w:szCs w:val="24"/>
    </w:rPr>
  </w:style>
  <w:style w:type="paragraph" w:customStyle="1" w:styleId="439">
    <w:name w:val="方案正文"/>
    <w:basedOn w:val="1"/>
    <w:qFormat/>
    <w:uiPriority w:val="0"/>
    <w:pPr>
      <w:spacing w:before="156" w:line="360" w:lineRule="auto"/>
      <w:ind w:firstLine="359" w:firstLineChars="171"/>
      <w:jc w:val="left"/>
    </w:pPr>
    <w:rPr>
      <w:rFonts w:ascii="Arial" w:hAnsi="Arial"/>
      <w:sz w:val="24"/>
    </w:rPr>
  </w:style>
  <w:style w:type="paragraph" w:customStyle="1" w:styleId="440">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44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bCs w:val="0"/>
      <w:sz w:val="28"/>
      <w:szCs w:val="20"/>
    </w:rPr>
  </w:style>
  <w:style w:type="paragraph" w:customStyle="1" w:styleId="442">
    <w:name w:val="Table Contents"/>
    <w:basedOn w:val="22"/>
    <w:qFormat/>
    <w:uiPriority w:val="0"/>
    <w:pPr>
      <w:suppressAutoHyphens/>
      <w:jc w:val="left"/>
    </w:pPr>
    <w:rPr>
      <w:rFonts w:eastAsia="Times New Roman"/>
      <w:kern w:val="0"/>
      <w:sz w:val="24"/>
      <w:szCs w:val="20"/>
    </w:rPr>
  </w:style>
  <w:style w:type="paragraph" w:customStyle="1" w:styleId="443">
    <w:name w:val="默认段落字体 Para Char Char Char Char"/>
    <w:basedOn w:val="1"/>
    <w:qFormat/>
    <w:uiPriority w:val="0"/>
    <w:rPr>
      <w:szCs w:val="24"/>
    </w:rPr>
  </w:style>
  <w:style w:type="paragraph" w:customStyle="1" w:styleId="444">
    <w:name w:val="样式 小四正文 + 首行缩进:  2 字符 段前: 0.5 行"/>
    <w:basedOn w:val="1"/>
    <w:qFormat/>
    <w:uiPriority w:val="0"/>
    <w:pPr>
      <w:spacing w:before="50" w:beforeLines="50" w:line="360" w:lineRule="auto"/>
      <w:ind w:firstLine="200" w:firstLineChars="200"/>
    </w:pPr>
    <w:rPr>
      <w:rFonts w:ascii="宋体" w:hAnsi="宋体"/>
      <w:bCs/>
      <w:sz w:val="24"/>
    </w:rPr>
  </w:style>
  <w:style w:type="paragraph" w:customStyle="1" w:styleId="445">
    <w:name w:val="标题 2 + Times New Roman 加粗 黑色 首行缩进:  2 字符 行距: 2 倍行距 + 段前..."/>
    <w:basedOn w:val="1"/>
    <w:next w:val="1"/>
    <w:qFormat/>
    <w:uiPriority w:val="0"/>
    <w:pPr>
      <w:adjustRightInd w:val="0"/>
      <w:snapToGrid w:val="0"/>
      <w:spacing w:before="468" w:beforeLines="150" w:after="156" w:afterLines="50" w:line="360" w:lineRule="auto"/>
      <w:outlineLvl w:val="0"/>
    </w:pPr>
    <w:rPr>
      <w:rFonts w:eastAsia="黑体"/>
      <w:b/>
      <w:color w:val="000000"/>
      <w:kern w:val="0"/>
      <w:sz w:val="32"/>
      <w:szCs w:val="32"/>
    </w:rPr>
  </w:style>
  <w:style w:type="paragraph" w:customStyle="1" w:styleId="446">
    <w:name w:val="Char Char5 Char Char Char Char"/>
    <w:basedOn w:val="18"/>
    <w:qFormat/>
    <w:uiPriority w:val="0"/>
    <w:rPr>
      <w:rFonts w:ascii="Tahoma" w:hAnsi="Tahoma" w:eastAsia="Times New Roman"/>
      <w:sz w:val="24"/>
      <w:szCs w:val="24"/>
    </w:rPr>
  </w:style>
  <w:style w:type="paragraph" w:customStyle="1" w:styleId="447">
    <w:name w:val="前言、引言标题"/>
    <w:next w:val="1"/>
    <w:qFormat/>
    <w:uiPriority w:val="0"/>
    <w:pPr>
      <w:shd w:val="clear" w:color="FFFFFF" w:fill="FFFFFF"/>
      <w:tabs>
        <w:tab w:val="left" w:pos="425"/>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448">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49">
    <w:name w:val="样式 标题 1 + 黑体 三号 非加粗 居中 段前: 6 磅 段后: 6 磅 行距: 固定值 20 磅"/>
    <w:basedOn w:val="4"/>
    <w:qFormat/>
    <w:uiPriority w:val="0"/>
    <w:pPr>
      <w:spacing w:before="120" w:after="120" w:line="400" w:lineRule="exact"/>
    </w:pPr>
    <w:rPr>
      <w:rFonts w:ascii="黑体" w:hAnsi="黑体" w:eastAsia="黑体" w:cs="宋体"/>
      <w:b w:val="0"/>
      <w:bCs w:val="0"/>
      <w:sz w:val="32"/>
      <w:szCs w:val="20"/>
    </w:rPr>
  </w:style>
  <w:style w:type="paragraph" w:customStyle="1" w:styleId="450">
    <w:name w:val="new sinograin"/>
    <w:basedOn w:val="1"/>
    <w:qFormat/>
    <w:uiPriority w:val="0"/>
    <w:pPr>
      <w:topLinePunct/>
      <w:ind w:firstLine="200" w:firstLineChars="200"/>
    </w:pPr>
  </w:style>
  <w:style w:type="paragraph" w:customStyle="1" w:styleId="451">
    <w:name w:val="_正文段落"/>
    <w:basedOn w:val="1"/>
    <w:qFormat/>
    <w:uiPriority w:val="0"/>
    <w:pPr>
      <w:spacing w:before="46" w:beforeLines="15" w:after="46" w:afterLines="15"/>
      <w:ind w:firstLine="480" w:firstLineChars="200"/>
    </w:pPr>
    <w:rPr>
      <w:rFonts w:ascii="宋体" w:hAnsi="宋体"/>
      <w:sz w:val="24"/>
    </w:rPr>
  </w:style>
  <w:style w:type="paragraph" w:customStyle="1" w:styleId="452">
    <w:name w:val="MyTest"/>
    <w:basedOn w:val="55"/>
    <w:qFormat/>
    <w:uiPriority w:val="0"/>
    <w:pPr>
      <w:spacing w:after="0" w:line="360" w:lineRule="auto"/>
      <w:ind w:left="0" w:leftChars="0" w:firstLine="200"/>
    </w:pPr>
    <w:rPr>
      <w:rFonts w:eastAsia="宋体"/>
      <w:sz w:val="24"/>
      <w:szCs w:val="20"/>
    </w:rPr>
  </w:style>
  <w:style w:type="paragraph" w:customStyle="1" w:styleId="453">
    <w:name w:val="Fließtext"/>
    <w:basedOn w:val="1"/>
    <w:qFormat/>
    <w:uiPriority w:val="99"/>
    <w:pPr>
      <w:overflowPunct w:val="0"/>
      <w:autoSpaceDE w:val="0"/>
      <w:autoSpaceDN w:val="0"/>
      <w:adjustRightInd w:val="0"/>
      <w:textAlignment w:val="baseline"/>
    </w:pPr>
    <w:rPr>
      <w:rFonts w:hint="eastAsia" w:ascii="Calibri" w:hAnsi="Calibri"/>
      <w:kern w:val="28"/>
    </w:rPr>
  </w:style>
  <w:style w:type="paragraph" w:customStyle="1" w:styleId="454">
    <w:name w:val="四级"/>
    <w:basedOn w:val="7"/>
    <w:qFormat/>
    <w:uiPriority w:val="0"/>
    <w:pPr>
      <w:numPr>
        <w:ilvl w:val="3"/>
        <w:numId w:val="6"/>
      </w:numPr>
      <w:tabs>
        <w:tab w:val="left" w:pos="1620"/>
      </w:tabs>
      <w:spacing w:before="120" w:after="120" w:line="240" w:lineRule="auto"/>
    </w:pPr>
    <w:rPr>
      <w:rFonts w:ascii="Cambria" w:hAnsi="Cambria" w:eastAsia="Cambria"/>
      <w:bCs w:val="0"/>
      <w:color w:val="000000"/>
      <w:lang w:val="en-US"/>
    </w:rPr>
  </w:style>
  <w:style w:type="paragraph" w:customStyle="1" w:styleId="455">
    <w:name w:val="二级"/>
    <w:basedOn w:val="5"/>
    <w:qFormat/>
    <w:uiPriority w:val="0"/>
    <w:pPr>
      <w:numPr>
        <w:ilvl w:val="1"/>
        <w:numId w:val="6"/>
      </w:numPr>
      <w:tabs>
        <w:tab w:val="clear" w:pos="2410"/>
      </w:tabs>
      <w:spacing w:before="240" w:after="240" w:line="240" w:lineRule="auto"/>
      <w:jc w:val="center"/>
    </w:pPr>
    <w:rPr>
      <w:b/>
      <w:bCs w:val="0"/>
      <w:sz w:val="84"/>
      <w:szCs w:val="20"/>
      <w:lang w:val="en-US"/>
    </w:rPr>
  </w:style>
  <w:style w:type="character" w:customStyle="1" w:styleId="456">
    <w:name w:val="img_bg_cover"/>
    <w:basedOn w:val="58"/>
    <w:qFormat/>
    <w:uiPriority w:val="0"/>
  </w:style>
  <w:style w:type="character" w:customStyle="1" w:styleId="457">
    <w:name w:val="pgebreak"/>
    <w:basedOn w:val="58"/>
    <w:qFormat/>
    <w:uiPriority w:val="0"/>
  </w:style>
  <w:style w:type="character" w:customStyle="1" w:styleId="458">
    <w:name w:val="first-child"/>
    <w:basedOn w:val="58"/>
    <w:qFormat/>
    <w:uiPriority w:val="0"/>
  </w:style>
  <w:style w:type="character" w:customStyle="1" w:styleId="459">
    <w:name w:val="now"/>
    <w:basedOn w:val="58"/>
    <w:qFormat/>
    <w:uiPriority w:val="0"/>
    <w:rPr>
      <w:shd w:val="clear" w:color="auto" w:fill="FFFFFF"/>
    </w:rPr>
  </w:style>
  <w:style w:type="character" w:customStyle="1" w:styleId="460">
    <w:name w:val="layui-layer-tabnow"/>
    <w:basedOn w:val="58"/>
    <w:qFormat/>
    <w:uiPriority w:val="0"/>
    <w:rPr>
      <w:bdr w:val="single" w:color="CCCCCC" w:sz="6" w:space="0"/>
      <w:shd w:val="clear" w:color="auto" w:fill="FFFFFF"/>
    </w:rPr>
  </w:style>
  <w:style w:type="paragraph" w:styleId="461">
    <w:name w:val="List Paragraph"/>
    <w:basedOn w:val="1"/>
    <w:qFormat/>
    <w:uiPriority w:val="99"/>
    <w:pPr>
      <w:ind w:firstLine="420" w:firstLineChars="200"/>
    </w:pPr>
  </w:style>
  <w:style w:type="paragraph" w:customStyle="1" w:styleId="46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63">
    <w:name w:val="首行缩进"/>
    <w:basedOn w:val="1"/>
    <w:qFormat/>
    <w:uiPriority w:val="99"/>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4749</Words>
  <Characters>27075</Characters>
  <Lines>225</Lines>
  <Paragraphs>63</Paragraphs>
  <TotalTime>17</TotalTime>
  <ScaleCrop>false</ScaleCrop>
  <LinksUpToDate>false</LinksUpToDate>
  <CharactersWithSpaces>31761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2021-06-17T06:50:00Z</dcterms:created>
  <dc:creator>xh</dc:creator>
  <cp:lastModifiedBy>Administrator</cp:lastModifiedBy>
  <cp:lastPrinted>2021-06-11T02:38:00Z</cp:lastPrinted>
  <dcterms:modified xsi:type="dcterms:W3CDTF">2021-06-18T04:44:11Z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529D7D45A90141C79A192629C8020978</vt:lpwstr>
  </property>
</Properties>
</file>