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招 标 公 告</w:t>
      </w:r>
    </w:p>
    <w:p>
      <w:pPr>
        <w:pStyle w:val="8"/>
        <w:spacing w:before="0" w:beforeAutospacing="0" w:after="0" w:afterAutospacing="0" w:line="360" w:lineRule="auto"/>
        <w:rPr>
          <w:rFonts w:asciiTheme="minorEastAsia" w:hAnsiTheme="minorEastAsia" w:eastAsiaTheme="minorEastAsia"/>
        </w:rPr>
      </w:pPr>
      <w:r>
        <w:rPr>
          <w:rFonts w:cs="Times New Roman" w:asciiTheme="minorEastAsia" w:hAnsiTheme="minorEastAsia" w:eastAsiaTheme="minorEastAsia"/>
        </w:rPr>
        <w:t>1</w:t>
      </w:r>
      <w:r>
        <w:rPr>
          <w:rFonts w:hint="eastAsia" w:cs="宋体" w:asciiTheme="minorEastAsia" w:hAnsiTheme="minorEastAsia" w:eastAsiaTheme="minorEastAsia"/>
        </w:rPr>
        <w:t>、</w:t>
      </w:r>
      <w:r>
        <w:rPr>
          <w:rFonts w:hint="eastAsia" w:asciiTheme="minorEastAsia" w:hAnsiTheme="minorEastAsia" w:eastAsiaTheme="minorEastAsia"/>
        </w:rPr>
        <w:t>扬州中燃城市燃气发展有限公司将启动扬州中燃</w:t>
      </w:r>
      <w:r>
        <w:rPr>
          <w:rFonts w:asciiTheme="minorEastAsia" w:hAnsiTheme="minorEastAsia" w:eastAsiaTheme="minorEastAsia"/>
        </w:rPr>
        <w:t>LNG应急调峰储备站</w:t>
      </w:r>
      <w:r>
        <w:rPr>
          <w:rFonts w:hint="eastAsia" w:asciiTheme="minorEastAsia" w:hAnsiTheme="minorEastAsia" w:eastAsiaTheme="minorEastAsia"/>
        </w:rPr>
        <w:t>建设工程调压装置招标，招标代理机构扬州筑苑工程招标咨询有限公司作为扬州中燃城市燃气发展有限公司的代理人，代行发包人职权。</w:t>
      </w:r>
    </w:p>
    <w:p>
      <w:pPr>
        <w:pStyle w:val="8"/>
        <w:spacing w:before="0" w:beforeAutospacing="0" w:after="0" w:afterAutospacing="0" w:line="360" w:lineRule="auto"/>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2、</w:t>
      </w:r>
      <w:r>
        <w:rPr>
          <w:rFonts w:cs="宋体" w:asciiTheme="minorEastAsia" w:hAnsiTheme="minorEastAsia" w:eastAsiaTheme="minorEastAsia"/>
          <w:color w:val="000000" w:themeColor="text1"/>
        </w:rPr>
        <w:t>招标货物：</w:t>
      </w:r>
    </w:p>
    <w:tbl>
      <w:tblPr>
        <w:tblStyle w:val="11"/>
        <w:tblW w:w="90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68"/>
        <w:gridCol w:w="3827"/>
        <w:gridCol w:w="1010"/>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76" w:type="dxa"/>
            <w:vAlign w:val="center"/>
          </w:tcPr>
          <w:p>
            <w:pPr>
              <w:spacing w:before="120" w:beforeLines="50"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序号</w:t>
            </w:r>
          </w:p>
        </w:tc>
        <w:tc>
          <w:tcPr>
            <w:tcW w:w="2268" w:type="dxa"/>
            <w:vAlign w:val="center"/>
          </w:tcPr>
          <w:p>
            <w:pPr>
              <w:spacing w:before="120" w:beforeLines="50"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工艺设备</w:t>
            </w:r>
          </w:p>
        </w:tc>
        <w:tc>
          <w:tcPr>
            <w:tcW w:w="3827" w:type="dxa"/>
            <w:vAlign w:val="center"/>
          </w:tcPr>
          <w:p>
            <w:pPr>
              <w:spacing w:before="120" w:beforeLines="50" w:line="360" w:lineRule="auto"/>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参  数</w:t>
            </w:r>
          </w:p>
        </w:tc>
        <w:tc>
          <w:tcPr>
            <w:tcW w:w="1010" w:type="dxa"/>
            <w:vAlign w:val="center"/>
          </w:tcPr>
          <w:p>
            <w:pPr>
              <w:spacing w:before="120" w:beforeLines="50"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单 位</w:t>
            </w:r>
          </w:p>
        </w:tc>
        <w:tc>
          <w:tcPr>
            <w:tcW w:w="956" w:type="dxa"/>
            <w:vAlign w:val="center"/>
          </w:tcPr>
          <w:p>
            <w:pPr>
              <w:spacing w:before="120" w:beforeLines="50"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76" w:type="dxa"/>
            <w:vAlign w:val="center"/>
          </w:tcPr>
          <w:p>
            <w:pPr>
              <w:spacing w:before="120" w:beforeLines="50"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1</w:t>
            </w:r>
          </w:p>
        </w:tc>
        <w:tc>
          <w:tcPr>
            <w:tcW w:w="2268" w:type="dxa"/>
            <w:vAlign w:val="center"/>
          </w:tcPr>
          <w:p>
            <w:pPr>
              <w:spacing w:before="120" w:beforeLines="50"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Cs w:val="21"/>
              </w:rPr>
              <w:t>高中压调压计量加臭橇</w:t>
            </w:r>
          </w:p>
        </w:tc>
        <w:tc>
          <w:tcPr>
            <w:tcW w:w="3827" w:type="dxa"/>
            <w:vAlign w:val="center"/>
          </w:tcPr>
          <w:p>
            <w:pPr>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主调压系统：10000Nm</w:t>
            </w:r>
            <w:r>
              <w:rPr>
                <w:rFonts w:asciiTheme="minorEastAsia" w:hAnsiTheme="minorEastAsia" w:eastAsiaTheme="minorEastAsia"/>
                <w:color w:val="000000" w:themeColor="text1"/>
                <w:szCs w:val="21"/>
                <w:vertAlign w:val="superscript"/>
              </w:rPr>
              <w:t>3</w:t>
            </w:r>
            <w:r>
              <w:rPr>
                <w:rFonts w:asciiTheme="minorEastAsia" w:hAnsiTheme="minorEastAsia" w:eastAsiaTheme="minorEastAsia"/>
                <w:color w:val="000000" w:themeColor="text1"/>
                <w:szCs w:val="21"/>
              </w:rPr>
              <w:t>/h，（带过滤器和超压切断）</w:t>
            </w:r>
          </w:p>
          <w:p>
            <w:pPr>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BOG调压系统：1000Nm</w:t>
            </w:r>
            <w:r>
              <w:rPr>
                <w:rFonts w:asciiTheme="minorEastAsia" w:hAnsiTheme="minorEastAsia" w:eastAsiaTheme="minorEastAsia"/>
                <w:color w:val="000000" w:themeColor="text1"/>
                <w:szCs w:val="21"/>
                <w:vertAlign w:val="superscript"/>
              </w:rPr>
              <w:t>3</w:t>
            </w:r>
            <w:r>
              <w:rPr>
                <w:rFonts w:asciiTheme="minorEastAsia" w:hAnsiTheme="minorEastAsia" w:eastAsiaTheme="minorEastAsia"/>
                <w:color w:val="000000" w:themeColor="text1"/>
                <w:szCs w:val="21"/>
              </w:rPr>
              <w:t>/h ,1路（一开一旁通），（带过滤器和超压切断）</w:t>
            </w:r>
          </w:p>
          <w:p>
            <w:pP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Cs w:val="21"/>
              </w:rPr>
              <w:t>设计压力0.8MPa，调压前运行压力0.4~0.7MPa，调压后运行压力0.2~0.35MPa</w:t>
            </w:r>
          </w:p>
        </w:tc>
        <w:tc>
          <w:tcPr>
            <w:tcW w:w="1010" w:type="dxa"/>
            <w:vAlign w:val="center"/>
          </w:tcPr>
          <w:p>
            <w:pPr>
              <w:spacing w:before="120" w:beforeLines="50"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套</w:t>
            </w:r>
          </w:p>
        </w:tc>
        <w:tc>
          <w:tcPr>
            <w:tcW w:w="956" w:type="dxa"/>
            <w:vAlign w:val="center"/>
          </w:tcPr>
          <w:p>
            <w:pPr>
              <w:spacing w:before="120" w:beforeLines="50"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76" w:type="dxa"/>
            <w:vAlign w:val="center"/>
          </w:tcPr>
          <w:p>
            <w:pPr>
              <w:spacing w:before="120" w:beforeLines="50"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2</w:t>
            </w:r>
          </w:p>
        </w:tc>
        <w:tc>
          <w:tcPr>
            <w:tcW w:w="2268" w:type="dxa"/>
            <w:vAlign w:val="center"/>
          </w:tcPr>
          <w:p>
            <w:pPr>
              <w:spacing w:before="120" w:beforeLines="50"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Cs w:val="21"/>
              </w:rPr>
              <w:t>高高压调压计量加臭橇</w:t>
            </w:r>
          </w:p>
        </w:tc>
        <w:tc>
          <w:tcPr>
            <w:tcW w:w="3827" w:type="dxa"/>
            <w:vAlign w:val="center"/>
          </w:tcPr>
          <w:p>
            <w:pPr>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主调压系统：10000Nm</w:t>
            </w:r>
            <w:r>
              <w:rPr>
                <w:rFonts w:asciiTheme="minorEastAsia" w:hAnsiTheme="minorEastAsia" w:eastAsiaTheme="minorEastAsia"/>
                <w:color w:val="000000" w:themeColor="text1"/>
                <w:szCs w:val="21"/>
                <w:vertAlign w:val="superscript"/>
              </w:rPr>
              <w:t>3</w:t>
            </w:r>
            <w:r>
              <w:rPr>
                <w:rFonts w:asciiTheme="minorEastAsia" w:hAnsiTheme="minorEastAsia" w:eastAsiaTheme="minorEastAsia"/>
                <w:color w:val="000000" w:themeColor="text1"/>
                <w:szCs w:val="21"/>
              </w:rPr>
              <w:t>/h ,（带过滤器和超压切断）；</w:t>
            </w:r>
          </w:p>
          <w:p>
            <w:pP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Cs w:val="21"/>
              </w:rPr>
              <w:t>调压前设计压力6.3MPa，调压前运行压力3.6~5.0MPa；调压后设计压力4.0MPa，调压后运行压力2.5~3.6MPa。</w:t>
            </w:r>
          </w:p>
        </w:tc>
        <w:tc>
          <w:tcPr>
            <w:tcW w:w="1010" w:type="dxa"/>
            <w:vAlign w:val="center"/>
          </w:tcPr>
          <w:p>
            <w:pPr>
              <w:spacing w:before="120" w:beforeLines="50"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套</w:t>
            </w:r>
          </w:p>
        </w:tc>
        <w:tc>
          <w:tcPr>
            <w:tcW w:w="956" w:type="dxa"/>
            <w:vAlign w:val="center"/>
          </w:tcPr>
          <w:p>
            <w:pPr>
              <w:spacing w:before="120" w:beforeLines="50"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76" w:type="dxa"/>
            <w:vAlign w:val="center"/>
          </w:tcPr>
          <w:p>
            <w:pPr>
              <w:spacing w:before="120" w:beforeLines="50"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3</w:t>
            </w:r>
          </w:p>
        </w:tc>
        <w:tc>
          <w:tcPr>
            <w:tcW w:w="2268" w:type="dxa"/>
            <w:vAlign w:val="center"/>
          </w:tcPr>
          <w:p>
            <w:pPr>
              <w:spacing w:before="120" w:beforeLines="50"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仪表风吹扫系统</w:t>
            </w:r>
          </w:p>
        </w:tc>
        <w:tc>
          <w:tcPr>
            <w:tcW w:w="3827" w:type="dxa"/>
            <w:vAlign w:val="center"/>
          </w:tcPr>
          <w:p>
            <w:pPr>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氮气瓶：40L；</w:t>
            </w:r>
          </w:p>
          <w:p>
            <w:pPr>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配出口调压阀：0.01MPa，4台</w:t>
            </w:r>
          </w:p>
          <w:p>
            <w:pPr>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氮气瓶：40L；</w:t>
            </w:r>
          </w:p>
          <w:p>
            <w:pPr>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配出口调压阀：0.7MPa，2台</w:t>
            </w:r>
          </w:p>
          <w:p>
            <w:pPr>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干燥器：排气量：1m</w:t>
            </w:r>
            <w:r>
              <w:rPr>
                <w:rFonts w:asciiTheme="minorEastAsia" w:hAnsiTheme="minorEastAsia" w:eastAsiaTheme="minorEastAsia"/>
                <w:color w:val="000000" w:themeColor="text1"/>
                <w:szCs w:val="21"/>
                <w:vertAlign w:val="superscript"/>
              </w:rPr>
              <w:t>3</w:t>
            </w:r>
            <w:r>
              <w:rPr>
                <w:rFonts w:asciiTheme="minorEastAsia" w:hAnsiTheme="minorEastAsia" w:eastAsiaTheme="minorEastAsia"/>
                <w:color w:val="000000" w:themeColor="text1"/>
                <w:szCs w:val="21"/>
              </w:rPr>
              <w:t>/min，PN10</w:t>
            </w:r>
          </w:p>
          <w:p>
            <w:pPr>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空压机：排气量：1m</w:t>
            </w:r>
            <w:r>
              <w:rPr>
                <w:rFonts w:asciiTheme="minorEastAsia" w:hAnsiTheme="minorEastAsia" w:eastAsiaTheme="minorEastAsia"/>
                <w:color w:val="000000" w:themeColor="text1"/>
                <w:szCs w:val="21"/>
                <w:vertAlign w:val="superscript"/>
              </w:rPr>
              <w:t>3</w:t>
            </w:r>
            <w:r>
              <w:rPr>
                <w:rFonts w:asciiTheme="minorEastAsia" w:hAnsiTheme="minorEastAsia" w:eastAsiaTheme="minorEastAsia"/>
                <w:color w:val="000000" w:themeColor="text1"/>
                <w:szCs w:val="21"/>
              </w:rPr>
              <w:t>/min，配0.5m</w:t>
            </w:r>
            <w:r>
              <w:rPr>
                <w:rFonts w:asciiTheme="minorEastAsia" w:hAnsiTheme="minorEastAsia" w:eastAsiaTheme="minorEastAsia"/>
                <w:color w:val="000000" w:themeColor="text1"/>
                <w:szCs w:val="21"/>
                <w:vertAlign w:val="superscript"/>
              </w:rPr>
              <w:t xml:space="preserve"> 3</w:t>
            </w:r>
            <w:r>
              <w:rPr>
                <w:rFonts w:asciiTheme="minorEastAsia" w:hAnsiTheme="minorEastAsia" w:eastAsiaTheme="minorEastAsia"/>
                <w:color w:val="000000" w:themeColor="text1"/>
                <w:szCs w:val="21"/>
              </w:rPr>
              <w:t>缓冲罐</w:t>
            </w:r>
          </w:p>
          <w:p>
            <w:pP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Cs w:val="21"/>
              </w:rPr>
              <w:t>C/T/A级过滤器，各1台，PN10</w:t>
            </w:r>
            <w:r>
              <w:rPr>
                <w:rFonts w:asciiTheme="minorEastAsia" w:hAnsiTheme="minorEastAsia" w:eastAsiaTheme="minorEastAsia"/>
                <w:color w:val="000000" w:themeColor="text1"/>
                <w:sz w:val="24"/>
              </w:rPr>
              <w:t>。</w:t>
            </w:r>
          </w:p>
        </w:tc>
        <w:tc>
          <w:tcPr>
            <w:tcW w:w="1010" w:type="dxa"/>
            <w:vAlign w:val="center"/>
          </w:tcPr>
          <w:p>
            <w:pPr>
              <w:spacing w:before="120" w:beforeLines="50"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套</w:t>
            </w:r>
          </w:p>
        </w:tc>
        <w:tc>
          <w:tcPr>
            <w:tcW w:w="956" w:type="dxa"/>
            <w:vAlign w:val="center"/>
          </w:tcPr>
          <w:p>
            <w:pPr>
              <w:spacing w:before="120" w:beforeLines="50"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76" w:type="dxa"/>
            <w:vAlign w:val="center"/>
          </w:tcPr>
          <w:p>
            <w:pPr>
              <w:spacing w:before="120" w:beforeLines="50"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4</w:t>
            </w:r>
          </w:p>
        </w:tc>
        <w:tc>
          <w:tcPr>
            <w:tcW w:w="2268" w:type="dxa"/>
            <w:vAlign w:val="center"/>
          </w:tcPr>
          <w:p>
            <w:pPr>
              <w:ind w:left="30"/>
              <w:jc w:val="center"/>
              <w:rPr>
                <w:rFonts w:asciiTheme="minorEastAsia" w:hAnsiTheme="minorEastAsia" w:eastAsiaTheme="minorEastAsia"/>
                <w:color w:val="000000" w:themeColor="text1"/>
                <w:spacing w:val="5"/>
              </w:rPr>
            </w:pPr>
            <w:r>
              <w:rPr>
                <w:rFonts w:asciiTheme="minorEastAsia" w:hAnsiTheme="minorEastAsia" w:eastAsiaTheme="minorEastAsia"/>
                <w:color w:val="000000" w:themeColor="text1"/>
                <w:spacing w:val="5"/>
              </w:rPr>
              <w:t>BOG 压缩机</w:t>
            </w:r>
          </w:p>
        </w:tc>
        <w:tc>
          <w:tcPr>
            <w:tcW w:w="3827" w:type="dxa"/>
            <w:vAlign w:val="center"/>
          </w:tcPr>
          <w:p>
            <w:pPr>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进气压力P=0.2~0.6MPa，</w:t>
            </w:r>
          </w:p>
          <w:p>
            <w:pPr>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排气压力P=0.7MPa</w:t>
            </w:r>
          </w:p>
          <w:p>
            <w:pPr>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排量Q=300Nm</w:t>
            </w:r>
            <w:r>
              <w:rPr>
                <w:rFonts w:asciiTheme="minorEastAsia" w:hAnsiTheme="minorEastAsia" w:eastAsiaTheme="minorEastAsia"/>
                <w:color w:val="000000" w:themeColor="text1"/>
                <w:szCs w:val="21"/>
                <w:vertAlign w:val="superscript"/>
              </w:rPr>
              <w:t>3</w:t>
            </w:r>
            <w:r>
              <w:rPr>
                <w:rFonts w:asciiTheme="minorEastAsia" w:hAnsiTheme="minorEastAsia" w:eastAsiaTheme="minorEastAsia"/>
                <w:color w:val="000000" w:themeColor="text1"/>
                <w:szCs w:val="21"/>
              </w:rPr>
              <w:t>/h</w:t>
            </w:r>
          </w:p>
        </w:tc>
        <w:tc>
          <w:tcPr>
            <w:tcW w:w="1010" w:type="dxa"/>
            <w:vAlign w:val="center"/>
          </w:tcPr>
          <w:p>
            <w:pPr>
              <w:ind w:left="30"/>
              <w:jc w:val="center"/>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台</w:t>
            </w:r>
          </w:p>
        </w:tc>
        <w:tc>
          <w:tcPr>
            <w:tcW w:w="956" w:type="dxa"/>
            <w:vAlign w:val="center"/>
          </w:tcPr>
          <w:p>
            <w:pPr>
              <w:jc w:val="center"/>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76" w:type="dxa"/>
            <w:vAlign w:val="center"/>
          </w:tcPr>
          <w:p>
            <w:pPr>
              <w:spacing w:before="120" w:beforeLines="50" w:line="360" w:lineRule="auto"/>
              <w:jc w:val="center"/>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5</w:t>
            </w:r>
          </w:p>
        </w:tc>
        <w:tc>
          <w:tcPr>
            <w:tcW w:w="2268" w:type="dxa"/>
            <w:vAlign w:val="center"/>
          </w:tcPr>
          <w:p>
            <w:pPr>
              <w:ind w:left="30"/>
              <w:jc w:val="center"/>
              <w:rPr>
                <w:rFonts w:asciiTheme="minorEastAsia" w:hAnsiTheme="minorEastAsia" w:eastAsiaTheme="minorEastAsia"/>
                <w:color w:val="000000" w:themeColor="text1"/>
                <w:spacing w:val="5"/>
              </w:rPr>
            </w:pPr>
            <w:r>
              <w:rPr>
                <w:rFonts w:asciiTheme="minorEastAsia" w:hAnsiTheme="minorEastAsia" w:eastAsiaTheme="minorEastAsia"/>
                <w:color w:val="000000" w:themeColor="text1"/>
                <w:spacing w:val="5"/>
              </w:rPr>
              <w:t>BOG 缓冲罐</w:t>
            </w:r>
          </w:p>
        </w:tc>
        <w:tc>
          <w:tcPr>
            <w:tcW w:w="3827" w:type="dxa"/>
            <w:vAlign w:val="center"/>
          </w:tcPr>
          <w:p>
            <w:pPr>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P=1.6MPa，水容积 2 m</w:t>
            </w:r>
            <w:r>
              <w:rPr>
                <w:rFonts w:asciiTheme="minorEastAsia" w:hAnsiTheme="minorEastAsia" w:eastAsiaTheme="minorEastAsia"/>
                <w:color w:val="000000" w:themeColor="text1"/>
                <w:szCs w:val="21"/>
                <w:vertAlign w:val="superscript"/>
              </w:rPr>
              <w:t>3</w:t>
            </w:r>
          </w:p>
        </w:tc>
        <w:tc>
          <w:tcPr>
            <w:tcW w:w="1010" w:type="dxa"/>
            <w:vAlign w:val="center"/>
          </w:tcPr>
          <w:p>
            <w:pPr>
              <w:ind w:left="30"/>
              <w:jc w:val="center"/>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台</w:t>
            </w:r>
          </w:p>
        </w:tc>
        <w:tc>
          <w:tcPr>
            <w:tcW w:w="956" w:type="dxa"/>
            <w:vAlign w:val="center"/>
          </w:tcPr>
          <w:p>
            <w:pPr>
              <w:jc w:val="center"/>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1</w:t>
            </w:r>
          </w:p>
        </w:tc>
      </w:tr>
    </w:tbl>
    <w:p>
      <w:pPr>
        <w:spacing w:line="360" w:lineRule="auto"/>
        <w:rPr>
          <w:rFonts w:asciiTheme="minorEastAsia" w:hAnsiTheme="minorEastAsia" w:eastAsiaTheme="minorEastAsia"/>
          <w:color w:val="FF0000"/>
          <w:sz w:val="24"/>
        </w:rPr>
      </w:pPr>
      <w:r>
        <w:rPr>
          <w:rFonts w:hint="eastAsia" w:asciiTheme="minorEastAsia" w:hAnsiTheme="minorEastAsia" w:eastAsiaTheme="minorEastAsia"/>
          <w:color w:val="FF0000"/>
          <w:sz w:val="24"/>
        </w:rPr>
        <w:t>项目供货周期：于合同签订之日起3个月内完成交货。</w:t>
      </w:r>
    </w:p>
    <w:p>
      <w:pPr>
        <w:spacing w:line="400" w:lineRule="exact"/>
        <w:rPr>
          <w:rFonts w:asciiTheme="minorEastAsia" w:hAnsiTheme="minorEastAsia" w:eastAsiaTheme="minorEastAsia"/>
          <w:b/>
          <w:sz w:val="24"/>
        </w:rPr>
      </w:pPr>
      <w:r>
        <w:rPr>
          <w:rFonts w:hint="eastAsia" w:asciiTheme="minorEastAsia" w:hAnsiTheme="minorEastAsia" w:eastAsiaTheme="minorEastAsia"/>
          <w:b/>
          <w:sz w:val="24"/>
        </w:rPr>
        <w:t>3．投标人资格审查要求</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3.1 能够承担民事责任且具有</w:t>
      </w:r>
      <w:r>
        <w:rPr>
          <w:rFonts w:hint="eastAsia" w:cs="宋体" w:asciiTheme="minorEastAsia" w:hAnsiTheme="minorEastAsia" w:eastAsiaTheme="minorEastAsia"/>
          <w:color w:val="000000" w:themeColor="text1"/>
          <w:sz w:val="24"/>
        </w:rPr>
        <w:t>调压撬生产许可证的独立法人，</w:t>
      </w:r>
      <w:r>
        <w:rPr>
          <w:rFonts w:hint="eastAsia" w:cs="宋体" w:asciiTheme="minorEastAsia" w:hAnsiTheme="minorEastAsia" w:eastAsiaTheme="minorEastAsia"/>
          <w:sz w:val="24"/>
        </w:rPr>
        <w:t>注册资金在3000万人民币及以上。</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3.2具有特种设备制造许可证（A级压力管道，限燃气调压装置）。</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3.3 具有完善的质量保证体系。</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 xml:space="preserve">3.4 投标人具有良好的银行资信和商业信誉，没有处于被责令停业，财产被接管、冻结、破产状态。 </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3.5一般纳税人资格证。</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3.6 提供社保部门出具的2017年7月-2017年12月（近6个月内）投标人为授权委托人缴纳的在职职工养老保险的证明材料；</w:t>
      </w:r>
      <w:r>
        <w:rPr>
          <w:rFonts w:hint="eastAsia" w:cs="宋体" w:asciiTheme="minorEastAsia" w:hAnsiTheme="minorEastAsia" w:eastAsiaTheme="minorEastAsia"/>
          <w:sz w:val="24"/>
        </w:rPr>
        <w:br w:type="textWrapping"/>
      </w:r>
      <w:r>
        <w:rPr>
          <w:rFonts w:hint="eastAsia" w:cs="宋体" w:asciiTheme="minorEastAsia" w:hAnsiTheme="minorEastAsia" w:eastAsiaTheme="minorEastAsia"/>
          <w:sz w:val="24"/>
        </w:rPr>
        <w:t>3.7</w:t>
      </w:r>
      <w:r>
        <w:rPr>
          <w:rFonts w:hint="eastAsia" w:cs="宋体" w:asciiTheme="minorEastAsia" w:hAnsiTheme="minorEastAsia" w:eastAsiaTheme="minorEastAsia"/>
          <w:color w:val="000000" w:themeColor="text1"/>
          <w:sz w:val="24"/>
        </w:rPr>
        <w:t>投标保证金支付凭证</w:t>
      </w:r>
      <w:r>
        <w:rPr>
          <w:rFonts w:hint="eastAsia" w:cs="宋体" w:asciiTheme="minorEastAsia" w:hAnsiTheme="minorEastAsia" w:eastAsiaTheme="minorEastAsia"/>
          <w:sz w:val="24"/>
        </w:rPr>
        <w:t>（复印件封入标书）</w:t>
      </w:r>
      <w:r>
        <w:rPr>
          <w:rFonts w:hint="eastAsia" w:cs="宋体" w:asciiTheme="minorEastAsia" w:hAnsiTheme="minorEastAsia" w:eastAsiaTheme="minorEastAsia"/>
          <w:sz w:val="24"/>
          <w:lang w:eastAsia="zh-CN"/>
        </w:rPr>
        <w:t>。</w:t>
      </w:r>
    </w:p>
    <w:p>
      <w:pPr>
        <w:numPr>
          <w:ilvl w:val="0"/>
          <w:numId w:val="1"/>
        </w:numPr>
        <w:spacing w:line="400" w:lineRule="exact"/>
        <w:rPr>
          <w:rFonts w:hint="eastAsia" w:asciiTheme="minorEastAsia" w:hAnsiTheme="minorEastAsia" w:eastAsiaTheme="minorEastAsia"/>
          <w:sz w:val="24"/>
          <w:lang w:eastAsia="zh-CN"/>
        </w:rPr>
      </w:pPr>
      <w:r>
        <w:rPr>
          <w:rFonts w:asciiTheme="minorEastAsia" w:hAnsiTheme="minorEastAsia" w:eastAsiaTheme="minorEastAsia"/>
          <w:b/>
          <w:sz w:val="24"/>
        </w:rPr>
        <w:t>主要技术规格：</w:t>
      </w:r>
      <w:r>
        <w:rPr>
          <w:rFonts w:hint="eastAsia" w:asciiTheme="minorEastAsia" w:hAnsiTheme="minorEastAsia" w:eastAsiaTheme="minorEastAsia"/>
        </w:rPr>
        <w:t>详见附件</w:t>
      </w:r>
      <w:r>
        <w:rPr>
          <w:rFonts w:hint="eastAsia" w:asciiTheme="minorEastAsia" w:hAnsiTheme="minorEastAsia" w:eastAsiaTheme="minorEastAsia"/>
          <w:sz w:val="24"/>
        </w:rPr>
        <w:t>“调压计量撬技术规范书”</w:t>
      </w:r>
      <w:r>
        <w:rPr>
          <w:rFonts w:hint="eastAsia" w:asciiTheme="minorEastAsia" w:hAnsiTheme="minorEastAsia" w:eastAsiaTheme="minorEastAsia"/>
          <w:sz w:val="24"/>
          <w:lang w:eastAsia="zh-CN"/>
        </w:rPr>
        <w:t>。</w:t>
      </w:r>
    </w:p>
    <w:p>
      <w:pPr>
        <w:numPr>
          <w:numId w:val="0"/>
        </w:numPr>
        <w:spacing w:line="400" w:lineRule="exact"/>
        <w:rPr>
          <w:rFonts w:asciiTheme="minorEastAsia" w:hAnsiTheme="minorEastAsia" w:eastAsiaTheme="minorEastAsia"/>
          <w:sz w:val="24"/>
        </w:rPr>
      </w:pPr>
      <w:r>
        <w:rPr>
          <w:rFonts w:hint="eastAsia" w:asciiTheme="minorEastAsia" w:hAnsiTheme="minorEastAsia" w:eastAsiaTheme="minorEastAsia"/>
          <w:b/>
          <w:sz w:val="24"/>
        </w:rPr>
        <w:t>5、交货地点：</w:t>
      </w:r>
      <w:r>
        <w:rPr>
          <w:rFonts w:hint="eastAsia" w:asciiTheme="minorEastAsia" w:hAnsiTheme="minorEastAsia" w:eastAsiaTheme="minorEastAsia"/>
          <w:sz w:val="24"/>
        </w:rPr>
        <w:t>扬州中燃</w:t>
      </w:r>
      <w:r>
        <w:rPr>
          <w:rFonts w:asciiTheme="minorEastAsia" w:hAnsiTheme="minorEastAsia" w:eastAsiaTheme="minorEastAsia"/>
          <w:sz w:val="24"/>
        </w:rPr>
        <w:t>LNG应急调峰储备站</w:t>
      </w:r>
      <w:r>
        <w:rPr>
          <w:rFonts w:hint="eastAsia" w:asciiTheme="minorEastAsia" w:hAnsiTheme="minorEastAsia" w:eastAsiaTheme="minorEastAsia"/>
          <w:sz w:val="24"/>
        </w:rPr>
        <w:t>建设工程工地</w:t>
      </w:r>
      <w:r>
        <w:rPr>
          <w:rFonts w:hint="eastAsia" w:asciiTheme="minorEastAsia" w:hAnsiTheme="minorEastAsia" w:eastAsiaTheme="minorEastAsia"/>
          <w:sz w:val="24"/>
          <w:lang w:eastAsia="zh-CN"/>
        </w:rPr>
        <w:t>。</w:t>
      </w:r>
    </w:p>
    <w:p>
      <w:pPr>
        <w:spacing w:line="400" w:lineRule="exact"/>
        <w:rPr>
          <w:rFonts w:asciiTheme="minorEastAsia" w:hAnsiTheme="minorEastAsia" w:eastAsiaTheme="minorEastAsia"/>
          <w:sz w:val="24"/>
        </w:rPr>
      </w:pPr>
      <w:r>
        <w:rPr>
          <w:rFonts w:asciiTheme="minorEastAsia" w:hAnsiTheme="minorEastAsia" w:eastAsiaTheme="minorEastAsia"/>
          <w:b/>
          <w:sz w:val="24"/>
        </w:rPr>
        <w:t>6</w:t>
      </w:r>
      <w:r>
        <w:rPr>
          <w:rFonts w:hint="eastAsia" w:asciiTheme="minorEastAsia" w:hAnsiTheme="minorEastAsia" w:eastAsiaTheme="minorEastAsia"/>
          <w:b/>
          <w:sz w:val="24"/>
        </w:rPr>
        <w:t>、报名时间地点：</w:t>
      </w:r>
      <w:r>
        <w:rPr>
          <w:rFonts w:hint="eastAsia" w:asciiTheme="minorEastAsia" w:hAnsiTheme="minorEastAsia" w:eastAsiaTheme="minorEastAsia"/>
          <w:sz w:val="24"/>
          <w:szCs w:val="24"/>
        </w:rPr>
        <w:t>符合上述条件的企业法人可持营业执照副本复印件（加盖公章）、法定代表人或其委托代理人有效身份证原件（委托代理人还应随带授权委托书原件）及复印件（加盖公章），</w:t>
      </w:r>
      <w:r>
        <w:rPr>
          <w:rFonts w:hint="eastAsia" w:cs="宋体" w:asciiTheme="minorEastAsia" w:hAnsiTheme="minorEastAsia" w:eastAsiaTheme="minorEastAsia"/>
          <w:color w:val="000000" w:themeColor="text1"/>
          <w:sz w:val="24"/>
        </w:rPr>
        <w:t>调压撬生产许可证</w:t>
      </w:r>
      <w:r>
        <w:rPr>
          <w:rFonts w:hint="eastAsia" w:asciiTheme="minorEastAsia" w:hAnsiTheme="minorEastAsia" w:eastAsiaTheme="minorEastAsia"/>
          <w:sz w:val="24"/>
          <w:szCs w:val="24"/>
        </w:rPr>
        <w:t>复印件（加盖公章），</w:t>
      </w:r>
      <w:r>
        <w:rPr>
          <w:rFonts w:hint="eastAsia" w:cs="宋体" w:asciiTheme="minorEastAsia" w:hAnsiTheme="minorEastAsia" w:eastAsiaTheme="minorEastAsia"/>
          <w:sz w:val="24"/>
        </w:rPr>
        <w:t>特种设备制造许可证（A级压力管道，限燃气调压装置）</w:t>
      </w:r>
      <w:r>
        <w:rPr>
          <w:rFonts w:hint="eastAsia" w:asciiTheme="minorEastAsia" w:hAnsiTheme="minorEastAsia" w:eastAsiaTheme="minorEastAsia"/>
          <w:sz w:val="24"/>
          <w:szCs w:val="24"/>
        </w:rPr>
        <w:t>复印件（加盖公章），开户许可证复印件（加盖公章），</w:t>
      </w:r>
      <w:r>
        <w:rPr>
          <w:rFonts w:hint="eastAsia" w:cs="宋体" w:asciiTheme="minorEastAsia" w:hAnsiTheme="minorEastAsia" w:eastAsiaTheme="minorEastAsia"/>
          <w:sz w:val="24"/>
        </w:rPr>
        <w:t>社保部门出具授权委托人缴纳的在职职工养老保险的证明材料</w:t>
      </w:r>
      <w:r>
        <w:rPr>
          <w:rFonts w:hint="eastAsia" w:asciiTheme="minorEastAsia" w:hAnsiTheme="minorEastAsia" w:eastAsiaTheme="minorEastAsia"/>
          <w:sz w:val="24"/>
          <w:szCs w:val="24"/>
        </w:rPr>
        <w:t>复印件（加盖公章），于</w:t>
      </w:r>
      <w:r>
        <w:rPr>
          <w:rFonts w:asciiTheme="minorEastAsia" w:hAnsiTheme="minorEastAsia" w:eastAsiaTheme="minorEastAsia"/>
          <w:sz w:val="24"/>
          <w:szCs w:val="24"/>
          <w:u w:val="single"/>
        </w:rPr>
        <w:t>201</w:t>
      </w:r>
      <w:r>
        <w:rPr>
          <w:rFonts w:hint="eastAsia" w:asciiTheme="minorEastAsia" w:hAnsiTheme="minorEastAsia" w:eastAsiaTheme="minorEastAsia"/>
          <w:sz w:val="24"/>
          <w:szCs w:val="24"/>
          <w:u w:val="single"/>
        </w:rPr>
        <w:t>8年1月23日至</w:t>
      </w:r>
      <w:r>
        <w:rPr>
          <w:rFonts w:asciiTheme="minorEastAsia" w:hAnsiTheme="minorEastAsia" w:eastAsiaTheme="minorEastAsia"/>
          <w:sz w:val="24"/>
          <w:szCs w:val="24"/>
          <w:u w:val="single"/>
        </w:rPr>
        <w:t>201</w:t>
      </w:r>
      <w:r>
        <w:rPr>
          <w:rFonts w:hint="eastAsia" w:asciiTheme="minorEastAsia" w:hAnsiTheme="minorEastAsia" w:eastAsiaTheme="minorEastAsia"/>
          <w:sz w:val="24"/>
          <w:szCs w:val="24"/>
          <w:u w:val="single"/>
        </w:rPr>
        <w:t>8年1月29日（上午</w:t>
      </w:r>
      <w:r>
        <w:rPr>
          <w:rFonts w:asciiTheme="minorEastAsia" w:hAnsiTheme="minorEastAsia" w:eastAsiaTheme="minorEastAsia"/>
          <w:sz w:val="24"/>
          <w:szCs w:val="24"/>
          <w:u w:val="single"/>
        </w:rPr>
        <w:t>9</w:t>
      </w:r>
      <w:r>
        <w:rPr>
          <w:rFonts w:hint="eastAsia" w:asciiTheme="minorEastAsia" w:hAnsiTheme="minorEastAsia" w:eastAsiaTheme="minorEastAsia"/>
          <w:sz w:val="24"/>
          <w:szCs w:val="24"/>
          <w:u w:val="single"/>
        </w:rPr>
        <w:t>：</w:t>
      </w:r>
      <w:r>
        <w:rPr>
          <w:rFonts w:asciiTheme="minorEastAsia" w:hAnsiTheme="minorEastAsia" w:eastAsiaTheme="minorEastAsia"/>
          <w:sz w:val="24"/>
          <w:szCs w:val="24"/>
          <w:u w:val="single"/>
        </w:rPr>
        <w:t>00-11</w:t>
      </w:r>
      <w:r>
        <w:rPr>
          <w:rFonts w:hint="eastAsia" w:asciiTheme="minorEastAsia" w:hAnsiTheme="minorEastAsia" w:eastAsiaTheme="minorEastAsia"/>
          <w:sz w:val="24"/>
          <w:szCs w:val="24"/>
          <w:u w:val="single"/>
        </w:rPr>
        <w:t>：</w:t>
      </w:r>
      <w:r>
        <w:rPr>
          <w:rFonts w:asciiTheme="minorEastAsia" w:hAnsiTheme="minorEastAsia" w:eastAsiaTheme="minorEastAsia"/>
          <w:sz w:val="24"/>
          <w:szCs w:val="24"/>
          <w:u w:val="single"/>
        </w:rPr>
        <w:t>30</w:t>
      </w:r>
      <w:r>
        <w:rPr>
          <w:rFonts w:hint="eastAsia" w:asciiTheme="minorEastAsia" w:hAnsiTheme="minorEastAsia" w:eastAsiaTheme="minorEastAsia"/>
          <w:sz w:val="24"/>
          <w:szCs w:val="24"/>
          <w:u w:val="single"/>
        </w:rPr>
        <w:t>，下午</w:t>
      </w:r>
      <w:r>
        <w:rPr>
          <w:rFonts w:asciiTheme="minorEastAsia" w:hAnsiTheme="minorEastAsia" w:eastAsiaTheme="minorEastAsia"/>
          <w:sz w:val="24"/>
          <w:szCs w:val="24"/>
          <w:u w:val="single"/>
        </w:rPr>
        <w:t>2</w:t>
      </w:r>
      <w:r>
        <w:rPr>
          <w:rFonts w:hint="eastAsia" w:asciiTheme="minorEastAsia" w:hAnsiTheme="minorEastAsia" w:eastAsiaTheme="minorEastAsia"/>
          <w:sz w:val="24"/>
          <w:szCs w:val="24"/>
          <w:u w:val="single"/>
        </w:rPr>
        <w:t>：</w:t>
      </w:r>
      <w:r>
        <w:rPr>
          <w:rFonts w:asciiTheme="minorEastAsia" w:hAnsiTheme="minorEastAsia" w:eastAsiaTheme="minorEastAsia"/>
          <w:sz w:val="24"/>
          <w:szCs w:val="24"/>
          <w:u w:val="single"/>
        </w:rPr>
        <w:t>00-4</w:t>
      </w:r>
      <w:r>
        <w:rPr>
          <w:rFonts w:hint="eastAsia" w:asciiTheme="minorEastAsia" w:hAnsiTheme="minorEastAsia" w:eastAsiaTheme="minorEastAsia"/>
          <w:sz w:val="24"/>
          <w:szCs w:val="24"/>
          <w:u w:val="single"/>
        </w:rPr>
        <w:t>：</w:t>
      </w:r>
      <w:r>
        <w:rPr>
          <w:rFonts w:asciiTheme="minorEastAsia" w:hAnsiTheme="minorEastAsia" w:eastAsiaTheme="minorEastAsia"/>
          <w:sz w:val="24"/>
          <w:szCs w:val="24"/>
          <w:u w:val="single"/>
        </w:rPr>
        <w:t>30</w:t>
      </w:r>
      <w:r>
        <w:rPr>
          <w:rFonts w:hint="eastAsia" w:asciiTheme="minorEastAsia" w:hAnsiTheme="minorEastAsia" w:eastAsiaTheme="minorEastAsia"/>
          <w:sz w:val="24"/>
          <w:szCs w:val="24"/>
          <w:u w:val="single"/>
        </w:rPr>
        <w:t>）</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节假日除外</w:t>
      </w:r>
      <w:r>
        <w:rPr>
          <w:rFonts w:asciiTheme="minorEastAsia" w:hAnsiTheme="minorEastAsia" w:eastAsiaTheme="minorEastAsia"/>
          <w:sz w:val="24"/>
          <w:szCs w:val="24"/>
          <w:u w:val="single"/>
        </w:rPr>
        <w:t>)</w:t>
      </w:r>
      <w:r>
        <w:rPr>
          <w:rFonts w:hint="eastAsia" w:asciiTheme="minorEastAsia" w:hAnsiTheme="minorEastAsia" w:eastAsiaTheme="minorEastAsia"/>
          <w:sz w:val="24"/>
          <w:szCs w:val="24"/>
        </w:rPr>
        <w:t>，到</w:t>
      </w:r>
      <w:r>
        <w:rPr>
          <w:rFonts w:asciiTheme="minorEastAsia" w:hAnsiTheme="minorEastAsia" w:eastAsiaTheme="minorEastAsia"/>
          <w:sz w:val="24"/>
          <w:szCs w:val="24"/>
        </w:rPr>
        <w:t>扬州市瘦西湖路57号</w:t>
      </w:r>
      <w:r>
        <w:rPr>
          <w:rFonts w:hint="eastAsia" w:asciiTheme="minorEastAsia" w:hAnsiTheme="minorEastAsia" w:eastAsiaTheme="minorEastAsia"/>
          <w:sz w:val="24"/>
          <w:szCs w:val="24"/>
        </w:rPr>
        <w:t>扬州筑苑工程招标咨询有限公司招标代理部报名。联系人：陈工；电话：0514-8711678。</w:t>
      </w:r>
    </w:p>
    <w:p>
      <w:pPr>
        <w:spacing w:line="400" w:lineRule="exact"/>
        <w:rPr>
          <w:rFonts w:asciiTheme="minorEastAsia" w:hAnsiTheme="minorEastAsia" w:eastAsiaTheme="minorEastAsia"/>
          <w:sz w:val="24"/>
        </w:rPr>
      </w:pPr>
      <w:r>
        <w:rPr>
          <w:rFonts w:asciiTheme="minorEastAsia" w:hAnsiTheme="minorEastAsia" w:eastAsiaTheme="minorEastAsia"/>
          <w:b/>
          <w:sz w:val="24"/>
        </w:rPr>
        <w:t>7</w:t>
      </w:r>
      <w:r>
        <w:rPr>
          <w:rFonts w:hint="eastAsia" w:asciiTheme="minorEastAsia" w:hAnsiTheme="minorEastAsia" w:eastAsiaTheme="minorEastAsia"/>
          <w:b/>
          <w:sz w:val="24"/>
        </w:rPr>
        <w:t>、标书发售时间：</w:t>
      </w:r>
      <w:r>
        <w:rPr>
          <w:rFonts w:asciiTheme="minorEastAsia" w:hAnsiTheme="minorEastAsia" w:eastAsiaTheme="minorEastAsia"/>
          <w:sz w:val="24"/>
        </w:rPr>
        <w:t>201</w:t>
      </w:r>
      <w:r>
        <w:rPr>
          <w:rFonts w:hint="eastAsia" w:asciiTheme="minorEastAsia" w:hAnsiTheme="minorEastAsia" w:eastAsiaTheme="minorEastAsia"/>
          <w:sz w:val="24"/>
        </w:rPr>
        <w:t>8年1月23日</w:t>
      </w: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0</w:t>
      </w:r>
      <w:r>
        <w:rPr>
          <w:rFonts w:asciiTheme="minorEastAsia" w:hAnsiTheme="minorEastAsia" w:eastAsiaTheme="minorEastAsia"/>
          <w:sz w:val="24"/>
        </w:rPr>
        <w:t>0</w:t>
      </w:r>
      <w:r>
        <w:rPr>
          <w:rFonts w:hint="eastAsia" w:asciiTheme="minorEastAsia" w:hAnsiTheme="minorEastAsia" w:eastAsiaTheme="minorEastAsia"/>
          <w:sz w:val="24"/>
        </w:rPr>
        <w:t>时起，至</w:t>
      </w:r>
      <w:r>
        <w:rPr>
          <w:rFonts w:asciiTheme="minorEastAsia" w:hAnsiTheme="minorEastAsia" w:eastAsiaTheme="minorEastAsia"/>
          <w:sz w:val="24"/>
        </w:rPr>
        <w:t>201</w:t>
      </w:r>
      <w:r>
        <w:rPr>
          <w:rFonts w:hint="eastAsia" w:asciiTheme="minorEastAsia" w:hAnsiTheme="minorEastAsia" w:eastAsiaTheme="minorEastAsia"/>
          <w:sz w:val="24"/>
        </w:rPr>
        <w:t>8年1月29日</w:t>
      </w:r>
      <w:r>
        <w:rPr>
          <w:rFonts w:asciiTheme="minorEastAsia" w:hAnsiTheme="minorEastAsia" w:eastAsiaTheme="minorEastAsia"/>
          <w:sz w:val="24"/>
        </w:rPr>
        <w:t>16</w:t>
      </w:r>
      <w:r>
        <w:rPr>
          <w:rFonts w:hint="eastAsia" w:asciiTheme="minorEastAsia" w:hAnsiTheme="minorEastAsia" w:eastAsiaTheme="minorEastAsia"/>
          <w:sz w:val="24"/>
        </w:rPr>
        <w:t>：</w:t>
      </w:r>
      <w:r>
        <w:rPr>
          <w:rFonts w:asciiTheme="minorEastAsia" w:hAnsiTheme="minorEastAsia" w:eastAsiaTheme="minorEastAsia"/>
          <w:sz w:val="24"/>
        </w:rPr>
        <w:t>30</w:t>
      </w:r>
      <w:r>
        <w:rPr>
          <w:rFonts w:hint="eastAsia" w:asciiTheme="minorEastAsia" w:hAnsiTheme="minorEastAsia" w:eastAsiaTheme="minorEastAsia"/>
          <w:sz w:val="24"/>
        </w:rPr>
        <w:t>止（北京时间）。招标文件每套人民币3</w:t>
      </w:r>
      <w:r>
        <w:rPr>
          <w:rFonts w:asciiTheme="minorEastAsia" w:hAnsiTheme="minorEastAsia" w:eastAsiaTheme="minorEastAsia"/>
          <w:sz w:val="24"/>
        </w:rPr>
        <w:t>00</w:t>
      </w:r>
      <w:r>
        <w:rPr>
          <w:rFonts w:hint="eastAsia" w:asciiTheme="minorEastAsia" w:hAnsiTheme="minorEastAsia" w:eastAsiaTheme="minorEastAsia"/>
          <w:sz w:val="24"/>
        </w:rPr>
        <w:t>元，售后不退。</w:t>
      </w:r>
    </w:p>
    <w:p>
      <w:pPr>
        <w:pStyle w:val="4"/>
        <w:spacing w:line="400" w:lineRule="exact"/>
        <w:rPr>
          <w:rFonts w:hAnsiTheme="minorEastAsia"/>
        </w:rPr>
      </w:pPr>
      <w:r>
        <w:rPr>
          <w:rFonts w:hAnsiTheme="minorEastAsia"/>
          <w:b/>
        </w:rPr>
        <w:t>8</w:t>
      </w:r>
      <w:r>
        <w:rPr>
          <w:rFonts w:hint="eastAsia" w:hAnsiTheme="minorEastAsia"/>
          <w:b/>
        </w:rPr>
        <w:t>、标书发售地点：</w:t>
      </w:r>
      <w:r>
        <w:rPr>
          <w:rFonts w:hAnsiTheme="minorEastAsia" w:cstheme="minorBidi"/>
        </w:rPr>
        <w:t>扬州市</w:t>
      </w:r>
      <w:r>
        <w:rPr>
          <w:rFonts w:hAnsiTheme="minorEastAsia"/>
        </w:rPr>
        <w:t>瘦西湖路57号</w:t>
      </w:r>
      <w:r>
        <w:rPr>
          <w:rFonts w:hint="eastAsia" w:hAnsiTheme="minorEastAsia" w:cstheme="minorBidi"/>
        </w:rPr>
        <w:t>扬州筑苑工程招标咨询有限公司</w:t>
      </w:r>
      <w:r>
        <w:rPr>
          <w:rFonts w:hint="eastAsia" w:hAnsiTheme="minorEastAsia"/>
        </w:rPr>
        <w:t>招标代理部</w:t>
      </w:r>
      <w:r>
        <w:rPr>
          <w:rFonts w:hint="eastAsia" w:hAnsiTheme="minorEastAsia"/>
          <w:lang w:eastAsia="zh-CN"/>
        </w:rPr>
        <w:t>。</w:t>
      </w:r>
    </w:p>
    <w:p>
      <w:pPr>
        <w:pStyle w:val="4"/>
        <w:spacing w:line="400" w:lineRule="exact"/>
        <w:rPr>
          <w:rFonts w:hAnsiTheme="minorEastAsia"/>
        </w:rPr>
      </w:pPr>
      <w:r>
        <w:rPr>
          <w:rFonts w:hAnsiTheme="minorEastAsia"/>
        </w:rPr>
        <w:t>9</w:t>
      </w:r>
      <w:r>
        <w:rPr>
          <w:rFonts w:hint="eastAsia" w:hAnsiTheme="minorEastAsia"/>
        </w:rPr>
        <w:t>、标书应附有</w:t>
      </w:r>
      <w:r>
        <w:rPr>
          <w:rFonts w:hAnsiTheme="minorEastAsia"/>
        </w:rPr>
        <w:t>50000</w:t>
      </w:r>
      <w:r>
        <w:rPr>
          <w:rFonts w:hint="eastAsia" w:hAnsiTheme="minorEastAsia"/>
        </w:rPr>
        <w:t>元的投标保证金，投标保证金形式：银行汇票、支票、电汇。投标保证金请于</w:t>
      </w:r>
      <w:r>
        <w:rPr>
          <w:rFonts w:hint="eastAsia" w:hAnsiTheme="minorEastAsia"/>
          <w:color w:val="FF0000"/>
        </w:rPr>
        <w:t>2018年2月9日</w:t>
      </w:r>
      <w:r>
        <w:rPr>
          <w:rFonts w:hint="eastAsia" w:hAnsiTheme="minorEastAsia"/>
        </w:rPr>
        <w:t>从投标单位的基本账户交纳。交纳时应注明“扬州中燃</w:t>
      </w:r>
      <w:r>
        <w:rPr>
          <w:rFonts w:hAnsiTheme="minorEastAsia"/>
        </w:rPr>
        <w:t>LNG应急调峰储备站</w:t>
      </w:r>
      <w:r>
        <w:rPr>
          <w:rFonts w:hint="eastAsia" w:hAnsiTheme="minorEastAsia"/>
        </w:rPr>
        <w:t>调压装置招标”字样</w:t>
      </w:r>
    </w:p>
    <w:p>
      <w:pPr>
        <w:spacing w:line="400" w:lineRule="exact"/>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户名：扬州中燃城市燃气发展有限公司</w:t>
      </w:r>
    </w:p>
    <w:p>
      <w:pPr>
        <w:spacing w:line="400" w:lineRule="exact"/>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帐户：1108020009100193379</w:t>
      </w:r>
    </w:p>
    <w:p>
      <w:pPr>
        <w:spacing w:line="400" w:lineRule="exact"/>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开户银行：工商银行扬州市分行营业部</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投标单位须在投标文件中附投标保证金凭证复印件。</w:t>
      </w:r>
    </w:p>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10、投标单位提问截止时间：2018年1月30日17：00</w:t>
      </w:r>
    </w:p>
    <w:p>
      <w:pPr>
        <w:spacing w:line="400" w:lineRule="exact"/>
        <w:ind w:left="480" w:hanging="480" w:hangingChars="200"/>
        <w:rPr>
          <w:rFonts w:asciiTheme="minorEastAsia" w:hAnsiTheme="minorEastAsia" w:eastAsiaTheme="minorEastAsia"/>
          <w:sz w:val="24"/>
        </w:rPr>
      </w:pPr>
      <w:r>
        <w:rPr>
          <w:rFonts w:hint="eastAsia" w:asciiTheme="minorEastAsia" w:hAnsiTheme="minorEastAsia" w:eastAsiaTheme="minorEastAsia"/>
          <w:sz w:val="24"/>
        </w:rPr>
        <w:t xml:space="preserve">    投标单位提问方式：电子邮件形式（盖公章原件扫描件）发送至261665589@QQ.com.</w:t>
      </w:r>
    </w:p>
    <w:p>
      <w:pPr>
        <w:spacing w:line="400" w:lineRule="exact"/>
        <w:rPr>
          <w:rFonts w:cs="宋体" w:asciiTheme="minorEastAsia" w:hAnsiTheme="minorEastAsia" w:eastAsiaTheme="minorEastAsia"/>
          <w:sz w:val="21"/>
          <w:szCs w:val="21"/>
        </w:rPr>
      </w:pPr>
      <w:r>
        <w:rPr>
          <w:rFonts w:hint="eastAsia" w:cs="宋体" w:asciiTheme="minorEastAsia" w:hAnsiTheme="minorEastAsia" w:eastAsiaTheme="minorEastAsia"/>
          <w:sz w:val="24"/>
        </w:rPr>
        <w:t>11、</w:t>
      </w:r>
      <w:r>
        <w:rPr>
          <w:rFonts w:hint="eastAsia" w:cs="宋体" w:asciiTheme="minorEastAsia" w:hAnsiTheme="minorEastAsia" w:eastAsiaTheme="minorEastAsia"/>
          <w:sz w:val="21"/>
          <w:szCs w:val="21"/>
        </w:rPr>
        <w:t>投标截止时间</w:t>
      </w:r>
      <w:r>
        <w:rPr>
          <w:rFonts w:hint="eastAsia" w:cs="宋体" w:asciiTheme="minorEastAsia" w:hAnsiTheme="minorEastAsia" w:eastAsiaTheme="minorEastAsia"/>
          <w:sz w:val="21"/>
          <w:szCs w:val="21"/>
          <w:lang w:eastAsia="zh-CN"/>
        </w:rPr>
        <w:t>：</w:t>
      </w:r>
      <w:r>
        <w:rPr>
          <w:rFonts w:hint="eastAsia" w:cs="宋体" w:asciiTheme="minorEastAsia" w:hAnsiTheme="minorEastAsia" w:eastAsiaTheme="minorEastAsia"/>
          <w:sz w:val="21"/>
          <w:szCs w:val="21"/>
        </w:rPr>
        <w:t>2018年2月 12 日9时30分（北京时间</w:t>
      </w:r>
      <w:r>
        <w:rPr>
          <w:rFonts w:hint="eastAsia" w:cs="宋体" w:asciiTheme="minorEastAsia" w:hAnsiTheme="minorEastAsia" w:eastAsiaTheme="minorEastAsia"/>
          <w:sz w:val="21"/>
          <w:szCs w:val="21"/>
          <w:lang w:eastAsia="zh-CN"/>
        </w:rPr>
        <w:t>）</w:t>
      </w:r>
      <w:r>
        <w:rPr>
          <w:rFonts w:hint="eastAsia" w:cs="宋体" w:asciiTheme="minorEastAsia" w:hAnsiTheme="minorEastAsia" w:eastAsiaTheme="minorEastAsia"/>
          <w:sz w:val="21"/>
          <w:szCs w:val="21"/>
        </w:rPr>
        <w:t>，逾期不予受理。</w:t>
      </w:r>
    </w:p>
    <w:p>
      <w:pPr>
        <w:spacing w:line="400" w:lineRule="exact"/>
        <w:rPr>
          <w:rFonts w:hint="eastAsia" w:asciiTheme="minorEastAsia" w:hAnsiTheme="minorEastAsia" w:eastAsiaTheme="minorEastAsia"/>
          <w:sz w:val="24"/>
          <w:lang w:eastAsia="zh-CN"/>
        </w:rPr>
      </w:pPr>
      <w:r>
        <w:rPr>
          <w:rFonts w:hint="eastAsia" w:cs="宋体" w:asciiTheme="minorEastAsia" w:hAnsiTheme="minorEastAsia" w:eastAsiaTheme="minorEastAsia"/>
          <w:sz w:val="24"/>
        </w:rPr>
        <w:t>12、投递标书地点：扬州市四望亭路450号</w:t>
      </w:r>
      <w:r>
        <w:rPr>
          <w:rFonts w:hint="eastAsia" w:asciiTheme="minorEastAsia" w:hAnsiTheme="minorEastAsia" w:eastAsiaTheme="minorEastAsia"/>
          <w:sz w:val="24"/>
        </w:rPr>
        <w:t>扬州中燃城市燃气发展有限公司2楼会议室</w:t>
      </w:r>
      <w:r>
        <w:rPr>
          <w:rFonts w:hint="eastAsia" w:asciiTheme="minorEastAsia" w:hAnsiTheme="minorEastAsia" w:eastAsiaTheme="minorEastAsia"/>
          <w:sz w:val="24"/>
          <w:lang w:eastAsia="zh-CN"/>
        </w:rPr>
        <w:t>。</w:t>
      </w:r>
      <w:bookmarkStart w:id="0" w:name="_GoBack"/>
      <w:bookmarkEnd w:id="0"/>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13、开标时间和地点： 2018年2月 12日9时 30 分（北京时间）</w:t>
      </w:r>
    </w:p>
    <w:p>
      <w:pPr>
        <w:spacing w:line="400" w:lineRule="exact"/>
        <w:rPr>
          <w:rFonts w:hint="eastAsia" w:asciiTheme="minorEastAsia" w:hAnsiTheme="minorEastAsia" w:eastAsiaTheme="minorEastAsia"/>
          <w:sz w:val="24"/>
          <w:lang w:eastAsia="zh-CN"/>
        </w:rPr>
      </w:pPr>
      <w:r>
        <w:rPr>
          <w:rFonts w:hint="eastAsia" w:cs="宋体" w:asciiTheme="minorEastAsia" w:hAnsiTheme="minorEastAsia" w:eastAsiaTheme="minorEastAsia"/>
          <w:sz w:val="24"/>
          <w:lang w:val="en-US" w:eastAsia="zh-CN"/>
        </w:rPr>
        <w:t>14、</w:t>
      </w:r>
      <w:r>
        <w:rPr>
          <w:rFonts w:hint="eastAsia" w:cs="宋体" w:asciiTheme="minorEastAsia" w:hAnsiTheme="minorEastAsia" w:eastAsiaTheme="minorEastAsia"/>
          <w:sz w:val="24"/>
        </w:rPr>
        <w:t>开标地点</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扬州市四望亭路450号</w:t>
      </w:r>
      <w:r>
        <w:rPr>
          <w:rFonts w:hint="eastAsia" w:asciiTheme="minorEastAsia" w:hAnsiTheme="minorEastAsia" w:eastAsiaTheme="minorEastAsia"/>
          <w:sz w:val="24"/>
        </w:rPr>
        <w:t>扬州中燃城市燃气发展有限公司2楼会议室</w:t>
      </w:r>
      <w:r>
        <w:rPr>
          <w:rFonts w:hint="eastAsia" w:asciiTheme="minorEastAsia" w:hAnsiTheme="minorEastAsia" w:eastAsiaTheme="minorEastAsia"/>
          <w:sz w:val="24"/>
          <w:lang w:eastAsia="zh-CN"/>
        </w:rPr>
        <w:t>。</w:t>
      </w:r>
    </w:p>
    <w:p>
      <w:pPr>
        <w:spacing w:line="400" w:lineRule="exac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15、评标办法：综合评分法（详见招标文件）。</w:t>
      </w:r>
    </w:p>
    <w:p>
      <w:pPr>
        <w:spacing w:line="400" w:lineRule="exact"/>
        <w:rPr>
          <w:rFonts w:asciiTheme="minorEastAsia" w:hAnsiTheme="minorEastAsia" w:eastAsiaTheme="minorEastAsia"/>
          <w:sz w:val="24"/>
        </w:rPr>
      </w:pPr>
    </w:p>
    <w:p>
      <w:pPr>
        <w:spacing w:line="400" w:lineRule="exact"/>
        <w:jc w:val="right"/>
        <w:rPr>
          <w:rFonts w:asciiTheme="minorEastAsia" w:hAnsiTheme="minorEastAsia" w:eastAsiaTheme="minorEastAsia"/>
          <w:sz w:val="24"/>
        </w:rPr>
      </w:pPr>
      <w:r>
        <w:rPr>
          <w:rFonts w:hint="eastAsia" w:asciiTheme="minorEastAsia" w:hAnsiTheme="minorEastAsia" w:eastAsiaTheme="minorEastAsia"/>
          <w:sz w:val="24"/>
        </w:rPr>
        <w:t>招标人：扬州中燃城市燃气发展有限公司（盖章）</w:t>
      </w:r>
    </w:p>
    <w:p>
      <w:pPr>
        <w:spacing w:line="400" w:lineRule="exact"/>
        <w:ind w:firstLine="4680" w:firstLineChars="1950"/>
        <w:rPr>
          <w:rFonts w:asciiTheme="minorEastAsia" w:hAnsiTheme="minorEastAsia" w:eastAsiaTheme="minorEastAsia"/>
          <w:sz w:val="24"/>
        </w:rPr>
      </w:pPr>
      <w:r>
        <w:rPr>
          <w:rFonts w:hint="eastAsia" w:asciiTheme="minorEastAsia" w:hAnsiTheme="minorEastAsia" w:eastAsiaTheme="minorEastAsia"/>
          <w:sz w:val="24"/>
        </w:rPr>
        <w:t>日期：</w:t>
      </w:r>
      <w:r>
        <w:rPr>
          <w:rFonts w:asciiTheme="minorEastAsia" w:hAnsiTheme="minorEastAsia" w:eastAsiaTheme="minorEastAsia"/>
          <w:sz w:val="24"/>
        </w:rPr>
        <w:t>201</w:t>
      </w:r>
      <w:r>
        <w:rPr>
          <w:rFonts w:hint="eastAsia" w:asciiTheme="minorEastAsia" w:hAnsiTheme="minorEastAsia" w:eastAsiaTheme="minorEastAsia"/>
          <w:sz w:val="24"/>
        </w:rPr>
        <w:t xml:space="preserve">8年1月 </w:t>
      </w:r>
      <w:r>
        <w:rPr>
          <w:rFonts w:hint="eastAsia" w:asciiTheme="minorEastAsia" w:hAnsiTheme="minorEastAsia" w:eastAsiaTheme="minorEastAsia"/>
          <w:sz w:val="24"/>
          <w:lang w:val="en-US" w:eastAsia="zh-CN"/>
        </w:rPr>
        <w:t>23</w:t>
      </w:r>
      <w:r>
        <w:rPr>
          <w:rFonts w:hint="eastAsia" w:asciiTheme="minorEastAsia" w:hAnsiTheme="minorEastAsia" w:eastAsiaTheme="minorEastAsia"/>
          <w:sz w:val="24"/>
        </w:rPr>
        <w:t xml:space="preserve"> 日</w:t>
      </w:r>
    </w:p>
    <w:p>
      <w:pPr>
        <w:spacing w:line="220" w:lineRule="atLeast"/>
        <w:rPr>
          <w:rFonts w:asciiTheme="minorEastAsia" w:hAnsiTheme="minorEastAsia" w:eastAsiaTheme="minorEastAsia"/>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5FC39"/>
    <w:multiLevelType w:val="singleLevel"/>
    <w:tmpl w:val="5A65FC39"/>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D184E"/>
    <w:rsid w:val="00112E42"/>
    <w:rsid w:val="00252089"/>
    <w:rsid w:val="00271738"/>
    <w:rsid w:val="00282F9B"/>
    <w:rsid w:val="002C413D"/>
    <w:rsid w:val="00323B43"/>
    <w:rsid w:val="00385933"/>
    <w:rsid w:val="0039040D"/>
    <w:rsid w:val="003A4598"/>
    <w:rsid w:val="003D37D8"/>
    <w:rsid w:val="00426133"/>
    <w:rsid w:val="004358AB"/>
    <w:rsid w:val="004B5290"/>
    <w:rsid w:val="005366DF"/>
    <w:rsid w:val="005F6169"/>
    <w:rsid w:val="006923C6"/>
    <w:rsid w:val="006F42AB"/>
    <w:rsid w:val="00706367"/>
    <w:rsid w:val="00790785"/>
    <w:rsid w:val="0079345B"/>
    <w:rsid w:val="00796373"/>
    <w:rsid w:val="008338B0"/>
    <w:rsid w:val="008B7726"/>
    <w:rsid w:val="00940495"/>
    <w:rsid w:val="00966D05"/>
    <w:rsid w:val="0097602C"/>
    <w:rsid w:val="00B3723D"/>
    <w:rsid w:val="00BF1B90"/>
    <w:rsid w:val="00C22BE8"/>
    <w:rsid w:val="00D2758F"/>
    <w:rsid w:val="00D31D50"/>
    <w:rsid w:val="00DB04C0"/>
    <w:rsid w:val="00E23FD2"/>
    <w:rsid w:val="00EB73DF"/>
    <w:rsid w:val="00F04437"/>
    <w:rsid w:val="00F07085"/>
    <w:rsid w:val="00FA52E2"/>
    <w:rsid w:val="00FF020B"/>
    <w:rsid w:val="414C44A3"/>
    <w:rsid w:val="6329595B"/>
    <w:rsid w:val="6B5979E2"/>
    <w:rsid w:val="7E631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7"/>
    <w:unhideWhenUsed/>
    <w:qFormat/>
    <w:uiPriority w:val="99"/>
    <w:pPr>
      <w:widowControl/>
      <w:adjustRightInd w:val="0"/>
      <w:snapToGrid w:val="0"/>
      <w:spacing w:after="200"/>
    </w:pPr>
    <w:rPr>
      <w:rFonts w:ascii="Tahoma" w:hAnsi="Tahoma" w:eastAsia="微软雅黑" w:cstheme="minorBidi"/>
      <w:b/>
      <w:bCs/>
      <w:kern w:val="0"/>
      <w:sz w:val="22"/>
      <w:szCs w:val="22"/>
    </w:rPr>
  </w:style>
  <w:style w:type="paragraph" w:styleId="3">
    <w:name w:val="annotation text"/>
    <w:basedOn w:val="1"/>
    <w:link w:val="15"/>
    <w:unhideWhenUsed/>
    <w:qFormat/>
    <w:uiPriority w:val="0"/>
    <w:pPr>
      <w:widowControl w:val="0"/>
      <w:adjustRightInd/>
      <w:snapToGrid/>
      <w:spacing w:after="0"/>
    </w:pPr>
    <w:rPr>
      <w:rFonts w:ascii="Times New Roman" w:hAnsi="Times New Roman" w:eastAsia="宋体" w:cs="Times New Roman"/>
      <w:kern w:val="2"/>
      <w:sz w:val="21"/>
      <w:szCs w:val="24"/>
    </w:rPr>
  </w:style>
  <w:style w:type="paragraph" w:styleId="4">
    <w:name w:val="Plain Text"/>
    <w:basedOn w:val="1"/>
    <w:link w:val="19"/>
    <w:unhideWhenUsed/>
    <w:qFormat/>
    <w:uiPriority w:val="0"/>
    <w:pPr>
      <w:widowControl w:val="0"/>
      <w:adjustRightInd/>
      <w:snapToGrid/>
      <w:spacing w:after="0"/>
      <w:jc w:val="both"/>
    </w:pPr>
    <w:rPr>
      <w:rFonts w:hAnsi="Courier New" w:cs="Courier New" w:asciiTheme="minorEastAsia" w:eastAsiaTheme="minorEastAsia"/>
      <w:kern w:val="2"/>
      <w:sz w:val="24"/>
      <w:szCs w:val="24"/>
    </w:rPr>
  </w:style>
  <w:style w:type="paragraph" w:styleId="5">
    <w:name w:val="Balloon Text"/>
    <w:basedOn w:val="1"/>
    <w:link w:val="16"/>
    <w:unhideWhenUsed/>
    <w:qFormat/>
    <w:uiPriority w:val="99"/>
    <w:pPr>
      <w:spacing w:after="0"/>
    </w:pPr>
    <w:rPr>
      <w:sz w:val="18"/>
      <w:szCs w:val="18"/>
    </w:rPr>
  </w:style>
  <w:style w:type="paragraph" w:styleId="6">
    <w:name w:val="footer"/>
    <w:basedOn w:val="1"/>
    <w:link w:val="13"/>
    <w:unhideWhenUsed/>
    <w:qFormat/>
    <w:uiPriority w:val="99"/>
    <w:pPr>
      <w:tabs>
        <w:tab w:val="center" w:pos="4153"/>
        <w:tab w:val="right" w:pos="8306"/>
      </w:tabs>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qFormat/>
    <w:uiPriority w:val="0"/>
    <w:pPr>
      <w:adjustRightInd/>
      <w:snapToGrid/>
      <w:spacing w:before="100" w:beforeAutospacing="1" w:after="100" w:afterAutospacing="1"/>
    </w:pPr>
    <w:rPr>
      <w:rFonts w:ascii="Arial Unicode MS" w:hAnsi="Arial Unicode MS" w:eastAsia="Arial Unicode MS" w:cs="Arial Unicode MS"/>
      <w:sz w:val="24"/>
      <w:szCs w:val="24"/>
    </w:rPr>
  </w:style>
  <w:style w:type="character" w:styleId="10">
    <w:name w:val="annotation reference"/>
    <w:semiHidden/>
    <w:qFormat/>
    <w:uiPriority w:val="0"/>
    <w:rPr>
      <w:sz w:val="21"/>
      <w:szCs w:val="21"/>
    </w:rPr>
  </w:style>
  <w:style w:type="character" w:customStyle="1" w:styleId="12">
    <w:name w:val="页眉 Char"/>
    <w:basedOn w:val="9"/>
    <w:link w:val="7"/>
    <w:qFormat/>
    <w:uiPriority w:val="99"/>
    <w:rPr>
      <w:rFonts w:ascii="Tahoma" w:hAnsi="Tahoma"/>
      <w:sz w:val="18"/>
      <w:szCs w:val="18"/>
    </w:rPr>
  </w:style>
  <w:style w:type="character" w:customStyle="1" w:styleId="13">
    <w:name w:val="页脚 Char"/>
    <w:basedOn w:val="9"/>
    <w:link w:val="6"/>
    <w:qFormat/>
    <w:uiPriority w:val="99"/>
    <w:rPr>
      <w:rFonts w:ascii="Tahoma" w:hAnsi="Tahoma"/>
      <w:sz w:val="18"/>
      <w:szCs w:val="18"/>
    </w:rPr>
  </w:style>
  <w:style w:type="character" w:customStyle="1" w:styleId="14">
    <w:name w:val="批注文字 Char"/>
    <w:basedOn w:val="9"/>
    <w:semiHidden/>
    <w:qFormat/>
    <w:uiPriority w:val="99"/>
    <w:rPr>
      <w:rFonts w:ascii="Tahoma" w:hAnsi="Tahoma"/>
    </w:rPr>
  </w:style>
  <w:style w:type="character" w:customStyle="1" w:styleId="15">
    <w:name w:val="批注文字 Char1"/>
    <w:basedOn w:val="9"/>
    <w:link w:val="3"/>
    <w:qFormat/>
    <w:uiPriority w:val="0"/>
    <w:rPr>
      <w:rFonts w:ascii="Times New Roman" w:hAnsi="Times New Roman" w:eastAsia="宋体" w:cs="Times New Roman"/>
      <w:kern w:val="2"/>
      <w:sz w:val="21"/>
      <w:szCs w:val="24"/>
    </w:rPr>
  </w:style>
  <w:style w:type="character" w:customStyle="1" w:styleId="16">
    <w:name w:val="批注框文本 Char"/>
    <w:basedOn w:val="9"/>
    <w:link w:val="5"/>
    <w:semiHidden/>
    <w:qFormat/>
    <w:uiPriority w:val="99"/>
    <w:rPr>
      <w:rFonts w:ascii="Tahoma" w:hAnsi="Tahoma"/>
      <w:sz w:val="18"/>
      <w:szCs w:val="18"/>
    </w:rPr>
  </w:style>
  <w:style w:type="character" w:customStyle="1" w:styleId="17">
    <w:name w:val="批注主题 Char"/>
    <w:basedOn w:val="15"/>
    <w:link w:val="2"/>
    <w:semiHidden/>
    <w:qFormat/>
    <w:uiPriority w:val="99"/>
    <w:rPr>
      <w:rFonts w:ascii="Tahoma" w:hAnsi="Tahoma" w:eastAsia="宋体" w:cs="Times New Roman"/>
      <w:b/>
      <w:bCs/>
      <w:kern w:val="2"/>
      <w:sz w:val="22"/>
      <w:szCs w:val="22"/>
    </w:rPr>
  </w:style>
  <w:style w:type="character" w:customStyle="1" w:styleId="18">
    <w:name w:val="纯文本 Char"/>
    <w:basedOn w:val="9"/>
    <w:semiHidden/>
    <w:qFormat/>
    <w:uiPriority w:val="99"/>
    <w:rPr>
      <w:rFonts w:ascii="宋体" w:hAnsi="Courier New" w:eastAsia="宋体" w:cs="Courier New"/>
      <w:sz w:val="21"/>
      <w:szCs w:val="21"/>
    </w:rPr>
  </w:style>
  <w:style w:type="character" w:customStyle="1" w:styleId="19">
    <w:name w:val="纯文本 Char1"/>
    <w:basedOn w:val="9"/>
    <w:link w:val="4"/>
    <w:qFormat/>
    <w:uiPriority w:val="0"/>
    <w:rPr>
      <w:rFonts w:hAnsi="Courier New" w:cs="Courier New" w:asciiTheme="minorEastAsia" w:eastAsiaTheme="minorEastAsia"/>
      <w:kern w:val="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268</Words>
  <Characters>1530</Characters>
  <Lines>12</Lines>
  <Paragraphs>3</Paragraphs>
  <TotalTime>0</TotalTime>
  <ScaleCrop>false</ScaleCrop>
  <LinksUpToDate>false</LinksUpToDate>
  <CharactersWithSpaces>1795</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2018-01-22T14:54:01Z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