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6"/>
          <w:szCs w:val="36"/>
        </w:rPr>
      </w:pPr>
    </w:p>
    <w:p>
      <w:pPr>
        <w:adjustRightInd w:val="0"/>
        <w:snapToGrid w:val="0"/>
        <w:spacing w:line="360" w:lineRule="auto"/>
        <w:jc w:val="center"/>
        <w:rPr>
          <w:b/>
          <w:sz w:val="36"/>
          <w:szCs w:val="36"/>
        </w:rPr>
      </w:pPr>
    </w:p>
    <w:p>
      <w:pPr>
        <w:adjustRightInd w:val="0"/>
        <w:snapToGrid w:val="0"/>
        <w:spacing w:line="360" w:lineRule="auto"/>
        <w:jc w:val="center"/>
        <w:rPr>
          <w:rFonts w:hint="eastAsia"/>
          <w:b/>
          <w:sz w:val="36"/>
          <w:szCs w:val="36"/>
        </w:rPr>
      </w:pPr>
      <w:r>
        <w:rPr>
          <w:rFonts w:hint="eastAsia"/>
          <w:b/>
          <w:sz w:val="36"/>
          <w:szCs w:val="36"/>
        </w:rPr>
        <w:t>万福快速路水系迁改项目水利专项设计</w:t>
      </w:r>
    </w:p>
    <w:p>
      <w:pPr>
        <w:adjustRightInd w:val="0"/>
        <w:snapToGrid w:val="0"/>
        <w:spacing w:line="360" w:lineRule="auto"/>
        <w:jc w:val="center"/>
        <w:rPr>
          <w:rFonts w:ascii="华文楷体" w:hAnsi="华文楷体" w:eastAsia="华文楷体"/>
          <w:b/>
          <w:spacing w:val="28"/>
          <w:sz w:val="52"/>
          <w:szCs w:val="52"/>
        </w:rPr>
      </w:pPr>
      <w:r>
        <w:rPr>
          <w:rFonts w:hint="eastAsia"/>
          <w:b/>
          <w:sz w:val="36"/>
          <w:szCs w:val="36"/>
        </w:rPr>
        <w:t>服务比价文件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0" w:name="EB7dd9507bfbbb44b69fb3d3bc35395409"/>
      <w:r>
        <w:rPr>
          <w:rFonts w:hint="eastAsia" w:ascii="华文楷体" w:hAnsi="华文楷体" w:eastAsia="华文楷体"/>
          <w:b/>
          <w:bCs/>
          <w:snapToGrid w:val="0"/>
          <w:sz w:val="32"/>
          <w:szCs w:val="32"/>
          <w:u w:val="single"/>
        </w:rPr>
        <w:t>扬州万福投资发展有限责任公司</w:t>
      </w:r>
      <w:bookmarkEnd w:id="0"/>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1" w:name="EB59c3faf64f2a4bd092a206fb1d0c3c03"/>
      <w:bookmarkEnd w:id="1"/>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rPr>
        <w:t>9年</w:t>
      </w:r>
      <w:r>
        <w:rPr>
          <w:rFonts w:hint="eastAsia" w:ascii="华文楷体" w:hAnsi="华文楷体" w:eastAsia="华文楷体"/>
          <w:b/>
          <w:bCs/>
          <w:snapToGrid w:val="0"/>
          <w:sz w:val="32"/>
          <w:szCs w:val="32"/>
          <w:u w:val="single"/>
          <w:lang w:val="en-US" w:eastAsia="zh-CN"/>
        </w:rPr>
        <w:t>7</w:t>
      </w:r>
      <w:r>
        <w:rPr>
          <w:rFonts w:hint="eastAsia" w:ascii="华文楷体" w:hAnsi="华文楷体" w:eastAsia="华文楷体"/>
          <w:b/>
          <w:bCs/>
          <w:snapToGrid w:val="0"/>
          <w:sz w:val="32"/>
          <w:szCs w:val="32"/>
          <w:u w:val="single"/>
        </w:rPr>
        <w:t>月</w:t>
      </w:r>
      <w:r>
        <w:rPr>
          <w:rFonts w:hint="eastAsia" w:ascii="华文楷体" w:hAnsi="华文楷体" w:eastAsia="华文楷体"/>
          <w:b/>
          <w:bCs/>
          <w:snapToGrid w:val="0"/>
          <w:sz w:val="32"/>
          <w:szCs w:val="32"/>
          <w:u w:val="single"/>
          <w:lang w:val="en-US" w:eastAsia="zh-CN"/>
        </w:rPr>
        <w:t>19</w:t>
      </w:r>
      <w:bookmarkStart w:id="4" w:name="_GoBack"/>
      <w:bookmarkEnd w:id="4"/>
      <w:r>
        <w:rPr>
          <w:rFonts w:hint="eastAsia" w:ascii="华文楷体" w:hAnsi="华文楷体" w:eastAsia="华文楷体"/>
          <w:b/>
          <w:bCs/>
          <w:snapToGrid w:val="0"/>
          <w:sz w:val="32"/>
          <w:szCs w:val="32"/>
          <w:u w:val="single"/>
        </w:rPr>
        <w:t>日</w:t>
      </w:r>
    </w:p>
    <w:p>
      <w:pPr>
        <w:pStyle w:val="4"/>
        <w:widowControl/>
        <w:adjustRightInd w:val="0"/>
        <w:snapToGrid w:val="0"/>
        <w:spacing w:line="360" w:lineRule="auto"/>
        <w:ind w:firstLine="600"/>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spacing w:line="360" w:lineRule="auto"/>
        <w:jc w:val="center"/>
        <w:rPr>
          <w:rFonts w:ascii="仿宋_GB2312" w:hAnsi="华文中宋" w:eastAsia="仿宋_GB2312"/>
          <w:b/>
          <w:sz w:val="32"/>
          <w:szCs w:val="32"/>
        </w:rPr>
      </w:pPr>
      <w:bookmarkStart w:id="2" w:name="EB6ea16da7b15743eea2725672f72d6ef5"/>
      <w:bookmarkEnd w:id="2"/>
      <w:bookmarkStart w:id="3" w:name="EBae3932507ea447db8869e9e90f30bd27"/>
      <w:bookmarkEnd w:id="3"/>
      <w:r>
        <w:rPr>
          <w:rFonts w:hint="eastAsia" w:ascii="黑体" w:eastAsia="黑体"/>
          <w:b/>
          <w:snapToGrid w:val="0"/>
          <w:sz w:val="32"/>
          <w:szCs w:val="32"/>
        </w:rPr>
        <w:t>万福快速路水系迁改项目水利专项设计服务比价公告</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万福快速路水系迁改项目水利专项设计服务比价</w:t>
      </w:r>
    </w:p>
    <w:p>
      <w:pPr>
        <w:numPr>
          <w:ilvl w:val="0"/>
          <w:numId w:val="1"/>
        </w:numPr>
        <w:spacing w:line="360" w:lineRule="auto"/>
        <w:rPr>
          <w:rFonts w:ascii="黑体" w:hAnsi="黑体" w:eastAsia="黑体" w:cs="黑体"/>
          <w:bCs/>
          <w:sz w:val="30"/>
          <w:szCs w:val="30"/>
        </w:rPr>
      </w:pP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Times New Roman" w:hAnsi="Times New Roman"/>
          <w:color w:val="000000" w:themeColor="text1"/>
          <w:sz w:val="28"/>
          <w:szCs w:val="28"/>
          <w:shd w:val="clear" w:color="auto" w:fill="FFFFFF"/>
          <w14:textFill>
            <w14:solidFill>
              <w14:schemeClr w14:val="tx1"/>
            </w14:solidFill>
          </w14:textFill>
        </w:rPr>
      </w:pPr>
      <w:r>
        <w:rPr>
          <w:rFonts w:hint="eastAsia" w:ascii="仿宋_GB2312" w:hAnsi="华文中宋" w:eastAsia="仿宋_GB2312"/>
          <w:sz w:val="28"/>
          <w:szCs w:val="28"/>
        </w:rPr>
        <w:t>万福快速路西起运河北路，东至万福大桥，项目共有4处涉河建筑物，分别是京杭运河大桥、中沟河桥、沙湾河桥、方跳河桥。根据项目洪评审查意见第3条“补充河道改线的必要性分析，优化河道改线方案，并应同步开展河道改线专项设计”，需对沙湾</w:t>
      </w:r>
      <w:r>
        <w:rPr>
          <w:rFonts w:hint="eastAsia" w:ascii="仿宋_GB2312" w:hAnsi="华文中宋" w:eastAsia="仿宋_GB2312"/>
          <w:sz w:val="28"/>
          <w:szCs w:val="28"/>
          <w:u w:val="none"/>
        </w:rPr>
        <w:t>河桥</w:t>
      </w:r>
      <w:r>
        <w:rPr>
          <w:rFonts w:hint="eastAsia" w:ascii="仿宋_GB2312" w:hAnsi="华文中宋" w:eastAsia="仿宋_GB2312"/>
          <w:color w:val="000000" w:themeColor="text1"/>
          <w:sz w:val="28"/>
          <w:szCs w:val="28"/>
          <w:u w:val="none"/>
          <w14:textFill>
            <w14:solidFill>
              <w14:schemeClr w14:val="tx1"/>
            </w14:solidFill>
          </w14:textFill>
        </w:rPr>
        <w:t>、韩家河、</w:t>
      </w:r>
      <w:r>
        <w:rPr>
          <w:rFonts w:hint="eastAsia" w:ascii="仿宋_GB2312" w:hAnsi="华文中宋" w:eastAsia="仿宋_GB2312"/>
          <w:color w:val="000000" w:themeColor="text1"/>
          <w:sz w:val="28"/>
          <w:szCs w:val="28"/>
          <w14:textFill>
            <w14:solidFill>
              <w14:schemeClr w14:val="tx1"/>
            </w14:solidFill>
          </w14:textFill>
        </w:rPr>
        <w:t>方跳河桥处改线河道进行补偿专项设计。其设计内容包含：</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①沙湾河改线：沙湾河桥桥址处河道改线、改线段河道与南北两侧现状河道的衔接、河道两岸观绿化恢复。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②韩家河改线：人民路桥~沙湾河河口段河道改线、改线段河道与东西两侧河道的衔接、河道两岸观绿化恢复。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③方跳河改线：方跳河桥桥址处河道改线、改线段河道与南北两侧现状河道及桥涵的衔接、河道两岸观绿化恢复。</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    </w:t>
      </w: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本项目报价人可自行现场</w:t>
      </w:r>
      <w:r>
        <w:rPr>
          <w:rFonts w:hint="eastAsia" w:ascii="仿宋_GB2312" w:hAnsi="华文中宋" w:eastAsia="仿宋_GB2312"/>
          <w:sz w:val="28"/>
          <w:szCs w:val="28"/>
          <w:lang w:eastAsia="zh-CN"/>
        </w:rPr>
        <w:t>踏勘</w:t>
      </w:r>
      <w:r>
        <w:rPr>
          <w:rFonts w:hint="eastAsia" w:ascii="仿宋_GB2312" w:hAnsi="华文中宋" w:eastAsia="仿宋_GB2312"/>
          <w:sz w:val="28"/>
          <w:szCs w:val="28"/>
        </w:rPr>
        <w:t>。</w:t>
      </w:r>
    </w:p>
    <w:p>
      <w:pPr>
        <w:spacing w:line="360" w:lineRule="auto"/>
        <w:rPr>
          <w:rFonts w:ascii="黑体" w:hAnsi="黑体" w:eastAsia="黑体" w:cs="黑体"/>
          <w:bCs/>
          <w:sz w:val="30"/>
          <w:szCs w:val="30"/>
        </w:rPr>
      </w:pPr>
      <w:r>
        <w:rPr>
          <w:rFonts w:hint="eastAsia" w:ascii="黑体" w:hAnsi="黑体" w:eastAsia="黑体" w:cs="黑体"/>
          <w:bCs/>
          <w:sz w:val="30"/>
          <w:szCs w:val="30"/>
        </w:rPr>
        <w:t>四、对报价人资质要求：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1、具备国家发改委颁发的工程咨询（水利工程）专业乙级及以上资质；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证明资料（以合同签订时间为准）。</w:t>
      </w:r>
    </w:p>
    <w:p>
      <w:pPr>
        <w:pStyle w:val="7"/>
        <w:spacing w:before="120" w:beforeAutospacing="0" w:after="120" w:afterAutospacing="0" w:line="320" w:lineRule="atLeast"/>
        <w:rPr>
          <w:rFonts w:ascii="黑体" w:hAnsi="黑体" w:eastAsia="黑体" w:cs="黑体"/>
          <w:color w:val="000000" w:themeColor="text1"/>
          <w:kern w:val="2"/>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五、</w:t>
      </w:r>
      <w:r>
        <w:rPr>
          <w:rFonts w:hint="eastAsia" w:ascii="黑体" w:hAnsi="黑体" w:eastAsia="黑体" w:cs="黑体"/>
          <w:b/>
          <w:color w:val="000000" w:themeColor="text1"/>
          <w:kern w:val="2"/>
          <w:sz w:val="30"/>
          <w:szCs w:val="30"/>
          <w14:textFill>
            <w14:solidFill>
              <w14:schemeClr w14:val="tx1"/>
            </w14:solidFill>
          </w14:textFill>
        </w:rPr>
        <w:t>资格审查方法：</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黑体" w:hAnsi="黑体" w:eastAsia="黑体" w:cs="黑体"/>
          <w:bCs/>
          <w:sz w:val="30"/>
          <w:szCs w:val="30"/>
        </w:rPr>
      </w:pPr>
      <w:r>
        <w:rPr>
          <w:rFonts w:hint="eastAsia" w:ascii="黑体" w:hAnsi="黑体" w:eastAsia="黑体" w:cs="黑体"/>
          <w:bCs/>
          <w:sz w:val="30"/>
          <w:szCs w:val="30"/>
        </w:rPr>
        <w:t>六、报名及相关文件等资料的获取：</w:t>
      </w:r>
    </w:p>
    <w:p>
      <w:pPr>
        <w:spacing w:line="360" w:lineRule="auto"/>
        <w:rPr>
          <w:rFonts w:ascii="仿宋_GB2312" w:hAnsi="华文中宋" w:eastAsia="仿宋_GB2312"/>
          <w:sz w:val="28"/>
          <w:szCs w:val="28"/>
        </w:rPr>
      </w:pPr>
      <w:r>
        <w:rPr>
          <w:rFonts w:ascii="仿宋_GB2312" w:hAnsi="华文中宋" w:eastAsia="仿宋_GB2312"/>
          <w:sz w:val="28"/>
          <w:szCs w:val="28"/>
        </w:rPr>
        <w:t>1</w:t>
      </w:r>
      <w:r>
        <w:rPr>
          <w:rFonts w:hint="eastAsia" w:ascii="仿宋_GB2312" w:hAnsi="华文中宋" w:eastAsia="仿宋_GB2312"/>
          <w:sz w:val="28"/>
          <w:szCs w:val="28"/>
        </w:rPr>
        <w:t>、报价文件递交地点：史可法路</w:t>
      </w:r>
      <w:r>
        <w:rPr>
          <w:rFonts w:ascii="仿宋_GB2312" w:hAnsi="华文中宋" w:eastAsia="仿宋_GB2312"/>
          <w:sz w:val="28"/>
          <w:szCs w:val="28"/>
        </w:rPr>
        <w:t>58-21</w:t>
      </w:r>
      <w:r>
        <w:rPr>
          <w:rFonts w:hint="eastAsia" w:ascii="仿宋_GB2312" w:hAnsi="华文中宋" w:eastAsia="仿宋_GB2312"/>
          <w:sz w:val="28"/>
          <w:szCs w:val="28"/>
        </w:rPr>
        <w:t>号扬州万福公司二楼审计处</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sz w:val="28"/>
          <w:szCs w:val="28"/>
        </w:rPr>
        <w:t>2</w:t>
      </w:r>
      <w:r>
        <w:rPr>
          <w:rFonts w:hint="eastAsia" w:ascii="仿宋_GB2312" w:hAnsi="华文中宋" w:eastAsia="仿宋_GB2312"/>
          <w:sz w:val="28"/>
          <w:szCs w:val="28"/>
        </w:rPr>
        <w:t>、递交报价文件时间</w:t>
      </w:r>
      <w:r>
        <w:rPr>
          <w:rFonts w:hint="eastAsia" w:ascii="仿宋_GB2312" w:hAnsi="华文中宋" w:eastAsia="仿宋_GB2312"/>
          <w:color w:val="000000" w:themeColor="text1"/>
          <w:sz w:val="28"/>
          <w:szCs w:val="28"/>
          <w14:textFill>
            <w14:solidFill>
              <w14:schemeClr w14:val="tx1"/>
            </w14:solidFill>
          </w14:textFill>
        </w:rPr>
        <w:t>：</w:t>
      </w:r>
      <w:r>
        <w:rPr>
          <w:rFonts w:ascii="仿宋_GB2312" w:hAnsi="华文中宋" w:eastAsia="仿宋_GB2312"/>
          <w:color w:val="000000" w:themeColor="text1"/>
          <w:sz w:val="28"/>
          <w:szCs w:val="28"/>
          <w14:textFill>
            <w14:solidFill>
              <w14:schemeClr w14:val="tx1"/>
            </w14:solidFill>
          </w14:textFill>
        </w:rPr>
        <w:t>201</w:t>
      </w:r>
      <w:r>
        <w:rPr>
          <w:rFonts w:hint="eastAsia" w:ascii="仿宋_GB2312" w:hAnsi="华文中宋" w:eastAsia="仿宋_GB2312"/>
          <w:color w:val="000000" w:themeColor="text1"/>
          <w:sz w:val="28"/>
          <w:szCs w:val="28"/>
          <w14:textFill>
            <w14:solidFill>
              <w14:schemeClr w14:val="tx1"/>
            </w14:solidFill>
          </w14:textFill>
        </w:rPr>
        <w:t>9年</w:t>
      </w:r>
      <w:r>
        <w:rPr>
          <w:rFonts w:hint="eastAsia" w:ascii="仿宋_GB2312" w:hAnsi="华文中宋" w:eastAsia="仿宋_GB2312"/>
          <w:color w:val="000000" w:themeColor="text1"/>
          <w:sz w:val="28"/>
          <w:szCs w:val="28"/>
          <w:lang w:val="en-US" w:eastAsia="zh-CN"/>
          <w14:textFill>
            <w14:solidFill>
              <w14:schemeClr w14:val="tx1"/>
            </w14:solidFill>
          </w14:textFill>
        </w:rPr>
        <w:t>7</w:t>
      </w:r>
      <w:r>
        <w:rPr>
          <w:rFonts w:hint="eastAsia" w:ascii="仿宋_GB2312" w:hAnsi="华文中宋" w:eastAsia="仿宋_GB2312"/>
          <w:color w:val="000000" w:themeColor="text1"/>
          <w:sz w:val="28"/>
          <w:szCs w:val="28"/>
          <w14:textFill>
            <w14:solidFill>
              <w14:schemeClr w14:val="tx1"/>
            </w14:solidFill>
          </w14:textFill>
        </w:rPr>
        <w:t>月2</w:t>
      </w:r>
      <w:r>
        <w:rPr>
          <w:rFonts w:hint="eastAsia" w:ascii="仿宋_GB2312" w:hAnsi="华文中宋" w:eastAsia="仿宋_GB2312"/>
          <w:color w:val="000000" w:themeColor="text1"/>
          <w:sz w:val="28"/>
          <w:szCs w:val="28"/>
          <w:lang w:val="en-US" w:eastAsia="zh-CN"/>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日上午</w:t>
      </w: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14:textFill>
            <w14:solidFill>
              <w14:schemeClr w14:val="tx1"/>
            </w14:solidFill>
          </w14:textFill>
        </w:rPr>
        <w:t>0</w:t>
      </w:r>
      <w:r>
        <w:rPr>
          <w:rFonts w:ascii="仿宋_GB2312" w:hAnsi="华文中宋" w:eastAsia="仿宋_GB2312"/>
          <w:color w:val="000000" w:themeColor="text1"/>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ascii="仿宋_GB2312" w:hAnsi="华文中宋" w:eastAsia="仿宋_GB2312" w:cs="Times New Roman"/>
          <w:color w:val="000000" w:themeColor="text1"/>
          <w:kern w:val="2"/>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黑体" w:eastAsia="黑体"/>
          <w:b/>
          <w:snapToGrid w:val="0"/>
          <w:color w:val="000000" w:themeColor="text1"/>
          <w:sz w:val="32"/>
          <w:szCs w:val="32"/>
          <w14:textFill>
            <w14:solidFill>
              <w14:schemeClr w14:val="tx1"/>
            </w14:solidFill>
          </w14:textFill>
        </w:rPr>
      </w:pPr>
      <w:r>
        <w:rPr>
          <w:rFonts w:hint="eastAsia" w:ascii="黑体" w:eastAsia="黑体"/>
          <w:b/>
          <w:snapToGrid w:val="0"/>
          <w:sz w:val="32"/>
          <w:szCs w:val="32"/>
        </w:rPr>
        <w:t>万福快速路水系迁改项目水利专项设计服务比价</w:t>
      </w:r>
      <w:r>
        <w:rPr>
          <w:rFonts w:hint="eastAsia" w:ascii="黑体" w:eastAsia="黑体"/>
          <w:b/>
          <w:snapToGrid w:val="0"/>
          <w:color w:val="000000" w:themeColor="text1"/>
          <w:sz w:val="32"/>
          <w:szCs w:val="32"/>
          <w14:textFill>
            <w14:solidFill>
              <w14:schemeClr w14:val="tx1"/>
            </w14:solidFill>
          </w14:textFill>
        </w:rPr>
        <w:t>文件</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万福快速路水系迁改项目水利专项设计服务比价</w:t>
      </w:r>
    </w:p>
    <w:p>
      <w:pPr>
        <w:numPr>
          <w:ilvl w:val="0"/>
          <w:numId w:val="0"/>
        </w:numPr>
        <w:spacing w:line="360" w:lineRule="auto"/>
        <w:rPr>
          <w:rFonts w:ascii="黑体" w:hAnsi="黑体" w:eastAsia="黑体" w:cs="黑体"/>
          <w:bCs/>
          <w:sz w:val="30"/>
          <w:szCs w:val="30"/>
        </w:rPr>
      </w:pPr>
      <w:r>
        <w:rPr>
          <w:rFonts w:hint="eastAsia" w:ascii="黑体" w:hAnsi="黑体" w:eastAsia="黑体" w:cs="黑体"/>
          <w:bCs/>
          <w:sz w:val="30"/>
          <w:szCs w:val="30"/>
          <w:lang w:eastAsia="zh-CN"/>
        </w:rPr>
        <w:t>二、</w:t>
      </w: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Times New Roman" w:hAnsi="Times New Roman"/>
          <w:color w:val="000000" w:themeColor="text1"/>
          <w:sz w:val="28"/>
          <w:szCs w:val="28"/>
          <w:u w:val="none"/>
          <w:shd w:val="clear" w:color="auto" w:fill="FFFFFF"/>
          <w14:textFill>
            <w14:solidFill>
              <w14:schemeClr w14:val="tx1"/>
            </w14:solidFill>
          </w14:textFill>
        </w:rPr>
      </w:pPr>
      <w:r>
        <w:rPr>
          <w:rFonts w:hint="eastAsia" w:ascii="仿宋_GB2312" w:hAnsi="华文中宋" w:eastAsia="仿宋_GB2312"/>
          <w:sz w:val="28"/>
          <w:szCs w:val="28"/>
        </w:rPr>
        <w:t>万福快速路西起运河北路，东至万福大桥，项目共有4处涉河建筑物，分别是京杭运河大桥、中沟河桥、沙湾河桥、方跳河桥。根据项目洪评审查意见第3条“补充河道改线的必要性分析，优化河道改线方案，并应同步开展河道改线专项设计”，需对沙湾河桥</w:t>
      </w:r>
      <w:r>
        <w:rPr>
          <w:rFonts w:hint="eastAsia" w:ascii="仿宋_GB2312" w:hAnsi="华文中宋" w:eastAsia="仿宋_GB2312"/>
          <w:color w:val="000000" w:themeColor="text1"/>
          <w:sz w:val="28"/>
          <w:szCs w:val="28"/>
          <w14:textFill>
            <w14:solidFill>
              <w14:schemeClr w14:val="tx1"/>
            </w14:solidFill>
          </w14:textFill>
        </w:rPr>
        <w:t>、</w:t>
      </w:r>
      <w:r>
        <w:rPr>
          <w:rFonts w:hint="eastAsia" w:ascii="仿宋_GB2312" w:hAnsi="华文中宋" w:eastAsia="仿宋_GB2312"/>
          <w:color w:val="000000" w:themeColor="text1"/>
          <w:sz w:val="28"/>
          <w:szCs w:val="28"/>
          <w:u w:val="none"/>
          <w14:textFill>
            <w14:solidFill>
              <w14:schemeClr w14:val="tx1"/>
            </w14:solidFill>
          </w14:textFill>
        </w:rPr>
        <w:t>韩家河、方跳河桥处改线河道进行补偿专项设计。其设计内容包含：</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①沙湾河改线：沙湾河桥桥址处河道改线、改线段河道与南北两侧现状河道的衔接、河道两岸观绿化恢复。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②韩家河改线：人民路桥~沙湾河河口段河道改线、改线段河道与东西两侧河道的衔接、河道两岸观绿化恢复。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③方跳河改线：方跳河桥桥址处河道改线、改线段河道与南北两侧现状河道及桥涵的衔接、河道两岸观绿化恢复。</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本项目报价人可自行现场踏勘。</w:t>
      </w:r>
    </w:p>
    <w:p>
      <w:pPr>
        <w:spacing w:line="360" w:lineRule="auto"/>
        <w:rPr>
          <w:rFonts w:ascii="黑体" w:hAnsi="黑体" w:eastAsia="黑体" w:cs="黑体"/>
          <w:bCs/>
          <w:sz w:val="30"/>
          <w:szCs w:val="30"/>
        </w:rPr>
      </w:pPr>
      <w:r>
        <w:rPr>
          <w:rFonts w:hint="eastAsia" w:ascii="黑体" w:hAnsi="黑体" w:eastAsia="黑体" w:cs="黑体"/>
          <w:bCs/>
          <w:sz w:val="30"/>
          <w:szCs w:val="30"/>
        </w:rPr>
        <w:t>四、对报价人资质要求：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1、具备国家发改委颁发的工程咨询（水利工程）专业乙级及以上资质；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等证明资料（以合同签订时间为准）。</w:t>
      </w:r>
    </w:p>
    <w:p>
      <w:pPr>
        <w:pStyle w:val="7"/>
        <w:spacing w:before="0" w:beforeAutospacing="0" w:after="0" w:afterAutospacing="0" w:line="360" w:lineRule="auto"/>
        <w:rPr>
          <w:rFonts w:ascii="黑体" w:hAnsi="黑体" w:eastAsia="黑体" w:cs="黑体"/>
          <w:bCs/>
          <w:sz w:val="30"/>
          <w:szCs w:val="30"/>
        </w:rPr>
      </w:pPr>
      <w:r>
        <w:rPr>
          <w:rFonts w:hint="eastAsia" w:ascii="黑体" w:hAnsi="黑体" w:eastAsia="黑体" w:cs="黑体"/>
          <w:bCs/>
          <w:kern w:val="2"/>
          <w:sz w:val="30"/>
          <w:szCs w:val="30"/>
        </w:rPr>
        <w:t>五、报价文件组成及要求：</w:t>
      </w:r>
    </w:p>
    <w:p>
      <w:pPr>
        <w:pStyle w:val="7"/>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pPr>
        <w:pStyle w:val="7"/>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7"/>
        <w:spacing w:before="0" w:beforeAutospacing="0" w:after="0" w:afterAutospacing="0" w:line="360" w:lineRule="auto"/>
        <w:rPr>
          <w:rFonts w:ascii="黑体" w:hAnsi="黑体" w:eastAsia="黑体" w:cs="黑体"/>
          <w:bCs/>
          <w:kern w:val="2"/>
          <w:sz w:val="30"/>
          <w:szCs w:val="30"/>
        </w:rPr>
      </w:pPr>
      <w:r>
        <w:rPr>
          <w:rFonts w:hint="eastAsia" w:ascii="黑体" w:hAnsi="黑体" w:eastAsia="黑体" w:cs="黑体"/>
          <w:bCs/>
          <w:kern w:val="2"/>
          <w:sz w:val="30"/>
          <w:szCs w:val="30"/>
        </w:rPr>
        <w:t>六、废标条款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黑体" w:hAnsi="黑体" w:eastAsia="黑体" w:cs="黑体"/>
          <w:bCs/>
          <w:color w:val="000000" w:themeColor="text1"/>
          <w:kern w:val="2"/>
          <w:sz w:val="30"/>
          <w:szCs w:val="30"/>
          <w14:textFill>
            <w14:solidFill>
              <w14:schemeClr w14:val="tx1"/>
            </w14:solidFill>
          </w14:textFill>
        </w:rPr>
        <w:t>七、付款及进度</w:t>
      </w:r>
      <w:r>
        <w:rPr>
          <w:rFonts w:hint="eastAsia" w:ascii="仿宋_GB2312" w:hAnsi="华文中宋" w:eastAsia="仿宋_GB2312" w:cs="Times New Roman"/>
          <w:b/>
          <w:color w:val="000000" w:themeColor="text1"/>
          <w:kern w:val="2"/>
          <w:sz w:val="30"/>
          <w:szCs w:val="30"/>
          <w14:textFill>
            <w14:solidFill>
              <w14:schemeClr w14:val="tx1"/>
            </w14:solidFill>
          </w14:textFill>
        </w:rPr>
        <w:t>：</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pPr>
        <w:numPr>
          <w:ilvl w:val="0"/>
          <w:numId w:val="2"/>
        </w:num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付款条件：取得批复文件后一个月内付清。</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八、报价、结算方式、最高限价及评标方法</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应是完成比价文件所确定范围内所有工作内容及后续服务的全部价格体现。该报价应包括人工费、材料（设备）费、管理费、环境监测费用、利润、税金、公众听证（如需）、评审费、税金及合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本项目最高限价:</w:t>
      </w:r>
      <w:r>
        <w:rPr>
          <w:rFonts w:hint="eastAsia" w:ascii="仿宋_GB2312" w:hAnsi="华文中宋" w:eastAsia="仿宋_GB2312"/>
          <w:color w:val="000000" w:themeColor="text1"/>
          <w:sz w:val="28"/>
          <w:szCs w:val="28"/>
          <w:lang w:val="en-US" w:eastAsia="zh-CN"/>
          <w14:textFill>
            <w14:solidFill>
              <w14:schemeClr w14:val="tx1"/>
            </w14:solidFill>
          </w14:textFill>
        </w:rPr>
        <w:t>29.5万</w:t>
      </w:r>
      <w:r>
        <w:rPr>
          <w:rFonts w:hint="eastAsia" w:ascii="仿宋_GB2312" w:hAnsi="华文中宋" w:eastAsia="仿宋_GB2312"/>
          <w:color w:val="000000" w:themeColor="text1"/>
          <w:sz w:val="28"/>
          <w:szCs w:val="28"/>
          <w14:textFill>
            <w14:solidFill>
              <w14:schemeClr w14:val="tx1"/>
            </w14:solidFill>
          </w14:textFill>
        </w:rPr>
        <w:t xml:space="preserve"> 。</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w:t>
      </w:r>
      <w:r>
        <w:rPr>
          <w:rFonts w:hint="eastAsia" w:ascii="仿宋_GB2312" w:hAnsi="仿宋_GB2312" w:eastAsia="仿宋_GB2312" w:cs="仿宋_GB2312"/>
          <w:color w:val="000000" w:themeColor="text1"/>
          <w:sz w:val="28"/>
          <w:szCs w:val="28"/>
          <w:lang w:eastAsia="zh-CN"/>
          <w14:textFill>
            <w14:solidFill>
              <w14:schemeClr w14:val="tx1"/>
            </w14:solidFill>
          </w14:textFill>
        </w:rPr>
        <w:t>包干</w:t>
      </w:r>
      <w:r>
        <w:rPr>
          <w:rFonts w:hint="eastAsia" w:ascii="仿宋_GB2312" w:hAnsi="仿宋_GB2312" w:eastAsia="仿宋_GB2312" w:cs="仿宋_GB2312"/>
          <w:color w:val="000000" w:themeColor="text1"/>
          <w:sz w:val="28"/>
          <w:szCs w:val="28"/>
          <w14:textFill>
            <w14:solidFill>
              <w14:schemeClr w14:val="tx1"/>
            </w14:solidFill>
          </w14:textFill>
        </w:rPr>
        <w:t>，报价人需在报价时提供报价组成。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1、报价文件递交地点：史可法路58-21号扬州万福公司二楼审计处；</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2、递交报价文件时间：2019年</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7</w:t>
      </w:r>
      <w:r>
        <w:rPr>
          <w:rFonts w:hint="eastAsia" w:ascii="仿宋_GB2312" w:hAnsi="华文中宋" w:eastAsia="仿宋_GB2312" w:cs="Times New Roman"/>
          <w:color w:val="000000" w:themeColor="text1"/>
          <w:kern w:val="2"/>
          <w:sz w:val="28"/>
          <w:szCs w:val="28"/>
          <w14:textFill>
            <w14:solidFill>
              <w14:schemeClr w14:val="tx1"/>
            </w14:solidFill>
          </w14:textFill>
        </w:rPr>
        <w:t>月</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22</w:t>
      </w:r>
      <w:r>
        <w:rPr>
          <w:rFonts w:hint="eastAsia" w:ascii="仿宋_GB2312" w:hAnsi="华文中宋" w:eastAsia="仿宋_GB2312" w:cs="Times New Roman"/>
          <w:color w:val="000000" w:themeColor="text1"/>
          <w:kern w:val="2"/>
          <w:sz w:val="28"/>
          <w:szCs w:val="28"/>
          <w14:textFill>
            <w14:solidFill>
              <w14:schemeClr w14:val="tx1"/>
            </w14:solidFill>
          </w14:textFill>
        </w:rPr>
        <w:t>日上午10:00前；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spacing w:line="360" w:lineRule="auto"/>
        <w:rPr>
          <w:rFonts w:ascii="宋体" w:hAnsi="宋体"/>
          <w:b/>
          <w:color w:val="000000"/>
          <w:sz w:val="30"/>
        </w:rPr>
      </w:pPr>
      <w:r>
        <w:rPr>
          <w:rFonts w:hint="eastAsia" w:ascii="宋体" w:hAnsi="宋体"/>
          <w:b/>
          <w:color w:val="000000"/>
          <w:sz w:val="30"/>
        </w:rPr>
        <w:t>附：报价文件格式</w:t>
      </w:r>
    </w:p>
    <w:p>
      <w:pPr>
        <w:autoSpaceDE w:val="0"/>
        <w:autoSpaceDN w:val="0"/>
        <w:adjustRightInd w:val="0"/>
        <w:spacing w:line="360" w:lineRule="auto"/>
        <w:ind w:firstLine="480"/>
        <w:jc w:val="center"/>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b/>
          <w:bCs/>
          <w:spacing w:val="28"/>
          <w:sz w:val="24"/>
          <w:szCs w:val="24"/>
          <w:u w:val="single"/>
        </w:rPr>
        <w:t>润扬路快速化改造工程环境影响评</w:t>
      </w:r>
      <w:r>
        <w:rPr>
          <w:rFonts w:hint="eastAsia" w:ascii="宋体" w:hAnsi="宋体"/>
          <w:b/>
          <w:spacing w:val="28"/>
          <w:sz w:val="24"/>
          <w:szCs w:val="24"/>
          <w:u w:val="single"/>
        </w:rPr>
        <w:t>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
    <w:p/>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5"/>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报</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价</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5"/>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4410D"/>
    <w:multiLevelType w:val="singleLevel"/>
    <w:tmpl w:val="E504410D"/>
    <w:lvl w:ilvl="0" w:tentative="0">
      <w:start w:val="2"/>
      <w:numFmt w:val="decimal"/>
      <w:suff w:val="nothing"/>
      <w:lvlText w:val="%1、"/>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3F"/>
    <w:rsid w:val="006E40F9"/>
    <w:rsid w:val="0073613F"/>
    <w:rsid w:val="009B63AA"/>
    <w:rsid w:val="00A405C3"/>
    <w:rsid w:val="00E437CF"/>
    <w:rsid w:val="13FF2A5A"/>
    <w:rsid w:val="15D72CF1"/>
    <w:rsid w:val="194E5CA9"/>
    <w:rsid w:val="349622AB"/>
    <w:rsid w:val="34A83B83"/>
    <w:rsid w:val="380F04D4"/>
    <w:rsid w:val="4AD21612"/>
    <w:rsid w:val="4DAF1BA7"/>
    <w:rsid w:val="4F4D5FD5"/>
    <w:rsid w:val="54E4495E"/>
    <w:rsid w:val="5A552A21"/>
    <w:rsid w:val="627B328B"/>
    <w:rsid w:val="628B30B0"/>
    <w:rsid w:val="6877111E"/>
    <w:rsid w:val="68F8226B"/>
    <w:rsid w:val="6BF12BE7"/>
    <w:rsid w:val="6CD733D5"/>
    <w:rsid w:val="7AD3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678</Words>
  <Characters>3870</Characters>
  <Lines>32</Lines>
  <Paragraphs>9</Paragraphs>
  <TotalTime>0</TotalTime>
  <ScaleCrop>false</ScaleCrop>
  <LinksUpToDate>false</LinksUpToDate>
  <CharactersWithSpaces>4539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2019-07-19T07:59:40Z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