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sz w:val="72"/>
          <w:szCs w:val="72"/>
          <w:highlight w:val="none"/>
        </w:rPr>
      </w:pPr>
      <w:bookmarkStart w:id="241" w:name="_GoBack"/>
    </w:p>
    <w:p>
      <w:pPr>
        <w:adjustRightInd w:val="0"/>
        <w:snapToGrid w:val="0"/>
        <w:spacing w:line="700" w:lineRule="exact"/>
        <w:ind w:firstLine="1820" w:firstLineChars="350"/>
        <w:contextualSpacing/>
        <w:rPr>
          <w:rFonts w:cs="宋体" w:asciiTheme="minorEastAsia" w:hAnsiTheme="minorEastAsia" w:eastAsiaTheme="minorEastAsia"/>
          <w:b/>
          <w:color w:val="000000"/>
          <w:sz w:val="52"/>
          <w:szCs w:val="52"/>
          <w:highlight w:val="none"/>
        </w:rPr>
      </w:pPr>
    </w:p>
    <w:p>
      <w:pPr>
        <w:adjustRightInd w:val="0"/>
        <w:snapToGrid w:val="0"/>
        <w:spacing w:before="120" w:after="120" w:line="360" w:lineRule="auto"/>
        <w:contextualSpacing/>
        <w:jc w:val="center"/>
        <w:rPr>
          <w:rFonts w:hint="eastAsia" w:cs="宋体" w:asciiTheme="minorEastAsia" w:hAnsiTheme="minorEastAsia" w:eastAsiaTheme="minorEastAsia"/>
          <w:b/>
          <w:color w:val="000000"/>
          <w:sz w:val="52"/>
          <w:szCs w:val="52"/>
          <w:highlight w:val="none"/>
          <w:lang w:eastAsia="zh-CN"/>
        </w:rPr>
      </w:pPr>
      <w:r>
        <w:rPr>
          <w:rFonts w:hint="eastAsia" w:cs="宋体" w:asciiTheme="minorEastAsia" w:hAnsiTheme="minorEastAsia" w:eastAsiaTheme="minorEastAsia"/>
          <w:b/>
          <w:color w:val="000000"/>
          <w:sz w:val="48"/>
          <w:szCs w:val="48"/>
          <w:highlight w:val="none"/>
          <w:lang w:eastAsia="zh-CN"/>
        </w:rPr>
        <w:t>扬州市古城小秦淮河保护更新二期项目</w:t>
      </w:r>
    </w:p>
    <w:p>
      <w:pPr>
        <w:adjustRightInd w:val="0"/>
        <w:snapToGrid w:val="0"/>
        <w:spacing w:before="120" w:after="120" w:line="360" w:lineRule="auto"/>
        <w:contextualSpacing/>
        <w:jc w:val="center"/>
        <w:rPr>
          <w:rFonts w:cs="宋体" w:asciiTheme="minorEastAsia" w:hAnsiTheme="minorEastAsia" w:eastAsiaTheme="minorEastAsia"/>
          <w:b/>
          <w:color w:val="000000"/>
          <w:sz w:val="52"/>
          <w:szCs w:val="52"/>
          <w:highlight w:val="none"/>
        </w:rPr>
      </w:pPr>
      <w:r>
        <w:rPr>
          <w:rFonts w:hint="eastAsia" w:cs="宋体" w:asciiTheme="minorEastAsia" w:hAnsiTheme="minorEastAsia" w:eastAsiaTheme="minorEastAsia"/>
          <w:b/>
          <w:color w:val="000000"/>
          <w:sz w:val="52"/>
          <w:szCs w:val="52"/>
          <w:highlight w:val="none"/>
        </w:rPr>
        <w:t>工程勘察招标文件</w:t>
      </w:r>
    </w:p>
    <w:p>
      <w:pPr>
        <w:rPr>
          <w:rFonts w:asciiTheme="minorEastAsia" w:hAnsiTheme="minorEastAsia" w:eastAsiaTheme="minorEastAsia"/>
          <w:sz w:val="24"/>
          <w:highlight w:val="none"/>
        </w:rPr>
      </w:pPr>
    </w:p>
    <w:p>
      <w:pPr>
        <w:tabs>
          <w:tab w:val="left" w:pos="6300"/>
        </w:tabs>
        <w:rPr>
          <w:rFonts w:asciiTheme="minorEastAsia" w:hAnsiTheme="minorEastAsia" w:eastAsiaTheme="minorEastAsia"/>
          <w:sz w:val="24"/>
          <w:highlight w:val="none"/>
        </w:rPr>
      </w:pPr>
    </w:p>
    <w:p>
      <w:pPr>
        <w:tabs>
          <w:tab w:val="left" w:pos="6300"/>
        </w:tabs>
        <w:rPr>
          <w:rFonts w:asciiTheme="minorEastAsia" w:hAnsiTheme="minorEastAsia" w:eastAsiaTheme="minorEastAsia"/>
          <w:sz w:val="24"/>
          <w:highlight w:val="none"/>
        </w:rPr>
      </w:pPr>
    </w:p>
    <w:p>
      <w:pPr>
        <w:rPr>
          <w:rFonts w:asciiTheme="minorEastAsia" w:hAnsiTheme="minorEastAsia" w:eastAsiaTheme="minorEastAsia"/>
          <w:sz w:val="24"/>
          <w:highlight w:val="none"/>
        </w:rPr>
      </w:pPr>
    </w:p>
    <w:p>
      <w:pPr>
        <w:rPr>
          <w:rFonts w:asciiTheme="minorEastAsia" w:hAnsiTheme="minorEastAsia" w:eastAsiaTheme="minorEastAsia"/>
          <w:sz w:val="24"/>
          <w:highlight w:val="none"/>
        </w:rPr>
      </w:pPr>
    </w:p>
    <w:p>
      <w:pPr>
        <w:adjustRightInd w:val="0"/>
        <w:snapToGrid w:val="0"/>
        <w:spacing w:line="500" w:lineRule="exact"/>
        <w:ind w:firstLine="1440" w:firstLineChars="500"/>
        <w:contextualSpacing/>
        <w:rPr>
          <w:w w:val="90"/>
          <w:kern w:val="0"/>
          <w:sz w:val="32"/>
          <w:szCs w:val="32"/>
          <w:highlight w:val="none"/>
        </w:rPr>
      </w:pPr>
    </w:p>
    <w:p>
      <w:pPr>
        <w:adjustRightInd w:val="0"/>
        <w:snapToGrid w:val="0"/>
        <w:spacing w:line="500" w:lineRule="exact"/>
        <w:ind w:firstLine="1440" w:firstLineChars="500"/>
        <w:contextualSpacing/>
        <w:rPr>
          <w:w w:val="90"/>
          <w:kern w:val="0"/>
          <w:sz w:val="32"/>
          <w:szCs w:val="32"/>
          <w:highlight w:val="none"/>
        </w:rPr>
      </w:pPr>
    </w:p>
    <w:p>
      <w:pPr>
        <w:adjustRightInd w:val="0"/>
        <w:snapToGrid w:val="0"/>
        <w:spacing w:line="500" w:lineRule="exact"/>
        <w:ind w:firstLine="1440" w:firstLineChars="500"/>
        <w:contextualSpacing/>
        <w:rPr>
          <w:w w:val="90"/>
          <w:kern w:val="0"/>
          <w:sz w:val="32"/>
          <w:szCs w:val="32"/>
          <w:highlight w:val="none"/>
        </w:rPr>
      </w:pPr>
    </w:p>
    <w:p>
      <w:pPr>
        <w:adjustRightInd w:val="0"/>
        <w:snapToGrid w:val="0"/>
        <w:spacing w:line="500" w:lineRule="exact"/>
        <w:ind w:firstLine="1440" w:firstLineChars="500"/>
        <w:contextualSpacing/>
        <w:rPr>
          <w:w w:val="90"/>
          <w:kern w:val="0"/>
          <w:sz w:val="32"/>
          <w:szCs w:val="32"/>
          <w:highlight w:val="none"/>
        </w:rPr>
      </w:pPr>
    </w:p>
    <w:p>
      <w:pPr>
        <w:pStyle w:val="2"/>
        <w:rPr>
          <w:w w:val="90"/>
          <w:kern w:val="0"/>
          <w:sz w:val="32"/>
          <w:szCs w:val="32"/>
          <w:highlight w:val="none"/>
        </w:rPr>
      </w:pPr>
    </w:p>
    <w:p>
      <w:pPr>
        <w:pStyle w:val="3"/>
        <w:rPr>
          <w:highlight w:val="none"/>
        </w:rPr>
      </w:pPr>
    </w:p>
    <w:p>
      <w:pPr>
        <w:adjustRightInd w:val="0"/>
        <w:snapToGrid w:val="0"/>
        <w:spacing w:line="500" w:lineRule="exact"/>
        <w:ind w:firstLine="1440" w:firstLineChars="500"/>
        <w:contextualSpacing/>
        <w:rPr>
          <w:w w:val="90"/>
          <w:kern w:val="0"/>
          <w:sz w:val="32"/>
          <w:szCs w:val="32"/>
          <w:highlight w:val="none"/>
        </w:rPr>
      </w:pPr>
    </w:p>
    <w:p>
      <w:pPr>
        <w:spacing w:line="360" w:lineRule="auto"/>
        <w:ind w:firstLine="704" w:firstLineChars="220"/>
        <w:rPr>
          <w:rFonts w:hint="eastAsia" w:eastAsia="宋体" w:cs="宋体"/>
          <w:b/>
          <w:bCs/>
          <w:sz w:val="32"/>
          <w:szCs w:val="32"/>
          <w:highlight w:val="none"/>
          <w:lang w:eastAsia="zh-CN"/>
        </w:rPr>
      </w:pPr>
      <w:r>
        <w:rPr>
          <w:rFonts w:hint="eastAsia" w:cs="宋体"/>
          <w:b/>
          <w:bCs/>
          <w:sz w:val="32"/>
          <w:szCs w:val="32"/>
          <w:highlight w:val="none"/>
        </w:rPr>
        <w:t>招标人：</w:t>
      </w:r>
      <w:r>
        <w:rPr>
          <w:rFonts w:hint="eastAsia" w:cs="宋体"/>
          <w:b/>
          <w:bCs/>
          <w:sz w:val="32"/>
          <w:szCs w:val="32"/>
          <w:highlight w:val="none"/>
          <w:lang w:eastAsia="zh-CN"/>
        </w:rPr>
        <w:t>扬州古城历史文化保护建设有限公司</w:t>
      </w:r>
    </w:p>
    <w:p>
      <w:pPr>
        <w:widowControl/>
        <w:spacing w:line="360" w:lineRule="auto"/>
        <w:ind w:firstLine="704" w:firstLineChars="220"/>
        <w:rPr>
          <w:rFonts w:cs="宋体"/>
          <w:b/>
          <w:bCs/>
          <w:sz w:val="32"/>
          <w:szCs w:val="32"/>
          <w:highlight w:val="none"/>
          <w:u w:val="single"/>
        </w:rPr>
      </w:pPr>
      <w:r>
        <w:rPr>
          <w:rFonts w:hint="eastAsia" w:cs="宋体"/>
          <w:b/>
          <w:bCs/>
          <w:sz w:val="32"/>
          <w:szCs w:val="32"/>
          <w:highlight w:val="none"/>
        </w:rPr>
        <w:t>招标代理机构：江苏唯诚建设咨询有限公司</w:t>
      </w:r>
    </w:p>
    <w:p>
      <w:pPr>
        <w:adjustRightInd w:val="0"/>
        <w:snapToGrid w:val="0"/>
        <w:spacing w:line="500" w:lineRule="exact"/>
        <w:ind w:firstLine="640" w:firstLineChars="200"/>
        <w:contextualSpacing/>
        <w:rPr>
          <w:rFonts w:hint="eastAsia" w:eastAsia="宋体"/>
          <w:w w:val="90"/>
          <w:kern w:val="0"/>
          <w:sz w:val="32"/>
          <w:szCs w:val="32"/>
          <w:highlight w:val="none"/>
          <w:lang w:eastAsia="zh-CN"/>
        </w:rPr>
      </w:pPr>
      <w:r>
        <w:rPr>
          <w:rFonts w:hint="eastAsia" w:cs="宋体"/>
          <w:b/>
          <w:bCs/>
          <w:sz w:val="32"/>
          <w:szCs w:val="32"/>
          <w:highlight w:val="none"/>
        </w:rPr>
        <w:t>发放时间：</w:t>
      </w:r>
      <w:r>
        <w:rPr>
          <w:rFonts w:hint="eastAsia" w:cs="宋体"/>
          <w:b/>
          <w:bCs/>
          <w:sz w:val="32"/>
          <w:szCs w:val="32"/>
          <w:highlight w:val="none"/>
          <w:lang w:eastAsia="zh-CN"/>
        </w:rPr>
        <w:t>2023年10月</w:t>
      </w:r>
      <w:r>
        <w:rPr>
          <w:rFonts w:hint="eastAsia" w:cs="宋体"/>
          <w:b/>
          <w:bCs/>
          <w:sz w:val="32"/>
          <w:szCs w:val="32"/>
          <w:highlight w:val="none"/>
          <w:lang w:val="en-US" w:eastAsia="zh-CN"/>
        </w:rPr>
        <w:t>25</w:t>
      </w:r>
      <w:r>
        <w:rPr>
          <w:rFonts w:hint="eastAsia" w:cs="宋体"/>
          <w:b/>
          <w:bCs/>
          <w:sz w:val="32"/>
          <w:szCs w:val="32"/>
          <w:highlight w:val="none"/>
          <w:lang w:eastAsia="zh-CN"/>
        </w:rPr>
        <w:t>日</w:t>
      </w:r>
    </w:p>
    <w:p>
      <w:pPr>
        <w:adjustRightInd w:val="0"/>
        <w:snapToGrid w:val="0"/>
        <w:spacing w:line="500" w:lineRule="exact"/>
        <w:ind w:firstLine="1440" w:firstLineChars="500"/>
        <w:contextualSpacing/>
        <w:rPr>
          <w:w w:val="90"/>
          <w:kern w:val="0"/>
          <w:sz w:val="32"/>
          <w:szCs w:val="32"/>
          <w:highlight w:val="none"/>
        </w:rPr>
      </w:pPr>
    </w:p>
    <w:p>
      <w:pPr>
        <w:adjustRightInd w:val="0"/>
        <w:snapToGrid w:val="0"/>
        <w:spacing w:line="500" w:lineRule="exact"/>
        <w:contextualSpacing/>
        <w:jc w:val="left"/>
        <w:rPr>
          <w:rFonts w:ascii="宋体" w:hAnsi="宋体" w:cs="宋体"/>
          <w:b/>
          <w:sz w:val="32"/>
          <w:szCs w:val="32"/>
          <w:highlight w:val="none"/>
        </w:rPr>
      </w:pPr>
      <w:bookmarkStart w:id="0" w:name="_投标邀请书"/>
      <w:bookmarkEnd w:id="0"/>
    </w:p>
    <w:p>
      <w:pPr>
        <w:jc w:val="center"/>
        <w:rPr>
          <w:rFonts w:asciiTheme="minorEastAsia" w:hAnsiTheme="minorEastAsia" w:eastAsiaTheme="minorEastAsia"/>
          <w:b/>
          <w:sz w:val="36"/>
          <w:szCs w:val="36"/>
          <w:highlight w:val="none"/>
        </w:rPr>
      </w:pPr>
    </w:p>
    <w:p>
      <w:pPr>
        <w:jc w:val="center"/>
        <w:rPr>
          <w:rFonts w:asciiTheme="minorEastAsia" w:hAnsiTheme="minorEastAsia" w:eastAsiaTheme="minorEastAsia"/>
          <w:b/>
          <w:sz w:val="36"/>
          <w:szCs w:val="36"/>
          <w:highlight w:val="none"/>
        </w:rPr>
      </w:pPr>
    </w:p>
    <w:p>
      <w:pPr>
        <w:rPr>
          <w:rFonts w:asciiTheme="minorEastAsia" w:hAnsiTheme="minorEastAsia" w:eastAsiaTheme="minorEastAsia"/>
          <w:b/>
          <w:sz w:val="36"/>
          <w:szCs w:val="36"/>
          <w:highlight w:val="none"/>
        </w:rPr>
      </w:pPr>
    </w:p>
    <w:p>
      <w:pPr>
        <w:pStyle w:val="2"/>
        <w:rPr>
          <w:rFonts w:asciiTheme="minorEastAsia" w:hAnsiTheme="minorEastAsia" w:eastAsiaTheme="minorEastAsia"/>
          <w:b/>
          <w:sz w:val="36"/>
          <w:szCs w:val="36"/>
          <w:highlight w:val="none"/>
        </w:rPr>
      </w:pPr>
    </w:p>
    <w:p>
      <w:pPr>
        <w:pStyle w:val="3"/>
        <w:rPr>
          <w:rFonts w:asciiTheme="minorEastAsia" w:hAnsiTheme="minorEastAsia" w:eastAsiaTheme="minorEastAsia"/>
          <w:b/>
          <w:sz w:val="36"/>
          <w:szCs w:val="36"/>
          <w:highlight w:val="none"/>
        </w:rPr>
      </w:pPr>
    </w:p>
    <w:p>
      <w:pPr>
        <w:pStyle w:val="3"/>
        <w:rPr>
          <w:rFonts w:asciiTheme="minorEastAsia" w:hAnsiTheme="minorEastAsia" w:eastAsiaTheme="minorEastAsia"/>
          <w:b/>
          <w:sz w:val="36"/>
          <w:szCs w:val="36"/>
          <w:highlight w:val="none"/>
        </w:rPr>
      </w:pPr>
    </w:p>
    <w:p>
      <w:pPr>
        <w:pStyle w:val="3"/>
        <w:rPr>
          <w:rFonts w:asciiTheme="minorEastAsia" w:hAnsiTheme="minorEastAsia" w:eastAsiaTheme="minorEastAsia"/>
          <w:b/>
          <w:sz w:val="36"/>
          <w:szCs w:val="36"/>
          <w:highlight w:val="none"/>
        </w:rPr>
      </w:pPr>
    </w:p>
    <w:p>
      <w:pPr>
        <w:pStyle w:val="3"/>
        <w:rPr>
          <w:rFonts w:asciiTheme="minorEastAsia" w:hAnsiTheme="minorEastAsia" w:eastAsiaTheme="minorEastAsia"/>
          <w:b/>
          <w:sz w:val="36"/>
          <w:szCs w:val="36"/>
          <w:highlight w:val="none"/>
        </w:rPr>
      </w:pPr>
    </w:p>
    <w:p>
      <w:pPr>
        <w:jc w:val="center"/>
        <w:rPr>
          <w:rFonts w:asciiTheme="minorEastAsia" w:hAnsiTheme="minorEastAsia" w:eastAsiaTheme="minorEastAsia"/>
          <w:b/>
          <w:sz w:val="52"/>
          <w:szCs w:val="52"/>
          <w:highlight w:val="none"/>
        </w:rPr>
      </w:pPr>
      <w:r>
        <w:rPr>
          <w:rFonts w:hint="eastAsia" w:asciiTheme="minorEastAsia" w:hAnsiTheme="minorEastAsia" w:eastAsiaTheme="minorEastAsia"/>
          <w:b/>
          <w:sz w:val="52"/>
          <w:szCs w:val="52"/>
          <w:highlight w:val="none"/>
        </w:rPr>
        <w:t>目录</w:t>
      </w:r>
    </w:p>
    <w:p>
      <w:pPr>
        <w:pStyle w:val="23"/>
        <w:rPr>
          <w:rStyle w:val="40"/>
          <w:highlight w:val="none"/>
        </w:rPr>
      </w:pPr>
    </w:p>
    <w:sdt>
      <w:sdtPr>
        <w:rPr>
          <w:rFonts w:ascii="宋体" w:hAnsi="宋体" w:eastAsiaTheme="minorEastAsia"/>
          <w:color w:val="0000FF"/>
          <w:sz w:val="28"/>
          <w:szCs w:val="28"/>
          <w:highlight w:val="none"/>
          <w:u w:val="single"/>
        </w:rPr>
        <w:id w:val="147460377"/>
        <w:docPartObj>
          <w:docPartGallery w:val="Table of Contents"/>
          <w:docPartUnique/>
        </w:docPartObj>
      </w:sdtPr>
      <w:sdtEndPr>
        <w:rPr>
          <w:rFonts w:asciiTheme="minorEastAsia" w:hAnsiTheme="minorEastAsia" w:eastAsiaTheme="minorEastAsia"/>
          <w:color w:val="000000" w:themeColor="text1"/>
          <w:sz w:val="28"/>
          <w:szCs w:val="28"/>
          <w:highlight w:val="none"/>
          <w:u w:val="single"/>
          <w14:textFill>
            <w14:solidFill>
              <w14:schemeClr w14:val="tx1"/>
            </w14:solidFill>
          </w14:textFill>
        </w:rPr>
      </w:sdtEndPr>
      <w:sdtContent>
        <w:p>
          <w:pPr>
            <w:jc w:val="center"/>
            <w:rPr>
              <w:highlight w:val="none"/>
            </w:rPr>
          </w:pPr>
        </w:p>
        <w:p>
          <w:pPr>
            <w:pStyle w:val="23"/>
            <w:tabs>
              <w:tab w:val="right" w:leader="dot" w:pos="8787"/>
              <w:tab w:val="clear" w:pos="8364"/>
            </w:tabs>
            <w:spacing w:before="120" w:after="120" w:line="480" w:lineRule="auto"/>
            <w:ind w:right="0" w:rightChars="0" w:firstLine="0" w:firstLineChars="0"/>
            <w:rPr>
              <w:sz w:val="32"/>
              <w:szCs w:val="32"/>
              <w:highlight w:val="none"/>
            </w:rPr>
          </w:pPr>
          <w:r>
            <w:rPr>
              <w:rStyle w:val="40"/>
              <w:highlight w:val="none"/>
            </w:rPr>
            <w:fldChar w:fldCharType="begin"/>
          </w:r>
          <w:r>
            <w:rPr>
              <w:rStyle w:val="40"/>
              <w:highlight w:val="none"/>
            </w:rPr>
            <w:instrText xml:space="preserve">TOC \o "1-1" \h \u </w:instrText>
          </w:r>
          <w:r>
            <w:rPr>
              <w:rStyle w:val="40"/>
              <w:highlight w:val="none"/>
            </w:rPr>
            <w:fldChar w:fldCharType="separate"/>
          </w:r>
          <w:r>
            <w:rPr>
              <w:highlight w:val="none"/>
            </w:rPr>
            <w:fldChar w:fldCharType="begin"/>
          </w:r>
          <w:r>
            <w:rPr>
              <w:highlight w:val="none"/>
            </w:rPr>
            <w:instrText xml:space="preserve"> HYPERLINK \l "_Toc25400" </w:instrText>
          </w:r>
          <w:r>
            <w:rPr>
              <w:highlight w:val="none"/>
            </w:rPr>
            <w:fldChar w:fldCharType="separate"/>
          </w:r>
          <w:r>
            <w:rPr>
              <w:rFonts w:hint="eastAsia" w:ascii="宋体" w:hAnsi="宋体" w:cs="宋体"/>
              <w:bCs/>
              <w:kern w:val="0"/>
              <w:sz w:val="32"/>
              <w:szCs w:val="32"/>
              <w:highlight w:val="none"/>
            </w:rPr>
            <w:t>第一章招标公告</w:t>
          </w:r>
          <w:r>
            <w:rPr>
              <w:sz w:val="32"/>
              <w:szCs w:val="32"/>
              <w:highlight w:val="none"/>
            </w:rPr>
            <w:tab/>
          </w:r>
          <w:r>
            <w:rPr>
              <w:sz w:val="32"/>
              <w:szCs w:val="32"/>
              <w:highlight w:val="none"/>
            </w:rPr>
            <w:fldChar w:fldCharType="begin"/>
          </w:r>
          <w:r>
            <w:rPr>
              <w:sz w:val="32"/>
              <w:szCs w:val="32"/>
              <w:highlight w:val="none"/>
            </w:rPr>
            <w:instrText xml:space="preserve"> PAGEREF _Toc25400 \h </w:instrText>
          </w:r>
          <w:r>
            <w:rPr>
              <w:sz w:val="32"/>
              <w:szCs w:val="32"/>
              <w:highlight w:val="none"/>
            </w:rPr>
            <w:fldChar w:fldCharType="separate"/>
          </w:r>
          <w:r>
            <w:rPr>
              <w:sz w:val="32"/>
              <w:szCs w:val="32"/>
              <w:highlight w:val="none"/>
            </w:rPr>
            <w:t>3</w:t>
          </w:r>
          <w:r>
            <w:rPr>
              <w:sz w:val="32"/>
              <w:szCs w:val="32"/>
              <w:highlight w:val="none"/>
            </w:rPr>
            <w:fldChar w:fldCharType="end"/>
          </w:r>
          <w:r>
            <w:rPr>
              <w:sz w:val="32"/>
              <w:szCs w:val="32"/>
              <w:highlight w:val="none"/>
            </w:rPr>
            <w:fldChar w:fldCharType="end"/>
          </w:r>
        </w:p>
        <w:p>
          <w:pPr>
            <w:pStyle w:val="23"/>
            <w:tabs>
              <w:tab w:val="right" w:leader="dot" w:pos="8787"/>
              <w:tab w:val="clear" w:pos="8364"/>
            </w:tabs>
            <w:spacing w:before="120" w:after="120" w:line="480" w:lineRule="auto"/>
            <w:ind w:right="0" w:rightChars="0" w:firstLine="0" w:firstLineChars="0"/>
            <w:rPr>
              <w:sz w:val="32"/>
              <w:szCs w:val="32"/>
              <w:highlight w:val="none"/>
            </w:rPr>
          </w:pPr>
          <w:r>
            <w:rPr>
              <w:highlight w:val="none"/>
            </w:rPr>
            <w:fldChar w:fldCharType="begin"/>
          </w:r>
          <w:r>
            <w:rPr>
              <w:highlight w:val="none"/>
            </w:rPr>
            <w:instrText xml:space="preserve"> HYPERLINK \l "_Toc29751" </w:instrText>
          </w:r>
          <w:r>
            <w:rPr>
              <w:highlight w:val="none"/>
            </w:rPr>
            <w:fldChar w:fldCharType="separate"/>
          </w:r>
          <w:r>
            <w:rPr>
              <w:rFonts w:hint="eastAsia"/>
              <w:sz w:val="32"/>
              <w:szCs w:val="32"/>
              <w:highlight w:val="none"/>
            </w:rPr>
            <w:t>第二章投标须知</w:t>
          </w:r>
          <w:r>
            <w:rPr>
              <w:sz w:val="32"/>
              <w:szCs w:val="32"/>
              <w:highlight w:val="none"/>
            </w:rPr>
            <w:tab/>
          </w:r>
          <w:r>
            <w:rPr>
              <w:sz w:val="32"/>
              <w:szCs w:val="32"/>
              <w:highlight w:val="none"/>
            </w:rPr>
            <w:fldChar w:fldCharType="begin"/>
          </w:r>
          <w:r>
            <w:rPr>
              <w:sz w:val="32"/>
              <w:szCs w:val="32"/>
              <w:highlight w:val="none"/>
            </w:rPr>
            <w:instrText xml:space="preserve"> PAGEREF _Toc29751 \h </w:instrText>
          </w:r>
          <w:r>
            <w:rPr>
              <w:sz w:val="32"/>
              <w:szCs w:val="32"/>
              <w:highlight w:val="none"/>
            </w:rPr>
            <w:fldChar w:fldCharType="separate"/>
          </w:r>
          <w:r>
            <w:rPr>
              <w:sz w:val="32"/>
              <w:szCs w:val="32"/>
              <w:highlight w:val="none"/>
            </w:rPr>
            <w:t>6</w:t>
          </w:r>
          <w:r>
            <w:rPr>
              <w:sz w:val="32"/>
              <w:szCs w:val="32"/>
              <w:highlight w:val="none"/>
            </w:rPr>
            <w:fldChar w:fldCharType="end"/>
          </w:r>
          <w:r>
            <w:rPr>
              <w:sz w:val="32"/>
              <w:szCs w:val="32"/>
              <w:highlight w:val="none"/>
            </w:rPr>
            <w:fldChar w:fldCharType="end"/>
          </w:r>
        </w:p>
        <w:p>
          <w:pPr>
            <w:pStyle w:val="23"/>
            <w:tabs>
              <w:tab w:val="right" w:leader="dot" w:pos="8787"/>
              <w:tab w:val="clear" w:pos="8364"/>
            </w:tabs>
            <w:spacing w:before="120" w:after="120" w:line="480" w:lineRule="auto"/>
            <w:ind w:right="0" w:rightChars="0" w:firstLine="0" w:firstLineChars="0"/>
            <w:rPr>
              <w:sz w:val="32"/>
              <w:szCs w:val="32"/>
              <w:highlight w:val="none"/>
            </w:rPr>
          </w:pPr>
          <w:r>
            <w:rPr>
              <w:highlight w:val="none"/>
            </w:rPr>
            <w:fldChar w:fldCharType="begin"/>
          </w:r>
          <w:r>
            <w:rPr>
              <w:highlight w:val="none"/>
            </w:rPr>
            <w:instrText xml:space="preserve"> HYPERLINK \l "_Toc9303" </w:instrText>
          </w:r>
          <w:r>
            <w:rPr>
              <w:highlight w:val="none"/>
            </w:rPr>
            <w:fldChar w:fldCharType="separate"/>
          </w:r>
          <w:r>
            <w:rPr>
              <w:rFonts w:hint="eastAsia"/>
              <w:bCs/>
              <w:kern w:val="0"/>
              <w:sz w:val="32"/>
              <w:szCs w:val="32"/>
              <w:highlight w:val="none"/>
            </w:rPr>
            <w:t>第三章评标办法</w:t>
          </w:r>
          <w:r>
            <w:rPr>
              <w:sz w:val="32"/>
              <w:szCs w:val="32"/>
              <w:highlight w:val="none"/>
            </w:rPr>
            <w:tab/>
          </w:r>
          <w:r>
            <w:rPr>
              <w:sz w:val="32"/>
              <w:szCs w:val="32"/>
              <w:highlight w:val="none"/>
            </w:rPr>
            <w:fldChar w:fldCharType="begin"/>
          </w:r>
          <w:r>
            <w:rPr>
              <w:sz w:val="32"/>
              <w:szCs w:val="32"/>
              <w:highlight w:val="none"/>
            </w:rPr>
            <w:instrText xml:space="preserve"> PAGEREF _Toc9303 \h </w:instrText>
          </w:r>
          <w:r>
            <w:rPr>
              <w:sz w:val="32"/>
              <w:szCs w:val="32"/>
              <w:highlight w:val="none"/>
            </w:rPr>
            <w:fldChar w:fldCharType="separate"/>
          </w:r>
          <w:r>
            <w:rPr>
              <w:sz w:val="32"/>
              <w:szCs w:val="32"/>
              <w:highlight w:val="none"/>
            </w:rPr>
            <w:t>17</w:t>
          </w:r>
          <w:r>
            <w:rPr>
              <w:sz w:val="32"/>
              <w:szCs w:val="32"/>
              <w:highlight w:val="none"/>
            </w:rPr>
            <w:fldChar w:fldCharType="end"/>
          </w:r>
          <w:r>
            <w:rPr>
              <w:sz w:val="32"/>
              <w:szCs w:val="32"/>
              <w:highlight w:val="none"/>
            </w:rPr>
            <w:fldChar w:fldCharType="end"/>
          </w:r>
        </w:p>
        <w:p>
          <w:pPr>
            <w:pStyle w:val="23"/>
            <w:tabs>
              <w:tab w:val="right" w:leader="dot" w:pos="8787"/>
              <w:tab w:val="clear" w:pos="8364"/>
            </w:tabs>
            <w:spacing w:before="120" w:after="120" w:line="480" w:lineRule="auto"/>
            <w:ind w:right="0" w:rightChars="0" w:firstLine="0" w:firstLineChars="0"/>
            <w:rPr>
              <w:sz w:val="32"/>
              <w:szCs w:val="32"/>
              <w:highlight w:val="none"/>
            </w:rPr>
          </w:pPr>
          <w:r>
            <w:rPr>
              <w:highlight w:val="none"/>
            </w:rPr>
            <w:fldChar w:fldCharType="begin"/>
          </w:r>
          <w:r>
            <w:rPr>
              <w:highlight w:val="none"/>
            </w:rPr>
            <w:instrText xml:space="preserve"> HYPERLINK \l "_Toc9868" </w:instrText>
          </w:r>
          <w:r>
            <w:rPr>
              <w:highlight w:val="none"/>
            </w:rPr>
            <w:fldChar w:fldCharType="separate"/>
          </w:r>
          <w:r>
            <w:rPr>
              <w:rFonts w:hint="eastAsia"/>
              <w:sz w:val="32"/>
              <w:szCs w:val="32"/>
              <w:highlight w:val="none"/>
            </w:rPr>
            <w:t>第四章合同条款及格式</w:t>
          </w:r>
          <w:r>
            <w:rPr>
              <w:sz w:val="32"/>
              <w:szCs w:val="32"/>
              <w:highlight w:val="none"/>
            </w:rPr>
            <w:tab/>
          </w:r>
          <w:r>
            <w:rPr>
              <w:sz w:val="32"/>
              <w:szCs w:val="32"/>
              <w:highlight w:val="none"/>
            </w:rPr>
            <w:fldChar w:fldCharType="begin"/>
          </w:r>
          <w:r>
            <w:rPr>
              <w:sz w:val="32"/>
              <w:szCs w:val="32"/>
              <w:highlight w:val="none"/>
            </w:rPr>
            <w:instrText xml:space="preserve"> PAGEREF _Toc9868 \h </w:instrText>
          </w:r>
          <w:r>
            <w:rPr>
              <w:sz w:val="32"/>
              <w:szCs w:val="32"/>
              <w:highlight w:val="none"/>
            </w:rPr>
            <w:fldChar w:fldCharType="separate"/>
          </w:r>
          <w:r>
            <w:rPr>
              <w:sz w:val="32"/>
              <w:szCs w:val="32"/>
              <w:highlight w:val="none"/>
            </w:rPr>
            <w:t>20</w:t>
          </w:r>
          <w:r>
            <w:rPr>
              <w:sz w:val="32"/>
              <w:szCs w:val="32"/>
              <w:highlight w:val="none"/>
            </w:rPr>
            <w:fldChar w:fldCharType="end"/>
          </w:r>
          <w:r>
            <w:rPr>
              <w:sz w:val="32"/>
              <w:szCs w:val="32"/>
              <w:highlight w:val="none"/>
            </w:rPr>
            <w:fldChar w:fldCharType="end"/>
          </w:r>
        </w:p>
        <w:p>
          <w:pPr>
            <w:pStyle w:val="23"/>
            <w:tabs>
              <w:tab w:val="right" w:leader="dot" w:pos="8787"/>
              <w:tab w:val="clear" w:pos="8364"/>
            </w:tabs>
            <w:spacing w:before="120" w:after="120" w:line="480" w:lineRule="auto"/>
            <w:ind w:right="0" w:rightChars="0" w:firstLine="0" w:firstLineChars="0"/>
            <w:rPr>
              <w:sz w:val="32"/>
              <w:szCs w:val="32"/>
              <w:highlight w:val="none"/>
            </w:rPr>
          </w:pPr>
          <w:r>
            <w:rPr>
              <w:highlight w:val="none"/>
            </w:rPr>
            <w:fldChar w:fldCharType="begin"/>
          </w:r>
          <w:r>
            <w:rPr>
              <w:highlight w:val="none"/>
            </w:rPr>
            <w:instrText xml:space="preserve"> HYPERLINK \l "_Toc29790" </w:instrText>
          </w:r>
          <w:r>
            <w:rPr>
              <w:highlight w:val="none"/>
            </w:rPr>
            <w:fldChar w:fldCharType="separate"/>
          </w:r>
          <w:r>
            <w:rPr>
              <w:rFonts w:hint="eastAsia"/>
              <w:sz w:val="32"/>
              <w:szCs w:val="32"/>
              <w:highlight w:val="none"/>
            </w:rPr>
            <w:t>第五章勘察任务书</w:t>
          </w:r>
          <w:r>
            <w:rPr>
              <w:sz w:val="32"/>
              <w:szCs w:val="32"/>
              <w:highlight w:val="none"/>
            </w:rPr>
            <w:tab/>
          </w:r>
          <w:r>
            <w:rPr>
              <w:sz w:val="32"/>
              <w:szCs w:val="32"/>
              <w:highlight w:val="none"/>
            </w:rPr>
            <w:fldChar w:fldCharType="begin"/>
          </w:r>
          <w:r>
            <w:rPr>
              <w:sz w:val="32"/>
              <w:szCs w:val="32"/>
              <w:highlight w:val="none"/>
            </w:rPr>
            <w:instrText xml:space="preserve"> PAGEREF _Toc29790 \h </w:instrText>
          </w:r>
          <w:r>
            <w:rPr>
              <w:sz w:val="32"/>
              <w:szCs w:val="32"/>
              <w:highlight w:val="none"/>
            </w:rPr>
            <w:fldChar w:fldCharType="separate"/>
          </w:r>
          <w:r>
            <w:rPr>
              <w:sz w:val="32"/>
              <w:szCs w:val="32"/>
              <w:highlight w:val="none"/>
            </w:rPr>
            <w:t>32</w:t>
          </w:r>
          <w:r>
            <w:rPr>
              <w:sz w:val="32"/>
              <w:szCs w:val="32"/>
              <w:highlight w:val="none"/>
            </w:rPr>
            <w:fldChar w:fldCharType="end"/>
          </w:r>
          <w:r>
            <w:rPr>
              <w:sz w:val="32"/>
              <w:szCs w:val="32"/>
              <w:highlight w:val="none"/>
            </w:rPr>
            <w:fldChar w:fldCharType="end"/>
          </w:r>
        </w:p>
        <w:p>
          <w:pPr>
            <w:pStyle w:val="23"/>
            <w:tabs>
              <w:tab w:val="right" w:leader="dot" w:pos="8787"/>
              <w:tab w:val="clear" w:pos="8364"/>
            </w:tabs>
            <w:spacing w:before="120" w:after="120" w:line="480" w:lineRule="auto"/>
            <w:ind w:right="0" w:rightChars="0" w:firstLine="0" w:firstLineChars="0"/>
            <w:rPr>
              <w:highlight w:val="none"/>
            </w:rPr>
          </w:pPr>
          <w:r>
            <w:rPr>
              <w:highlight w:val="none"/>
            </w:rPr>
            <w:fldChar w:fldCharType="begin"/>
          </w:r>
          <w:r>
            <w:rPr>
              <w:highlight w:val="none"/>
            </w:rPr>
            <w:instrText xml:space="preserve"> HYPERLINK \l "_Toc10504" </w:instrText>
          </w:r>
          <w:r>
            <w:rPr>
              <w:highlight w:val="none"/>
            </w:rPr>
            <w:fldChar w:fldCharType="separate"/>
          </w:r>
          <w:r>
            <w:rPr>
              <w:rFonts w:hint="eastAsia"/>
              <w:sz w:val="32"/>
              <w:szCs w:val="32"/>
              <w:highlight w:val="none"/>
            </w:rPr>
            <w:t>第六章投标文件格式</w:t>
          </w:r>
          <w:r>
            <w:rPr>
              <w:sz w:val="32"/>
              <w:szCs w:val="32"/>
              <w:highlight w:val="none"/>
            </w:rPr>
            <w:tab/>
          </w:r>
          <w:r>
            <w:rPr>
              <w:sz w:val="32"/>
              <w:szCs w:val="32"/>
              <w:highlight w:val="none"/>
            </w:rPr>
            <w:fldChar w:fldCharType="begin"/>
          </w:r>
          <w:r>
            <w:rPr>
              <w:sz w:val="32"/>
              <w:szCs w:val="32"/>
              <w:highlight w:val="none"/>
            </w:rPr>
            <w:instrText xml:space="preserve"> PAGEREF _Toc10504 \h </w:instrText>
          </w:r>
          <w:r>
            <w:rPr>
              <w:sz w:val="32"/>
              <w:szCs w:val="32"/>
              <w:highlight w:val="none"/>
            </w:rPr>
            <w:fldChar w:fldCharType="separate"/>
          </w:r>
          <w:r>
            <w:rPr>
              <w:sz w:val="32"/>
              <w:szCs w:val="32"/>
              <w:highlight w:val="none"/>
            </w:rPr>
            <w:t>36</w:t>
          </w:r>
          <w:r>
            <w:rPr>
              <w:sz w:val="32"/>
              <w:szCs w:val="32"/>
              <w:highlight w:val="none"/>
            </w:rPr>
            <w:fldChar w:fldCharType="end"/>
          </w:r>
          <w:r>
            <w:rPr>
              <w:sz w:val="32"/>
              <w:szCs w:val="32"/>
              <w:highlight w:val="none"/>
            </w:rPr>
            <w:fldChar w:fldCharType="end"/>
          </w:r>
        </w:p>
        <w:p>
          <w:pPr>
            <w:pStyle w:val="23"/>
            <w:tabs>
              <w:tab w:val="right" w:leader="dot" w:pos="8787"/>
              <w:tab w:val="clear" w:pos="8364"/>
            </w:tabs>
            <w:rPr>
              <w:highlight w:val="none"/>
            </w:rPr>
          </w:pPr>
        </w:p>
        <w:p>
          <w:pPr>
            <w:pStyle w:val="23"/>
            <w:rPr>
              <w:rStyle w:val="40"/>
              <w:highlight w:val="none"/>
            </w:rPr>
          </w:pPr>
          <w:r>
            <w:rPr>
              <w:highlight w:val="none"/>
            </w:rPr>
            <w:fldChar w:fldCharType="end"/>
          </w:r>
        </w:p>
      </w:sdtContent>
    </w:sdt>
    <w:p>
      <w:pPr>
        <w:pStyle w:val="23"/>
        <w:rPr>
          <w:highlight w:val="none"/>
        </w:rPr>
      </w:pPr>
    </w:p>
    <w:p>
      <w:pPr>
        <w:ind w:left="539"/>
        <w:rPr>
          <w:rFonts w:asciiTheme="minorEastAsia" w:hAnsiTheme="minorEastAsia" w:eastAsiaTheme="minorEastAsia"/>
          <w:sz w:val="24"/>
          <w:highlight w:val="none"/>
        </w:rPr>
      </w:pPr>
    </w:p>
    <w:p>
      <w:pPr>
        <w:ind w:left="539"/>
        <w:rPr>
          <w:rFonts w:asciiTheme="minorEastAsia" w:hAnsiTheme="minorEastAsia" w:eastAsiaTheme="minorEastAsia"/>
          <w:sz w:val="24"/>
          <w:highlight w:val="none"/>
        </w:rPr>
      </w:pPr>
    </w:p>
    <w:p>
      <w:pPr>
        <w:ind w:left="539"/>
        <w:rPr>
          <w:rFonts w:asciiTheme="minorEastAsia" w:hAnsiTheme="minorEastAsia" w:eastAsiaTheme="minorEastAsia"/>
          <w:sz w:val="24"/>
          <w:highlight w:val="none"/>
        </w:rPr>
      </w:pPr>
    </w:p>
    <w:p>
      <w:pPr>
        <w:ind w:left="539"/>
        <w:rPr>
          <w:rFonts w:asciiTheme="minorEastAsia" w:hAnsiTheme="minorEastAsia" w:eastAsiaTheme="minorEastAsia"/>
          <w:sz w:val="24"/>
          <w:highlight w:val="none"/>
        </w:rPr>
      </w:pPr>
    </w:p>
    <w:p>
      <w:pPr>
        <w:ind w:left="539"/>
        <w:rPr>
          <w:rFonts w:asciiTheme="minorEastAsia" w:hAnsiTheme="minorEastAsia" w:eastAsiaTheme="minorEastAsia"/>
          <w:sz w:val="24"/>
          <w:highlight w:val="none"/>
        </w:rPr>
      </w:pPr>
    </w:p>
    <w:p>
      <w:pPr>
        <w:ind w:left="539"/>
        <w:rPr>
          <w:rFonts w:asciiTheme="minorEastAsia" w:hAnsiTheme="minorEastAsia" w:eastAsiaTheme="minorEastAsia"/>
          <w:sz w:val="24"/>
          <w:highlight w:val="none"/>
        </w:rPr>
      </w:pPr>
    </w:p>
    <w:p>
      <w:pPr>
        <w:ind w:left="539"/>
        <w:rPr>
          <w:rFonts w:asciiTheme="minorEastAsia" w:hAnsiTheme="minorEastAsia" w:eastAsiaTheme="minorEastAsia"/>
          <w:sz w:val="24"/>
          <w:highlight w:val="none"/>
        </w:rPr>
      </w:pPr>
    </w:p>
    <w:p>
      <w:pPr>
        <w:ind w:left="539"/>
        <w:rPr>
          <w:rFonts w:asciiTheme="minorEastAsia" w:hAnsiTheme="minorEastAsia" w:eastAsiaTheme="minorEastAsia"/>
          <w:sz w:val="24"/>
          <w:highlight w:val="none"/>
        </w:rPr>
      </w:pPr>
    </w:p>
    <w:p>
      <w:pPr>
        <w:ind w:left="539"/>
        <w:rPr>
          <w:rFonts w:asciiTheme="minorEastAsia" w:hAnsiTheme="minorEastAsia" w:eastAsiaTheme="minorEastAsia"/>
          <w:sz w:val="24"/>
          <w:highlight w:val="none"/>
        </w:rPr>
      </w:pPr>
    </w:p>
    <w:p>
      <w:pPr>
        <w:ind w:left="539"/>
        <w:rPr>
          <w:rFonts w:asciiTheme="minorEastAsia" w:hAnsiTheme="minorEastAsia" w:eastAsiaTheme="minorEastAsia"/>
          <w:sz w:val="24"/>
          <w:highlight w:val="none"/>
        </w:rPr>
      </w:pPr>
    </w:p>
    <w:p>
      <w:pPr>
        <w:rPr>
          <w:b/>
          <w:sz w:val="32"/>
          <w:szCs w:val="32"/>
          <w:highlight w:val="none"/>
        </w:rPr>
      </w:pPr>
      <w:bookmarkStart w:id="1" w:name="_Toc76707802"/>
      <w:r>
        <w:rPr>
          <w:b/>
          <w:sz w:val="32"/>
          <w:szCs w:val="32"/>
          <w:highlight w:val="none"/>
        </w:rPr>
        <w:br w:type="page"/>
      </w:r>
    </w:p>
    <w:p>
      <w:pPr>
        <w:pStyle w:val="10"/>
        <w:rPr>
          <w:highlight w:val="none"/>
        </w:rPr>
      </w:pPr>
    </w:p>
    <w:p>
      <w:pPr>
        <w:widowControl/>
        <w:wordWrap w:val="0"/>
        <w:snapToGrid w:val="0"/>
        <w:spacing w:line="360" w:lineRule="auto"/>
        <w:jc w:val="center"/>
        <w:outlineLvl w:val="0"/>
        <w:rPr>
          <w:rFonts w:ascii="宋体" w:hAnsi="宋体" w:cs="宋体"/>
          <w:b/>
          <w:bCs/>
          <w:color w:val="000000"/>
          <w:kern w:val="0"/>
          <w:sz w:val="44"/>
          <w:szCs w:val="44"/>
          <w:highlight w:val="none"/>
        </w:rPr>
      </w:pPr>
      <w:bookmarkStart w:id="2" w:name="_Toc25400"/>
      <w:r>
        <w:rPr>
          <w:rFonts w:hint="eastAsia" w:ascii="宋体" w:hAnsi="宋体" w:cs="宋体"/>
          <w:b/>
          <w:bCs/>
          <w:color w:val="000000"/>
          <w:kern w:val="0"/>
          <w:sz w:val="44"/>
          <w:szCs w:val="44"/>
          <w:highlight w:val="none"/>
        </w:rPr>
        <w:t>第一章招标公告</w:t>
      </w:r>
      <w:bookmarkEnd w:id="2"/>
    </w:p>
    <w:p>
      <w:pPr>
        <w:widowControl/>
        <w:wordWrap w:val="0"/>
        <w:snapToGrid w:val="0"/>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eastAsia="zh-CN"/>
        </w:rPr>
        <w:t>扬州市古城小秦淮河保护更新二期项目</w:t>
      </w:r>
      <w:r>
        <w:rPr>
          <w:rFonts w:hint="eastAsia" w:ascii="宋体" w:hAnsi="宋体" w:cs="宋体"/>
          <w:b/>
          <w:bCs/>
          <w:color w:val="auto"/>
          <w:kern w:val="0"/>
          <w:sz w:val="32"/>
          <w:szCs w:val="32"/>
          <w:highlight w:val="none"/>
        </w:rPr>
        <w:t>工程勘察</w:t>
      </w:r>
    </w:p>
    <w:p>
      <w:pPr>
        <w:widowControl/>
        <w:wordWrap w:val="0"/>
        <w:snapToGrid w:val="0"/>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招标公告</w:t>
      </w:r>
    </w:p>
    <w:p>
      <w:pPr>
        <w:pStyle w:val="5"/>
        <w:pageBreakBefore w:val="0"/>
        <w:kinsoku/>
        <w:wordWrap/>
        <w:overflowPunct/>
        <w:topLinePunct w:val="0"/>
        <w:autoSpaceDE/>
        <w:autoSpaceDN/>
        <w:bidi w:val="0"/>
        <w:adjustRightInd w:val="0"/>
        <w:snapToGrid w:val="0"/>
        <w:spacing w:before="60" w:after="60" w:line="400" w:lineRule="exact"/>
        <w:ind w:firstLine="0" w:firstLineChars="0"/>
        <w:textAlignment w:val="auto"/>
        <w:rPr>
          <w:rFonts w:hint="eastAsia" w:ascii="宋体" w:hAnsi="宋体" w:eastAsia="宋体" w:cs="宋体"/>
          <w:color w:val="auto"/>
          <w:kern w:val="0"/>
          <w:sz w:val="28"/>
          <w:szCs w:val="28"/>
          <w:highlight w:val="none"/>
        </w:rPr>
      </w:pPr>
      <w:bookmarkStart w:id="3" w:name="_Toc152045512"/>
      <w:bookmarkStart w:id="4" w:name="_Toc246996901"/>
      <w:bookmarkStart w:id="5" w:name="_Toc296602402"/>
      <w:bookmarkStart w:id="6" w:name="_Toc246996158"/>
      <w:bookmarkStart w:id="7" w:name="_Toc247085672"/>
      <w:bookmarkStart w:id="8" w:name="_Toc179632528"/>
      <w:bookmarkStart w:id="9" w:name="_Toc152042288"/>
      <w:bookmarkStart w:id="10" w:name="_Toc17833"/>
      <w:bookmarkStart w:id="11" w:name="_Toc144974480"/>
      <w:r>
        <w:rPr>
          <w:rFonts w:hint="eastAsia" w:ascii="宋体" w:hAnsi="宋体" w:eastAsia="宋体" w:cs="宋体"/>
          <w:color w:val="auto"/>
          <w:kern w:val="0"/>
          <w:sz w:val="28"/>
          <w:szCs w:val="28"/>
          <w:highlight w:val="none"/>
        </w:rPr>
        <w:t>1. 招标条件</w:t>
      </w:r>
      <w:bookmarkEnd w:id="3"/>
      <w:bookmarkEnd w:id="4"/>
      <w:bookmarkEnd w:id="5"/>
      <w:bookmarkEnd w:id="6"/>
      <w:bookmarkEnd w:id="7"/>
      <w:bookmarkEnd w:id="8"/>
      <w:bookmarkEnd w:id="9"/>
      <w:bookmarkEnd w:id="10"/>
      <w:bookmarkEnd w:id="11"/>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szCs w:val="21"/>
          <w:highlight w:val="none"/>
          <w:u w:val="single"/>
          <w:lang w:eastAsia="zh-CN"/>
        </w:rPr>
        <w:t>扬州市古城小秦淮河保护更新二期项目</w:t>
      </w:r>
      <w:r>
        <w:rPr>
          <w:rFonts w:hint="eastAsia" w:ascii="宋体" w:hAnsi="宋体" w:cs="宋体"/>
          <w:color w:val="auto"/>
          <w:szCs w:val="21"/>
          <w:highlight w:val="none"/>
        </w:rPr>
        <w:t>业主为</w:t>
      </w:r>
      <w:r>
        <w:rPr>
          <w:rFonts w:hint="eastAsia" w:ascii="宋体" w:hAnsi="宋体" w:cs="宋体"/>
          <w:color w:val="auto"/>
          <w:szCs w:val="21"/>
          <w:highlight w:val="none"/>
          <w:u w:val="single"/>
          <w:lang w:eastAsia="zh-CN"/>
        </w:rPr>
        <w:t>扬州古城历史文化保护建设有限公司</w:t>
      </w:r>
      <w:r>
        <w:rPr>
          <w:rFonts w:hint="eastAsia" w:ascii="宋体" w:hAnsi="宋体" w:cs="宋体"/>
          <w:color w:val="auto"/>
          <w:szCs w:val="21"/>
          <w:highlight w:val="none"/>
        </w:rPr>
        <w:t>，建设资金为</w:t>
      </w:r>
      <w:r>
        <w:rPr>
          <w:rFonts w:hint="eastAsia" w:ascii="宋体" w:hAnsi="宋体" w:cs="宋体"/>
          <w:color w:val="auto"/>
          <w:szCs w:val="21"/>
          <w:highlight w:val="none"/>
          <w:u w:val="single"/>
          <w:lang w:eastAsia="zh-CN"/>
        </w:rPr>
        <w:t>自筹</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项目出资比例为</w:t>
      </w:r>
      <w:r>
        <w:rPr>
          <w:rFonts w:hint="eastAsia" w:ascii="宋体" w:hAnsi="宋体" w:cs="宋体"/>
          <w:color w:val="auto"/>
          <w:szCs w:val="21"/>
          <w:highlight w:val="none"/>
          <w:u w:val="single"/>
          <w:shd w:val="clear" w:color="auto" w:fill="FFFFFF"/>
        </w:rPr>
        <w:t>100%，</w:t>
      </w:r>
      <w:r>
        <w:rPr>
          <w:rFonts w:hint="eastAsia" w:ascii="宋体" w:hAnsi="宋体" w:cs="宋体"/>
          <w:color w:val="auto"/>
          <w:szCs w:val="21"/>
          <w:highlight w:val="none"/>
        </w:rPr>
        <w:t>招标人为</w:t>
      </w:r>
      <w:r>
        <w:rPr>
          <w:rFonts w:hint="eastAsia" w:ascii="宋体" w:hAnsi="宋体" w:cs="宋体"/>
          <w:color w:val="auto"/>
          <w:szCs w:val="21"/>
          <w:highlight w:val="none"/>
          <w:u w:val="single"/>
          <w:lang w:eastAsia="zh-CN"/>
        </w:rPr>
        <w:t>扬州古城历史文化保护建设有限公司</w:t>
      </w:r>
      <w:r>
        <w:rPr>
          <w:rFonts w:hint="eastAsia" w:ascii="宋体" w:hAnsi="宋体" w:cs="宋体"/>
          <w:color w:val="auto"/>
          <w:szCs w:val="21"/>
          <w:highlight w:val="none"/>
        </w:rPr>
        <w:t>，招标代理机构为</w:t>
      </w:r>
      <w:r>
        <w:rPr>
          <w:rFonts w:hint="eastAsia" w:ascii="宋体" w:hAnsi="宋体" w:cs="宋体"/>
          <w:color w:val="auto"/>
          <w:szCs w:val="21"/>
          <w:highlight w:val="none"/>
          <w:u w:val="single"/>
        </w:rPr>
        <w:t>江苏唯诚建设咨询有限公司</w:t>
      </w:r>
      <w:r>
        <w:rPr>
          <w:rFonts w:hint="eastAsia" w:ascii="宋体" w:hAnsi="宋体" w:cs="宋体"/>
          <w:color w:val="auto"/>
          <w:szCs w:val="21"/>
          <w:highlight w:val="none"/>
        </w:rPr>
        <w:t>，项目已具备招标条件，现对</w:t>
      </w:r>
      <w:r>
        <w:rPr>
          <w:rFonts w:hint="eastAsia" w:ascii="宋体" w:hAnsi="宋体" w:cs="宋体"/>
          <w:color w:val="auto"/>
          <w:szCs w:val="21"/>
          <w:highlight w:val="none"/>
          <w:u w:val="single"/>
        </w:rPr>
        <w:t>工程勘察</w:t>
      </w:r>
      <w:r>
        <w:rPr>
          <w:rFonts w:hint="eastAsia" w:ascii="宋体" w:hAnsi="宋体" w:cs="宋体"/>
          <w:color w:val="auto"/>
          <w:szCs w:val="21"/>
          <w:highlight w:val="none"/>
        </w:rPr>
        <w:t>进行公开招标</w:t>
      </w:r>
      <w:r>
        <w:rPr>
          <w:rFonts w:hint="eastAsia" w:ascii="宋体" w:hAnsi="宋体" w:cs="宋体"/>
          <w:color w:val="auto"/>
          <w:kern w:val="0"/>
          <w:szCs w:val="21"/>
          <w:highlight w:val="none"/>
        </w:rPr>
        <w:t>。</w:t>
      </w:r>
    </w:p>
    <w:p>
      <w:pPr>
        <w:pStyle w:val="5"/>
        <w:pageBreakBefore w:val="0"/>
        <w:kinsoku/>
        <w:wordWrap/>
        <w:overflowPunct/>
        <w:topLinePunct w:val="0"/>
        <w:autoSpaceDE/>
        <w:autoSpaceDN/>
        <w:bidi w:val="0"/>
        <w:adjustRightInd w:val="0"/>
        <w:snapToGrid w:val="0"/>
        <w:spacing w:before="60" w:after="60" w:line="400" w:lineRule="exact"/>
        <w:ind w:firstLine="0" w:firstLineChars="0"/>
        <w:textAlignment w:val="auto"/>
        <w:rPr>
          <w:rFonts w:ascii="宋体" w:hAnsi="宋体" w:cs="宋体"/>
          <w:color w:val="auto"/>
          <w:kern w:val="0"/>
          <w:sz w:val="28"/>
          <w:szCs w:val="28"/>
          <w:highlight w:val="none"/>
        </w:rPr>
      </w:pPr>
      <w:bookmarkStart w:id="12" w:name="_Toc144974481"/>
      <w:bookmarkStart w:id="13" w:name="_Toc246996902"/>
      <w:bookmarkStart w:id="14" w:name="_Toc296602403"/>
      <w:bookmarkStart w:id="15" w:name="_Toc152045513"/>
      <w:bookmarkStart w:id="16" w:name="_Toc247085673"/>
      <w:bookmarkStart w:id="17" w:name="_Toc22710"/>
      <w:bookmarkStart w:id="18" w:name="_Toc246996159"/>
      <w:bookmarkStart w:id="19" w:name="_Toc179632529"/>
      <w:bookmarkStart w:id="20" w:name="_Toc152042289"/>
      <w:r>
        <w:rPr>
          <w:rFonts w:hint="eastAsia" w:ascii="宋体" w:hAnsi="宋体" w:cs="宋体"/>
          <w:color w:val="auto"/>
          <w:kern w:val="0"/>
          <w:sz w:val="28"/>
          <w:szCs w:val="28"/>
          <w:highlight w:val="none"/>
        </w:rPr>
        <w:t>2. 项目概况与招标范围</w:t>
      </w:r>
      <w:bookmarkEnd w:id="12"/>
      <w:bookmarkEnd w:id="13"/>
      <w:bookmarkEnd w:id="14"/>
      <w:bookmarkEnd w:id="15"/>
      <w:bookmarkEnd w:id="16"/>
      <w:bookmarkEnd w:id="17"/>
      <w:bookmarkEnd w:id="18"/>
      <w:bookmarkEnd w:id="19"/>
      <w:bookmarkEnd w:id="20"/>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2.1项目名称：</w:t>
      </w:r>
      <w:r>
        <w:rPr>
          <w:rFonts w:hint="eastAsia" w:ascii="宋体" w:hAnsi="宋体" w:cs="宋体"/>
          <w:color w:val="auto"/>
          <w:kern w:val="0"/>
          <w:szCs w:val="21"/>
          <w:highlight w:val="none"/>
          <w:lang w:eastAsia="zh-CN"/>
        </w:rPr>
        <w:t>扬州市古城小秦淮河保护更新二期项目</w:t>
      </w:r>
      <w:r>
        <w:rPr>
          <w:rFonts w:hint="eastAsia" w:ascii="宋体" w:hAnsi="宋体" w:cs="宋体"/>
          <w:color w:val="auto"/>
          <w:kern w:val="0"/>
          <w:szCs w:val="21"/>
          <w:highlight w:val="none"/>
        </w:rPr>
        <w:t>工程勘察</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u w:val="none"/>
        </w:rPr>
      </w:pPr>
      <w:r>
        <w:rPr>
          <w:rFonts w:hint="eastAsia" w:ascii="宋体" w:hAnsi="宋体" w:cs="宋体"/>
          <w:color w:val="auto"/>
          <w:kern w:val="0"/>
          <w:szCs w:val="21"/>
          <w:highlight w:val="none"/>
        </w:rPr>
        <w:t>2.2</w:t>
      </w:r>
      <w:r>
        <w:rPr>
          <w:rFonts w:hint="eastAsia" w:ascii="宋体" w:hAnsi="宋体" w:cs="宋体"/>
          <w:color w:val="auto"/>
          <w:kern w:val="0"/>
          <w:szCs w:val="21"/>
          <w:highlight w:val="none"/>
          <w:lang w:eastAsia="zh-CN"/>
        </w:rPr>
        <w:t>项目</w:t>
      </w:r>
      <w:r>
        <w:rPr>
          <w:rFonts w:hint="eastAsia" w:ascii="宋体" w:hAnsi="宋体" w:cs="宋体"/>
          <w:color w:val="auto"/>
          <w:kern w:val="0"/>
          <w:szCs w:val="21"/>
          <w:highlight w:val="none"/>
        </w:rPr>
        <w:t>地点：</w:t>
      </w:r>
      <w:r>
        <w:rPr>
          <w:rFonts w:hint="eastAsia" w:ascii="宋体" w:hAnsi="宋体" w:eastAsia="宋体" w:cs="宋体"/>
          <w:color w:val="auto"/>
          <w:kern w:val="0"/>
          <w:sz w:val="21"/>
          <w:szCs w:val="21"/>
          <w:highlight w:val="none"/>
          <w:lang w:eastAsia="zh-CN"/>
        </w:rPr>
        <w:t>扬州市广陵区，北至盐阜路，</w:t>
      </w:r>
      <w:r>
        <w:rPr>
          <w:rFonts w:hint="eastAsia" w:ascii="宋体" w:hAnsi="宋体" w:eastAsia="宋体" w:cs="宋体"/>
          <w:color w:val="auto"/>
          <w:kern w:val="0"/>
          <w:sz w:val="21"/>
          <w:szCs w:val="21"/>
          <w:highlight w:val="none"/>
        </w:rPr>
        <w:t>南至文昌中路，</w:t>
      </w:r>
      <w:r>
        <w:rPr>
          <w:rFonts w:hint="eastAsia" w:ascii="宋体" w:hAnsi="宋体" w:eastAsia="宋体" w:cs="宋体"/>
          <w:color w:val="auto"/>
          <w:kern w:val="0"/>
          <w:sz w:val="21"/>
          <w:szCs w:val="21"/>
          <w:highlight w:val="none"/>
          <w:lang w:eastAsia="zh-CN"/>
        </w:rPr>
        <w:t>西至九巷、十巷、石灰巷沿线，</w:t>
      </w:r>
      <w:r>
        <w:rPr>
          <w:rFonts w:hint="eastAsia" w:ascii="宋体" w:hAnsi="宋体" w:eastAsia="宋体" w:cs="宋体"/>
          <w:color w:val="auto"/>
          <w:kern w:val="0"/>
          <w:sz w:val="21"/>
          <w:szCs w:val="21"/>
          <w:highlight w:val="none"/>
        </w:rPr>
        <w:t>东至天宁门街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北柳巷沿线。</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2.3勘察周期：</w:t>
      </w:r>
      <w:r>
        <w:rPr>
          <w:rFonts w:hint="eastAsia" w:ascii="宋体" w:hAnsi="宋体" w:cs="宋体"/>
          <w:color w:val="auto"/>
          <w:kern w:val="0"/>
          <w:szCs w:val="21"/>
          <w:highlight w:val="none"/>
          <w:lang w:eastAsia="zh-CN"/>
        </w:rPr>
        <w:t>本项目分节点实施，各节点根据业主要求，</w:t>
      </w:r>
      <w:r>
        <w:rPr>
          <w:rFonts w:hint="eastAsia" w:ascii="宋体" w:hAnsi="宋体" w:cs="宋体"/>
          <w:color w:val="auto"/>
          <w:kern w:val="0"/>
          <w:szCs w:val="21"/>
          <w:highlight w:val="none"/>
        </w:rPr>
        <w:t>进场</w:t>
      </w:r>
      <w:r>
        <w:rPr>
          <w:rFonts w:hint="eastAsia" w:ascii="宋体" w:hAnsi="宋体" w:cs="宋体"/>
          <w:color w:val="auto"/>
          <w:kern w:val="0"/>
          <w:szCs w:val="21"/>
          <w:highlight w:val="none"/>
          <w:u w:val="single"/>
        </w:rPr>
        <w:t>5</w:t>
      </w:r>
      <w:r>
        <w:rPr>
          <w:rFonts w:hint="eastAsia" w:ascii="宋体" w:hAnsi="宋体" w:cs="宋体"/>
          <w:color w:val="auto"/>
          <w:kern w:val="0"/>
          <w:szCs w:val="21"/>
          <w:highlight w:val="none"/>
        </w:rPr>
        <w:t>日内提供中间资料，</w:t>
      </w:r>
      <w:r>
        <w:rPr>
          <w:rFonts w:hint="eastAsia" w:ascii="宋体" w:hAnsi="宋体" w:cs="宋体"/>
          <w:color w:val="auto"/>
          <w:kern w:val="0"/>
          <w:szCs w:val="21"/>
          <w:highlight w:val="none"/>
          <w:u w:val="single"/>
          <w:lang w:val="en-US" w:eastAsia="zh-CN"/>
        </w:rPr>
        <w:t>10</w:t>
      </w:r>
      <w:r>
        <w:rPr>
          <w:rFonts w:hint="eastAsia" w:ascii="宋体" w:hAnsi="宋体" w:cs="宋体"/>
          <w:color w:val="auto"/>
          <w:kern w:val="0"/>
          <w:szCs w:val="21"/>
          <w:highlight w:val="none"/>
        </w:rPr>
        <w:t>日内提交完整且准确的勘察报告。</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2.4招标范围：</w:t>
      </w:r>
      <w:r>
        <w:rPr>
          <w:rFonts w:hint="eastAsia" w:ascii="宋体" w:hAnsi="宋体" w:eastAsia="宋体" w:cs="宋体"/>
          <w:color w:val="auto"/>
          <w:kern w:val="0"/>
          <w:sz w:val="21"/>
          <w:szCs w:val="21"/>
          <w:highlight w:val="none"/>
        </w:rPr>
        <w:t>按国家技术规范、标准、规程和招标人的任务委托书及技术要求进行工程勘察，在规定的时间提交质量合格的勘察成果资料，并对其负责</w:t>
      </w:r>
      <w:r>
        <w:rPr>
          <w:rFonts w:hint="eastAsia" w:ascii="宋体" w:hAnsi="宋体" w:eastAsia="宋体" w:cs="宋体"/>
          <w:color w:val="auto"/>
          <w:kern w:val="0"/>
          <w:szCs w:val="21"/>
          <w:highlight w:val="none"/>
        </w:rPr>
        <w:t>。</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2.5质量要求：符合国家有关勘察规范和标准，确保通过施工图审查。</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2.6控制价限价：</w:t>
      </w:r>
      <w:r>
        <w:rPr>
          <w:rFonts w:hint="eastAsia" w:ascii="宋体" w:hAnsi="宋体" w:cs="宋体"/>
          <w:color w:val="auto"/>
          <w:kern w:val="0"/>
          <w:szCs w:val="21"/>
          <w:highlight w:val="none"/>
          <w:u w:val="single"/>
          <w:lang w:val="en-US" w:eastAsia="zh-CN"/>
        </w:rPr>
        <w:t>43.60</w:t>
      </w:r>
      <w:r>
        <w:rPr>
          <w:rFonts w:hint="eastAsia" w:ascii="宋体" w:hAnsi="宋体" w:cs="宋体"/>
          <w:color w:val="auto"/>
          <w:kern w:val="0"/>
          <w:szCs w:val="21"/>
          <w:highlight w:val="none"/>
        </w:rPr>
        <w:t>万元（含税）</w:t>
      </w:r>
      <w:r>
        <w:rPr>
          <w:rFonts w:hint="eastAsia" w:ascii="宋体" w:hAnsi="宋体" w:cs="宋体"/>
          <w:b/>
          <w:bCs/>
          <w:color w:val="auto"/>
          <w:szCs w:val="21"/>
          <w:highlight w:val="none"/>
        </w:rPr>
        <w:t>。</w:t>
      </w:r>
    </w:p>
    <w:p>
      <w:pPr>
        <w:pStyle w:val="5"/>
        <w:pageBreakBefore w:val="0"/>
        <w:kinsoku/>
        <w:wordWrap/>
        <w:overflowPunct/>
        <w:topLinePunct w:val="0"/>
        <w:autoSpaceDE/>
        <w:autoSpaceDN/>
        <w:bidi w:val="0"/>
        <w:adjustRightInd w:val="0"/>
        <w:snapToGrid w:val="0"/>
        <w:spacing w:before="60" w:after="60" w:line="400" w:lineRule="exact"/>
        <w:ind w:firstLine="0" w:firstLineChars="0"/>
        <w:textAlignment w:val="auto"/>
        <w:rPr>
          <w:rFonts w:ascii="宋体" w:hAnsi="宋体" w:cs="宋体"/>
          <w:color w:val="auto"/>
          <w:kern w:val="0"/>
          <w:sz w:val="28"/>
          <w:szCs w:val="28"/>
          <w:highlight w:val="none"/>
        </w:rPr>
      </w:pPr>
      <w:bookmarkStart w:id="21" w:name="_Toc11043"/>
      <w:bookmarkStart w:id="22" w:name="_Toc152045514"/>
      <w:bookmarkStart w:id="23" w:name="_Toc247085674"/>
      <w:bookmarkStart w:id="24" w:name="_Toc144974482"/>
      <w:bookmarkStart w:id="25" w:name="_Toc246996160"/>
      <w:bookmarkStart w:id="26" w:name="_Toc296602404"/>
      <w:bookmarkStart w:id="27" w:name="_Toc246996903"/>
      <w:bookmarkStart w:id="28" w:name="_Toc152042290"/>
      <w:bookmarkStart w:id="29" w:name="_Toc179632530"/>
      <w:r>
        <w:rPr>
          <w:rFonts w:hint="eastAsia" w:ascii="宋体" w:hAnsi="宋体" w:cs="宋体"/>
          <w:color w:val="auto"/>
          <w:kern w:val="0"/>
          <w:sz w:val="28"/>
          <w:szCs w:val="28"/>
          <w:highlight w:val="none"/>
        </w:rPr>
        <w:t>3. 投标人资格要求</w:t>
      </w:r>
      <w:bookmarkEnd w:id="21"/>
      <w:bookmarkEnd w:id="22"/>
      <w:bookmarkEnd w:id="23"/>
      <w:bookmarkEnd w:id="24"/>
      <w:bookmarkEnd w:id="25"/>
      <w:bookmarkEnd w:id="26"/>
      <w:bookmarkEnd w:id="27"/>
      <w:bookmarkEnd w:id="28"/>
      <w:bookmarkEnd w:id="29"/>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snapToGrid w:val="0"/>
          <w:color w:val="auto"/>
          <w:szCs w:val="21"/>
          <w:highlight w:val="none"/>
        </w:rPr>
      </w:pPr>
      <w:bookmarkStart w:id="30" w:name="_Toc246996161"/>
      <w:bookmarkStart w:id="31" w:name="_Toc152042291"/>
      <w:bookmarkStart w:id="32" w:name="_Toc246996904"/>
      <w:bookmarkStart w:id="33" w:name="_Toc144974483"/>
      <w:bookmarkStart w:id="34" w:name="_Toc247085675"/>
      <w:bookmarkStart w:id="35" w:name="_Toc152045515"/>
      <w:bookmarkStart w:id="36" w:name="_Toc179632531"/>
      <w:r>
        <w:rPr>
          <w:rFonts w:hint="eastAsia" w:ascii="宋体" w:hAnsi="宋体" w:eastAsia="宋体" w:cs="宋体"/>
          <w:color w:val="auto"/>
          <w:kern w:val="0"/>
          <w:szCs w:val="21"/>
          <w:highlight w:val="none"/>
        </w:rPr>
        <w:t>3.1本次招标要求投标人</w:t>
      </w:r>
      <w:r>
        <w:rPr>
          <w:rFonts w:hint="eastAsia" w:ascii="宋体" w:hAnsi="宋体" w:eastAsia="宋体" w:cs="宋体"/>
          <w:snapToGrid w:val="0"/>
          <w:color w:val="auto"/>
          <w:szCs w:val="21"/>
          <w:highlight w:val="none"/>
        </w:rPr>
        <w:t>具备独立法人资格，</w:t>
      </w:r>
      <w:r>
        <w:rPr>
          <w:rFonts w:hint="eastAsia" w:ascii="宋体" w:hAnsi="宋体" w:eastAsia="宋体" w:cs="宋体"/>
          <w:color w:val="auto"/>
          <w:szCs w:val="21"/>
          <w:highlight w:val="none"/>
        </w:rPr>
        <w:t>具有工程勘察综合类甲级；或具有工程勘察专业类岩土工程专业</w:t>
      </w:r>
      <w:r>
        <w:rPr>
          <w:rFonts w:hint="eastAsia" w:ascii="宋体" w:hAnsi="宋体" w:eastAsia="宋体" w:cs="宋体"/>
          <w:color w:val="auto"/>
          <w:szCs w:val="21"/>
          <w:highlight w:val="none"/>
          <w:lang w:eastAsia="zh-CN"/>
        </w:rPr>
        <w:t>乙级及以上</w:t>
      </w:r>
      <w:r>
        <w:rPr>
          <w:rFonts w:hint="eastAsia" w:ascii="宋体" w:hAnsi="宋体" w:eastAsia="宋体" w:cs="宋体"/>
          <w:color w:val="auto"/>
          <w:szCs w:val="21"/>
          <w:highlight w:val="none"/>
        </w:rPr>
        <w:t>资质</w:t>
      </w:r>
      <w:r>
        <w:rPr>
          <w:rFonts w:hint="eastAsia" w:ascii="宋体" w:hAnsi="宋体" w:eastAsia="宋体" w:cs="宋体"/>
          <w:snapToGrid w:val="0"/>
          <w:color w:val="auto"/>
          <w:szCs w:val="21"/>
          <w:highlight w:val="none"/>
        </w:rPr>
        <w:t>。</w:t>
      </w:r>
    </w:p>
    <w:p>
      <w:pPr>
        <w:pageBreakBefore w:val="0"/>
        <w:widowControl/>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投标人拟派项目负责人须具备注册岩土工程师资格，且满足下列条件：项目负责人不得同时在两个或者两个以上单位受聘或者执业，包括：1）同时在两个及以上单位签订劳动合同或缴纳社会保险；2）将本人执（职）业资格证书同时注册在两个及以上单位。</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bookmarkStart w:id="37" w:name="_Hlk514479753"/>
      <w:r>
        <w:rPr>
          <w:rFonts w:hint="eastAsia" w:ascii="宋体" w:hAnsi="宋体" w:eastAsia="宋体" w:cs="宋体"/>
          <w:color w:val="auto"/>
          <w:highlight w:val="none"/>
        </w:rPr>
        <w:t>投标人须提供为授权委托人及拟派项目负责人缴纳近3个月养老保险（提供社保部门出具的202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月至202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月在职职工养老保险的证明材料；采用网上自助查询方式的，如当地总承包项目经理社保管理部门明确的最大查询期与招标文件规定的月份不一致时，须提供社保管理部门的文件）</w:t>
      </w:r>
    </w:p>
    <w:bookmarkEnd w:id="37"/>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本项目不接受联合体投标。</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3.5</w:t>
      </w:r>
      <w:r>
        <w:rPr>
          <w:rFonts w:hint="eastAsia" w:ascii="宋体" w:hAnsi="宋体" w:eastAsia="宋体" w:cs="宋体"/>
          <w:color w:val="auto"/>
          <w:kern w:val="0"/>
          <w:szCs w:val="21"/>
          <w:highlight w:val="none"/>
        </w:rPr>
        <w:t xml:space="preserve"> 拒绝下述</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eastAsia="zh-CN"/>
        </w:rPr>
        <w:t>招投标</w:t>
      </w:r>
      <w:r>
        <w:rPr>
          <w:rFonts w:hint="eastAsia" w:ascii="宋体" w:hAnsi="宋体" w:eastAsia="宋体" w:cs="宋体"/>
          <w:color w:val="auto"/>
          <w:kern w:val="0"/>
          <w:szCs w:val="21"/>
          <w:highlight w:val="none"/>
        </w:rPr>
        <w:t>活动：</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单位负责人为同一人或者存在直接控股、管理关系的不同</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，不得参加同一合同项下的</w:t>
      </w:r>
      <w:r>
        <w:rPr>
          <w:rFonts w:hint="eastAsia" w:ascii="宋体" w:hAnsi="宋体" w:eastAsia="宋体" w:cs="宋体"/>
          <w:color w:val="auto"/>
          <w:kern w:val="0"/>
          <w:szCs w:val="21"/>
          <w:highlight w:val="none"/>
          <w:lang w:eastAsia="zh-CN"/>
        </w:rPr>
        <w:t>招投标</w:t>
      </w:r>
      <w:r>
        <w:rPr>
          <w:rFonts w:hint="eastAsia" w:ascii="宋体" w:hAnsi="宋体" w:eastAsia="宋体" w:cs="宋体"/>
          <w:color w:val="auto"/>
          <w:kern w:val="0"/>
          <w:szCs w:val="21"/>
          <w:highlight w:val="none"/>
        </w:rPr>
        <w:t>活动。</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（2）凡为</w:t>
      </w:r>
      <w:r>
        <w:rPr>
          <w:rFonts w:hint="eastAsia" w:ascii="宋体" w:hAnsi="宋体" w:eastAsia="宋体" w:cs="宋体"/>
          <w:color w:val="auto"/>
          <w:kern w:val="0"/>
          <w:szCs w:val="21"/>
          <w:highlight w:val="none"/>
          <w:lang w:eastAsia="zh-CN"/>
        </w:rPr>
        <w:t>本</w:t>
      </w:r>
      <w:r>
        <w:rPr>
          <w:rFonts w:hint="eastAsia" w:ascii="宋体" w:hAnsi="宋体" w:eastAsia="宋体" w:cs="宋体"/>
          <w:color w:val="auto"/>
          <w:kern w:val="0"/>
          <w:szCs w:val="21"/>
          <w:highlight w:val="none"/>
        </w:rPr>
        <w:t>项目提供整体设计、规范编制或者项目管理、监理等服务的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，不得再参加该项目的其他</w:t>
      </w:r>
      <w:r>
        <w:rPr>
          <w:rFonts w:hint="eastAsia" w:ascii="宋体" w:hAnsi="宋体" w:eastAsia="宋体" w:cs="宋体"/>
          <w:color w:val="auto"/>
          <w:kern w:val="0"/>
          <w:szCs w:val="21"/>
          <w:highlight w:val="none"/>
          <w:lang w:eastAsia="zh-CN"/>
        </w:rPr>
        <w:t>招投标</w:t>
      </w:r>
      <w:r>
        <w:rPr>
          <w:rFonts w:hint="eastAsia" w:ascii="宋体" w:hAnsi="宋体" w:eastAsia="宋体" w:cs="宋体"/>
          <w:color w:val="auto"/>
          <w:kern w:val="0"/>
          <w:szCs w:val="21"/>
          <w:highlight w:val="none"/>
        </w:rPr>
        <w:t>活动。</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被“信用中国”、“中国政府采购网"</w:t>
      </w:r>
      <w:r>
        <w:rPr>
          <w:rFonts w:hint="eastAsia" w:ascii="宋体" w:hAnsi="宋体" w:eastAsia="宋体" w:cs="宋体"/>
          <w:color w:val="auto"/>
          <w:kern w:val="0"/>
          <w:szCs w:val="21"/>
          <w:highlight w:val="none"/>
          <w:lang w:eastAsia="zh-CN"/>
        </w:rPr>
        <w:t>网站</w:t>
      </w:r>
      <w:r>
        <w:rPr>
          <w:rFonts w:hint="eastAsia" w:ascii="宋体" w:hAnsi="宋体" w:eastAsia="宋体" w:cs="宋体"/>
          <w:color w:val="auto"/>
          <w:kern w:val="0"/>
          <w:szCs w:val="21"/>
          <w:highlight w:val="none"/>
        </w:rPr>
        <w:t>列入失信被执行人、重大税收违法案件当事人名单、政府采购严重违法失信行为记录名单。</w:t>
      </w:r>
    </w:p>
    <w:p>
      <w:pPr>
        <w:pStyle w:val="5"/>
        <w:pageBreakBefore w:val="0"/>
        <w:kinsoku/>
        <w:wordWrap/>
        <w:overflowPunct/>
        <w:topLinePunct w:val="0"/>
        <w:autoSpaceDE/>
        <w:autoSpaceDN/>
        <w:bidi w:val="0"/>
        <w:adjustRightInd w:val="0"/>
        <w:snapToGrid w:val="0"/>
        <w:spacing w:before="60" w:after="60" w:line="400" w:lineRule="exact"/>
        <w:ind w:firstLine="0" w:firstLineChars="0"/>
        <w:textAlignment w:val="auto"/>
        <w:rPr>
          <w:rFonts w:ascii="宋体" w:hAnsi="宋体" w:cs="宋体"/>
          <w:color w:val="auto"/>
          <w:kern w:val="0"/>
          <w:sz w:val="24"/>
          <w:szCs w:val="24"/>
          <w:highlight w:val="none"/>
        </w:rPr>
      </w:pPr>
      <w:bookmarkStart w:id="38" w:name="_Toc296602405"/>
      <w:bookmarkStart w:id="39" w:name="_Toc28180"/>
      <w:r>
        <w:rPr>
          <w:rFonts w:hint="eastAsia" w:ascii="宋体" w:hAnsi="宋体" w:eastAsia="宋体" w:cs="宋体"/>
          <w:color w:val="auto"/>
          <w:kern w:val="0"/>
          <w:sz w:val="28"/>
          <w:szCs w:val="28"/>
          <w:highlight w:val="none"/>
        </w:rPr>
        <w:t xml:space="preserve">4. </w:t>
      </w:r>
      <w:bookmarkEnd w:id="30"/>
      <w:bookmarkEnd w:id="31"/>
      <w:bookmarkEnd w:id="32"/>
      <w:bookmarkEnd w:id="33"/>
      <w:bookmarkEnd w:id="34"/>
      <w:bookmarkEnd w:id="35"/>
      <w:bookmarkEnd w:id="36"/>
      <w:bookmarkEnd w:id="38"/>
      <w:bookmarkEnd w:id="39"/>
      <w:bookmarkStart w:id="40" w:name="_Toc8136"/>
      <w:r>
        <w:rPr>
          <w:rFonts w:hint="eastAsia" w:ascii="宋体" w:hAnsi="宋体" w:eastAsia="宋体" w:cs="宋体"/>
          <w:color w:val="auto"/>
          <w:kern w:val="0"/>
          <w:sz w:val="28"/>
          <w:szCs w:val="28"/>
          <w:highlight w:val="none"/>
        </w:rPr>
        <w:t>获取招标文件文件</w:t>
      </w:r>
      <w:bookmarkEnd w:id="40"/>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bookmarkStart w:id="41" w:name="_Toc246996163"/>
      <w:bookmarkStart w:id="42" w:name="_Toc24457"/>
      <w:bookmarkStart w:id="43" w:name="_Toc179632533"/>
      <w:bookmarkStart w:id="44" w:name="_Toc157499355"/>
      <w:bookmarkStart w:id="45" w:name="_Toc247085677"/>
      <w:bookmarkStart w:id="46" w:name="_Toc246996906"/>
      <w:bookmarkStart w:id="47" w:name="_Toc296602407"/>
      <w:r>
        <w:rPr>
          <w:rFonts w:hint="eastAsia" w:ascii="宋体" w:hAnsi="宋体" w:eastAsia="宋体" w:cs="宋体"/>
          <w:color w:val="auto"/>
          <w:kern w:val="0"/>
          <w:szCs w:val="21"/>
          <w:highlight w:val="none"/>
        </w:rPr>
        <w:t>4.1招标公告发布平台：扬州市城建国有资产控股（集团）有限责任公司网站</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4.2招标文件获取时间：2023年</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25</w:t>
      </w:r>
      <w:r>
        <w:rPr>
          <w:rFonts w:hint="eastAsia" w:ascii="宋体" w:hAnsi="宋体" w:eastAsia="宋体" w:cs="宋体"/>
          <w:color w:val="auto"/>
          <w:kern w:val="0"/>
          <w:szCs w:val="21"/>
          <w:highlight w:val="none"/>
        </w:rPr>
        <w:t>日至2023年</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4.3招标文件获取：如潜在投标人有意向参加投标，请授权委托人于2023年10月</w:t>
      </w:r>
      <w:r>
        <w:rPr>
          <w:rFonts w:hint="eastAsia" w:ascii="宋体" w:hAnsi="宋体" w:cs="宋体"/>
          <w:color w:val="auto"/>
          <w:kern w:val="0"/>
          <w:szCs w:val="21"/>
          <w:highlight w:val="none"/>
          <w:lang w:val="en-US" w:eastAsia="zh-CN"/>
        </w:rPr>
        <w:t>25</w:t>
      </w:r>
      <w:r>
        <w:rPr>
          <w:rFonts w:hint="eastAsia" w:ascii="宋体" w:hAnsi="宋体" w:eastAsia="宋体" w:cs="宋体"/>
          <w:color w:val="auto"/>
          <w:kern w:val="0"/>
          <w:szCs w:val="21"/>
          <w:highlight w:val="none"/>
          <w:lang w:val="en-US" w:eastAsia="zh-CN"/>
        </w:rPr>
        <w:t>日至2023年10 月</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lang w:val="en-US" w:eastAsia="zh-CN"/>
        </w:rPr>
        <w:t>日上午9:00-11:30，下午2:30-5:00，携带加盖公章的单位营业执照、授权委托书（格式自拟，需包含邮箱、联系电话）</w:t>
      </w:r>
      <w:r>
        <w:rPr>
          <w:rFonts w:hint="eastAsia" w:ascii="宋体" w:hAnsi="宋体" w:eastAsia="宋体" w:cs="宋体"/>
          <w:color w:val="auto"/>
          <w:kern w:val="0"/>
          <w:szCs w:val="21"/>
          <w:highlight w:val="none"/>
          <w:lang w:val="en-US" w:eastAsia="zh-CN"/>
        </w:rPr>
        <w:fldChar w:fldCharType="begin"/>
      </w:r>
      <w:r>
        <w:rPr>
          <w:rFonts w:hint="eastAsia" w:ascii="宋体" w:hAnsi="宋体" w:eastAsia="宋体" w:cs="宋体"/>
          <w:color w:val="auto"/>
          <w:kern w:val="0"/>
          <w:szCs w:val="21"/>
          <w:highlight w:val="none"/>
          <w:lang w:val="en-US" w:eastAsia="zh-CN"/>
        </w:rPr>
        <w:instrText xml:space="preserve"> HYPERLINK "mailto:%E5%8F%91%E9%80%81%E8%87%B3%E4%BB%A3%E7%90%86%E6%9C%BA%E6%9E%84%E9%82%AE%E7%AE%B11274847791@qq.com" </w:instrText>
      </w:r>
      <w:r>
        <w:rPr>
          <w:rFonts w:hint="eastAsia" w:ascii="宋体" w:hAnsi="宋体" w:eastAsia="宋体" w:cs="宋体"/>
          <w:color w:val="auto"/>
          <w:kern w:val="0"/>
          <w:szCs w:val="21"/>
          <w:highlight w:val="none"/>
          <w:lang w:val="en-US" w:eastAsia="zh-CN"/>
        </w:rPr>
        <w:fldChar w:fldCharType="separate"/>
      </w:r>
      <w:r>
        <w:rPr>
          <w:rFonts w:hint="eastAsia" w:ascii="宋体" w:hAnsi="宋体" w:eastAsia="宋体" w:cs="宋体"/>
          <w:color w:val="auto"/>
          <w:kern w:val="0"/>
          <w:szCs w:val="21"/>
          <w:highlight w:val="none"/>
          <w:lang w:val="en-US" w:eastAsia="zh-CN"/>
        </w:rPr>
        <w:t>至</w:t>
      </w:r>
      <w:r>
        <w:rPr>
          <w:rFonts w:hint="eastAsia" w:ascii="宋体" w:hAnsi="宋体" w:cs="宋体"/>
          <w:color w:val="auto"/>
          <w:kern w:val="0"/>
          <w:szCs w:val="21"/>
          <w:highlight w:val="none"/>
          <w:lang w:val="en-US" w:eastAsia="zh-CN"/>
        </w:rPr>
        <w:t>招标</w:t>
      </w:r>
      <w:r>
        <w:rPr>
          <w:rFonts w:hint="eastAsia" w:ascii="宋体" w:hAnsi="宋体" w:eastAsia="宋体" w:cs="宋体"/>
          <w:color w:val="auto"/>
          <w:kern w:val="0"/>
          <w:szCs w:val="21"/>
          <w:highlight w:val="none"/>
          <w:lang w:val="en-US" w:eastAsia="zh-CN"/>
        </w:rPr>
        <w:t>代理机构，</w:t>
      </w:r>
      <w:r>
        <w:rPr>
          <w:rFonts w:hint="eastAsia" w:ascii="宋体" w:hAnsi="宋体" w:eastAsia="宋体" w:cs="宋体"/>
          <w:color w:val="auto"/>
          <w:kern w:val="0"/>
          <w:szCs w:val="21"/>
          <w:highlight w:val="none"/>
          <w:lang w:val="en-US" w:eastAsia="zh-CN"/>
        </w:rPr>
        <w:fldChar w:fldCharType="end"/>
      </w:r>
      <w:r>
        <w:rPr>
          <w:rFonts w:hint="eastAsia" w:ascii="宋体" w:hAnsi="宋体" w:eastAsia="宋体" w:cs="宋体"/>
          <w:color w:val="auto"/>
          <w:kern w:val="0"/>
          <w:szCs w:val="21"/>
          <w:highlight w:val="none"/>
          <w:lang w:val="en-US" w:eastAsia="zh-CN"/>
        </w:rPr>
        <w:t>现场购买招标文件。联系人：刘书玲；联系电话：0514-87880356、19975036700，逾期不再受理。</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snapToGrid w:val="0"/>
          <w:color w:val="auto"/>
          <w:kern w:val="2"/>
          <w:sz w:val="21"/>
          <w:szCs w:val="21"/>
          <w:highlight w:val="none"/>
        </w:rPr>
      </w:pPr>
      <w:r>
        <w:rPr>
          <w:rFonts w:hint="eastAsia" w:ascii="宋体" w:hAnsi="宋体" w:eastAsia="宋体" w:cs="宋体"/>
          <w:color w:val="auto"/>
          <w:kern w:val="0"/>
          <w:szCs w:val="21"/>
          <w:highlight w:val="none"/>
        </w:rPr>
        <w:t>有关本次招标的事项若存在变动或修改，敬请及时关注“扬州市城建国有资产控股（集团）有限责任公司网站”发布的信息或更正公告。</w:t>
      </w:r>
    </w:p>
    <w:p>
      <w:pPr>
        <w:pStyle w:val="5"/>
        <w:keepNext w:val="0"/>
        <w:keepLines w:val="0"/>
        <w:pageBreakBefore w:val="0"/>
        <w:widowControl/>
        <w:kinsoku/>
        <w:wordWrap/>
        <w:overflowPunct/>
        <w:topLinePunct w:val="0"/>
        <w:autoSpaceDE/>
        <w:autoSpaceDN/>
        <w:bidi w:val="0"/>
        <w:adjustRightInd w:val="0"/>
        <w:snapToGrid w:val="0"/>
        <w:spacing w:before="60" w:after="60" w:line="400" w:lineRule="exact"/>
        <w:ind w:left="0" w:firstLine="0" w:firstLineChars="0"/>
        <w:jc w:val="left"/>
        <w:textAlignment w:val="auto"/>
        <w:rPr>
          <w:color w:val="000000"/>
          <w:sz w:val="24"/>
          <w:szCs w:val="24"/>
          <w:highlight w:val="none"/>
        </w:rPr>
      </w:pPr>
      <w:r>
        <w:rPr>
          <w:rFonts w:hint="eastAsia" w:ascii="宋体" w:hAnsi="宋体" w:eastAsia="宋体" w:cs="宋体"/>
          <w:bCs/>
          <w:color w:val="000000"/>
          <w:sz w:val="24"/>
          <w:szCs w:val="24"/>
          <w:highlight w:val="none"/>
        </w:rPr>
        <w:t>5. 投标截止时间</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 投标截止时间：2023年</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31</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0分。</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5.2开标地点：江苏唯诚建设咨询有限公司商城国际大厦19楼</w:t>
      </w:r>
      <w:r>
        <w:rPr>
          <w:rFonts w:hint="eastAsia" w:ascii="宋体" w:hAnsi="宋体" w:eastAsia="宋体" w:cs="宋体"/>
          <w:color w:val="auto"/>
          <w:kern w:val="0"/>
          <w:szCs w:val="21"/>
          <w:highlight w:val="none"/>
          <w:lang w:eastAsia="zh-CN"/>
        </w:rPr>
        <w:t>开标</w:t>
      </w:r>
      <w:r>
        <w:rPr>
          <w:rFonts w:hint="eastAsia" w:ascii="宋体" w:hAnsi="宋体" w:eastAsia="宋体" w:cs="宋体"/>
          <w:color w:val="auto"/>
          <w:kern w:val="0"/>
          <w:szCs w:val="21"/>
          <w:highlight w:val="none"/>
        </w:rPr>
        <w:t>室。</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5.3逾期送达的投标文件，招标人不予受理。</w:t>
      </w:r>
    </w:p>
    <w:p>
      <w:pPr>
        <w:pStyle w:val="5"/>
        <w:keepNext w:val="0"/>
        <w:keepLines w:val="0"/>
        <w:pageBreakBefore w:val="0"/>
        <w:widowControl/>
        <w:kinsoku/>
        <w:wordWrap/>
        <w:overflowPunct/>
        <w:topLinePunct w:val="0"/>
        <w:autoSpaceDE/>
        <w:autoSpaceDN/>
        <w:bidi w:val="0"/>
        <w:adjustRightInd w:val="0"/>
        <w:snapToGrid w:val="0"/>
        <w:spacing w:before="60" w:after="60" w:line="400" w:lineRule="exact"/>
        <w:ind w:left="0" w:firstLine="0" w:firstLineChars="0"/>
        <w:jc w:val="left"/>
        <w:textAlignment w:val="auto"/>
        <w:rPr>
          <w:color w:val="000000"/>
          <w:sz w:val="24"/>
          <w:szCs w:val="24"/>
          <w:highlight w:val="none"/>
        </w:rPr>
      </w:pPr>
      <w:r>
        <w:rPr>
          <w:rFonts w:hint="eastAsia" w:ascii="宋体" w:hAnsi="宋体" w:eastAsia="宋体" w:cs="宋体"/>
          <w:bCs/>
          <w:color w:val="000000"/>
          <w:sz w:val="24"/>
          <w:szCs w:val="24"/>
          <w:highlight w:val="none"/>
        </w:rPr>
        <w:t>6.资格审查</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本次招标采用资格后审方式进行资格审查。</w:t>
      </w:r>
    </w:p>
    <w:p>
      <w:pPr>
        <w:pStyle w:val="5"/>
        <w:keepNext w:val="0"/>
        <w:keepLines w:val="0"/>
        <w:pageBreakBefore w:val="0"/>
        <w:widowControl/>
        <w:numPr>
          <w:ilvl w:val="0"/>
          <w:numId w:val="2"/>
        </w:numPr>
        <w:kinsoku/>
        <w:wordWrap/>
        <w:overflowPunct/>
        <w:topLinePunct w:val="0"/>
        <w:autoSpaceDE/>
        <w:autoSpaceDN/>
        <w:bidi w:val="0"/>
        <w:adjustRightInd w:val="0"/>
        <w:snapToGrid w:val="0"/>
        <w:spacing w:before="60" w:after="60" w:line="400" w:lineRule="exact"/>
        <w:ind w:left="0" w:firstLine="0" w:firstLineChars="0"/>
        <w:jc w:val="left"/>
        <w:textAlignment w:val="auto"/>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评标方法</w:t>
      </w:r>
    </w:p>
    <w:p>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采用综合评分法</w:t>
      </w:r>
      <w:r>
        <w:rPr>
          <w:rFonts w:hint="eastAsia" w:ascii="宋体" w:hAnsi="宋体" w:eastAsia="宋体" w:cs="宋体"/>
          <w:color w:val="auto"/>
          <w:kern w:val="0"/>
          <w:szCs w:val="21"/>
          <w:highlight w:val="none"/>
        </w:rPr>
        <w:t>。</w:t>
      </w:r>
    </w:p>
    <w:p>
      <w:pPr>
        <w:pStyle w:val="5"/>
        <w:keepNext w:val="0"/>
        <w:keepLines w:val="0"/>
        <w:pageBreakBefore w:val="0"/>
        <w:widowControl/>
        <w:numPr>
          <w:ilvl w:val="0"/>
          <w:numId w:val="2"/>
        </w:numPr>
        <w:kinsoku/>
        <w:wordWrap/>
        <w:overflowPunct/>
        <w:topLinePunct w:val="0"/>
        <w:autoSpaceDE/>
        <w:autoSpaceDN/>
        <w:bidi w:val="0"/>
        <w:adjustRightInd w:val="0"/>
        <w:snapToGrid w:val="0"/>
        <w:spacing w:before="60" w:after="60" w:line="400" w:lineRule="exact"/>
        <w:ind w:left="0" w:firstLine="0" w:firstLineChars="0"/>
        <w:jc w:val="lef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信息发布媒介</w:t>
      </w:r>
    </w:p>
    <w:bookmarkEnd w:id="41"/>
    <w:bookmarkEnd w:id="42"/>
    <w:bookmarkEnd w:id="43"/>
    <w:bookmarkEnd w:id="44"/>
    <w:bookmarkEnd w:id="45"/>
    <w:bookmarkEnd w:id="46"/>
    <w:bookmarkEnd w:id="47"/>
    <w:p>
      <w:pPr>
        <w:pStyle w:val="29"/>
        <w:adjustRightInd w:val="0"/>
        <w:snapToGrid w:val="0"/>
        <w:spacing w:before="120" w:beforeAutospacing="0" w:after="120" w:afterAutospacing="0" w:line="360" w:lineRule="exact"/>
        <w:ind w:firstLine="420" w:firstLineChars="200"/>
        <w:jc w:val="both"/>
        <w:rPr>
          <w:rFonts w:ascii="Times New Roman" w:hAnsi="Times New Roman" w:eastAsia="宋体" w:cs="Times New Roman"/>
          <w:color w:val="auto"/>
          <w:sz w:val="21"/>
          <w:szCs w:val="21"/>
          <w:highlight w:val="none"/>
        </w:rPr>
      </w:pPr>
      <w:r>
        <w:rPr>
          <w:rFonts w:ascii="Times New Roman" w:hAnsi="Times New Roman" w:cs="Times New Roman"/>
          <w:color w:val="auto"/>
          <w:sz w:val="21"/>
          <w:szCs w:val="21"/>
          <w:highlight w:val="none"/>
        </w:rPr>
        <w:t>本招标项目招标公告、中标结果</w:t>
      </w:r>
      <w:r>
        <w:rPr>
          <w:rFonts w:hint="eastAsia" w:ascii="Times New Roman" w:hAnsi="Times New Roman" w:cs="Times New Roman"/>
          <w:color w:val="auto"/>
          <w:sz w:val="21"/>
          <w:szCs w:val="21"/>
          <w:highlight w:val="none"/>
        </w:rPr>
        <w:t>公示</w:t>
      </w:r>
      <w:r>
        <w:rPr>
          <w:rFonts w:ascii="Times New Roman" w:hAnsi="Times New Roman" w:cs="Times New Roman"/>
          <w:color w:val="auto"/>
          <w:sz w:val="21"/>
          <w:szCs w:val="21"/>
          <w:highlight w:val="none"/>
        </w:rPr>
        <w:t>等全部招标有关信息发布媒介：</w:t>
      </w:r>
      <w:r>
        <w:rPr>
          <w:rFonts w:hint="eastAsia" w:ascii="Times New Roman" w:hAnsi="Times New Roman" w:eastAsia="宋体" w:cs="Times New Roman"/>
          <w:color w:val="auto"/>
          <w:sz w:val="21"/>
          <w:szCs w:val="21"/>
          <w:highlight w:val="none"/>
        </w:rPr>
        <w:t>“扬州市城建国有资产控股（集团）有限责任公司网站”</w:t>
      </w:r>
      <w:r>
        <w:rPr>
          <w:rFonts w:ascii="Times New Roman" w:hAnsi="Times New Roman" w:eastAsia="宋体" w:cs="Times New Roman"/>
          <w:color w:val="auto"/>
          <w:sz w:val="21"/>
          <w:szCs w:val="21"/>
          <w:highlight w:val="none"/>
        </w:rPr>
        <w:t>。</w:t>
      </w:r>
    </w:p>
    <w:p>
      <w:pPr>
        <w:pStyle w:val="5"/>
        <w:keepNext w:val="0"/>
        <w:keepLines w:val="0"/>
        <w:pageBreakBefore w:val="0"/>
        <w:widowControl/>
        <w:numPr>
          <w:ilvl w:val="0"/>
          <w:numId w:val="2"/>
        </w:numPr>
        <w:kinsoku/>
        <w:wordWrap/>
        <w:overflowPunct/>
        <w:topLinePunct w:val="0"/>
        <w:autoSpaceDE/>
        <w:autoSpaceDN/>
        <w:bidi w:val="0"/>
        <w:adjustRightInd w:val="0"/>
        <w:snapToGrid w:val="0"/>
        <w:spacing w:before="60" w:after="60" w:line="400" w:lineRule="exact"/>
        <w:ind w:left="0" w:firstLine="0" w:firstLineChars="0"/>
        <w:jc w:val="left"/>
        <w:textAlignment w:val="auto"/>
        <w:rPr>
          <w:rFonts w:hint="eastAsia" w:ascii="宋体" w:hAnsi="宋体" w:eastAsia="宋体" w:cs="宋体"/>
          <w:bCs/>
          <w:color w:val="000000"/>
          <w:sz w:val="24"/>
          <w:szCs w:val="24"/>
          <w:highlight w:val="none"/>
          <w:lang w:val="en-US" w:eastAsia="zh-CN"/>
        </w:rPr>
      </w:pPr>
      <w:bookmarkStart w:id="48" w:name="_Toc247085678"/>
      <w:bookmarkStart w:id="49" w:name="_Toc152042293"/>
      <w:bookmarkStart w:id="50" w:name="_Toc246996164"/>
      <w:bookmarkStart w:id="51" w:name="_Toc179632534"/>
      <w:bookmarkStart w:id="52" w:name="_Toc144974485"/>
      <w:bookmarkStart w:id="53" w:name="_Toc296602408"/>
      <w:bookmarkStart w:id="54" w:name="_Toc5214"/>
      <w:bookmarkStart w:id="55" w:name="_Toc246996907"/>
      <w:bookmarkStart w:id="56" w:name="_Toc152045517"/>
      <w:r>
        <w:rPr>
          <w:rFonts w:hint="eastAsia" w:ascii="宋体" w:hAnsi="宋体" w:eastAsia="宋体" w:cs="宋体"/>
          <w:bCs/>
          <w:color w:val="000000"/>
          <w:sz w:val="24"/>
          <w:szCs w:val="24"/>
          <w:highlight w:val="none"/>
          <w:lang w:val="en-US" w:eastAsia="zh-CN"/>
        </w:rPr>
        <w:t>联系方式</w:t>
      </w:r>
      <w:bookmarkEnd w:id="48"/>
      <w:bookmarkEnd w:id="49"/>
      <w:bookmarkEnd w:id="50"/>
      <w:bookmarkEnd w:id="51"/>
      <w:bookmarkEnd w:id="52"/>
      <w:bookmarkEnd w:id="53"/>
      <w:bookmarkEnd w:id="54"/>
      <w:bookmarkEnd w:id="55"/>
      <w:bookmarkEnd w:id="56"/>
    </w:p>
    <w:p>
      <w:pPr>
        <w:topLinePunct/>
        <w:adjustRightInd w:val="0"/>
        <w:snapToGrid w:val="0"/>
        <w:spacing w:before="120" w:after="120" w:line="360" w:lineRule="exact"/>
        <w:ind w:firstLine="420" w:firstLineChars="200"/>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招标</w:t>
      </w:r>
      <w:r>
        <w:rPr>
          <w:rFonts w:hint="eastAsia" w:ascii="宋体" w:hAnsi="宋体" w:cs="宋体"/>
          <w:color w:val="auto"/>
          <w:kern w:val="0"/>
          <w:szCs w:val="21"/>
          <w:highlight w:val="none"/>
          <w:lang w:eastAsia="zh-CN"/>
        </w:rPr>
        <w:t>单位</w:t>
      </w:r>
      <w:r>
        <w:rPr>
          <w:rFonts w:hint="eastAsia" w:ascii="宋体" w:hAnsi="宋体" w:cs="宋体"/>
          <w:color w:val="auto"/>
          <w:kern w:val="0"/>
          <w:szCs w:val="21"/>
          <w:highlight w:val="none"/>
        </w:rPr>
        <w:t>：</w:t>
      </w:r>
      <w:r>
        <w:rPr>
          <w:rFonts w:hint="eastAsia" w:ascii="宋体" w:hAnsi="宋体" w:cs="宋体"/>
          <w:bCs/>
          <w:color w:val="auto"/>
          <w:kern w:val="0"/>
          <w:szCs w:val="21"/>
          <w:highlight w:val="none"/>
          <w:u w:val="single"/>
          <w:lang w:eastAsia="zh-CN"/>
        </w:rPr>
        <w:t>扬州古城历史文化保护建设有限公司</w:t>
      </w:r>
    </w:p>
    <w:p>
      <w:pPr>
        <w:topLinePunct/>
        <w:adjustRightInd w:val="0"/>
        <w:snapToGrid w:val="0"/>
        <w:spacing w:before="120" w:after="120" w:line="360" w:lineRule="exact"/>
        <w:ind w:firstLine="420" w:firstLineChars="200"/>
        <w:jc w:val="left"/>
        <w:rPr>
          <w:rFonts w:hint="eastAsia" w:ascii="宋体" w:hAnsi="宋体" w:cs="宋体"/>
          <w:bCs/>
          <w:color w:val="auto"/>
          <w:kern w:val="0"/>
          <w:szCs w:val="21"/>
          <w:highlight w:val="none"/>
          <w:u w:val="single"/>
          <w:lang w:val="en-US" w:eastAsia="zh-CN"/>
        </w:rPr>
      </w:pPr>
      <w:r>
        <w:rPr>
          <w:rFonts w:hint="eastAsia" w:ascii="宋体" w:hAnsi="宋体" w:eastAsia="宋体" w:cs="宋体"/>
          <w:bCs/>
          <w:color w:val="auto"/>
          <w:kern w:val="0"/>
          <w:szCs w:val="21"/>
          <w:highlight w:val="none"/>
          <w:u w:val="none"/>
          <w:lang w:eastAsia="zh-CN"/>
        </w:rPr>
        <w:t>联系人：</w:t>
      </w:r>
      <w:r>
        <w:rPr>
          <w:rFonts w:hint="eastAsia" w:ascii="宋体" w:hAnsi="宋体" w:cs="宋体"/>
          <w:bCs/>
          <w:color w:val="auto"/>
          <w:kern w:val="0"/>
          <w:szCs w:val="21"/>
          <w:highlight w:val="none"/>
          <w:u w:val="single"/>
          <w:lang w:val="en-US" w:eastAsia="zh-CN"/>
        </w:rPr>
        <w:t>高工</w:t>
      </w:r>
    </w:p>
    <w:p>
      <w:pPr>
        <w:topLinePunct/>
        <w:adjustRightInd w:val="0"/>
        <w:snapToGrid w:val="0"/>
        <w:spacing w:before="120" w:after="120" w:line="3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招标代理机构：</w:t>
      </w:r>
      <w:r>
        <w:rPr>
          <w:rFonts w:hint="eastAsia" w:ascii="宋体" w:hAnsi="宋体" w:cs="宋体"/>
          <w:color w:val="auto"/>
          <w:kern w:val="0"/>
          <w:szCs w:val="21"/>
          <w:highlight w:val="none"/>
          <w:u w:val="single"/>
        </w:rPr>
        <w:t>江苏唯诚建设咨询有限公司</w:t>
      </w:r>
    </w:p>
    <w:p>
      <w:pPr>
        <w:topLinePunct/>
        <w:adjustRightInd w:val="0"/>
        <w:snapToGrid w:val="0"/>
        <w:spacing w:before="120" w:after="120" w:line="3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扬州市维扬路106#，商城国际大厦19F1909</w:t>
      </w:r>
    </w:p>
    <w:p>
      <w:pPr>
        <w:topLinePunct/>
        <w:adjustRightInd w:val="0"/>
        <w:snapToGrid w:val="0"/>
        <w:spacing w:before="120" w:after="120" w:line="3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u w:val="single"/>
          <w:lang w:eastAsia="zh-CN"/>
        </w:rPr>
        <w:t>刘书玲</w:t>
      </w:r>
    </w:p>
    <w:p>
      <w:pPr>
        <w:topLinePunct/>
        <w:adjustRightInd w:val="0"/>
        <w:snapToGrid w:val="0"/>
        <w:spacing w:before="120" w:after="120" w:line="360" w:lineRule="exact"/>
        <w:ind w:firstLine="420" w:firstLineChars="200"/>
        <w:jc w:val="left"/>
        <w:rPr>
          <w:color w:val="auto"/>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0514-87880356、19975036700</w:t>
      </w:r>
      <w:r>
        <w:rPr>
          <w:rFonts w:hint="eastAsia" w:ascii="宋体" w:hAnsi="宋体" w:cs="宋体"/>
          <w:color w:val="auto"/>
          <w:kern w:val="0"/>
          <w:szCs w:val="21"/>
          <w:highlight w:val="none"/>
          <w:u w:val="single"/>
        </w:rPr>
        <w:t xml:space="preserve"> </w:t>
      </w:r>
      <w:r>
        <w:rPr>
          <w:rFonts w:hint="eastAsia"/>
          <w:color w:val="auto"/>
          <w:szCs w:val="21"/>
          <w:highlight w:val="none"/>
        </w:rPr>
        <w:t>　　　　　　　　　　　　</w:t>
      </w:r>
    </w:p>
    <w:p>
      <w:pPr>
        <w:topLinePunct/>
        <w:adjustRightInd w:val="0"/>
        <w:snapToGrid w:val="0"/>
        <w:spacing w:before="120" w:after="120" w:line="360" w:lineRule="exact"/>
        <w:jc w:val="right"/>
        <w:rPr>
          <w:rFonts w:hint="eastAsia" w:ascii="宋体" w:hAnsi="宋体" w:cs="宋体"/>
          <w:color w:val="auto"/>
          <w:kern w:val="0"/>
          <w:szCs w:val="21"/>
          <w:highlight w:val="none"/>
          <w:shd w:val="clear" w:color="auto" w:fill="FFFFFF"/>
        </w:rPr>
      </w:pPr>
    </w:p>
    <w:p>
      <w:pPr>
        <w:topLinePunct/>
        <w:adjustRightInd w:val="0"/>
        <w:snapToGrid w:val="0"/>
        <w:spacing w:before="120" w:after="120" w:line="360" w:lineRule="exact"/>
        <w:jc w:val="righ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rPr>
        <w:t>招标人：</w:t>
      </w:r>
      <w:r>
        <w:rPr>
          <w:rFonts w:hint="eastAsia" w:ascii="宋体" w:hAnsi="宋体" w:cs="宋体"/>
          <w:color w:val="auto"/>
          <w:kern w:val="0"/>
          <w:szCs w:val="21"/>
          <w:highlight w:val="none"/>
          <w:shd w:val="clear" w:color="auto" w:fill="FFFFFF"/>
          <w:lang w:eastAsia="zh-CN"/>
        </w:rPr>
        <w:t>扬州古城历史文化保护建设有限公司</w:t>
      </w:r>
    </w:p>
    <w:p>
      <w:pPr>
        <w:topLinePunct/>
        <w:adjustRightInd w:val="0"/>
        <w:snapToGrid w:val="0"/>
        <w:spacing w:before="120" w:after="120" w:line="360" w:lineRule="exact"/>
        <w:jc w:val="righ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招标代理机构：江苏唯诚建设咨询有限公司</w:t>
      </w:r>
    </w:p>
    <w:p>
      <w:pPr>
        <w:snapToGrid w:val="0"/>
        <w:spacing w:before="120" w:after="120" w:line="360" w:lineRule="exact"/>
        <w:jc w:val="right"/>
        <w:rPr>
          <w:b/>
          <w:sz w:val="32"/>
          <w:szCs w:val="32"/>
          <w:highlight w:val="none"/>
        </w:rPr>
      </w:pPr>
      <w:r>
        <w:rPr>
          <w:rFonts w:hint="eastAsia" w:ascii="宋体" w:hAnsi="宋体" w:cs="宋体"/>
          <w:color w:val="auto"/>
          <w:kern w:val="0"/>
          <w:szCs w:val="21"/>
          <w:highlight w:val="none"/>
          <w:shd w:val="clear" w:color="auto" w:fill="FFFFFF"/>
        </w:rPr>
        <w:t>202</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rPr>
        <w:t xml:space="preserve"> 年</w:t>
      </w:r>
      <w:r>
        <w:rPr>
          <w:rFonts w:hint="eastAsia" w:ascii="宋体" w:hAnsi="宋体" w:cs="宋体"/>
          <w:color w:val="auto"/>
          <w:kern w:val="0"/>
          <w:szCs w:val="21"/>
          <w:highlight w:val="none"/>
          <w:shd w:val="clear" w:color="auto" w:fill="FFFFFF"/>
          <w:lang w:val="en-US" w:eastAsia="zh-CN"/>
        </w:rPr>
        <w:t>10</w:t>
      </w:r>
      <w:r>
        <w:rPr>
          <w:rFonts w:hint="eastAsia" w:ascii="宋体" w:hAnsi="宋体" w:cs="宋体"/>
          <w:color w:val="auto"/>
          <w:kern w:val="0"/>
          <w:szCs w:val="21"/>
          <w:highlight w:val="none"/>
          <w:shd w:val="clear" w:color="auto" w:fill="FFFFFF"/>
        </w:rPr>
        <w:t xml:space="preserve"> 月</w:t>
      </w:r>
      <w:r>
        <w:rPr>
          <w:rFonts w:hint="eastAsia" w:ascii="宋体" w:hAnsi="宋体" w:cs="宋体"/>
          <w:color w:val="auto"/>
          <w:kern w:val="0"/>
          <w:szCs w:val="21"/>
          <w:highlight w:val="none"/>
          <w:shd w:val="clear" w:color="auto" w:fill="FFFFFF"/>
          <w:lang w:val="en-US" w:eastAsia="zh-CN"/>
        </w:rPr>
        <w:t>25</w:t>
      </w:r>
      <w:r>
        <w:rPr>
          <w:rFonts w:hint="eastAsia" w:ascii="宋体" w:hAnsi="宋体" w:cs="宋体"/>
          <w:color w:val="auto"/>
          <w:kern w:val="0"/>
          <w:szCs w:val="21"/>
          <w:highlight w:val="none"/>
          <w:shd w:val="clear" w:color="auto" w:fill="FFFFFF"/>
        </w:rPr>
        <w:t>日</w:t>
      </w:r>
      <w:r>
        <w:rPr>
          <w:b/>
          <w:sz w:val="32"/>
          <w:szCs w:val="32"/>
          <w:highlight w:val="none"/>
        </w:rPr>
        <w:br w:type="page"/>
      </w:r>
    </w:p>
    <w:p>
      <w:pPr>
        <w:adjustRightInd w:val="0"/>
        <w:snapToGrid w:val="0"/>
        <w:spacing w:line="440" w:lineRule="exact"/>
        <w:ind w:firstLine="960" w:firstLineChars="200"/>
        <w:contextualSpacing/>
        <w:jc w:val="center"/>
        <w:rPr>
          <w:b/>
          <w:sz w:val="48"/>
          <w:szCs w:val="48"/>
          <w:highlight w:val="none"/>
        </w:rPr>
      </w:pPr>
    </w:p>
    <w:p>
      <w:pPr>
        <w:adjustRightInd w:val="0"/>
        <w:snapToGrid w:val="0"/>
        <w:spacing w:line="440" w:lineRule="exact"/>
        <w:contextualSpacing/>
        <w:jc w:val="center"/>
        <w:outlineLvl w:val="0"/>
        <w:rPr>
          <w:b/>
          <w:sz w:val="32"/>
          <w:szCs w:val="32"/>
          <w:highlight w:val="none"/>
        </w:rPr>
      </w:pPr>
      <w:bookmarkStart w:id="57" w:name="_Toc29751"/>
      <w:r>
        <w:rPr>
          <w:rFonts w:hint="eastAsia"/>
          <w:b/>
          <w:sz w:val="44"/>
          <w:szCs w:val="44"/>
          <w:highlight w:val="none"/>
        </w:rPr>
        <w:t>第二章投标须知</w:t>
      </w:r>
      <w:bookmarkEnd w:id="1"/>
      <w:bookmarkEnd w:id="57"/>
    </w:p>
    <w:p>
      <w:pPr>
        <w:adjustRightInd w:val="0"/>
        <w:snapToGrid w:val="0"/>
        <w:spacing w:line="440" w:lineRule="exact"/>
        <w:ind w:firstLine="560" w:firstLineChars="200"/>
        <w:contextualSpacing/>
        <w:jc w:val="center"/>
        <w:rPr>
          <w:b/>
          <w:sz w:val="28"/>
          <w:szCs w:val="28"/>
          <w:highlight w:val="none"/>
        </w:rPr>
      </w:pPr>
      <w:bookmarkStart w:id="58" w:name="_Toc76707803"/>
      <w:r>
        <w:rPr>
          <w:rFonts w:hint="eastAsia"/>
          <w:b/>
          <w:sz w:val="28"/>
          <w:szCs w:val="28"/>
          <w:highlight w:val="none"/>
        </w:rPr>
        <w:t>投标须知前附表</w:t>
      </w:r>
      <w:bookmarkEnd w:id="58"/>
    </w:p>
    <w:tbl>
      <w:tblPr>
        <w:tblStyle w:val="3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2311"/>
        <w:gridCol w:w="5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atLeast"/>
          <w:tblHeader/>
        </w:trPr>
        <w:tc>
          <w:tcPr>
            <w:tcW w:w="394" w:type="pct"/>
            <w:vAlign w:val="center"/>
          </w:tcPr>
          <w:p>
            <w:pPr>
              <w:pStyle w:val="10"/>
              <w:keepNext w:val="0"/>
              <w:keepLines w:val="0"/>
              <w:pageBreakBefore w:val="0"/>
              <w:kinsoku/>
              <w:overflowPunct/>
              <w:topLinePunct w:val="0"/>
              <w:bidi w:val="0"/>
              <w:adjustRightInd w:val="0"/>
              <w:snapToGrid w:val="0"/>
              <w:spacing w:before="60" w:after="60" w:line="288" w:lineRule="auto"/>
              <w:ind w:firstLine="0"/>
              <w:contextualSpacing/>
              <w:rPr>
                <w:rFonts w:hint="eastAsia" w:ascii="宋体" w:hAnsi="宋体" w:eastAsia="宋体" w:cs="宋体"/>
                <w:b/>
                <w:kern w:val="0"/>
                <w:sz w:val="24"/>
                <w:szCs w:val="24"/>
                <w:highlight w:val="none"/>
              </w:rPr>
            </w:pPr>
            <w:bookmarkStart w:id="59" w:name="_总则"/>
            <w:bookmarkEnd w:id="59"/>
            <w:r>
              <w:rPr>
                <w:rFonts w:hint="eastAsia" w:ascii="宋体" w:hAnsi="宋体" w:eastAsia="宋体" w:cs="宋体"/>
                <w:b/>
                <w:kern w:val="0"/>
                <w:sz w:val="24"/>
                <w:szCs w:val="24"/>
                <w:highlight w:val="none"/>
              </w:rPr>
              <w:t>序号</w:t>
            </w:r>
          </w:p>
        </w:tc>
        <w:tc>
          <w:tcPr>
            <w:tcW w:w="1283" w:type="pct"/>
            <w:vAlign w:val="center"/>
          </w:tcPr>
          <w:p>
            <w:pPr>
              <w:pStyle w:val="10"/>
              <w:keepNext w:val="0"/>
              <w:keepLines w:val="0"/>
              <w:pageBreakBefore w:val="0"/>
              <w:kinsoku/>
              <w:overflowPunct/>
              <w:topLinePunct w:val="0"/>
              <w:bidi w:val="0"/>
              <w:adjustRightInd w:val="0"/>
              <w:snapToGrid w:val="0"/>
              <w:spacing w:before="60" w:after="60" w:line="288" w:lineRule="auto"/>
              <w:ind w:firstLine="0"/>
              <w:contextualSpacing/>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条款名称</w:t>
            </w:r>
          </w:p>
        </w:tc>
        <w:tc>
          <w:tcPr>
            <w:tcW w:w="3322" w:type="pct"/>
            <w:vAlign w:val="center"/>
          </w:tcPr>
          <w:p>
            <w:pPr>
              <w:pStyle w:val="10"/>
              <w:keepNext w:val="0"/>
              <w:keepLines w:val="0"/>
              <w:pageBreakBefore w:val="0"/>
              <w:kinsoku/>
              <w:overflowPunct/>
              <w:topLinePunct w:val="0"/>
              <w:bidi w:val="0"/>
              <w:adjustRightInd w:val="0"/>
              <w:snapToGrid w:val="0"/>
              <w:spacing w:before="60" w:after="60" w:line="288" w:lineRule="auto"/>
              <w:ind w:firstLine="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招标人</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招标人：</w:t>
            </w:r>
            <w:r>
              <w:rPr>
                <w:rFonts w:hint="eastAsia" w:ascii="宋体" w:hAnsi="宋体" w:eastAsia="宋体" w:cs="宋体"/>
                <w:kern w:val="0"/>
                <w:sz w:val="21"/>
                <w:szCs w:val="21"/>
                <w:highlight w:val="none"/>
                <w:lang w:eastAsia="zh-CN"/>
              </w:rPr>
              <w:t>扬州古城历史文化保护建设有限公司</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联系人：</w:t>
            </w:r>
            <w:r>
              <w:rPr>
                <w:rFonts w:hint="eastAsia" w:ascii="宋体" w:hAnsi="宋体" w:cs="宋体"/>
                <w:kern w:val="0"/>
                <w:sz w:val="21"/>
                <w:szCs w:val="21"/>
                <w:highlight w:val="none"/>
                <w:lang w:eastAsia="zh-CN"/>
              </w:rPr>
              <w:t>高工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6"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招标代理机构</w:t>
            </w:r>
          </w:p>
        </w:tc>
        <w:tc>
          <w:tcPr>
            <w:tcW w:w="3322" w:type="pct"/>
            <w:vAlign w:val="center"/>
          </w:tcPr>
          <w:p>
            <w:pPr>
              <w:keepNext w:val="0"/>
              <w:keepLines w:val="0"/>
              <w:pageBreakBefore w:val="0"/>
              <w:kinsoku/>
              <w:wordWrap/>
              <w:overflowPunct/>
              <w:topLinePunct w:val="0"/>
              <w:autoSpaceDE/>
              <w:autoSpaceDN/>
              <w:bidi w:val="0"/>
              <w:adjustRightInd w:val="0"/>
              <w:snapToGrid w:val="0"/>
              <w:spacing w:before="60" w:after="60" w:line="288" w:lineRule="auto"/>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招标代理机构：江苏唯诚建设咨询有限公司</w:t>
            </w:r>
          </w:p>
          <w:p>
            <w:pPr>
              <w:keepNext w:val="0"/>
              <w:keepLines w:val="0"/>
              <w:pageBreakBefore w:val="0"/>
              <w:kinsoku/>
              <w:wordWrap/>
              <w:overflowPunct/>
              <w:topLinePunct w:val="0"/>
              <w:autoSpaceDE/>
              <w:autoSpaceDN/>
              <w:bidi w:val="0"/>
              <w:adjustRightInd w:val="0"/>
              <w:snapToGrid w:val="0"/>
              <w:spacing w:before="60" w:after="60" w:line="288" w:lineRule="auto"/>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联系人：</w:t>
            </w:r>
            <w:r>
              <w:rPr>
                <w:rFonts w:hint="eastAsia" w:ascii="宋体" w:hAnsi="宋体" w:eastAsia="宋体" w:cs="宋体"/>
                <w:kern w:val="0"/>
                <w:sz w:val="21"/>
                <w:szCs w:val="21"/>
                <w:highlight w:val="none"/>
                <w:lang w:eastAsia="zh-CN"/>
              </w:rPr>
              <w:t>刘书玲</w:t>
            </w:r>
          </w:p>
          <w:p>
            <w:pPr>
              <w:keepNext w:val="0"/>
              <w:keepLines w:val="0"/>
              <w:pageBreakBefore w:val="0"/>
              <w:kinsoku/>
              <w:wordWrap/>
              <w:overflowPunct/>
              <w:topLinePunct w:val="0"/>
              <w:autoSpaceDE/>
              <w:autoSpaceDN/>
              <w:bidi w:val="0"/>
              <w:adjustRightInd w:val="0"/>
              <w:snapToGrid w:val="0"/>
              <w:spacing w:before="60" w:after="60" w:line="288" w:lineRule="auto"/>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电话：</w:t>
            </w:r>
            <w:r>
              <w:rPr>
                <w:rFonts w:hint="eastAsia" w:ascii="宋体" w:hAnsi="宋体" w:eastAsia="宋体" w:cs="宋体"/>
                <w:color w:val="000000"/>
                <w:kern w:val="0"/>
                <w:sz w:val="21"/>
                <w:szCs w:val="21"/>
                <w:highlight w:val="none"/>
              </w:rPr>
              <w:t>0514-87880356</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地址：扬州市维扬路106号，商城国际大厦19F</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招标项目名称</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cs="宋体"/>
                <w:color w:val="000000"/>
                <w:kern w:val="0"/>
                <w:sz w:val="21"/>
                <w:szCs w:val="21"/>
                <w:highlight w:val="none"/>
                <w:lang w:eastAsia="zh-CN"/>
              </w:rPr>
              <w:t>扬州市古城小秦淮河保护更新二期项目</w:t>
            </w:r>
            <w:r>
              <w:rPr>
                <w:rFonts w:hint="eastAsia" w:ascii="宋体" w:hAnsi="宋体" w:eastAsia="宋体" w:cs="宋体"/>
                <w:color w:val="000000"/>
                <w:kern w:val="0"/>
                <w:sz w:val="21"/>
                <w:szCs w:val="21"/>
                <w:highlight w:val="none"/>
              </w:rPr>
              <w:t>工程勘察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资金来源和落实情况</w:t>
            </w:r>
          </w:p>
        </w:tc>
        <w:tc>
          <w:tcPr>
            <w:tcW w:w="3322" w:type="pct"/>
            <w:vAlign w:val="center"/>
          </w:tcPr>
          <w:p>
            <w:pPr>
              <w:keepNext w:val="0"/>
              <w:keepLines w:val="0"/>
              <w:pageBreakBefore w:val="0"/>
              <w:kinsoku/>
              <w:wordWrap/>
              <w:overflowPunct/>
              <w:topLinePunct w:val="0"/>
              <w:autoSpaceDE/>
              <w:autoSpaceDN/>
              <w:bidi w:val="0"/>
              <w:adjustRightInd w:val="0"/>
              <w:snapToGrid w:val="0"/>
              <w:spacing w:before="60" w:after="60" w:line="288" w:lineRule="auto"/>
              <w:contextualSpacing/>
              <w:jc w:val="left"/>
              <w:rPr>
                <w:rFonts w:hint="eastAsia" w:ascii="宋体" w:hAnsi="宋体" w:eastAsia="宋体" w:cs="宋体"/>
                <w:i/>
                <w:kern w:val="0"/>
                <w:sz w:val="21"/>
                <w:szCs w:val="21"/>
                <w:highlight w:val="none"/>
                <w:u w:val="single"/>
              </w:rPr>
            </w:pPr>
            <w:r>
              <w:rPr>
                <w:rFonts w:hint="eastAsia" w:ascii="宋体" w:hAnsi="宋体" w:eastAsia="宋体" w:cs="宋体"/>
                <w:kern w:val="0"/>
                <w:sz w:val="21"/>
                <w:szCs w:val="21"/>
                <w:highlight w:val="none"/>
                <w:lang w:eastAsia="zh-CN"/>
              </w:rPr>
              <w:t>自筹</w:t>
            </w:r>
            <w:r>
              <w:rPr>
                <w:rFonts w:hint="eastAsia" w:ascii="宋体" w:hAnsi="宋体" w:eastAsia="宋体" w:cs="宋体"/>
                <w:kern w:val="0"/>
                <w:sz w:val="21"/>
                <w:szCs w:val="21"/>
                <w:highlight w:val="none"/>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建设地点</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lang w:eastAsia="zh-CN"/>
              </w:rPr>
              <w:t>扬州市广陵区，北至盐阜路，</w:t>
            </w:r>
            <w:r>
              <w:rPr>
                <w:rFonts w:hint="eastAsia" w:ascii="宋体" w:hAnsi="宋体" w:eastAsia="宋体" w:cs="宋体"/>
                <w:color w:val="auto"/>
                <w:kern w:val="0"/>
                <w:sz w:val="21"/>
                <w:szCs w:val="21"/>
                <w:highlight w:val="none"/>
              </w:rPr>
              <w:t>南至文昌中路，</w:t>
            </w:r>
            <w:r>
              <w:rPr>
                <w:rFonts w:hint="eastAsia" w:ascii="宋体" w:hAnsi="宋体" w:eastAsia="宋体" w:cs="宋体"/>
                <w:color w:val="auto"/>
                <w:kern w:val="0"/>
                <w:sz w:val="21"/>
                <w:szCs w:val="21"/>
                <w:highlight w:val="none"/>
                <w:lang w:eastAsia="zh-CN"/>
              </w:rPr>
              <w:t>西至九巷、十巷、石灰巷沿线，</w:t>
            </w:r>
            <w:r>
              <w:rPr>
                <w:rFonts w:hint="eastAsia" w:ascii="宋体" w:hAnsi="宋体" w:eastAsia="宋体" w:cs="宋体"/>
                <w:color w:val="auto"/>
                <w:kern w:val="0"/>
                <w:sz w:val="21"/>
                <w:szCs w:val="21"/>
                <w:highlight w:val="none"/>
              </w:rPr>
              <w:t>东至天宁门街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北柳巷沿线</w:t>
            </w:r>
            <w:r>
              <w:rPr>
                <w:rFonts w:hint="eastAsia" w:ascii="宋体" w:hAnsi="宋体" w:eastAsia="宋体" w:cs="宋体"/>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建设规模</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eastAsia="zh-CN"/>
              </w:rPr>
              <w:t>该项目拟对小秦淮河沿线区域按节点分期分阶段进行城市更新改造。主要包括：北讲经墩、营城园、净业庵、沈复寓所、大涤草堂、</w:t>
            </w:r>
            <w:r>
              <w:rPr>
                <w:rFonts w:hint="eastAsia" w:ascii="宋体" w:hAnsi="宋体" w:eastAsia="宋体" w:cs="宋体"/>
                <w:kern w:val="0"/>
                <w:sz w:val="21"/>
                <w:szCs w:val="21"/>
                <w:highlight w:val="none"/>
              </w:rPr>
              <w:t>漆器二厂、大东门</w:t>
            </w:r>
            <w:r>
              <w:rPr>
                <w:rFonts w:hint="eastAsia" w:ascii="宋体" w:hAnsi="宋体" w:cs="宋体"/>
                <w:kern w:val="0"/>
                <w:sz w:val="21"/>
                <w:szCs w:val="21"/>
                <w:highlight w:val="none"/>
                <w:lang w:eastAsia="zh-CN"/>
              </w:rPr>
              <w:t>、十巷东、珍园非遗园、台地园</w:t>
            </w:r>
            <w:r>
              <w:rPr>
                <w:rFonts w:hint="eastAsia" w:ascii="宋体" w:hAnsi="宋体" w:eastAsia="宋体" w:cs="宋体"/>
                <w:kern w:val="0"/>
                <w:sz w:val="21"/>
                <w:szCs w:val="21"/>
                <w:highlight w:val="none"/>
              </w:rPr>
              <w:t>等10个</w:t>
            </w:r>
            <w:r>
              <w:rPr>
                <w:rFonts w:hint="eastAsia" w:ascii="宋体" w:hAnsi="宋体" w:cs="宋体"/>
                <w:kern w:val="0"/>
                <w:sz w:val="21"/>
                <w:szCs w:val="21"/>
                <w:highlight w:val="none"/>
                <w:lang w:eastAsia="zh-CN"/>
              </w:rPr>
              <w:t>节点（暂定名）地块改造利用</w:t>
            </w:r>
            <w:r>
              <w:rPr>
                <w:rFonts w:hint="eastAsia" w:ascii="宋体" w:hAnsi="宋体" w:eastAsia="宋体" w:cs="宋体"/>
                <w:kern w:val="0"/>
                <w:sz w:val="21"/>
                <w:szCs w:val="21"/>
                <w:highlight w:val="none"/>
              </w:rPr>
              <w:t>（涉及房屋建筑面积约</w:t>
            </w:r>
            <w:r>
              <w:rPr>
                <w:rFonts w:hint="eastAsia" w:ascii="宋体" w:hAnsi="宋体" w:cs="宋体"/>
                <w:kern w:val="0"/>
                <w:sz w:val="21"/>
                <w:szCs w:val="21"/>
                <w:highlight w:val="none"/>
                <w:lang w:val="en-US" w:eastAsia="zh-CN"/>
              </w:rPr>
              <w:t>30</w:t>
            </w:r>
            <w:r>
              <w:rPr>
                <w:rFonts w:hint="eastAsia" w:ascii="宋体" w:hAnsi="宋体" w:eastAsia="宋体" w:cs="宋体"/>
                <w:kern w:val="0"/>
                <w:sz w:val="21"/>
                <w:szCs w:val="21"/>
                <w:highlight w:val="none"/>
              </w:rPr>
              <w:t>000㎡），</w:t>
            </w:r>
            <w:r>
              <w:rPr>
                <w:rFonts w:hint="eastAsia" w:ascii="宋体" w:hAnsi="宋体" w:cs="宋体"/>
                <w:kern w:val="0"/>
                <w:sz w:val="21"/>
                <w:szCs w:val="21"/>
                <w:highlight w:val="none"/>
                <w:lang w:eastAsia="zh-CN"/>
              </w:rPr>
              <w:t>分步</w:t>
            </w:r>
            <w:r>
              <w:rPr>
                <w:rFonts w:hint="eastAsia" w:ascii="宋体" w:hAnsi="宋体" w:eastAsia="宋体" w:cs="宋体"/>
                <w:kern w:val="0"/>
                <w:sz w:val="21"/>
                <w:szCs w:val="21"/>
                <w:highlight w:val="none"/>
              </w:rPr>
              <w:t>提升完善片区巷道、照明、绿化、景观等基础设施并对小秦淮河1.98公里河道进行环境综合整治</w:t>
            </w:r>
            <w:r>
              <w:rPr>
                <w:rFonts w:hint="eastAsia" w:ascii="宋体" w:hAnsi="宋体" w:cs="宋体"/>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招标类型</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工程勘察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招标范围</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left"/>
              <w:rPr>
                <w:rFonts w:hint="eastAsia" w:ascii="宋体" w:hAnsi="宋体" w:eastAsia="宋体" w:cs="宋体"/>
                <w:color w:val="FF0000"/>
                <w:kern w:val="0"/>
                <w:sz w:val="21"/>
                <w:szCs w:val="21"/>
                <w:highlight w:val="none"/>
              </w:rPr>
            </w:pPr>
            <w:r>
              <w:rPr>
                <w:rFonts w:hint="eastAsia" w:ascii="宋体" w:hAnsi="宋体" w:eastAsia="宋体" w:cs="宋体"/>
                <w:kern w:val="0"/>
                <w:sz w:val="21"/>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1283" w:type="pct"/>
            <w:tcMar>
              <w:left w:w="57" w:type="dxa"/>
              <w:right w:w="57" w:type="dxa"/>
            </w:tcMar>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计划开工日期</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本工程计划于</w:t>
            </w:r>
            <w:r>
              <w:rPr>
                <w:rFonts w:hint="eastAsia" w:ascii="宋体" w:hAnsi="宋体" w:eastAsia="宋体" w:cs="宋体"/>
                <w:kern w:val="0"/>
                <w:sz w:val="21"/>
                <w:szCs w:val="21"/>
                <w:highlight w:val="none"/>
                <w:u w:val="single"/>
              </w:rPr>
              <w:t>202</w:t>
            </w:r>
            <w:r>
              <w:rPr>
                <w:rFonts w:hint="eastAsia" w:ascii="宋体" w:hAnsi="宋体" w:eastAsia="宋体" w:cs="宋体"/>
                <w:kern w:val="0"/>
                <w:sz w:val="21"/>
                <w:szCs w:val="21"/>
                <w:highlight w:val="none"/>
                <w:u w:val="single"/>
                <w:lang w:val="en-US" w:eastAsia="zh-CN"/>
              </w:rPr>
              <w:t>3</w:t>
            </w:r>
            <w:r>
              <w:rPr>
                <w:rFonts w:hint="eastAsia" w:ascii="宋体" w:hAnsi="宋体" w:eastAsia="宋体" w:cs="宋体"/>
                <w:kern w:val="0"/>
                <w:sz w:val="21"/>
                <w:szCs w:val="21"/>
                <w:highlight w:val="none"/>
              </w:rPr>
              <w:t>年</w:t>
            </w:r>
            <w:r>
              <w:rPr>
                <w:rFonts w:hint="eastAsia" w:ascii="宋体" w:hAnsi="宋体" w:eastAsia="宋体" w:cs="宋体"/>
                <w:color w:val="000000" w:themeColor="text1"/>
                <w:kern w:val="0"/>
                <w:sz w:val="21"/>
                <w:szCs w:val="21"/>
                <w:highlight w:val="none"/>
                <w:u w:val="single"/>
                <w14:textFill>
                  <w14:solidFill>
                    <w14:schemeClr w14:val="tx1"/>
                  </w14:solidFill>
                </w14:textFill>
              </w:rPr>
              <w:t>12</w:t>
            </w:r>
            <w:r>
              <w:rPr>
                <w:rFonts w:hint="eastAsia" w:ascii="宋体" w:hAnsi="宋体" w:eastAsia="宋体" w:cs="宋体"/>
                <w:kern w:val="0"/>
                <w:sz w:val="21"/>
                <w:szCs w:val="21"/>
                <w:highlight w:val="none"/>
              </w:rPr>
              <w:t>月开工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9"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服务周期</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b/>
                <w:i/>
                <w:kern w:val="0"/>
                <w:sz w:val="21"/>
                <w:szCs w:val="21"/>
                <w:highlight w:val="none"/>
                <w:u w:val="single"/>
              </w:rPr>
            </w:pPr>
            <w:r>
              <w:rPr>
                <w:rFonts w:hint="eastAsia" w:ascii="宋体" w:hAnsi="宋体" w:eastAsia="宋体" w:cs="宋体"/>
                <w:kern w:val="0"/>
                <w:sz w:val="21"/>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符合国家有关勘察规范和标准，确保通过施工图审查。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投标人资质条件、</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snapToGrid w:val="0"/>
                <w:kern w:val="0"/>
                <w:sz w:val="21"/>
                <w:szCs w:val="21"/>
                <w:highlight w:val="none"/>
              </w:rPr>
              <w:t>能力和信誉</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eastAsia="宋体" w:cs="宋体"/>
                <w:snapToGrid w:val="0"/>
                <w:kern w:val="0"/>
                <w:sz w:val="21"/>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踏勘现场和标前会时间地点</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b/>
                <w:i/>
                <w:kern w:val="0"/>
                <w:sz w:val="21"/>
                <w:szCs w:val="21"/>
                <w:highlight w:val="none"/>
              </w:rPr>
            </w:pPr>
            <w:r>
              <w:rPr>
                <w:rFonts w:hint="eastAsia" w:ascii="宋体" w:hAnsi="宋体" w:eastAsia="宋体" w:cs="宋体"/>
                <w:kern w:val="0"/>
                <w:sz w:val="21"/>
                <w:szCs w:val="21"/>
                <w:highlight w:val="none"/>
              </w:rPr>
              <w:t>招标人不组织投标人踏勘现场，投标人应自行到现场踏勘。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招标文件的澄清</w:t>
            </w:r>
          </w:p>
        </w:tc>
        <w:tc>
          <w:tcPr>
            <w:tcW w:w="3322" w:type="pct"/>
            <w:vAlign w:val="center"/>
          </w:tcPr>
          <w:p>
            <w:pPr>
              <w:keepNext w:val="0"/>
              <w:keepLines w:val="0"/>
              <w:pageBreakBefore w:val="0"/>
              <w:kinsoku/>
              <w:wordWrap/>
              <w:overflowPunct/>
              <w:topLinePunct w:val="0"/>
              <w:autoSpaceDE/>
              <w:autoSpaceDN/>
              <w:bidi w:val="0"/>
              <w:adjustRightInd w:val="0"/>
              <w:snapToGrid w:val="0"/>
              <w:spacing w:before="60" w:after="60" w:line="288" w:lineRule="auto"/>
              <w:contextualSpacing/>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本次招标不举行集中答疑</w:t>
            </w:r>
          </w:p>
          <w:p>
            <w:pPr>
              <w:keepNext w:val="0"/>
              <w:keepLines w:val="0"/>
              <w:pageBreakBefore w:val="0"/>
              <w:kinsoku/>
              <w:wordWrap/>
              <w:overflowPunct/>
              <w:topLinePunct w:val="0"/>
              <w:autoSpaceDE/>
              <w:autoSpaceDN/>
              <w:bidi w:val="0"/>
              <w:adjustRightInd w:val="0"/>
              <w:snapToGrid w:val="0"/>
              <w:spacing w:before="60" w:after="60" w:line="288" w:lineRule="auto"/>
              <w:contextualSpacing/>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投标人提出问题的截止时间:</w:t>
            </w:r>
            <w:r>
              <w:rPr>
                <w:rFonts w:hint="eastAsia" w:ascii="宋体" w:hAnsi="宋体" w:eastAsia="宋体" w:cs="宋体"/>
                <w:snapToGrid w:val="0"/>
                <w:kern w:val="0"/>
                <w:sz w:val="21"/>
                <w:szCs w:val="21"/>
                <w:highlight w:val="none"/>
                <w:lang w:eastAsia="zh-CN"/>
              </w:rPr>
              <w:t>2023</w:t>
            </w:r>
            <w:r>
              <w:rPr>
                <w:rFonts w:hint="eastAsia" w:ascii="宋体" w:hAnsi="宋体" w:eastAsia="宋体" w:cs="宋体"/>
                <w:snapToGrid w:val="0"/>
                <w:kern w:val="0"/>
                <w:sz w:val="21"/>
                <w:szCs w:val="21"/>
                <w:highlight w:val="none"/>
              </w:rPr>
              <w:t>年</w:t>
            </w:r>
            <w:r>
              <w:rPr>
                <w:rFonts w:hint="eastAsia" w:ascii="宋体" w:hAnsi="宋体" w:eastAsia="宋体" w:cs="宋体"/>
                <w:snapToGrid w:val="0"/>
                <w:kern w:val="0"/>
                <w:sz w:val="21"/>
                <w:szCs w:val="21"/>
                <w:highlight w:val="none"/>
                <w:u w:val="single"/>
                <w:lang w:val="en-US" w:eastAsia="zh-CN"/>
              </w:rPr>
              <w:t>10</w:t>
            </w:r>
            <w:r>
              <w:rPr>
                <w:rFonts w:hint="eastAsia" w:ascii="宋体" w:hAnsi="宋体" w:eastAsia="宋体" w:cs="宋体"/>
                <w:snapToGrid w:val="0"/>
                <w:kern w:val="0"/>
                <w:sz w:val="21"/>
                <w:szCs w:val="21"/>
                <w:highlight w:val="none"/>
              </w:rPr>
              <w:t>月</w:t>
            </w:r>
            <w:r>
              <w:rPr>
                <w:rFonts w:hint="eastAsia" w:ascii="宋体" w:hAnsi="宋体" w:cs="宋体"/>
                <w:snapToGrid w:val="0"/>
                <w:kern w:val="0"/>
                <w:sz w:val="21"/>
                <w:szCs w:val="21"/>
                <w:highlight w:val="none"/>
                <w:u w:val="single"/>
                <w:lang w:val="en-US" w:eastAsia="zh-CN"/>
              </w:rPr>
              <w:t>30</w:t>
            </w:r>
            <w:r>
              <w:rPr>
                <w:rFonts w:hint="eastAsia" w:ascii="宋体" w:hAnsi="宋体" w:eastAsia="宋体" w:cs="宋体"/>
                <w:snapToGrid w:val="0"/>
                <w:kern w:val="0"/>
                <w:sz w:val="21"/>
                <w:szCs w:val="21"/>
                <w:highlight w:val="none"/>
              </w:rPr>
              <w:t>日11：00</w:t>
            </w:r>
          </w:p>
          <w:p>
            <w:pPr>
              <w:keepNext w:val="0"/>
              <w:keepLines w:val="0"/>
              <w:pageBreakBefore w:val="0"/>
              <w:kinsoku/>
              <w:wordWrap/>
              <w:overflowPunct/>
              <w:topLinePunct w:val="0"/>
              <w:autoSpaceDE/>
              <w:autoSpaceDN/>
              <w:bidi w:val="0"/>
              <w:adjustRightInd w:val="0"/>
              <w:snapToGrid w:val="0"/>
              <w:spacing w:before="60" w:after="60" w:line="288" w:lineRule="auto"/>
              <w:contextualSpacing/>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 xml:space="preserve">方式：发至邮箱 </w:t>
            </w:r>
            <w:r>
              <w:rPr>
                <w:rFonts w:hint="eastAsia" w:ascii="宋体" w:hAnsi="宋体" w:eastAsia="宋体" w:cs="宋体"/>
                <w:snapToGrid w:val="0"/>
                <w:kern w:val="0"/>
                <w:sz w:val="21"/>
                <w:szCs w:val="21"/>
                <w:highlight w:val="none"/>
                <w:lang w:eastAsia="zh-CN"/>
              </w:rPr>
              <w:t>310491687</w:t>
            </w:r>
            <w:r>
              <w:rPr>
                <w:rFonts w:hint="eastAsia" w:ascii="宋体" w:hAnsi="宋体" w:eastAsia="宋体" w:cs="宋体"/>
                <w:snapToGrid w:val="0"/>
                <w:kern w:val="0"/>
                <w:sz w:val="21"/>
                <w:szCs w:val="21"/>
                <w:highlight w:val="none"/>
              </w:rPr>
              <w:t>@qq.com</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rPr>
            </w:pPr>
            <w:r>
              <w:rPr>
                <w:rFonts w:hint="eastAsia" w:ascii="宋体" w:hAnsi="宋体" w:eastAsia="宋体" w:cs="宋体"/>
                <w:snapToGrid w:val="0"/>
                <w:kern w:val="0"/>
                <w:sz w:val="21"/>
                <w:szCs w:val="21"/>
                <w:highlight w:val="none"/>
              </w:rPr>
              <w:t>招标人书面澄清的时间：</w:t>
            </w:r>
            <w:r>
              <w:rPr>
                <w:rFonts w:hint="eastAsia" w:ascii="宋体" w:hAnsi="宋体" w:eastAsia="宋体" w:cs="宋体"/>
                <w:snapToGrid w:val="0"/>
                <w:kern w:val="0"/>
                <w:sz w:val="21"/>
                <w:szCs w:val="21"/>
                <w:highlight w:val="none"/>
                <w:lang w:eastAsia="zh-CN"/>
              </w:rPr>
              <w:t>2023</w:t>
            </w:r>
            <w:r>
              <w:rPr>
                <w:rFonts w:hint="eastAsia" w:ascii="宋体" w:hAnsi="宋体" w:eastAsia="宋体" w:cs="宋体"/>
                <w:snapToGrid w:val="0"/>
                <w:kern w:val="0"/>
                <w:sz w:val="21"/>
                <w:szCs w:val="21"/>
                <w:highlight w:val="none"/>
              </w:rPr>
              <w:t>年</w:t>
            </w:r>
            <w:r>
              <w:rPr>
                <w:rFonts w:hint="eastAsia" w:ascii="宋体" w:hAnsi="宋体" w:eastAsia="宋体" w:cs="宋体"/>
                <w:snapToGrid w:val="0"/>
                <w:kern w:val="0"/>
                <w:sz w:val="21"/>
                <w:szCs w:val="21"/>
                <w:highlight w:val="none"/>
                <w:u w:val="single"/>
                <w:lang w:val="en-US" w:eastAsia="zh-CN"/>
              </w:rPr>
              <w:t>10</w:t>
            </w:r>
            <w:r>
              <w:rPr>
                <w:rFonts w:hint="eastAsia" w:ascii="宋体" w:hAnsi="宋体" w:eastAsia="宋体" w:cs="宋体"/>
                <w:snapToGrid w:val="0"/>
                <w:kern w:val="0"/>
                <w:sz w:val="21"/>
                <w:szCs w:val="21"/>
                <w:highlight w:val="none"/>
              </w:rPr>
              <w:t>月</w:t>
            </w:r>
            <w:r>
              <w:rPr>
                <w:rFonts w:hint="eastAsia" w:ascii="宋体" w:hAnsi="宋体" w:cs="宋体"/>
                <w:snapToGrid w:val="0"/>
                <w:kern w:val="0"/>
                <w:sz w:val="21"/>
                <w:szCs w:val="21"/>
                <w:highlight w:val="none"/>
                <w:u w:val="single"/>
                <w:lang w:val="en-US" w:eastAsia="zh-CN"/>
              </w:rPr>
              <w:t>30</w:t>
            </w:r>
            <w:r>
              <w:rPr>
                <w:rFonts w:hint="eastAsia" w:ascii="宋体" w:hAnsi="宋体" w:eastAsia="宋体" w:cs="宋体"/>
                <w:snapToGrid w:val="0"/>
                <w:kern w:val="0"/>
                <w:sz w:val="21"/>
                <w:szCs w:val="21"/>
                <w:highlight w:val="none"/>
              </w:rPr>
              <w:t>日 17：00</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i/>
                <w:kern w:val="0"/>
                <w:sz w:val="21"/>
                <w:szCs w:val="21"/>
                <w:highlight w:val="none"/>
                <w:u w:val="single"/>
              </w:rPr>
            </w:pPr>
            <w:r>
              <w:rPr>
                <w:rFonts w:hint="eastAsia" w:ascii="宋体" w:hAnsi="宋体" w:eastAsia="宋体" w:cs="宋体"/>
                <w:kern w:val="0"/>
                <w:sz w:val="21"/>
                <w:szCs w:val="21"/>
                <w:highlight w:val="none"/>
              </w:rPr>
              <w:t>招标人发送澄清的方式：</w:t>
            </w:r>
            <w:r>
              <w:rPr>
                <w:rFonts w:hint="eastAsia" w:ascii="宋体" w:hAnsi="宋体" w:eastAsia="宋体" w:cs="宋体"/>
                <w:kern w:val="0"/>
                <w:sz w:val="21"/>
                <w:szCs w:val="21"/>
                <w:highlight w:val="none"/>
                <w:u w:val="single"/>
              </w:rPr>
              <w:t>书面方式回复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最高限价</w:t>
            </w:r>
          </w:p>
        </w:tc>
        <w:tc>
          <w:tcPr>
            <w:tcW w:w="3322" w:type="pct"/>
            <w:vAlign w:val="center"/>
          </w:tcPr>
          <w:p>
            <w:pPr>
              <w:keepNext w:val="0"/>
              <w:keepLines w:val="0"/>
              <w:pageBreakBefore w:val="0"/>
              <w:widowControl/>
              <w:tabs>
                <w:tab w:val="left" w:pos="900"/>
                <w:tab w:val="left" w:pos="1100"/>
              </w:tabs>
              <w:kinsoku/>
              <w:wordWrap/>
              <w:overflowPunct/>
              <w:topLinePunct w:val="0"/>
              <w:autoSpaceDE/>
              <w:autoSpaceDN/>
              <w:bidi w:val="0"/>
              <w:adjustRightInd w:val="0"/>
              <w:snapToGrid w:val="0"/>
              <w:spacing w:before="60" w:after="60" w:line="288" w:lineRule="auto"/>
              <w:contextualSpacing/>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43.60</w:t>
            </w:r>
            <w:r>
              <w:rPr>
                <w:rFonts w:hint="eastAsia" w:ascii="宋体" w:hAnsi="宋体" w:eastAsia="宋体" w:cs="宋体"/>
                <w:kern w:val="0"/>
                <w:sz w:val="21"/>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投标有效期</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eastAsia="宋体" w:cs="宋体"/>
                <w:snapToGrid w:val="0"/>
                <w:kern w:val="0"/>
                <w:sz w:val="21"/>
                <w:szCs w:val="21"/>
                <w:highlight w:val="none"/>
              </w:rPr>
              <w:t>投标截止日后45日内有效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9"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投标文件组成</w:t>
            </w:r>
          </w:p>
        </w:tc>
        <w:tc>
          <w:tcPr>
            <w:tcW w:w="3322" w:type="pct"/>
            <w:vAlign w:val="center"/>
          </w:tcPr>
          <w:p>
            <w:pPr>
              <w:keepNext w:val="0"/>
              <w:keepLines w:val="0"/>
              <w:pageBreakBefore w:val="0"/>
              <w:kinsoku/>
              <w:wordWrap/>
              <w:overflowPunct/>
              <w:topLinePunct w:val="0"/>
              <w:autoSpaceDE/>
              <w:autoSpaceDN/>
              <w:bidi w:val="0"/>
              <w:adjustRightInd w:val="0"/>
              <w:snapToGrid w:val="0"/>
              <w:spacing w:before="60" w:after="60" w:line="288" w:lineRule="auto"/>
              <w:contextualSpacing/>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第一部分资格证明文件</w:t>
            </w:r>
          </w:p>
          <w:p>
            <w:pPr>
              <w:keepNext w:val="0"/>
              <w:keepLines w:val="0"/>
              <w:pageBreakBefore w:val="0"/>
              <w:kinsoku/>
              <w:wordWrap/>
              <w:overflowPunct/>
              <w:topLinePunct w:val="0"/>
              <w:autoSpaceDE/>
              <w:autoSpaceDN/>
              <w:bidi w:val="0"/>
              <w:adjustRightInd w:val="0"/>
              <w:snapToGrid w:val="0"/>
              <w:spacing w:before="60" w:after="60" w:line="288" w:lineRule="auto"/>
              <w:contextualSpacing/>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（1）企业营业执照（复印件加盖单位公章）；</w:t>
            </w:r>
          </w:p>
          <w:p>
            <w:pPr>
              <w:keepNext w:val="0"/>
              <w:keepLines w:val="0"/>
              <w:pageBreakBefore w:val="0"/>
              <w:kinsoku/>
              <w:wordWrap/>
              <w:overflowPunct/>
              <w:topLinePunct w:val="0"/>
              <w:autoSpaceDE/>
              <w:autoSpaceDN/>
              <w:bidi w:val="0"/>
              <w:adjustRightInd w:val="0"/>
              <w:snapToGrid w:val="0"/>
              <w:spacing w:before="60" w:after="60" w:line="288" w:lineRule="auto"/>
              <w:contextualSpacing/>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（2）企业资质证书（复印件加盖单位公章）；</w:t>
            </w:r>
          </w:p>
          <w:p>
            <w:pPr>
              <w:keepNext w:val="0"/>
              <w:keepLines w:val="0"/>
              <w:pageBreakBefore w:val="0"/>
              <w:tabs>
                <w:tab w:val="center" w:pos="5473"/>
              </w:tabs>
              <w:kinsoku/>
              <w:wordWrap/>
              <w:overflowPunct/>
              <w:topLinePunct w:val="0"/>
              <w:autoSpaceDE/>
              <w:autoSpaceDN/>
              <w:bidi w:val="0"/>
              <w:adjustRightInd w:val="0"/>
              <w:snapToGrid w:val="0"/>
              <w:spacing w:before="60" w:after="60" w:line="288" w:lineRule="auto"/>
              <w:contextualSpacing/>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（3）项目负责人证书（复印件加盖单位公章）；</w:t>
            </w:r>
          </w:p>
          <w:p>
            <w:pPr>
              <w:keepNext w:val="0"/>
              <w:keepLines w:val="0"/>
              <w:pageBreakBefore w:val="0"/>
              <w:kinsoku/>
              <w:wordWrap/>
              <w:overflowPunct/>
              <w:topLinePunct w:val="0"/>
              <w:autoSpaceDE/>
              <w:autoSpaceDN/>
              <w:bidi w:val="0"/>
              <w:adjustRightInd w:val="0"/>
              <w:snapToGrid w:val="0"/>
              <w:spacing w:before="60" w:after="60" w:line="288" w:lineRule="auto"/>
              <w:contextualSpacing/>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（4）提供社保部门出具的</w:t>
            </w:r>
            <w:r>
              <w:rPr>
                <w:rFonts w:hint="eastAsia" w:ascii="宋体" w:hAnsi="宋体" w:eastAsia="宋体" w:cs="宋体"/>
                <w:snapToGrid w:val="0"/>
                <w:kern w:val="0"/>
                <w:sz w:val="21"/>
                <w:szCs w:val="21"/>
                <w:highlight w:val="none"/>
                <w:lang w:eastAsia="zh-CN"/>
              </w:rPr>
              <w:t>2023</w:t>
            </w:r>
            <w:r>
              <w:rPr>
                <w:rFonts w:hint="eastAsia" w:ascii="宋体" w:hAnsi="宋体" w:eastAsia="宋体" w:cs="宋体"/>
                <w:snapToGrid w:val="0"/>
                <w:kern w:val="0"/>
                <w:sz w:val="21"/>
                <w:szCs w:val="21"/>
                <w:highlight w:val="none"/>
              </w:rPr>
              <w:t>年</w:t>
            </w:r>
            <w:r>
              <w:rPr>
                <w:rFonts w:hint="eastAsia" w:ascii="宋体" w:hAnsi="宋体" w:eastAsia="宋体" w:cs="宋体"/>
                <w:snapToGrid w:val="0"/>
                <w:kern w:val="0"/>
                <w:sz w:val="21"/>
                <w:szCs w:val="21"/>
                <w:highlight w:val="none"/>
                <w:lang w:val="en-US" w:eastAsia="zh-CN"/>
              </w:rPr>
              <w:t>7</w:t>
            </w:r>
            <w:r>
              <w:rPr>
                <w:rFonts w:hint="eastAsia" w:ascii="宋体" w:hAnsi="宋体" w:eastAsia="宋体" w:cs="宋体"/>
                <w:snapToGrid w:val="0"/>
                <w:kern w:val="0"/>
                <w:sz w:val="21"/>
                <w:szCs w:val="21"/>
                <w:highlight w:val="none"/>
              </w:rPr>
              <w:t>月～</w:t>
            </w:r>
            <w:r>
              <w:rPr>
                <w:rFonts w:hint="eastAsia" w:ascii="宋体" w:hAnsi="宋体" w:eastAsia="宋体" w:cs="宋体"/>
                <w:snapToGrid w:val="0"/>
                <w:kern w:val="0"/>
                <w:sz w:val="21"/>
                <w:szCs w:val="21"/>
                <w:highlight w:val="none"/>
                <w:lang w:eastAsia="zh-CN"/>
              </w:rPr>
              <w:t>2023</w:t>
            </w:r>
            <w:r>
              <w:rPr>
                <w:rFonts w:hint="eastAsia" w:ascii="宋体" w:hAnsi="宋体" w:eastAsia="宋体" w:cs="宋体"/>
                <w:snapToGrid w:val="0"/>
                <w:kern w:val="0"/>
                <w:sz w:val="21"/>
                <w:szCs w:val="21"/>
                <w:highlight w:val="none"/>
              </w:rPr>
              <w:t>年</w:t>
            </w:r>
            <w:r>
              <w:rPr>
                <w:rFonts w:hint="eastAsia" w:ascii="宋体" w:hAnsi="宋体" w:eastAsia="宋体" w:cs="宋体"/>
                <w:snapToGrid w:val="0"/>
                <w:kern w:val="0"/>
                <w:sz w:val="21"/>
                <w:szCs w:val="21"/>
                <w:highlight w:val="none"/>
                <w:lang w:val="en-US" w:eastAsia="zh-CN"/>
              </w:rPr>
              <w:t>9</w:t>
            </w:r>
            <w:r>
              <w:rPr>
                <w:rFonts w:hint="eastAsia" w:ascii="宋体" w:hAnsi="宋体" w:eastAsia="宋体" w:cs="宋体"/>
                <w:snapToGrid w:val="0"/>
                <w:kern w:val="0"/>
                <w:sz w:val="21"/>
                <w:szCs w:val="21"/>
                <w:highlight w:val="none"/>
              </w:rPr>
              <w:t>月（近3个月）投标人为授权委托人、项目负责人缴纳在职职工养老保险的证明材料（已取消书面证明采用网上自助查询方式的，如当地社保管理部门明确的最大查询期与招标文件规定的月份不一致时，须提供社保管理部门的文件规定；军队或高校设计院可提供上级主管部门出具的人事证明材料）；（复印件加盖单位公章）</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第二部分商务文件</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（5）投标函；</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（6）投标函附表；</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（3）法定代表人资格证明；</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（4）法定代表人授权委托书；</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（5）工程勘察费用报价表；</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（6）企业业绩、奖项证明材料；</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（7）项目负责人资信。</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第三部分勘察</w:t>
            </w:r>
            <w:r>
              <w:rPr>
                <w:rFonts w:hint="eastAsia" w:ascii="宋体" w:hAnsi="宋体" w:cs="宋体"/>
                <w:b/>
                <w:kern w:val="0"/>
                <w:sz w:val="21"/>
                <w:szCs w:val="21"/>
                <w:highlight w:val="none"/>
                <w:lang w:eastAsia="zh-CN"/>
              </w:rPr>
              <w:t>技术</w:t>
            </w:r>
            <w:r>
              <w:rPr>
                <w:rFonts w:hint="eastAsia" w:ascii="宋体" w:hAnsi="宋体" w:eastAsia="宋体" w:cs="宋体"/>
                <w:b/>
                <w:kern w:val="0"/>
                <w:sz w:val="21"/>
                <w:szCs w:val="21"/>
                <w:highlight w:val="none"/>
              </w:rPr>
              <w:t>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投标文件份数</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1、投标文件份数：正本一份，副本四份。当副本和正本不一致时，以正本为准，但副本和正本内容不一致造成的评标差错由投标人自行承担。</w:t>
            </w:r>
          </w:p>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2、装订要求：采用用 A4 纸编制。投标文件的正本和副本应采用胶装方式左侧装订，不得采用活页夹等可随时拆换的方式装订，不得有零散页。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keepNext w:val="0"/>
              <w:keepLines w:val="0"/>
              <w:pageBreakBefore w:val="0"/>
              <w:widowControl/>
              <w:kinsoku/>
              <w:wordWrap/>
              <w:overflowPunct/>
              <w:topLinePunct w:val="0"/>
              <w:autoSpaceDE/>
              <w:autoSpaceDN/>
              <w:bidi w:val="0"/>
              <w:adjustRightInd w:val="0"/>
              <w:snapToGrid w:val="0"/>
              <w:spacing w:before="60" w:after="60" w:line="288"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1283"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snapToGrid w:val="0"/>
                <w:color w:val="000000"/>
                <w:sz w:val="21"/>
                <w:szCs w:val="21"/>
                <w:highlight w:val="none"/>
              </w:rPr>
              <w:t>投标截止时间</w:t>
            </w:r>
          </w:p>
        </w:tc>
        <w:tc>
          <w:tcPr>
            <w:tcW w:w="3322"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b/>
                <w:kern w:val="0"/>
                <w:sz w:val="21"/>
                <w:szCs w:val="21"/>
                <w:highlight w:val="none"/>
              </w:rPr>
            </w:pPr>
            <w:r>
              <w:rPr>
                <w:rFonts w:hint="eastAsia" w:ascii="宋体" w:hAnsi="宋体" w:eastAsia="宋体" w:cs="宋体"/>
                <w:b/>
                <w:snapToGrid w:val="0"/>
                <w:color w:val="000000"/>
                <w:sz w:val="21"/>
                <w:szCs w:val="21"/>
                <w:highlight w:val="none"/>
                <w:u w:val="single"/>
              </w:rPr>
              <w:t>2023</w:t>
            </w:r>
            <w:r>
              <w:rPr>
                <w:rFonts w:hint="eastAsia" w:ascii="宋体" w:hAnsi="宋体" w:eastAsia="宋体" w:cs="宋体"/>
                <w:b/>
                <w:bCs/>
                <w:snapToGrid w:val="0"/>
                <w:color w:val="000000"/>
                <w:sz w:val="21"/>
                <w:szCs w:val="21"/>
                <w:highlight w:val="none"/>
              </w:rPr>
              <w:t>年</w:t>
            </w:r>
            <w:r>
              <w:rPr>
                <w:rFonts w:hint="eastAsia" w:ascii="宋体" w:hAnsi="宋体" w:eastAsia="宋体" w:cs="宋体"/>
                <w:b/>
                <w:bCs/>
                <w:snapToGrid w:val="0"/>
                <w:color w:val="000000"/>
                <w:sz w:val="21"/>
                <w:szCs w:val="21"/>
                <w:highlight w:val="none"/>
                <w:u w:val="single"/>
                <w:lang w:val="en-US" w:eastAsia="zh-CN"/>
              </w:rPr>
              <w:t>10</w:t>
            </w:r>
            <w:r>
              <w:rPr>
                <w:rFonts w:hint="eastAsia" w:ascii="宋体" w:hAnsi="宋体" w:eastAsia="宋体" w:cs="宋体"/>
                <w:b/>
                <w:bCs/>
                <w:snapToGrid w:val="0"/>
                <w:color w:val="000000"/>
                <w:sz w:val="21"/>
                <w:szCs w:val="21"/>
                <w:highlight w:val="none"/>
              </w:rPr>
              <w:t>月</w:t>
            </w:r>
            <w:r>
              <w:rPr>
                <w:rFonts w:hint="eastAsia" w:ascii="宋体" w:hAnsi="宋体" w:cs="宋体"/>
                <w:b/>
                <w:bCs/>
                <w:snapToGrid w:val="0"/>
                <w:color w:val="000000"/>
                <w:sz w:val="21"/>
                <w:szCs w:val="21"/>
                <w:highlight w:val="none"/>
                <w:u w:val="single"/>
                <w:lang w:val="en-US" w:eastAsia="zh-CN"/>
              </w:rPr>
              <w:t>31</w:t>
            </w:r>
            <w:r>
              <w:rPr>
                <w:rFonts w:hint="eastAsia" w:ascii="宋体" w:hAnsi="宋体" w:eastAsia="宋体" w:cs="宋体"/>
                <w:b/>
                <w:bCs/>
                <w:snapToGrid w:val="0"/>
                <w:color w:val="000000"/>
                <w:sz w:val="21"/>
                <w:szCs w:val="21"/>
                <w:highlight w:val="none"/>
              </w:rPr>
              <w:t>日</w:t>
            </w:r>
            <w:r>
              <w:rPr>
                <w:rFonts w:hint="eastAsia" w:ascii="宋体" w:hAnsi="宋体" w:eastAsia="宋体" w:cs="宋体"/>
                <w:b/>
                <w:bCs/>
                <w:snapToGrid w:val="0"/>
                <w:color w:val="000000"/>
                <w:sz w:val="21"/>
                <w:szCs w:val="21"/>
                <w:highlight w:val="none"/>
                <w:u w:val="single"/>
                <w:lang w:val="en-US" w:eastAsia="zh-CN"/>
              </w:rPr>
              <w:t>14</w:t>
            </w:r>
            <w:r>
              <w:rPr>
                <w:rFonts w:hint="eastAsia" w:ascii="宋体" w:hAnsi="宋体" w:eastAsia="宋体" w:cs="宋体"/>
                <w:b/>
                <w:bCs/>
                <w:snapToGrid w:val="0"/>
                <w:color w:val="000000"/>
                <w:sz w:val="21"/>
                <w:szCs w:val="21"/>
                <w:highlight w:val="none"/>
              </w:rPr>
              <w:t>时</w:t>
            </w:r>
            <w:r>
              <w:rPr>
                <w:rFonts w:hint="eastAsia" w:ascii="宋体" w:hAnsi="宋体" w:eastAsia="宋体" w:cs="宋体"/>
                <w:b/>
                <w:bCs/>
                <w:snapToGrid w:val="0"/>
                <w:color w:val="000000"/>
                <w:sz w:val="21"/>
                <w:szCs w:val="21"/>
                <w:highlight w:val="none"/>
                <w:u w:val="single"/>
                <w:lang w:val="en-US" w:eastAsia="zh-CN"/>
              </w:rPr>
              <w:t>3</w:t>
            </w:r>
            <w:r>
              <w:rPr>
                <w:rFonts w:hint="eastAsia" w:ascii="宋体" w:hAnsi="宋体" w:eastAsia="宋体" w:cs="宋体"/>
                <w:b/>
                <w:bCs/>
                <w:snapToGrid w:val="0"/>
                <w:color w:val="000000"/>
                <w:sz w:val="21"/>
                <w:szCs w:val="21"/>
                <w:highlight w:val="none"/>
                <w:u w:val="single"/>
              </w:rPr>
              <w:t>0</w:t>
            </w:r>
            <w:r>
              <w:rPr>
                <w:rFonts w:hint="eastAsia" w:ascii="宋体" w:hAnsi="宋体" w:eastAsia="宋体" w:cs="宋体"/>
                <w:b/>
                <w:bCs/>
                <w:snapToGrid w:val="0"/>
                <w:color w:val="000000"/>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keepNext w:val="0"/>
              <w:keepLines w:val="0"/>
              <w:pageBreakBefore w:val="0"/>
              <w:widowControl/>
              <w:kinsoku/>
              <w:wordWrap/>
              <w:overflowPunct/>
              <w:topLinePunct w:val="0"/>
              <w:autoSpaceDE/>
              <w:autoSpaceDN/>
              <w:bidi w:val="0"/>
              <w:adjustRightInd w:val="0"/>
              <w:snapToGrid w:val="0"/>
              <w:spacing w:before="60" w:after="60" w:line="288"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1283"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投标文件递交地点</w:t>
            </w:r>
          </w:p>
        </w:tc>
        <w:tc>
          <w:tcPr>
            <w:tcW w:w="3322"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江苏唯诚建设咨询有限公司开标室（扬州市维扬路106号，商城国际大厦19F）</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w:t>
            </w:r>
          </w:p>
        </w:tc>
        <w:tc>
          <w:tcPr>
            <w:tcW w:w="1283"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开标会时间</w:t>
            </w:r>
          </w:p>
        </w:tc>
        <w:tc>
          <w:tcPr>
            <w:tcW w:w="3322" w:type="pct"/>
            <w:vAlign w:val="center"/>
          </w:tcPr>
          <w:p>
            <w:pPr>
              <w:pStyle w:val="10"/>
              <w:keepNext w:val="0"/>
              <w:keepLines w:val="0"/>
              <w:pageBreakBefore w:val="0"/>
              <w:kinsoku/>
              <w:wordWrap/>
              <w:overflowPunct/>
              <w:topLinePunct w:val="0"/>
              <w:autoSpaceDE/>
              <w:autoSpaceDN/>
              <w:bidi w:val="0"/>
              <w:adjustRightInd w:val="0"/>
              <w:snapToGrid w:val="0"/>
              <w:spacing w:before="60" w:after="60" w:line="288" w:lineRule="auto"/>
              <w:ind w:firstLine="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同投标截止时间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w:t>
            </w:r>
          </w:p>
        </w:tc>
        <w:tc>
          <w:tcPr>
            <w:tcW w:w="1283"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napToGrid w:val="0"/>
                <w:color w:val="000000"/>
                <w:sz w:val="21"/>
                <w:szCs w:val="21"/>
                <w:highlight w:val="none"/>
              </w:rPr>
              <w:t>开标</w:t>
            </w:r>
          </w:p>
        </w:tc>
        <w:tc>
          <w:tcPr>
            <w:tcW w:w="3322"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lang w:bidi="ar"/>
              </w:rPr>
              <w:t>开标会由招标人或招标代理机构主持，邀请所有投标人参加，投标人法定代表人或者授权代表未出席开标会的，视为其认同开标结果</w:t>
            </w:r>
            <w:r>
              <w:rPr>
                <w:rFonts w:hint="eastAsia" w:ascii="宋体" w:hAnsi="宋体" w:eastAsia="宋体" w:cs="宋体"/>
                <w:snapToGrid w:val="0"/>
                <w:color w:val="00000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22</w:t>
            </w:r>
          </w:p>
        </w:tc>
        <w:tc>
          <w:tcPr>
            <w:tcW w:w="1283"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评标办法</w:t>
            </w:r>
          </w:p>
        </w:tc>
        <w:tc>
          <w:tcPr>
            <w:tcW w:w="3322"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sz w:val="21"/>
                <w:szCs w:val="21"/>
                <w:highlight w:val="none"/>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23</w:t>
            </w:r>
          </w:p>
        </w:tc>
        <w:tc>
          <w:tcPr>
            <w:tcW w:w="1283"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是否授权评委会确定中标人</w:t>
            </w:r>
          </w:p>
        </w:tc>
        <w:tc>
          <w:tcPr>
            <w:tcW w:w="3322"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snapToGrid w:val="0"/>
                <w:color w:val="000000"/>
                <w:sz w:val="21"/>
                <w:szCs w:val="21"/>
                <w:highlight w:val="none"/>
              </w:rPr>
              <w:t>否：</w:t>
            </w:r>
            <w:r>
              <w:rPr>
                <w:rFonts w:hint="eastAsia" w:ascii="宋体" w:hAnsi="宋体" w:eastAsia="宋体" w:cs="宋体"/>
                <w:snapToGrid w:val="0"/>
                <w:color w:val="000000"/>
                <w:sz w:val="21"/>
                <w:szCs w:val="21"/>
                <w:highlight w:val="none"/>
                <w:lang w:eastAsia="zh-CN"/>
              </w:rPr>
              <w:t>推荐中标人</w:t>
            </w:r>
            <w:r>
              <w:rPr>
                <w:rFonts w:hint="eastAsia" w:ascii="宋体" w:hAnsi="宋体" w:cs="宋体"/>
                <w:snapToGrid w:val="0"/>
                <w:color w:val="000000"/>
                <w:sz w:val="21"/>
                <w:szCs w:val="21"/>
                <w:highlight w:val="none"/>
                <w:lang w:eastAsia="zh-CN"/>
              </w:rPr>
              <w:t>候选人</w:t>
            </w:r>
            <w:r>
              <w:rPr>
                <w:rFonts w:hint="eastAsia" w:ascii="宋体" w:hAnsi="宋体" w:eastAsia="宋体" w:cs="宋体"/>
                <w:snapToGrid w:val="0"/>
                <w:color w:val="000000"/>
                <w:sz w:val="21"/>
                <w:szCs w:val="21"/>
                <w:highlight w:val="none"/>
                <w:lang w:eastAsia="zh-CN"/>
              </w:rPr>
              <w:t>人数：</w:t>
            </w:r>
            <w:r>
              <w:rPr>
                <w:rFonts w:hint="eastAsia" w:ascii="宋体" w:hAnsi="宋体" w:eastAsia="宋体" w:cs="宋体"/>
                <w:snapToGrid w:val="0"/>
                <w:color w:val="000000"/>
                <w:sz w:val="21"/>
                <w:szCs w:val="21"/>
                <w:highlight w:val="none"/>
                <w:lang w:val="en-US" w:eastAsia="zh-CN"/>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24</w:t>
            </w:r>
          </w:p>
        </w:tc>
        <w:tc>
          <w:tcPr>
            <w:tcW w:w="1283"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合同结算方式</w:t>
            </w:r>
          </w:p>
        </w:tc>
        <w:tc>
          <w:tcPr>
            <w:tcW w:w="3322"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rPr>
              <w:t>采用</w:t>
            </w:r>
            <w:r>
              <w:rPr>
                <w:rFonts w:hint="eastAsia" w:ascii="宋体" w:hAnsi="宋体" w:eastAsia="宋体" w:cs="宋体"/>
                <w:snapToGrid w:val="0"/>
                <w:color w:val="000000"/>
                <w:sz w:val="21"/>
                <w:szCs w:val="21"/>
                <w:highlight w:val="none"/>
                <w:u w:val="single"/>
              </w:rPr>
              <w:t>固定</w:t>
            </w:r>
            <w:r>
              <w:rPr>
                <w:rFonts w:hint="eastAsia" w:ascii="宋体" w:hAnsi="宋体" w:cs="宋体"/>
                <w:snapToGrid w:val="0"/>
                <w:color w:val="000000"/>
                <w:sz w:val="21"/>
                <w:szCs w:val="21"/>
                <w:highlight w:val="none"/>
                <w:u w:val="single"/>
                <w:lang w:eastAsia="zh-CN"/>
              </w:rPr>
              <w:t>单价</w:t>
            </w:r>
            <w:r>
              <w:rPr>
                <w:rFonts w:hint="eastAsia" w:ascii="宋体" w:hAnsi="宋体" w:eastAsia="宋体" w:cs="宋体"/>
                <w:snapToGrid w:val="0"/>
                <w:color w:val="000000"/>
                <w:sz w:val="21"/>
                <w:szCs w:val="21"/>
                <w:highlight w:val="none"/>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1283"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费用支付</w:t>
            </w:r>
          </w:p>
        </w:tc>
        <w:tc>
          <w:tcPr>
            <w:tcW w:w="3322" w:type="pct"/>
            <w:vAlign w:val="center"/>
          </w:tcPr>
          <w:p>
            <w:pPr>
              <w:pStyle w:val="67"/>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合同签订后，项目分节点实施，</w:t>
            </w:r>
            <w:r>
              <w:rPr>
                <w:rFonts w:hint="eastAsia" w:ascii="宋体" w:hAnsi="宋体" w:eastAsia="宋体" w:cs="宋体"/>
                <w:sz w:val="21"/>
                <w:szCs w:val="21"/>
                <w:highlight w:val="none"/>
              </w:rPr>
              <w:t>勘察人提交勘察成果</w:t>
            </w:r>
            <w:r>
              <w:rPr>
                <w:rFonts w:hint="eastAsia" w:ascii="宋体" w:hAnsi="宋体" w:cs="宋体"/>
                <w:sz w:val="21"/>
                <w:szCs w:val="21"/>
                <w:highlight w:val="none"/>
                <w:lang w:val="en-US" w:eastAsia="zh-CN"/>
              </w:rPr>
              <w:t>并</w:t>
            </w:r>
            <w:r>
              <w:rPr>
                <w:rFonts w:hint="eastAsia" w:ascii="宋体" w:hAnsi="宋体" w:eastAsia="宋体" w:cs="宋体"/>
                <w:sz w:val="21"/>
                <w:szCs w:val="21"/>
                <w:highlight w:val="none"/>
              </w:rPr>
              <w:t>通过审图后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以甲方收到合格审图意见为付款依据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付至</w:t>
            </w:r>
            <w:r>
              <w:rPr>
                <w:rFonts w:hint="eastAsia" w:ascii="宋体" w:hAnsi="宋体" w:cs="宋体"/>
                <w:sz w:val="21"/>
                <w:szCs w:val="21"/>
                <w:highlight w:val="none"/>
                <w:lang w:val="en-US" w:eastAsia="zh-CN"/>
              </w:rPr>
              <w:t>相应节点</w:t>
            </w:r>
            <w:r>
              <w:rPr>
                <w:rFonts w:hint="eastAsia" w:ascii="宋体" w:hAnsi="宋体" w:eastAsia="宋体" w:cs="宋体"/>
                <w:sz w:val="21"/>
                <w:szCs w:val="21"/>
                <w:highlight w:val="none"/>
              </w:rPr>
              <w:t>合同价款的60%；</w:t>
            </w:r>
          </w:p>
          <w:p>
            <w:pPr>
              <w:pStyle w:val="67"/>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结构加固和主体工程完成</w:t>
            </w:r>
            <w:r>
              <w:rPr>
                <w:rFonts w:hint="eastAsia" w:ascii="宋体" w:hAnsi="宋体" w:eastAsia="宋体" w:cs="宋体"/>
                <w:sz w:val="21"/>
                <w:szCs w:val="21"/>
                <w:highlight w:val="none"/>
              </w:rPr>
              <w:t>付至</w:t>
            </w:r>
            <w:r>
              <w:rPr>
                <w:rFonts w:hint="eastAsia" w:ascii="宋体" w:hAnsi="宋体" w:cs="宋体"/>
                <w:sz w:val="21"/>
                <w:szCs w:val="21"/>
                <w:highlight w:val="none"/>
                <w:lang w:val="en-US" w:eastAsia="zh-CN"/>
              </w:rPr>
              <w:t>相应节点</w:t>
            </w:r>
            <w:r>
              <w:rPr>
                <w:rFonts w:hint="eastAsia" w:ascii="宋体" w:hAnsi="宋体" w:eastAsia="宋体" w:cs="宋体"/>
                <w:sz w:val="21"/>
                <w:szCs w:val="21"/>
                <w:highlight w:val="none"/>
              </w:rPr>
              <w:t>合同价款的80%；</w:t>
            </w:r>
          </w:p>
          <w:p>
            <w:pPr>
              <w:pStyle w:val="67"/>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若因甲方原因无法进行正式验收工作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付至</w:t>
            </w:r>
            <w:r>
              <w:rPr>
                <w:rFonts w:hint="eastAsia" w:ascii="宋体" w:hAnsi="宋体" w:cs="宋体"/>
                <w:sz w:val="21"/>
                <w:szCs w:val="21"/>
                <w:highlight w:val="none"/>
                <w:lang w:val="en-US" w:eastAsia="zh-CN"/>
              </w:rPr>
              <w:t>相应节点</w:t>
            </w:r>
            <w:r>
              <w:rPr>
                <w:rFonts w:hint="eastAsia" w:ascii="宋体" w:hAnsi="宋体" w:eastAsia="宋体" w:cs="宋体"/>
                <w:sz w:val="21"/>
                <w:szCs w:val="21"/>
                <w:highlight w:val="none"/>
              </w:rPr>
              <w:t>结算价款的95%；</w:t>
            </w:r>
          </w:p>
          <w:p>
            <w:pPr>
              <w:pStyle w:val="67"/>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全部工程竣工验收网上备案后结清</w:t>
            </w:r>
            <w:r>
              <w:rPr>
                <w:rFonts w:hint="eastAsia" w:ascii="宋体" w:hAnsi="宋体" w:cs="宋体"/>
                <w:sz w:val="21"/>
                <w:szCs w:val="21"/>
                <w:highlight w:val="none"/>
                <w:lang w:val="en-US" w:eastAsia="zh-CN"/>
              </w:rPr>
              <w:t>该节点</w:t>
            </w:r>
            <w:r>
              <w:rPr>
                <w:rFonts w:hint="eastAsia" w:ascii="宋体" w:hAnsi="宋体" w:eastAsia="宋体" w:cs="宋体"/>
                <w:sz w:val="21"/>
                <w:szCs w:val="21"/>
                <w:highlight w:val="none"/>
              </w:rPr>
              <w:t>全部勘察费用。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w:t>
            </w:r>
          </w:p>
        </w:tc>
        <w:tc>
          <w:tcPr>
            <w:tcW w:w="1283"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其他</w:t>
            </w:r>
          </w:p>
        </w:tc>
        <w:tc>
          <w:tcPr>
            <w:tcW w:w="3322"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Style w:val="41"/>
                <w:rFonts w:hint="eastAsia" w:ascii="宋体" w:hAnsi="宋体" w:eastAsia="宋体" w:cs="宋体"/>
                <w:bCs/>
                <w:color w:val="000000"/>
                <w:sz w:val="21"/>
                <w:szCs w:val="21"/>
                <w:highlight w:val="none"/>
                <w:lang w:eastAsia="zh-CN"/>
              </w:rPr>
            </w:pPr>
            <w:r>
              <w:rPr>
                <w:rFonts w:hint="eastAsia" w:ascii="宋体" w:hAnsi="宋体" w:eastAsia="宋体" w:cs="宋体"/>
                <w:snapToGrid w:val="0"/>
                <w:color w:val="000000"/>
                <w:sz w:val="21"/>
                <w:szCs w:val="21"/>
                <w:highlight w:val="none"/>
              </w:rPr>
              <w:t>下文中与“前附表”内容不一致的，以“前附表”为准；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blHeader/>
        </w:trPr>
        <w:tc>
          <w:tcPr>
            <w:tcW w:w="394" w:type="pct"/>
            <w:vAlign w:val="center"/>
          </w:tcPr>
          <w:p>
            <w:pPr>
              <w:pStyle w:val="10"/>
              <w:keepNext w:val="0"/>
              <w:keepLines w:val="0"/>
              <w:pageBreakBefore w:val="0"/>
              <w:tabs>
                <w:tab w:val="center" w:pos="0"/>
              </w:tabs>
              <w:kinsoku/>
              <w:wordWrap/>
              <w:overflowPunct/>
              <w:topLinePunct w:val="0"/>
              <w:autoSpaceDE/>
              <w:autoSpaceDN/>
              <w:bidi w:val="0"/>
              <w:adjustRightInd w:val="0"/>
              <w:snapToGrid w:val="0"/>
              <w:spacing w:before="60" w:after="60" w:line="288" w:lineRule="auto"/>
              <w:ind w:firstLine="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27</w:t>
            </w:r>
          </w:p>
        </w:tc>
        <w:tc>
          <w:tcPr>
            <w:tcW w:w="1283"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解释权</w:t>
            </w:r>
          </w:p>
        </w:tc>
        <w:tc>
          <w:tcPr>
            <w:tcW w:w="3322" w:type="pct"/>
            <w:vAlign w:val="center"/>
          </w:tcPr>
          <w:p>
            <w:pPr>
              <w:keepNext w:val="0"/>
              <w:keepLines w:val="0"/>
              <w:pageBreakBefore w:val="0"/>
              <w:widowControl w:val="0"/>
              <w:kinsoku/>
              <w:wordWrap/>
              <w:overflowPunct/>
              <w:topLinePunct w:val="0"/>
              <w:autoSpaceDE/>
              <w:autoSpaceDN/>
              <w:bidi w:val="0"/>
              <w:adjustRightInd w:val="0"/>
              <w:snapToGrid w:val="0"/>
              <w:spacing w:before="60" w:after="60" w:line="288" w:lineRule="auto"/>
              <w:ind w:left="0" w:leftChars="0" w:firstLine="0" w:firstLineChars="0"/>
              <w:jc w:val="left"/>
              <w:textAlignment w:val="auto"/>
              <w:rPr>
                <w:rStyle w:val="41"/>
                <w:rFonts w:hint="eastAsia" w:ascii="宋体" w:hAnsi="宋体" w:eastAsia="宋体" w:cs="宋体"/>
                <w:bCs/>
                <w:color w:val="000000"/>
                <w:sz w:val="21"/>
                <w:szCs w:val="21"/>
                <w:highlight w:val="none"/>
                <w:lang w:eastAsia="zh-CN"/>
              </w:rPr>
            </w:pPr>
            <w:r>
              <w:rPr>
                <w:rFonts w:hint="eastAsia" w:ascii="宋体" w:hAnsi="宋体" w:eastAsia="宋体" w:cs="宋体"/>
                <w:snapToGrid w:val="0"/>
                <w:color w:val="000000"/>
                <w:sz w:val="21"/>
                <w:szCs w:val="21"/>
                <w:highlight w:val="none"/>
              </w:rPr>
              <w:t>构成本招标文件的各个组成文件应互为解释，互为说明；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按本款前述规定仍不能形成结论的，由招标人负责解释。</w:t>
            </w:r>
          </w:p>
        </w:tc>
      </w:tr>
    </w:tbl>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pPr>
        <w:pStyle w:val="45"/>
        <w:numPr>
          <w:ilvl w:val="0"/>
          <w:numId w:val="3"/>
        </w:numPr>
        <w:ind w:firstLineChars="0"/>
        <w:jc w:val="center"/>
        <w:rPr>
          <w:rFonts w:asciiTheme="minorEastAsia" w:hAnsiTheme="minorEastAsia" w:eastAsiaTheme="minorEastAsia"/>
          <w:b/>
          <w:sz w:val="32"/>
          <w:szCs w:val="32"/>
          <w:highlight w:val="none"/>
        </w:rPr>
      </w:pPr>
      <w:bookmarkStart w:id="60" w:name="_招标文件"/>
      <w:bookmarkEnd w:id="60"/>
      <w:bookmarkStart w:id="61" w:name="_Toc310965891"/>
      <w:bookmarkStart w:id="62" w:name="_Toc310966010"/>
      <w:bookmarkStart w:id="63" w:name="_Toc316985953"/>
      <w:bookmarkStart w:id="64" w:name="_Toc76707811"/>
      <w:r>
        <w:rPr>
          <w:rFonts w:hint="eastAsia" w:asciiTheme="minorEastAsia" w:hAnsiTheme="minorEastAsia" w:eastAsiaTheme="minorEastAsia"/>
          <w:b/>
          <w:sz w:val="32"/>
          <w:szCs w:val="32"/>
          <w:highlight w:val="none"/>
        </w:rPr>
        <w:t>总则</w:t>
      </w:r>
      <w:bookmarkEnd w:id="61"/>
      <w:bookmarkEnd w:id="62"/>
      <w:bookmarkEnd w:id="63"/>
    </w:p>
    <w:p>
      <w:pPr>
        <w:pStyle w:val="10"/>
        <w:tabs>
          <w:tab w:val="left" w:pos="400"/>
        </w:tabs>
        <w:snapToGrid w:val="0"/>
        <w:spacing w:line="440" w:lineRule="exact"/>
        <w:ind w:firstLine="417" w:firstLineChars="149"/>
        <w:contextualSpacing/>
        <w:outlineLvl w:val="2"/>
        <w:rPr>
          <w:rFonts w:asciiTheme="minorEastAsia" w:hAnsiTheme="minorEastAsia" w:eastAsiaTheme="minorEastAsia"/>
          <w:b/>
          <w:sz w:val="28"/>
          <w:szCs w:val="28"/>
          <w:highlight w:val="none"/>
        </w:rPr>
      </w:pPr>
      <w:bookmarkStart w:id="65" w:name="_Toc310966011"/>
      <w:bookmarkStart w:id="66" w:name="_Toc310965892"/>
      <w:bookmarkStart w:id="67" w:name="_Toc316985954"/>
      <w:r>
        <w:rPr>
          <w:rFonts w:hint="eastAsia" w:asciiTheme="minorEastAsia" w:hAnsiTheme="minorEastAsia" w:eastAsiaTheme="minorEastAsia"/>
          <w:b/>
          <w:sz w:val="28"/>
          <w:szCs w:val="28"/>
          <w:highlight w:val="none"/>
        </w:rPr>
        <w:t>1、工程说明</w:t>
      </w:r>
      <w:bookmarkEnd w:id="65"/>
      <w:bookmarkEnd w:id="66"/>
      <w:bookmarkEnd w:id="67"/>
    </w:p>
    <w:p>
      <w:pPr>
        <w:pStyle w:val="10"/>
        <w:snapToGrid w:val="0"/>
        <w:spacing w:line="440" w:lineRule="exact"/>
        <w:ind w:firstLineChars="200"/>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根据《中华人民共和国招标投标法》</w:t>
      </w:r>
      <w:r>
        <w:rPr>
          <w:rFonts w:asciiTheme="minorEastAsia" w:hAnsiTheme="minorEastAsia" w:eastAsiaTheme="minorEastAsia"/>
          <w:szCs w:val="21"/>
          <w:highlight w:val="none"/>
        </w:rPr>
        <w:t>等有关法律、法规和规章的规定，</w:t>
      </w:r>
      <w:r>
        <w:rPr>
          <w:rFonts w:hint="eastAsia" w:asciiTheme="minorEastAsia" w:hAnsiTheme="minorEastAsia" w:eastAsiaTheme="minorEastAsia"/>
          <w:szCs w:val="21"/>
          <w:highlight w:val="none"/>
        </w:rPr>
        <w:t>本招标项目已具备招标条件，现本项目进行勘察招标。</w:t>
      </w:r>
    </w:p>
    <w:p>
      <w:pPr>
        <w:pStyle w:val="10"/>
        <w:snapToGrid w:val="0"/>
        <w:spacing w:line="44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1.1招标项目招标人和其委托的招标代理机构：</w:t>
      </w:r>
      <w:r>
        <w:rPr>
          <w:rFonts w:hint="eastAsia" w:asciiTheme="minorEastAsia" w:hAnsiTheme="minorEastAsia" w:eastAsiaTheme="minorEastAsia"/>
          <w:b/>
          <w:szCs w:val="21"/>
          <w:highlight w:val="none"/>
          <w:u w:val="single"/>
        </w:rPr>
        <w:t>见投标须知前附表</w:t>
      </w:r>
      <w:r>
        <w:rPr>
          <w:rFonts w:hint="eastAsia" w:asciiTheme="minorEastAsia" w:hAnsiTheme="minorEastAsia" w:eastAsiaTheme="minorEastAsia"/>
          <w:szCs w:val="21"/>
          <w:highlight w:val="none"/>
        </w:rPr>
        <w:t>。</w:t>
      </w:r>
    </w:p>
    <w:p>
      <w:pPr>
        <w:pStyle w:val="10"/>
        <w:snapToGrid w:val="0"/>
        <w:spacing w:line="440" w:lineRule="exact"/>
        <w:ind w:left="424" w:firstLine="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1.2招标项目名称：</w:t>
      </w:r>
      <w:r>
        <w:rPr>
          <w:rFonts w:hint="eastAsia" w:asciiTheme="minorEastAsia" w:hAnsiTheme="minorEastAsia" w:eastAsiaTheme="minorEastAsia"/>
          <w:b/>
          <w:szCs w:val="21"/>
          <w:highlight w:val="none"/>
          <w:u w:val="single"/>
        </w:rPr>
        <w:t>见投标须知前附表</w:t>
      </w:r>
      <w:r>
        <w:rPr>
          <w:rFonts w:hint="eastAsia" w:asciiTheme="minorEastAsia" w:hAnsiTheme="minorEastAsia" w:eastAsiaTheme="minorEastAsia"/>
          <w:szCs w:val="21"/>
          <w:highlight w:val="none"/>
        </w:rPr>
        <w:t>。</w:t>
      </w:r>
    </w:p>
    <w:p>
      <w:pPr>
        <w:pStyle w:val="10"/>
        <w:snapToGrid w:val="0"/>
        <w:spacing w:line="440" w:lineRule="exact"/>
        <w:ind w:left="424" w:firstLine="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1.3资金来源和落实情况：</w:t>
      </w:r>
      <w:r>
        <w:rPr>
          <w:rFonts w:hint="eastAsia" w:asciiTheme="minorEastAsia" w:hAnsiTheme="minorEastAsia" w:eastAsiaTheme="minorEastAsia"/>
          <w:b/>
          <w:szCs w:val="21"/>
          <w:highlight w:val="none"/>
          <w:u w:val="single"/>
        </w:rPr>
        <w:t>见投标须知前附表</w:t>
      </w:r>
      <w:r>
        <w:rPr>
          <w:rFonts w:hint="eastAsia" w:asciiTheme="minorEastAsia" w:hAnsiTheme="minorEastAsia" w:eastAsiaTheme="minorEastAsia"/>
          <w:szCs w:val="21"/>
          <w:highlight w:val="none"/>
        </w:rPr>
        <w:t>。</w:t>
      </w:r>
    </w:p>
    <w:p>
      <w:pPr>
        <w:pStyle w:val="10"/>
        <w:snapToGrid w:val="0"/>
        <w:spacing w:line="440" w:lineRule="exact"/>
        <w:ind w:left="424" w:firstLine="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1.4招标项目的建设地点：</w:t>
      </w:r>
      <w:r>
        <w:rPr>
          <w:rFonts w:hint="eastAsia" w:asciiTheme="minorEastAsia" w:hAnsiTheme="minorEastAsia" w:eastAsiaTheme="minorEastAsia"/>
          <w:b/>
          <w:szCs w:val="21"/>
          <w:highlight w:val="none"/>
          <w:u w:val="single"/>
        </w:rPr>
        <w:t>见投标须知前附表</w:t>
      </w:r>
      <w:r>
        <w:rPr>
          <w:rFonts w:hint="eastAsia" w:asciiTheme="minorEastAsia" w:hAnsiTheme="minorEastAsia" w:eastAsiaTheme="minorEastAsia"/>
          <w:szCs w:val="21"/>
          <w:highlight w:val="none"/>
        </w:rPr>
        <w:t>。</w:t>
      </w:r>
    </w:p>
    <w:p>
      <w:pPr>
        <w:pStyle w:val="10"/>
        <w:tabs>
          <w:tab w:val="left" w:pos="400"/>
        </w:tabs>
        <w:snapToGrid w:val="0"/>
        <w:spacing w:beforeLines="50" w:afterLines="50" w:line="440" w:lineRule="exact"/>
        <w:contextualSpacing/>
        <w:outlineLvl w:val="2"/>
        <w:rPr>
          <w:rFonts w:asciiTheme="minorEastAsia" w:hAnsiTheme="minorEastAsia" w:eastAsiaTheme="minorEastAsia"/>
          <w:b/>
          <w:sz w:val="28"/>
          <w:szCs w:val="28"/>
          <w:highlight w:val="none"/>
        </w:rPr>
      </w:pPr>
      <w:bookmarkStart w:id="68" w:name="_Toc316985955"/>
      <w:bookmarkStart w:id="69" w:name="_Toc310965893"/>
      <w:bookmarkStart w:id="70" w:name="_Toc310966012"/>
      <w:r>
        <w:rPr>
          <w:rFonts w:hint="eastAsia" w:asciiTheme="minorEastAsia" w:hAnsiTheme="minorEastAsia" w:eastAsiaTheme="minorEastAsia"/>
          <w:b/>
          <w:sz w:val="28"/>
          <w:szCs w:val="28"/>
          <w:highlight w:val="none"/>
        </w:rPr>
        <w:t>2、资格审查方式</w:t>
      </w:r>
      <w:bookmarkEnd w:id="68"/>
      <w:bookmarkEnd w:id="69"/>
      <w:bookmarkEnd w:id="70"/>
    </w:p>
    <w:p>
      <w:pPr>
        <w:pStyle w:val="10"/>
        <w:snapToGrid w:val="0"/>
        <w:spacing w:line="440" w:lineRule="exact"/>
        <w:ind w:firstLineChars="200"/>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2.1本招标项目招标人对投标人的资格审查方式：</w:t>
      </w:r>
      <w:r>
        <w:rPr>
          <w:rFonts w:hint="eastAsia" w:asciiTheme="minorEastAsia" w:hAnsiTheme="minorEastAsia" w:eastAsiaTheme="minorEastAsia"/>
          <w:b/>
          <w:szCs w:val="21"/>
          <w:highlight w:val="none"/>
          <w:u w:val="single"/>
        </w:rPr>
        <w:t>采用资格后审</w:t>
      </w:r>
      <w:r>
        <w:rPr>
          <w:rFonts w:hint="eastAsia" w:asciiTheme="minorEastAsia" w:hAnsiTheme="minorEastAsia" w:eastAsiaTheme="minorEastAsia"/>
          <w:szCs w:val="21"/>
          <w:highlight w:val="none"/>
        </w:rPr>
        <w:t>。</w:t>
      </w:r>
    </w:p>
    <w:p>
      <w:pPr>
        <w:pStyle w:val="10"/>
        <w:tabs>
          <w:tab w:val="left" w:pos="1000"/>
        </w:tabs>
        <w:snapToGrid w:val="0"/>
        <w:spacing w:line="440" w:lineRule="exact"/>
        <w:ind w:firstLineChars="200"/>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2.2经资格审查合格的投标人才能有资格成为潜在中标人。</w:t>
      </w:r>
    </w:p>
    <w:p>
      <w:pPr>
        <w:pStyle w:val="10"/>
        <w:tabs>
          <w:tab w:val="left" w:pos="400"/>
        </w:tabs>
        <w:snapToGrid w:val="0"/>
        <w:spacing w:line="440" w:lineRule="exact"/>
        <w:ind w:firstLine="417" w:firstLineChars="149"/>
        <w:contextualSpacing/>
        <w:outlineLvl w:val="2"/>
        <w:rPr>
          <w:rFonts w:asciiTheme="minorEastAsia" w:hAnsiTheme="minorEastAsia" w:eastAsiaTheme="minorEastAsia"/>
          <w:b/>
          <w:sz w:val="28"/>
          <w:szCs w:val="28"/>
          <w:highlight w:val="none"/>
        </w:rPr>
      </w:pPr>
      <w:bookmarkStart w:id="71" w:name="_Toc310966013"/>
      <w:bookmarkStart w:id="72" w:name="_Toc310965894"/>
      <w:bookmarkStart w:id="73" w:name="_Toc316985956"/>
      <w:r>
        <w:rPr>
          <w:rFonts w:hint="eastAsia" w:asciiTheme="minorEastAsia" w:hAnsiTheme="minorEastAsia" w:eastAsiaTheme="minorEastAsia"/>
          <w:b/>
          <w:sz w:val="28"/>
          <w:szCs w:val="28"/>
          <w:highlight w:val="none"/>
        </w:rPr>
        <w:t>3、投标人的资格要求</w:t>
      </w:r>
      <w:bookmarkEnd w:id="71"/>
      <w:bookmarkEnd w:id="72"/>
      <w:bookmarkEnd w:id="73"/>
    </w:p>
    <w:p>
      <w:pPr>
        <w:adjustRightInd w:val="0"/>
        <w:snapToGrid w:val="0"/>
        <w:spacing w:line="440" w:lineRule="exact"/>
        <w:ind w:firstLine="420" w:firstLineChars="200"/>
        <w:contextualSpacing/>
        <w:jc w:val="left"/>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3.1投标人的应具备承担本标段勘察服务的资质条件、能力和信誉：</w:t>
      </w:r>
      <w:r>
        <w:rPr>
          <w:rFonts w:hint="eastAsia" w:asciiTheme="minorEastAsia" w:hAnsiTheme="minorEastAsia" w:eastAsiaTheme="minorEastAsia"/>
          <w:b/>
          <w:szCs w:val="21"/>
          <w:highlight w:val="none"/>
          <w:u w:val="single"/>
        </w:rPr>
        <w:t>见投标须知前附表</w:t>
      </w:r>
      <w:r>
        <w:rPr>
          <w:rFonts w:hint="eastAsia" w:asciiTheme="minorEastAsia" w:hAnsiTheme="minorEastAsia" w:eastAsiaTheme="minorEastAsia"/>
          <w:snapToGrid w:val="0"/>
          <w:kern w:val="0"/>
          <w:highlight w:val="none"/>
        </w:rPr>
        <w:t>。</w:t>
      </w:r>
    </w:p>
    <w:p>
      <w:pPr>
        <w:pStyle w:val="45"/>
        <w:adjustRightInd w:val="0"/>
        <w:snapToGrid w:val="0"/>
        <w:spacing w:line="440" w:lineRule="exact"/>
        <w:ind w:firstLine="362" w:firstLineChars="185"/>
        <w:contextualSpacing/>
        <w:rPr>
          <w:rFonts w:asciiTheme="minorEastAsia" w:hAnsiTheme="minorEastAsia" w:eastAsiaTheme="minorEastAsia"/>
          <w:highlight w:val="none"/>
        </w:rPr>
      </w:pPr>
      <w:r>
        <w:rPr>
          <w:rFonts w:hint="eastAsia" w:asciiTheme="minorEastAsia" w:hAnsiTheme="minorEastAsia" w:eastAsiaTheme="minorEastAsia"/>
          <w:color w:val="000000"/>
          <w:spacing w:val="-7"/>
          <w:highlight w:val="none"/>
        </w:rPr>
        <w:t>3.2</w:t>
      </w:r>
      <w:r>
        <w:rPr>
          <w:rFonts w:cs="Calibri" w:asciiTheme="minorEastAsia" w:hAnsiTheme="minorEastAsia" w:eastAsiaTheme="minorEastAsia"/>
          <w:color w:val="000000"/>
          <w:highlight w:val="none"/>
        </w:rPr>
        <w:t> </w:t>
      </w:r>
      <w:r>
        <w:rPr>
          <w:rFonts w:cs="宋体" w:asciiTheme="minorEastAsia" w:hAnsiTheme="minorEastAsia" w:eastAsiaTheme="minorEastAsia"/>
          <w:color w:val="000000"/>
          <w:spacing w:val="-7"/>
          <w:highlight w:val="none"/>
        </w:rPr>
        <w:t>投标人不得存在下列情形之一：</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（1）为招标人不具有独立法人资格的附属机构（单位）；</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（2）与招标人存在利害关系且可能影响招标公正性；</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（3）与本招标项目的其他投标人为同一个单位负责人；</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（4）与本招标项目的其他投标人存在控股、管理关系；</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（5）为本招标项目的代建人；</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（6）为本招标项目的招标代理机构；</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（7）与本招标项目的代建人或招标代理机构同为一个法定代表人；</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（8）与本招标项目的代建人或招标代理机构存在控股或参股关系；</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（9）被依法暂停或者取消投标资格；</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（10）被责令停产停业、暂扣或者吊销许可证、暂扣或者吊销执照；</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（11）进入清算程序，或被宣告破产，或其他丧失履约能力的情形；</w:t>
      </w:r>
    </w:p>
    <w:p>
      <w:pPr>
        <w:pStyle w:val="45"/>
        <w:adjustRightInd w:val="0"/>
        <w:snapToGrid w:val="0"/>
        <w:spacing w:line="440" w:lineRule="exact"/>
        <w:contextualSpacing/>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（12）被“信用中国”网站列入失信被执行人名单；</w:t>
      </w:r>
    </w:p>
    <w:p>
      <w:pPr>
        <w:pStyle w:val="45"/>
        <w:adjustRightInd w:val="0"/>
        <w:snapToGrid w:val="0"/>
        <w:spacing w:line="440" w:lineRule="exact"/>
        <w:ind w:left="630" w:firstLine="0" w:firstLineChars="0"/>
        <w:contextualSpacing/>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（13）</w:t>
      </w:r>
      <w:r>
        <w:rPr>
          <w:rFonts w:asciiTheme="minorEastAsia" w:hAnsiTheme="minorEastAsia" w:eastAsiaTheme="minorEastAsia"/>
          <w:snapToGrid w:val="0"/>
          <w:kern w:val="0"/>
          <w:highlight w:val="none"/>
        </w:rPr>
        <w:t>法律法规或</w:t>
      </w:r>
      <w:r>
        <w:rPr>
          <w:rFonts w:hint="eastAsia" w:asciiTheme="minorEastAsia" w:hAnsiTheme="minorEastAsia" w:eastAsiaTheme="minorEastAsia"/>
          <w:snapToGrid w:val="0"/>
          <w:kern w:val="0"/>
          <w:highlight w:val="none"/>
        </w:rPr>
        <w:t>投标须知前附表</w:t>
      </w:r>
      <w:r>
        <w:rPr>
          <w:rFonts w:asciiTheme="minorEastAsia" w:hAnsiTheme="minorEastAsia" w:eastAsiaTheme="minorEastAsia"/>
          <w:snapToGrid w:val="0"/>
          <w:kern w:val="0"/>
          <w:highlight w:val="none"/>
        </w:rPr>
        <w:t>规定的其他情形。</w:t>
      </w:r>
    </w:p>
    <w:p>
      <w:pPr>
        <w:pStyle w:val="10"/>
        <w:tabs>
          <w:tab w:val="left" w:pos="400"/>
        </w:tabs>
        <w:snapToGrid w:val="0"/>
        <w:spacing w:line="440" w:lineRule="exact"/>
        <w:ind w:firstLine="422" w:firstLineChars="151"/>
        <w:contextualSpacing/>
        <w:outlineLvl w:val="2"/>
        <w:rPr>
          <w:rFonts w:asciiTheme="minorEastAsia" w:hAnsiTheme="minorEastAsia" w:eastAsiaTheme="minorEastAsia"/>
          <w:b/>
          <w:sz w:val="28"/>
          <w:szCs w:val="28"/>
          <w:highlight w:val="none"/>
        </w:rPr>
      </w:pPr>
      <w:bookmarkStart w:id="74" w:name="_Toc310965895"/>
      <w:bookmarkStart w:id="75" w:name="_Toc310966014"/>
      <w:bookmarkStart w:id="76" w:name="_Toc316985957"/>
      <w:r>
        <w:rPr>
          <w:rFonts w:hint="eastAsia" w:asciiTheme="minorEastAsia" w:hAnsiTheme="minorEastAsia" w:eastAsiaTheme="minorEastAsia"/>
          <w:b/>
          <w:sz w:val="28"/>
          <w:szCs w:val="28"/>
          <w:highlight w:val="none"/>
        </w:rPr>
        <w:t>4、投标费用</w:t>
      </w:r>
      <w:bookmarkEnd w:id="74"/>
      <w:bookmarkEnd w:id="75"/>
      <w:bookmarkEnd w:id="76"/>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4.1投标人应承担其编制投标文件以及递交投标文件等参加本招标活动所涉及的一切费用。</w:t>
      </w:r>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4.2本次招标对未中标人不给予经济补偿。</w:t>
      </w:r>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4.3评委费用由中标单位支付。</w:t>
      </w:r>
    </w:p>
    <w:p>
      <w:pPr>
        <w:pStyle w:val="10"/>
        <w:tabs>
          <w:tab w:val="left" w:pos="400"/>
        </w:tabs>
        <w:snapToGrid w:val="0"/>
        <w:spacing w:line="440" w:lineRule="exact"/>
        <w:ind w:firstLine="420" w:firstLineChars="200"/>
        <w:contextualSpacing/>
        <w:outlineLvl w:val="2"/>
        <w:rPr>
          <w:rFonts w:asciiTheme="minorEastAsia" w:hAnsiTheme="minorEastAsia" w:eastAsiaTheme="minorEastAsia"/>
          <w:b/>
          <w:szCs w:val="21"/>
          <w:highlight w:val="none"/>
        </w:rPr>
      </w:pPr>
      <w:bookmarkStart w:id="77" w:name="_Toc316985958"/>
      <w:bookmarkStart w:id="78" w:name="_Toc310966015"/>
      <w:bookmarkStart w:id="79" w:name="_Toc310965896"/>
      <w:r>
        <w:rPr>
          <w:rFonts w:hint="eastAsia" w:asciiTheme="minorEastAsia" w:hAnsiTheme="minorEastAsia" w:eastAsiaTheme="minorEastAsia"/>
          <w:b/>
          <w:szCs w:val="21"/>
          <w:highlight w:val="none"/>
        </w:rPr>
        <w:t>5、踏勘现场</w:t>
      </w:r>
      <w:bookmarkEnd w:id="77"/>
      <w:bookmarkEnd w:id="78"/>
      <w:bookmarkEnd w:id="79"/>
    </w:p>
    <w:p>
      <w:pPr>
        <w:pStyle w:val="10"/>
        <w:tabs>
          <w:tab w:val="left" w:pos="510"/>
          <w:tab w:val="left" w:pos="1000"/>
        </w:tabs>
        <w:snapToGrid w:val="0"/>
        <w:spacing w:line="440" w:lineRule="exact"/>
        <w:ind w:firstLineChars="200"/>
        <w:contextualSpacing/>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5.1投标人应对工程现场和其周围环境进行踏勘，以便在投标前获取有关编制投标文件和签署实施工程的设计合同所需的各项资料。投标人应承担现场考察的责任、风险和费用。招标人不组织投标人踏勘现场的，投标人应自行到现场踏勘。</w:t>
      </w:r>
    </w:p>
    <w:p>
      <w:pPr>
        <w:pStyle w:val="10"/>
        <w:tabs>
          <w:tab w:val="left" w:pos="510"/>
          <w:tab w:val="left" w:pos="1000"/>
        </w:tabs>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5.2招标人向投标人提供有关现场的资料和数据，是招标人现有的能使投标人利用的资料，但招标人对投标人由此而做出的推论、理解和结论概不负责。</w:t>
      </w:r>
    </w:p>
    <w:p>
      <w:pPr>
        <w:pStyle w:val="10"/>
        <w:tabs>
          <w:tab w:val="left" w:pos="510"/>
          <w:tab w:val="left" w:pos="1000"/>
        </w:tabs>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5.3投标人在查阅招标文件和踏勘现场后，可以提出要求澄清问题。但所有问题都应以书面形式提交给招标人，招标人视情况做出澄清和解答，并将此澄清和解答以书面的方式发给所有已购买招标文件的投标人。无论答疑会口头回答与否，最终均以书面文件为准。</w:t>
      </w:r>
    </w:p>
    <w:p>
      <w:pPr>
        <w:pStyle w:val="10"/>
        <w:tabs>
          <w:tab w:val="left" w:pos="400"/>
        </w:tabs>
        <w:snapToGrid w:val="0"/>
        <w:spacing w:line="440" w:lineRule="exact"/>
        <w:ind w:firstLine="420" w:firstLineChars="200"/>
        <w:contextualSpacing/>
        <w:outlineLvl w:val="2"/>
        <w:rPr>
          <w:rFonts w:asciiTheme="minorEastAsia" w:hAnsiTheme="minorEastAsia" w:eastAsiaTheme="minorEastAsia"/>
          <w:b/>
          <w:szCs w:val="21"/>
          <w:highlight w:val="none"/>
        </w:rPr>
      </w:pPr>
      <w:bookmarkStart w:id="80" w:name="_Toc316985959"/>
      <w:bookmarkStart w:id="81" w:name="_Toc310966016"/>
      <w:bookmarkStart w:id="82" w:name="_Toc310965897"/>
      <w:r>
        <w:rPr>
          <w:rFonts w:hint="eastAsia" w:asciiTheme="minorEastAsia" w:hAnsiTheme="minorEastAsia" w:eastAsiaTheme="minorEastAsia"/>
          <w:b/>
          <w:szCs w:val="21"/>
          <w:highlight w:val="none"/>
        </w:rPr>
        <w:t>6、知识产权</w:t>
      </w:r>
      <w:bookmarkEnd w:id="80"/>
      <w:bookmarkEnd w:id="81"/>
      <w:bookmarkEnd w:id="82"/>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6.1招标人应保护投标人的知识产权。</w:t>
      </w:r>
    </w:p>
    <w:p>
      <w:pPr>
        <w:pStyle w:val="45"/>
        <w:numPr>
          <w:ilvl w:val="0"/>
          <w:numId w:val="3"/>
        </w:numPr>
        <w:ind w:firstLineChars="0"/>
        <w:jc w:val="center"/>
        <w:rPr>
          <w:rFonts w:asciiTheme="minorEastAsia" w:hAnsiTheme="minorEastAsia" w:eastAsiaTheme="minorEastAsia"/>
          <w:b/>
          <w:sz w:val="32"/>
          <w:szCs w:val="32"/>
          <w:highlight w:val="none"/>
        </w:rPr>
      </w:pPr>
      <w:bookmarkStart w:id="83" w:name="_Toc316985960"/>
      <w:bookmarkStart w:id="84" w:name="_Toc310965898"/>
      <w:bookmarkStart w:id="85" w:name="_Toc310966017"/>
      <w:r>
        <w:rPr>
          <w:rFonts w:hint="eastAsia" w:asciiTheme="minorEastAsia" w:hAnsiTheme="minorEastAsia" w:eastAsiaTheme="minorEastAsia"/>
          <w:b/>
          <w:sz w:val="32"/>
          <w:szCs w:val="32"/>
          <w:highlight w:val="none"/>
        </w:rPr>
        <w:t>招标文件</w:t>
      </w:r>
      <w:bookmarkEnd w:id="83"/>
      <w:bookmarkEnd w:id="84"/>
      <w:bookmarkEnd w:id="85"/>
      <w:bookmarkStart w:id="86" w:name="_Toc316985961"/>
      <w:bookmarkStart w:id="87" w:name="_Toc310965899"/>
      <w:bookmarkStart w:id="88" w:name="_Toc310966018"/>
    </w:p>
    <w:p>
      <w:pPr>
        <w:pStyle w:val="45"/>
        <w:adjustRightInd w:val="0"/>
        <w:snapToGrid w:val="0"/>
        <w:spacing w:line="440" w:lineRule="exact"/>
        <w:ind w:firstLine="562"/>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7、招标文件的组成</w:t>
      </w:r>
      <w:bookmarkEnd w:id="86"/>
      <w:bookmarkEnd w:id="87"/>
      <w:bookmarkEnd w:id="88"/>
    </w:p>
    <w:p>
      <w:pPr>
        <w:pStyle w:val="10"/>
        <w:tabs>
          <w:tab w:val="left" w:pos="0"/>
          <w:tab w:val="left" w:pos="1000"/>
        </w:tabs>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7.1招标文件包括下列内容：</w:t>
      </w:r>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第1章</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招标公告</w:t>
      </w:r>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第2章</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投标须知</w:t>
      </w:r>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第3章</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评标办法</w:t>
      </w:r>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第4章</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合同条款和格式</w:t>
      </w:r>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第5章</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勘察任务书</w:t>
      </w:r>
    </w:p>
    <w:p>
      <w:pPr>
        <w:pStyle w:val="10"/>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第6章</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投标文件格式</w:t>
      </w:r>
    </w:p>
    <w:p>
      <w:pPr>
        <w:pStyle w:val="10"/>
        <w:tabs>
          <w:tab w:val="left" w:pos="510"/>
          <w:tab w:val="left" w:pos="1000"/>
        </w:tabs>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7.2除本投标人须知第7.1款所述的招标文件内容外，招标人在招标期间、符合法定时间发出的答疑、澄清、修改或补充内容，均是招标文件的组成部分，对招标人和投标人起约束作用。</w:t>
      </w:r>
    </w:p>
    <w:p>
      <w:pPr>
        <w:pStyle w:val="10"/>
        <w:tabs>
          <w:tab w:val="left" w:pos="510"/>
          <w:tab w:val="left" w:pos="1000"/>
        </w:tabs>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7.3投标人应认真阅读招标文件中所有的事项、格式等要求。投标人没有按照招标文件要求提交全部资料，或者投标文件没有对招标文件各方面都做出实质性响应是投标人的风险。</w:t>
      </w:r>
    </w:p>
    <w:p>
      <w:pPr>
        <w:pStyle w:val="10"/>
        <w:tabs>
          <w:tab w:val="left" w:pos="510"/>
          <w:tab w:val="left" w:pos="1000"/>
        </w:tabs>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7.4投标人对招标人提供的招标文件所做出的推论、解释和结论，招标人概不负责。投标人由于对招标文件的任何推论和误解以及招标人对有关问题的口头解释所造成的后果，均由投标人自负。</w:t>
      </w:r>
    </w:p>
    <w:p>
      <w:pPr>
        <w:pStyle w:val="10"/>
        <w:tabs>
          <w:tab w:val="left" w:pos="400"/>
        </w:tabs>
        <w:snapToGrid w:val="0"/>
        <w:spacing w:line="440" w:lineRule="exact"/>
        <w:ind w:firstLine="560" w:firstLineChars="200"/>
        <w:contextualSpacing/>
        <w:outlineLvl w:val="2"/>
        <w:rPr>
          <w:rFonts w:asciiTheme="minorEastAsia" w:hAnsiTheme="minorEastAsia" w:eastAsiaTheme="minorEastAsia"/>
          <w:b/>
          <w:sz w:val="28"/>
          <w:szCs w:val="28"/>
          <w:highlight w:val="none"/>
        </w:rPr>
      </w:pPr>
      <w:bookmarkStart w:id="89" w:name="_Toc310965900"/>
      <w:bookmarkStart w:id="90" w:name="_Toc316985962"/>
      <w:bookmarkStart w:id="91" w:name="_Toc310966019"/>
      <w:r>
        <w:rPr>
          <w:rFonts w:hint="eastAsia" w:asciiTheme="minorEastAsia" w:hAnsiTheme="minorEastAsia" w:eastAsiaTheme="minorEastAsia"/>
          <w:b/>
          <w:sz w:val="28"/>
          <w:szCs w:val="28"/>
          <w:highlight w:val="none"/>
        </w:rPr>
        <w:t>8、招标文件的澄清</w:t>
      </w:r>
      <w:bookmarkEnd w:id="89"/>
      <w:bookmarkEnd w:id="90"/>
      <w:bookmarkEnd w:id="91"/>
    </w:p>
    <w:p>
      <w:pPr>
        <w:pStyle w:val="10"/>
        <w:snapToGrid w:val="0"/>
        <w:spacing w:line="440" w:lineRule="exact"/>
        <w:ind w:firstLine="525" w:firstLineChars="25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8.1投标人在收到招标文件应仔细阅读和检查招标文件的全部内容, 如发现缺页或附件不全，应及时向招标人提出，以便补齐。</w:t>
      </w:r>
    </w:p>
    <w:p>
      <w:pPr>
        <w:pStyle w:val="10"/>
        <w:snapToGrid w:val="0"/>
        <w:spacing w:line="440" w:lineRule="exact"/>
        <w:ind w:firstLine="525" w:firstLineChars="25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8.2招标人不组织集中答疑，投标人如有疑问，应在投标须知前附表规定的时间前以书面形式（包括信函、电报、传真等可以有形地表现所载内容的形式，下同）提交招标人（招标代理单位）予以澄清。</w:t>
      </w:r>
    </w:p>
    <w:p>
      <w:pPr>
        <w:pStyle w:val="10"/>
        <w:snapToGrid w:val="0"/>
        <w:spacing w:line="440" w:lineRule="exact"/>
        <w:ind w:firstLine="525" w:firstLineChars="25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8.3招标文件的澄清答疑将在投标须知前附表规定的时间前，在“扬州大学采购管理办公室网站”网上“更正公告”向所有投标人公示。</w:t>
      </w:r>
    </w:p>
    <w:p>
      <w:pPr>
        <w:pStyle w:val="10"/>
        <w:tabs>
          <w:tab w:val="left" w:pos="400"/>
        </w:tabs>
        <w:snapToGrid w:val="0"/>
        <w:spacing w:line="440" w:lineRule="exact"/>
        <w:ind w:firstLine="422" w:firstLineChars="151"/>
        <w:contextualSpacing/>
        <w:outlineLvl w:val="2"/>
        <w:rPr>
          <w:rFonts w:asciiTheme="minorEastAsia" w:hAnsiTheme="minorEastAsia" w:eastAsiaTheme="minorEastAsia"/>
          <w:b/>
          <w:sz w:val="28"/>
          <w:szCs w:val="28"/>
          <w:highlight w:val="none"/>
        </w:rPr>
      </w:pPr>
      <w:bookmarkStart w:id="92" w:name="_Toc316985963"/>
      <w:bookmarkStart w:id="93" w:name="_Toc310966020"/>
      <w:bookmarkStart w:id="94" w:name="_Toc310965901"/>
      <w:r>
        <w:rPr>
          <w:rFonts w:hint="eastAsia" w:asciiTheme="minorEastAsia" w:hAnsiTheme="minorEastAsia" w:eastAsiaTheme="minorEastAsia"/>
          <w:b/>
          <w:sz w:val="28"/>
          <w:szCs w:val="28"/>
          <w:highlight w:val="none"/>
        </w:rPr>
        <w:t>9、招标文件的修改、补充</w:t>
      </w:r>
      <w:bookmarkEnd w:id="92"/>
      <w:bookmarkEnd w:id="93"/>
      <w:bookmarkEnd w:id="94"/>
    </w:p>
    <w:p>
      <w:pPr>
        <w:pStyle w:val="10"/>
        <w:tabs>
          <w:tab w:val="left" w:pos="510"/>
          <w:tab w:val="left" w:pos="1000"/>
        </w:tabs>
        <w:snapToGrid w:val="0"/>
        <w:spacing w:line="440" w:lineRule="exact"/>
        <w:ind w:firstLine="424" w:firstLineChars="202"/>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9.1在投标截止时间</w:t>
      </w:r>
      <w:r>
        <w:rPr>
          <w:rFonts w:hint="eastAsia" w:asciiTheme="minorEastAsia" w:hAnsiTheme="minorEastAsia" w:eastAsiaTheme="minorEastAsia"/>
          <w:szCs w:val="21"/>
          <w:highlight w:val="none"/>
          <w:u w:val="single"/>
        </w:rPr>
        <w:t>10</w:t>
      </w:r>
      <w:r>
        <w:rPr>
          <w:rFonts w:hint="eastAsia" w:asciiTheme="minorEastAsia" w:hAnsiTheme="minorEastAsia" w:eastAsiaTheme="minorEastAsia"/>
          <w:szCs w:val="21"/>
          <w:highlight w:val="none"/>
        </w:rPr>
        <w:t>天前，招标人可以书面形式修改招标文件，并通知所有已购买招标文件的投标人。如果修改招标文件的时间距投标截止时间不足10天，相应延长投标截止时间。</w:t>
      </w:r>
    </w:p>
    <w:p>
      <w:pPr>
        <w:pStyle w:val="10"/>
        <w:tabs>
          <w:tab w:val="left" w:pos="510"/>
          <w:tab w:val="left" w:pos="1000"/>
        </w:tabs>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9.2在投标截止期前，确需对招标文件进行修改的，招标人以招标文件澄清、答疑方式，向所有投标人提出。</w:t>
      </w:r>
    </w:p>
    <w:p>
      <w:pPr>
        <w:pStyle w:val="10"/>
        <w:tabs>
          <w:tab w:val="left" w:pos="510"/>
          <w:tab w:val="left" w:pos="1000"/>
        </w:tabs>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9.3招标人在投标截止期前对招标文件的所作澄清、答疑、修改作为招标文件的组成部分，对招标人、投标人均具有约束力。如果修改招标文件时间距投标截止时间不足10天，为保证投标人合理时间编制投标文件，招标人应合理延长递交投标文件的截止日期。</w:t>
      </w:r>
    </w:p>
    <w:p>
      <w:pPr>
        <w:pStyle w:val="10"/>
        <w:tabs>
          <w:tab w:val="left" w:pos="510"/>
          <w:tab w:val="left" w:pos="1000"/>
        </w:tabs>
        <w:snapToGrid w:val="0"/>
        <w:spacing w:line="440" w:lineRule="exact"/>
        <w:ind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9.4投标人应认真阅读本招标文件中所有的内容，并按招标文件的规定和要求编写投标文件，不能满足招标文件实质性要求的投标文件，将被视为无效投标文件。</w:t>
      </w:r>
    </w:p>
    <w:p>
      <w:pPr>
        <w:adjustRightInd w:val="0"/>
        <w:snapToGrid w:val="0"/>
        <w:spacing w:line="440" w:lineRule="exact"/>
        <w:contextualSpacing/>
        <w:jc w:val="center"/>
        <w:rPr>
          <w:rFonts w:asciiTheme="minorEastAsia" w:hAnsiTheme="minorEastAsia" w:eastAsiaTheme="minorEastAsia"/>
          <w:b/>
          <w:sz w:val="28"/>
          <w:szCs w:val="28"/>
          <w:highlight w:val="none"/>
        </w:rPr>
      </w:pPr>
      <w:bookmarkStart w:id="95" w:name="_Toc310965902"/>
      <w:bookmarkStart w:id="96" w:name="_Toc310966021"/>
      <w:bookmarkStart w:id="97" w:name="_Toc316985964"/>
    </w:p>
    <w:p>
      <w:pPr>
        <w:adjustRightInd w:val="0"/>
        <w:snapToGrid w:val="0"/>
        <w:spacing w:line="440" w:lineRule="exact"/>
        <w:contextualSpacing/>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三、投标文件的编制</w:t>
      </w:r>
      <w:bookmarkEnd w:id="95"/>
      <w:bookmarkEnd w:id="96"/>
      <w:bookmarkEnd w:id="97"/>
    </w:p>
    <w:p>
      <w:pPr>
        <w:pStyle w:val="10"/>
        <w:tabs>
          <w:tab w:val="left" w:pos="400"/>
        </w:tabs>
        <w:snapToGrid w:val="0"/>
        <w:spacing w:beforeLines="50" w:afterLines="50" w:line="440" w:lineRule="exact"/>
        <w:contextualSpacing/>
        <w:outlineLvl w:val="2"/>
        <w:rPr>
          <w:rFonts w:asciiTheme="minorEastAsia" w:hAnsiTheme="minorEastAsia" w:eastAsiaTheme="minorEastAsia"/>
          <w:b/>
          <w:sz w:val="28"/>
          <w:szCs w:val="28"/>
          <w:highlight w:val="none"/>
        </w:rPr>
      </w:pPr>
      <w:bookmarkStart w:id="98" w:name="_Toc316985965"/>
      <w:bookmarkStart w:id="99" w:name="_Toc310965903"/>
      <w:bookmarkStart w:id="100" w:name="_Toc310966022"/>
      <w:r>
        <w:rPr>
          <w:rFonts w:hint="eastAsia" w:asciiTheme="minorEastAsia" w:hAnsiTheme="minorEastAsia" w:eastAsiaTheme="minorEastAsia"/>
          <w:b/>
          <w:sz w:val="28"/>
          <w:szCs w:val="28"/>
          <w:highlight w:val="none"/>
        </w:rPr>
        <w:t>10、投标文件的语言及度量衡单位</w:t>
      </w:r>
      <w:bookmarkEnd w:id="98"/>
      <w:bookmarkEnd w:id="99"/>
      <w:bookmarkEnd w:id="100"/>
    </w:p>
    <w:p>
      <w:pPr>
        <w:pStyle w:val="10"/>
        <w:tabs>
          <w:tab w:val="left" w:pos="400"/>
        </w:tabs>
        <w:snapToGrid w:val="0"/>
        <w:spacing w:line="440" w:lineRule="exact"/>
        <w:ind w:firstLine="422" w:firstLineChars="201"/>
        <w:contextualSpacing/>
        <w:outlineLvl w:val="2"/>
        <w:rPr>
          <w:rFonts w:asciiTheme="minorEastAsia" w:hAnsiTheme="minorEastAsia" w:eastAsiaTheme="minorEastAsia"/>
          <w:b/>
          <w:sz w:val="28"/>
          <w:szCs w:val="28"/>
          <w:highlight w:val="none"/>
        </w:rPr>
      </w:pPr>
      <w:r>
        <w:rPr>
          <w:rFonts w:hint="eastAsia" w:asciiTheme="minorEastAsia" w:hAnsiTheme="minorEastAsia" w:eastAsiaTheme="minorEastAsia"/>
          <w:szCs w:val="21"/>
          <w:highlight w:val="none"/>
        </w:rPr>
        <w:t>10.1投标人和招标人之间对投标有关的所有往来通知、函件和投标文件均使用</w:t>
      </w:r>
      <w:r>
        <w:rPr>
          <w:rFonts w:hint="eastAsia" w:asciiTheme="minorEastAsia" w:hAnsiTheme="minorEastAsia" w:eastAsiaTheme="minorEastAsia"/>
          <w:b/>
          <w:szCs w:val="21"/>
          <w:highlight w:val="none"/>
          <w:u w:val="single"/>
        </w:rPr>
        <w:t>中文</w:t>
      </w:r>
      <w:r>
        <w:rPr>
          <w:rFonts w:hint="eastAsia" w:asciiTheme="minorEastAsia" w:hAnsiTheme="minorEastAsia" w:eastAsiaTheme="minorEastAsia"/>
          <w:szCs w:val="21"/>
          <w:highlight w:val="none"/>
        </w:rPr>
        <w:t>。投标人随投标文件提供的证明文件和资料为其他语言的，必须附中文译文，解释这些文件，应以</w:t>
      </w:r>
      <w:r>
        <w:rPr>
          <w:rFonts w:hint="eastAsia" w:asciiTheme="minorEastAsia" w:hAnsiTheme="minorEastAsia" w:eastAsiaTheme="minorEastAsia"/>
          <w:b/>
          <w:szCs w:val="21"/>
          <w:highlight w:val="none"/>
          <w:u w:val="single"/>
        </w:rPr>
        <w:t>中文</w:t>
      </w:r>
      <w:r>
        <w:rPr>
          <w:rFonts w:hint="eastAsia" w:asciiTheme="minorEastAsia" w:hAnsiTheme="minorEastAsia" w:eastAsiaTheme="minorEastAsia"/>
          <w:szCs w:val="21"/>
          <w:highlight w:val="none"/>
        </w:rPr>
        <w:t>为准。</w:t>
      </w:r>
    </w:p>
    <w:p>
      <w:pPr>
        <w:pStyle w:val="10"/>
        <w:tabs>
          <w:tab w:val="left" w:pos="400"/>
        </w:tabs>
        <w:snapToGrid w:val="0"/>
        <w:spacing w:line="440" w:lineRule="exact"/>
        <w:ind w:firstLine="422" w:firstLineChars="201"/>
        <w:contextualSpacing/>
        <w:outlineLvl w:val="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10.2除技术规范另有规定外，投标文件使用的度量衡单位均应采用中华人民共和国法定计量单位。</w:t>
      </w:r>
    </w:p>
    <w:p>
      <w:pPr>
        <w:pStyle w:val="10"/>
        <w:tabs>
          <w:tab w:val="left" w:pos="400"/>
        </w:tabs>
        <w:snapToGrid w:val="0"/>
        <w:spacing w:line="440" w:lineRule="exact"/>
        <w:ind w:firstLine="422" w:firstLineChars="201"/>
        <w:contextualSpacing/>
        <w:outlineLvl w:val="2"/>
        <w:rPr>
          <w:rFonts w:asciiTheme="minorEastAsia" w:hAnsiTheme="minorEastAsia" w:eastAsiaTheme="minorEastAsia"/>
          <w:b/>
          <w:sz w:val="28"/>
          <w:szCs w:val="28"/>
          <w:highlight w:val="none"/>
        </w:rPr>
      </w:pPr>
      <w:r>
        <w:rPr>
          <w:rFonts w:hint="eastAsia" w:asciiTheme="minorEastAsia" w:hAnsiTheme="minorEastAsia" w:eastAsiaTheme="minorEastAsia"/>
          <w:szCs w:val="21"/>
          <w:highlight w:val="none"/>
        </w:rPr>
        <w:t>10.3勘察费报价货币应采用人民币，若出现必须采用其它货币进行报价的情况，应同时附以人民币表述，并以人民币表述为准；如果单价与总价有出入，以单价为准(单价金额小数点有明显错误的除外)；若数据的文字大写与数字有差别，则以文字大写为准。</w:t>
      </w:r>
    </w:p>
    <w:p>
      <w:pPr>
        <w:pStyle w:val="10"/>
        <w:tabs>
          <w:tab w:val="left" w:pos="400"/>
        </w:tabs>
        <w:snapToGrid w:val="0"/>
        <w:spacing w:line="440" w:lineRule="exact"/>
        <w:ind w:firstLine="560" w:firstLineChars="200"/>
        <w:contextualSpacing/>
        <w:outlineLvl w:val="2"/>
        <w:rPr>
          <w:rFonts w:asciiTheme="minorEastAsia" w:hAnsiTheme="minorEastAsia" w:eastAsiaTheme="minorEastAsia"/>
          <w:b/>
          <w:sz w:val="28"/>
          <w:szCs w:val="28"/>
          <w:highlight w:val="none"/>
        </w:rPr>
      </w:pPr>
      <w:bookmarkStart w:id="101" w:name="_Toc310966023"/>
      <w:bookmarkStart w:id="102" w:name="_Toc310965904"/>
      <w:bookmarkStart w:id="103" w:name="_Toc316985966"/>
      <w:r>
        <w:rPr>
          <w:rFonts w:hint="eastAsia" w:asciiTheme="minorEastAsia" w:hAnsiTheme="minorEastAsia" w:eastAsiaTheme="minorEastAsia"/>
          <w:b/>
          <w:sz w:val="28"/>
          <w:szCs w:val="28"/>
          <w:highlight w:val="none"/>
        </w:rPr>
        <w:t>11、投标文件的组成</w:t>
      </w:r>
      <w:bookmarkEnd w:id="101"/>
      <w:bookmarkEnd w:id="102"/>
      <w:bookmarkEnd w:id="103"/>
    </w:p>
    <w:p>
      <w:pPr>
        <w:pStyle w:val="10"/>
        <w:tabs>
          <w:tab w:val="left" w:pos="400"/>
        </w:tabs>
        <w:snapToGrid w:val="0"/>
        <w:spacing w:line="440" w:lineRule="exact"/>
        <w:contextualSpacing/>
        <w:jc w:val="left"/>
        <w:outlineLvl w:val="2"/>
        <w:rPr>
          <w:rFonts w:asciiTheme="minorEastAsia" w:hAnsiTheme="minorEastAsia" w:eastAsiaTheme="minorEastAsia"/>
          <w:b/>
          <w:color w:val="000000" w:themeColor="text1"/>
          <w:sz w:val="28"/>
          <w:szCs w:val="28"/>
          <w:highlight w:val="none"/>
          <w14:textFill>
            <w14:solidFill>
              <w14:schemeClr w14:val="tx1"/>
            </w14:solidFill>
          </w14:textFill>
        </w:rPr>
      </w:pPr>
      <w:bookmarkStart w:id="104" w:name="_Toc316985967"/>
      <w:bookmarkStart w:id="105" w:name="_Toc310965905"/>
      <w:bookmarkStart w:id="106" w:name="_Toc310966024"/>
      <w:r>
        <w:rPr>
          <w:rFonts w:hint="eastAsia" w:asciiTheme="minorEastAsia" w:hAnsiTheme="minorEastAsia" w:eastAsiaTheme="minorEastAsia"/>
          <w:b/>
          <w:szCs w:val="21"/>
          <w:highlight w:val="none"/>
          <w:u w:val="single"/>
        </w:rPr>
        <w:t>投标文件包括资格证明文件、商务标、技术标，详见投标须知前附表。</w:t>
      </w:r>
    </w:p>
    <w:p>
      <w:pPr>
        <w:pStyle w:val="10"/>
        <w:tabs>
          <w:tab w:val="left" w:pos="400"/>
        </w:tabs>
        <w:snapToGrid w:val="0"/>
        <w:spacing w:line="440" w:lineRule="exact"/>
        <w:contextualSpacing/>
        <w:jc w:val="left"/>
        <w:outlineLvl w:val="2"/>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12、对投标文件的要求</w:t>
      </w:r>
      <w:bookmarkEnd w:id="104"/>
      <w:bookmarkEnd w:id="105"/>
      <w:bookmarkEnd w:id="106"/>
    </w:p>
    <w:p>
      <w:pPr>
        <w:pStyle w:val="10"/>
        <w:tabs>
          <w:tab w:val="left" w:pos="0"/>
          <w:tab w:val="left" w:pos="510"/>
          <w:tab w:val="left" w:pos="1000"/>
        </w:tabs>
        <w:snapToGrid w:val="0"/>
        <w:spacing w:line="440" w:lineRule="exact"/>
        <w:ind w:firstLine="426"/>
        <w:contextualSpacing/>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12.1投标人所提交的投标文件应符合招标文件的要求，满足评标需要的全部资料。</w:t>
      </w:r>
    </w:p>
    <w:p>
      <w:pPr>
        <w:pStyle w:val="10"/>
        <w:tabs>
          <w:tab w:val="left" w:pos="0"/>
          <w:tab w:val="left" w:pos="510"/>
          <w:tab w:val="left" w:pos="1000"/>
        </w:tabs>
        <w:snapToGrid w:val="0"/>
        <w:spacing w:line="440" w:lineRule="exact"/>
        <w:ind w:firstLine="426"/>
        <w:contextualSpacing/>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12.2投标文件应包含投标人须知中规定的内容，</w:t>
      </w:r>
      <w:r>
        <w:rPr>
          <w:rFonts w:hint="eastAsia" w:asciiTheme="minorEastAsia" w:hAnsiTheme="minorEastAsia" w:eastAsiaTheme="minorEastAsia"/>
          <w:b/>
          <w:szCs w:val="21"/>
          <w:highlight w:val="none"/>
        </w:rPr>
        <w:t>投标人提交的投标文件应当使用招标文件第六章所规定的投标文件全部格式</w:t>
      </w:r>
      <w:r>
        <w:rPr>
          <w:rFonts w:hint="eastAsia" w:asciiTheme="minorEastAsia" w:hAnsiTheme="minorEastAsia" w:eastAsiaTheme="minorEastAsia"/>
          <w:szCs w:val="21"/>
          <w:highlight w:val="none"/>
        </w:rPr>
        <w:t>(表格可以按同样格式扩展)，包括完整地填写</w:t>
      </w:r>
      <w:r>
        <w:rPr>
          <w:rFonts w:hint="eastAsia" w:asciiTheme="minorEastAsia" w:hAnsiTheme="minorEastAsia" w:eastAsiaTheme="minorEastAsia"/>
          <w:b/>
          <w:szCs w:val="21"/>
          <w:highlight w:val="none"/>
        </w:rPr>
        <w:t>投标函</w:t>
      </w:r>
      <w:r>
        <w:rPr>
          <w:rFonts w:hint="eastAsia" w:asciiTheme="minorEastAsia" w:hAnsiTheme="minorEastAsia" w:eastAsiaTheme="minorEastAsia"/>
          <w:szCs w:val="21"/>
          <w:highlight w:val="none"/>
        </w:rPr>
        <w:t>和</w:t>
      </w:r>
      <w:r>
        <w:rPr>
          <w:rFonts w:hint="eastAsia" w:asciiTheme="minorEastAsia" w:hAnsiTheme="minorEastAsia" w:eastAsiaTheme="minorEastAsia"/>
          <w:b/>
          <w:szCs w:val="21"/>
          <w:highlight w:val="none"/>
        </w:rPr>
        <w:t>投标函附表</w:t>
      </w:r>
      <w:r>
        <w:rPr>
          <w:rFonts w:hint="eastAsia" w:asciiTheme="minorEastAsia" w:hAnsiTheme="minorEastAsia" w:eastAsiaTheme="minorEastAsia"/>
          <w:szCs w:val="21"/>
          <w:highlight w:val="none"/>
        </w:rPr>
        <w:t>。</w:t>
      </w:r>
    </w:p>
    <w:p>
      <w:pPr>
        <w:pStyle w:val="10"/>
        <w:tabs>
          <w:tab w:val="left" w:pos="0"/>
          <w:tab w:val="left" w:pos="510"/>
          <w:tab w:val="left" w:pos="1000"/>
        </w:tabs>
        <w:snapToGrid w:val="0"/>
        <w:spacing w:line="440" w:lineRule="exact"/>
        <w:ind w:firstLine="426"/>
        <w:contextualSpacing/>
        <w:rPr>
          <w:rFonts w:asciiTheme="minorEastAsia" w:hAnsiTheme="minorEastAsia" w:eastAsiaTheme="minorEastAsia"/>
          <w:b/>
          <w:szCs w:val="21"/>
          <w:highlight w:val="none"/>
        </w:rPr>
      </w:pPr>
      <w:r>
        <w:rPr>
          <w:rFonts w:hint="eastAsia" w:cs="宋体" w:asciiTheme="minorEastAsia" w:hAnsiTheme="minorEastAsia" w:eastAsiaTheme="minorEastAsia"/>
          <w:kern w:val="0"/>
          <w:szCs w:val="21"/>
          <w:highlight w:val="none"/>
        </w:rPr>
        <w:t>12.3</w:t>
      </w:r>
      <w:r>
        <w:rPr>
          <w:rFonts w:cs="宋体" w:asciiTheme="minorEastAsia" w:hAnsiTheme="minorEastAsia" w:eastAsiaTheme="minorEastAsia"/>
          <w:kern w:val="0"/>
          <w:szCs w:val="21"/>
          <w:highlight w:val="none"/>
        </w:rPr>
        <w:t>投标人在投标文件有关技术方案和要求中不得指定与工程建设项目有关的重要设备、材料的生产供应者，或者含有倾向或者排斥特定生产供应者的内容。</w:t>
      </w:r>
    </w:p>
    <w:p>
      <w:pPr>
        <w:pStyle w:val="10"/>
        <w:tabs>
          <w:tab w:val="left" w:pos="0"/>
          <w:tab w:val="left" w:pos="510"/>
          <w:tab w:val="left" w:pos="1000"/>
        </w:tabs>
        <w:snapToGrid w:val="0"/>
        <w:spacing w:line="440" w:lineRule="exact"/>
        <w:ind w:firstLine="426"/>
        <w:contextualSpacing/>
        <w:rPr>
          <w:rFonts w:asciiTheme="minorEastAsia" w:hAnsiTheme="minorEastAsia" w:eastAsiaTheme="minorEastAsia"/>
          <w:b/>
          <w:szCs w:val="21"/>
          <w:highlight w:val="none"/>
        </w:rPr>
      </w:pPr>
      <w:r>
        <w:rPr>
          <w:rFonts w:hint="eastAsia" w:cs="宋体" w:asciiTheme="minorEastAsia" w:hAnsiTheme="minorEastAsia" w:eastAsiaTheme="minorEastAsia"/>
          <w:kern w:val="0"/>
          <w:szCs w:val="21"/>
          <w:highlight w:val="none"/>
        </w:rPr>
        <w:t>12.4投标人不得以他人名义投标或者违反规定允许他人以自己名义投标。“以他人名义投标”是指投标人挂靠其他单位，或者从其他单位通过转让、租借的方式获取资质证书，或者在其编制的投标文件上加盖、签署其他单位及其法定代表人的印章、姓名等行为。</w:t>
      </w:r>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07" w:name="_Toc310966025"/>
      <w:bookmarkStart w:id="108" w:name="_Toc310965906"/>
      <w:bookmarkStart w:id="109" w:name="_Toc316985968"/>
      <w:r>
        <w:rPr>
          <w:rFonts w:hint="eastAsia" w:asciiTheme="minorEastAsia" w:hAnsiTheme="minorEastAsia" w:eastAsiaTheme="minorEastAsia"/>
          <w:b/>
          <w:color w:val="000000" w:themeColor="text1"/>
          <w:sz w:val="28"/>
          <w:szCs w:val="28"/>
          <w:highlight w:val="none"/>
          <w14:textFill>
            <w14:solidFill>
              <w14:schemeClr w14:val="tx1"/>
            </w14:solidFill>
          </w14:textFill>
        </w:rPr>
        <w:t>13、</w:t>
      </w:r>
      <w:r>
        <w:rPr>
          <w:rFonts w:hint="eastAsia" w:asciiTheme="minorEastAsia" w:hAnsiTheme="minorEastAsia" w:eastAsiaTheme="minorEastAsia"/>
          <w:b/>
          <w:sz w:val="28"/>
          <w:szCs w:val="28"/>
          <w:highlight w:val="none"/>
        </w:rPr>
        <w:t>投标报价和合同金额</w:t>
      </w:r>
      <w:bookmarkEnd w:id="107"/>
      <w:bookmarkEnd w:id="108"/>
      <w:bookmarkEnd w:id="109"/>
    </w:p>
    <w:p>
      <w:pPr>
        <w:pStyle w:val="10"/>
        <w:tabs>
          <w:tab w:val="left" w:pos="0"/>
          <w:tab w:val="left" w:pos="510"/>
          <w:tab w:val="left" w:pos="1000"/>
        </w:tabs>
        <w:snapToGrid w:val="0"/>
        <w:spacing w:line="44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13.1本招标项目的合同金额，应是完成投标人须知所述的和合同条款上所列招标项目的设计范围、服务周期以及勘察服务内容的全部制定的，不得以任何理由予以重复。</w:t>
      </w:r>
    </w:p>
    <w:p>
      <w:pPr>
        <w:pStyle w:val="10"/>
        <w:tabs>
          <w:tab w:val="left" w:pos="0"/>
          <w:tab w:val="left" w:pos="510"/>
          <w:tab w:val="left" w:pos="1000"/>
        </w:tabs>
        <w:snapToGrid w:val="0"/>
        <w:spacing w:line="44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13.2</w:t>
      </w:r>
      <w:r>
        <w:rPr>
          <w:rFonts w:hint="eastAsia" w:cs="Times New Roman" w:asciiTheme="minorEastAsia" w:hAnsiTheme="minorEastAsia" w:eastAsiaTheme="minorEastAsia"/>
          <w:sz w:val="21"/>
          <w:szCs w:val="21"/>
          <w:highlight w:val="none"/>
        </w:rPr>
        <w:t>投标报价应是投标文件所确定的询价范围内的全部工作内容以及价格体现。包含但不限于为完成本项目勘察报告并审批而采取的钻孔、实验、静力触探、波速测试等必要的勘察手段、以及机械进退场、场平、局部挖土、土方短驳、临时道路修建、临水临电、青苗费、防疫费用等措施费均需考虑合同价内，不再另行计取。包括人员、设备、管理、利润、税金及政策性文件规定等各项应有费用。投标人应充分考虑建设场地现行情况，固定</w:t>
      </w:r>
      <w:r>
        <w:rPr>
          <w:rFonts w:hint="eastAsia" w:cs="Times New Roman" w:asciiTheme="minorEastAsia" w:hAnsiTheme="minorEastAsia" w:eastAsiaTheme="minorEastAsia"/>
          <w:sz w:val="21"/>
          <w:szCs w:val="21"/>
          <w:highlight w:val="none"/>
          <w:lang w:eastAsia="zh-CN"/>
        </w:rPr>
        <w:t>单价</w:t>
      </w:r>
      <w:r>
        <w:rPr>
          <w:rFonts w:hint="eastAsia" w:cs="Times New Roman" w:asciiTheme="minorEastAsia" w:hAnsiTheme="minorEastAsia" w:eastAsiaTheme="minorEastAsia"/>
          <w:sz w:val="21"/>
          <w:szCs w:val="21"/>
          <w:highlight w:val="none"/>
        </w:rPr>
        <w:t>一律不作调整。若因投标人的原因造成补勘，所有费用由投标人自行承担。如工期、质量、安全、文明施工达不到合同约定，按合同条款扣除相应费用</w:t>
      </w:r>
      <w:r>
        <w:rPr>
          <w:rFonts w:hint="eastAsia" w:asciiTheme="minorEastAsia" w:hAnsiTheme="minorEastAsia" w:eastAsiaTheme="minorEastAsia"/>
          <w:szCs w:val="21"/>
          <w:highlight w:val="none"/>
        </w:rPr>
        <w:t>。</w:t>
      </w:r>
    </w:p>
    <w:p>
      <w:pPr>
        <w:pStyle w:val="10"/>
        <w:tabs>
          <w:tab w:val="left" w:pos="0"/>
          <w:tab w:val="left" w:pos="510"/>
          <w:tab w:val="left" w:pos="1000"/>
        </w:tabs>
        <w:snapToGrid w:val="0"/>
        <w:spacing w:line="440" w:lineRule="exact"/>
        <w:contextualSpacing/>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13.3</w:t>
      </w:r>
      <w:r>
        <w:rPr>
          <w:rFonts w:hint="eastAsia" w:asciiTheme="minorEastAsia" w:hAnsiTheme="minorEastAsia" w:eastAsiaTheme="minorEastAsia"/>
          <w:b/>
          <w:szCs w:val="21"/>
          <w:highlight w:val="none"/>
        </w:rPr>
        <w:t>投标人在投标时应做出勘察费报价，其勘察费报价不得超过本次招标最高限价。</w:t>
      </w:r>
    </w:p>
    <w:p>
      <w:pPr>
        <w:pStyle w:val="10"/>
        <w:tabs>
          <w:tab w:val="left" w:pos="0"/>
          <w:tab w:val="left" w:pos="510"/>
          <w:tab w:val="left" w:pos="1000"/>
        </w:tabs>
        <w:snapToGrid w:val="0"/>
        <w:spacing w:line="440" w:lineRule="exact"/>
        <w:contextualSpacing/>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13.4</w:t>
      </w:r>
      <w:r>
        <w:rPr>
          <w:rFonts w:hint="eastAsia" w:asciiTheme="minorEastAsia" w:hAnsiTheme="minorEastAsia" w:eastAsiaTheme="minorEastAsia"/>
          <w:b/>
          <w:szCs w:val="21"/>
          <w:highlight w:val="none"/>
        </w:rPr>
        <w:t>投标人必须按照招标文件要求对勘察费的全部做出完整的报价，按照招标文件要求漏报少报的勘察费，视为此项费用已包含在勘察费总报价中，勘察费用不予调整。</w:t>
      </w:r>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10" w:name="_Toc316985969"/>
      <w:bookmarkStart w:id="111" w:name="_Toc310966026"/>
      <w:bookmarkStart w:id="112" w:name="_Toc310965907"/>
      <w:r>
        <w:rPr>
          <w:rFonts w:hint="eastAsia" w:asciiTheme="minorEastAsia" w:hAnsiTheme="minorEastAsia" w:eastAsiaTheme="minorEastAsia"/>
          <w:b/>
          <w:sz w:val="28"/>
          <w:szCs w:val="28"/>
          <w:highlight w:val="none"/>
        </w:rPr>
        <w:t>14、投标和支付所使用的货币</w:t>
      </w:r>
      <w:bookmarkEnd w:id="110"/>
      <w:bookmarkEnd w:id="111"/>
      <w:bookmarkEnd w:id="112"/>
    </w:p>
    <w:p>
      <w:pPr>
        <w:pStyle w:val="10"/>
        <w:tabs>
          <w:tab w:val="left" w:pos="0"/>
          <w:tab w:val="left" w:pos="510"/>
          <w:tab w:val="left" w:pos="1000"/>
        </w:tabs>
        <w:snapToGrid w:val="0"/>
        <w:spacing w:line="440" w:lineRule="exact"/>
        <w:contextualSpacing/>
        <w:jc w:val="left"/>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14.1本工程的投标应以</w:t>
      </w:r>
      <w:r>
        <w:rPr>
          <w:rFonts w:hint="eastAsia" w:asciiTheme="minorEastAsia" w:hAnsiTheme="minorEastAsia" w:eastAsiaTheme="minorEastAsia"/>
          <w:szCs w:val="21"/>
          <w:highlight w:val="none"/>
          <w:u w:val="single"/>
        </w:rPr>
        <w:t>人民币</w:t>
      </w:r>
      <w:r>
        <w:rPr>
          <w:rFonts w:hint="eastAsia" w:asciiTheme="minorEastAsia" w:hAnsiTheme="minorEastAsia" w:eastAsiaTheme="minorEastAsia"/>
          <w:szCs w:val="21"/>
          <w:highlight w:val="none"/>
        </w:rPr>
        <w:t>报价,合同实施时亦以</w:t>
      </w:r>
      <w:r>
        <w:rPr>
          <w:rFonts w:hint="eastAsia" w:asciiTheme="minorEastAsia" w:hAnsiTheme="minorEastAsia" w:eastAsiaTheme="minorEastAsia"/>
          <w:szCs w:val="21"/>
          <w:highlight w:val="none"/>
          <w:u w:val="single"/>
        </w:rPr>
        <w:t>人民币</w:t>
      </w:r>
      <w:r>
        <w:rPr>
          <w:rFonts w:hint="eastAsia" w:asciiTheme="minorEastAsia" w:hAnsiTheme="minorEastAsia" w:eastAsiaTheme="minorEastAsia"/>
          <w:szCs w:val="21"/>
          <w:highlight w:val="none"/>
        </w:rPr>
        <w:t>支付。</w:t>
      </w:r>
    </w:p>
    <w:p>
      <w:pPr>
        <w:pStyle w:val="10"/>
        <w:tabs>
          <w:tab w:val="left" w:pos="400"/>
        </w:tabs>
        <w:snapToGrid w:val="0"/>
        <w:spacing w:line="440" w:lineRule="exact"/>
        <w:ind w:firstLine="425" w:firstLineChars="152"/>
        <w:contextualSpacing/>
        <w:outlineLvl w:val="2"/>
        <w:rPr>
          <w:rFonts w:asciiTheme="minorEastAsia" w:hAnsiTheme="minorEastAsia" w:eastAsiaTheme="minorEastAsia"/>
          <w:b/>
          <w:sz w:val="28"/>
          <w:szCs w:val="28"/>
          <w:highlight w:val="none"/>
        </w:rPr>
      </w:pPr>
      <w:bookmarkStart w:id="113" w:name="_Toc310965908"/>
      <w:bookmarkStart w:id="114" w:name="_Toc310966027"/>
      <w:bookmarkStart w:id="115" w:name="_Toc316985970"/>
      <w:r>
        <w:rPr>
          <w:rFonts w:hint="eastAsia" w:asciiTheme="minorEastAsia" w:hAnsiTheme="minorEastAsia" w:eastAsiaTheme="minorEastAsia"/>
          <w:b/>
          <w:sz w:val="28"/>
          <w:szCs w:val="28"/>
          <w:highlight w:val="none"/>
        </w:rPr>
        <w:t>15、投标有效期</w:t>
      </w:r>
      <w:bookmarkEnd w:id="113"/>
      <w:bookmarkEnd w:id="114"/>
      <w:bookmarkEnd w:id="115"/>
    </w:p>
    <w:p>
      <w:pPr>
        <w:pStyle w:val="10"/>
        <w:tabs>
          <w:tab w:val="left" w:pos="0"/>
          <w:tab w:val="left" w:pos="510"/>
          <w:tab w:val="left" w:pos="1000"/>
        </w:tabs>
        <w:snapToGrid w:val="0"/>
        <w:spacing w:line="44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15.1投标有效期见</w:t>
      </w:r>
      <w:r>
        <w:rPr>
          <w:rFonts w:hint="eastAsia" w:asciiTheme="minorEastAsia" w:hAnsiTheme="minorEastAsia" w:eastAsiaTheme="minorEastAsia"/>
          <w:b/>
          <w:szCs w:val="21"/>
          <w:highlight w:val="none"/>
          <w:u w:val="single"/>
        </w:rPr>
        <w:t>投标须知前附表</w:t>
      </w:r>
      <w:r>
        <w:rPr>
          <w:rFonts w:hint="eastAsia" w:asciiTheme="minorEastAsia" w:hAnsiTheme="minorEastAsia" w:eastAsiaTheme="minorEastAsia"/>
          <w:szCs w:val="21"/>
          <w:highlight w:val="none"/>
        </w:rPr>
        <w:t>所规定的期限，在此期限内，凡符合招标文件要求的投标文件均保持有效。</w:t>
      </w:r>
    </w:p>
    <w:p>
      <w:pPr>
        <w:pStyle w:val="10"/>
        <w:snapToGrid w:val="0"/>
        <w:spacing w:line="440" w:lineRule="exact"/>
        <w:contextualSpacing/>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15.2如果出现特殊情况，招标人在原定投标有效期满之前，可要求投标人将投标有效期延长一段时间。这种要求和投标人的答复应以书面方式进行。投标人可以拒绝这种要求而不被没收投标保证金。同意延期的投标人，不需要也不允许修改他的投标文件，但需要将其投标保证金延长相同的时间。</w:t>
      </w:r>
    </w:p>
    <w:p>
      <w:pPr>
        <w:pStyle w:val="10"/>
        <w:snapToGrid w:val="0"/>
        <w:spacing w:line="440" w:lineRule="exact"/>
        <w:ind w:firstLine="422" w:firstLineChars="151"/>
        <w:contextualSpacing/>
        <w:outlineLvl w:val="2"/>
        <w:rPr>
          <w:rFonts w:asciiTheme="minorEastAsia" w:hAnsiTheme="minorEastAsia" w:eastAsiaTheme="minorEastAsia"/>
          <w:b/>
          <w:sz w:val="28"/>
          <w:szCs w:val="28"/>
          <w:highlight w:val="none"/>
        </w:rPr>
      </w:pPr>
      <w:bookmarkStart w:id="116" w:name="_Toc316985971"/>
      <w:bookmarkStart w:id="117" w:name="_Toc310965909"/>
      <w:bookmarkStart w:id="118" w:name="_Toc310966028"/>
      <w:r>
        <w:rPr>
          <w:rFonts w:hint="eastAsia" w:asciiTheme="minorEastAsia" w:hAnsiTheme="minorEastAsia" w:eastAsiaTheme="minorEastAsia"/>
          <w:b/>
          <w:sz w:val="28"/>
          <w:szCs w:val="28"/>
          <w:highlight w:val="none"/>
        </w:rPr>
        <w:t>16、投标保证金</w:t>
      </w:r>
      <w:bookmarkEnd w:id="116"/>
      <w:bookmarkEnd w:id="117"/>
      <w:bookmarkEnd w:id="118"/>
    </w:p>
    <w:p>
      <w:pPr>
        <w:pStyle w:val="10"/>
        <w:tabs>
          <w:tab w:val="left" w:pos="0"/>
          <w:tab w:val="left" w:pos="510"/>
          <w:tab w:val="left" w:pos="1000"/>
        </w:tabs>
        <w:snapToGrid w:val="0"/>
        <w:spacing w:line="44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本项目不</w:t>
      </w:r>
      <w:r>
        <w:rPr>
          <w:rFonts w:hint="eastAsia" w:asciiTheme="minorEastAsia" w:hAnsiTheme="minorEastAsia" w:eastAsiaTheme="minorEastAsia"/>
          <w:szCs w:val="21"/>
          <w:highlight w:val="none"/>
          <w:lang w:val="en-US" w:eastAsia="zh-CN"/>
        </w:rPr>
        <w:t>递交</w:t>
      </w:r>
      <w:r>
        <w:rPr>
          <w:rFonts w:hint="eastAsia" w:asciiTheme="minorEastAsia" w:hAnsiTheme="minorEastAsia" w:eastAsiaTheme="minorEastAsia"/>
          <w:szCs w:val="21"/>
          <w:highlight w:val="none"/>
        </w:rPr>
        <w:t>投标保证金。</w:t>
      </w:r>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19" w:name="_Toc310965910"/>
      <w:bookmarkStart w:id="120" w:name="_Toc316985972"/>
      <w:bookmarkStart w:id="121" w:name="_Toc310966029"/>
      <w:r>
        <w:rPr>
          <w:rFonts w:hint="eastAsia" w:asciiTheme="minorEastAsia" w:hAnsiTheme="minorEastAsia" w:eastAsiaTheme="minorEastAsia"/>
          <w:b/>
          <w:color w:val="000000" w:themeColor="text1"/>
          <w:sz w:val="28"/>
          <w:szCs w:val="28"/>
          <w:highlight w:val="none"/>
          <w14:textFill>
            <w14:solidFill>
              <w14:schemeClr w14:val="tx1"/>
            </w14:solidFill>
          </w14:textFill>
        </w:rPr>
        <w:t>17、</w:t>
      </w:r>
      <w:r>
        <w:rPr>
          <w:rFonts w:hint="eastAsia" w:asciiTheme="minorEastAsia" w:hAnsiTheme="minorEastAsia" w:eastAsiaTheme="minorEastAsia"/>
          <w:b/>
          <w:sz w:val="28"/>
          <w:szCs w:val="28"/>
          <w:highlight w:val="none"/>
        </w:rPr>
        <w:t>投标文件的份数和签署</w:t>
      </w:r>
      <w:bookmarkEnd w:id="119"/>
      <w:bookmarkEnd w:id="120"/>
      <w:bookmarkEnd w:id="121"/>
    </w:p>
    <w:p>
      <w:pPr>
        <w:adjustRightInd w:val="0"/>
        <w:snapToGrid w:val="0"/>
        <w:spacing w:line="440" w:lineRule="exact"/>
        <w:ind w:firstLine="424" w:firstLineChars="202"/>
        <w:contextualSpacing/>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17.1 投标人应按投标须知前附表要求提供投标文件的份数。</w:t>
      </w:r>
    </w:p>
    <w:p>
      <w:pPr>
        <w:adjustRightInd w:val="0"/>
        <w:snapToGrid w:val="0"/>
        <w:spacing w:line="440" w:lineRule="exact"/>
        <w:ind w:firstLine="424" w:firstLineChars="202"/>
        <w:contextualSpacing/>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17.2 投标文件的正本和副本均需打印或使用不褪色的蓝、黑墨水笔书写，字迹应清晰易于辨认，并应在投标文件封面的右上角清楚地注明“正本”或“副本”。正本和副本如有不一致之处，以正本为准。</w:t>
      </w:r>
    </w:p>
    <w:p>
      <w:pPr>
        <w:adjustRightInd w:val="0"/>
        <w:snapToGrid w:val="0"/>
        <w:spacing w:line="440" w:lineRule="exact"/>
        <w:ind w:firstLine="424" w:firstLineChars="202"/>
        <w:contextualSpacing/>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17.3 投标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投标文件签署授权委托书无效。</w:t>
      </w:r>
    </w:p>
    <w:p>
      <w:pPr>
        <w:pStyle w:val="10"/>
        <w:tabs>
          <w:tab w:val="left" w:pos="0"/>
          <w:tab w:val="left" w:pos="510"/>
          <w:tab w:val="left" w:pos="1000"/>
        </w:tabs>
        <w:snapToGrid w:val="0"/>
        <w:spacing w:line="440" w:lineRule="exact"/>
        <w:ind w:firstLineChars="200"/>
        <w:contextualSpacing/>
        <w:jc w:val="left"/>
        <w:textAlignment w:val="auto"/>
        <w:rPr>
          <w:rFonts w:asciiTheme="minorEastAsia" w:hAnsiTheme="minorEastAsia" w:eastAsiaTheme="minorEastAsia"/>
          <w:szCs w:val="21"/>
          <w:highlight w:val="none"/>
        </w:rPr>
      </w:pPr>
      <w:r>
        <w:rPr>
          <w:rFonts w:hint="eastAsia" w:cs="宋体" w:asciiTheme="minorEastAsia" w:hAnsiTheme="minorEastAsia" w:eastAsiaTheme="minorEastAsia"/>
          <w:color w:val="000000"/>
          <w:highlight w:val="none"/>
        </w:rPr>
        <w:t>17.4 投标人如对投标文件有修改，修改处应由投标人加盖投标人的印章或由法定代表人或其授权代表签字或盖章。</w:t>
      </w:r>
    </w:p>
    <w:p>
      <w:pPr>
        <w:adjustRightInd w:val="0"/>
        <w:snapToGrid w:val="0"/>
        <w:spacing w:line="440" w:lineRule="exact"/>
        <w:contextualSpacing/>
        <w:jc w:val="center"/>
        <w:rPr>
          <w:b/>
          <w:sz w:val="32"/>
          <w:szCs w:val="32"/>
          <w:highlight w:val="none"/>
        </w:rPr>
      </w:pPr>
      <w:bookmarkStart w:id="122" w:name="_Toc310965911"/>
      <w:bookmarkStart w:id="123" w:name="_Toc316985973"/>
      <w:bookmarkStart w:id="124" w:name="_Toc310966030"/>
      <w:r>
        <w:rPr>
          <w:rFonts w:hint="eastAsia"/>
          <w:b/>
          <w:sz w:val="32"/>
          <w:szCs w:val="32"/>
          <w:highlight w:val="none"/>
        </w:rPr>
        <w:t>四、投标文件的递交</w:t>
      </w:r>
      <w:bookmarkEnd w:id="122"/>
      <w:bookmarkEnd w:id="123"/>
      <w:bookmarkEnd w:id="124"/>
    </w:p>
    <w:p>
      <w:pPr>
        <w:pStyle w:val="10"/>
        <w:tabs>
          <w:tab w:val="left" w:pos="400"/>
        </w:tabs>
        <w:snapToGrid w:val="0"/>
        <w:spacing w:line="440" w:lineRule="exact"/>
        <w:ind w:firstLine="420" w:firstLineChars="150"/>
        <w:contextualSpacing/>
        <w:outlineLvl w:val="2"/>
        <w:rPr>
          <w:rFonts w:asciiTheme="minorEastAsia" w:hAnsiTheme="minorEastAsia" w:eastAsiaTheme="minorEastAsia"/>
          <w:b/>
          <w:sz w:val="28"/>
          <w:szCs w:val="28"/>
          <w:highlight w:val="none"/>
        </w:rPr>
      </w:pPr>
      <w:bookmarkStart w:id="125" w:name="_Toc310965912"/>
      <w:bookmarkStart w:id="126" w:name="_Toc316985974"/>
      <w:bookmarkStart w:id="127" w:name="_Toc310966031"/>
      <w:r>
        <w:rPr>
          <w:rFonts w:hint="eastAsia" w:asciiTheme="minorEastAsia" w:hAnsiTheme="minorEastAsia" w:eastAsiaTheme="minorEastAsia"/>
          <w:b/>
          <w:color w:val="000000" w:themeColor="text1"/>
          <w:sz w:val="28"/>
          <w:szCs w:val="28"/>
          <w:highlight w:val="none"/>
          <w14:textFill>
            <w14:solidFill>
              <w14:schemeClr w14:val="tx1"/>
            </w14:solidFill>
          </w14:textFill>
        </w:rPr>
        <w:t>18、</w:t>
      </w:r>
      <w:r>
        <w:rPr>
          <w:rFonts w:hint="eastAsia" w:asciiTheme="minorEastAsia" w:hAnsiTheme="minorEastAsia" w:eastAsiaTheme="minorEastAsia"/>
          <w:b/>
          <w:sz w:val="28"/>
          <w:szCs w:val="28"/>
          <w:highlight w:val="none"/>
        </w:rPr>
        <w:t>投标文件的装订、包封、密封和标识</w:t>
      </w:r>
      <w:bookmarkEnd w:id="125"/>
      <w:bookmarkEnd w:id="126"/>
      <w:bookmarkEnd w:id="127"/>
    </w:p>
    <w:p>
      <w:pPr>
        <w:adjustRightInd w:val="0"/>
        <w:snapToGrid w:val="0"/>
        <w:spacing w:line="440" w:lineRule="exact"/>
        <w:ind w:firstLine="420" w:firstLineChars="200"/>
        <w:contextualSpacing/>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18</w:t>
      </w:r>
      <w:r>
        <w:rPr>
          <w:rFonts w:asciiTheme="minorEastAsia" w:hAnsiTheme="minorEastAsia" w:eastAsiaTheme="minorEastAsia"/>
          <w:color w:val="000000"/>
          <w:highlight w:val="none"/>
        </w:rPr>
        <w:t>.1</w:t>
      </w:r>
      <w:r>
        <w:rPr>
          <w:rFonts w:hint="eastAsia" w:asciiTheme="minorEastAsia" w:hAnsiTheme="minorEastAsia" w:eastAsiaTheme="minorEastAsia"/>
          <w:color w:val="000000"/>
          <w:highlight w:val="none"/>
        </w:rPr>
        <w:t>投标文件的装订要求：</w:t>
      </w:r>
      <w:r>
        <w:rPr>
          <w:rFonts w:hint="eastAsia" w:asciiTheme="minorEastAsia" w:hAnsiTheme="minorEastAsia" w:eastAsiaTheme="minorEastAsia"/>
          <w:highlight w:val="none"/>
        </w:rPr>
        <w:t>投标文件的正本与副本应分别装订成册</w:t>
      </w:r>
      <w:r>
        <w:rPr>
          <w:rFonts w:hint="eastAsia" w:asciiTheme="minorEastAsia" w:hAnsiTheme="minorEastAsia" w:eastAsiaTheme="minorEastAsia"/>
          <w:color w:val="000000"/>
          <w:highlight w:val="none"/>
        </w:rPr>
        <w:t>。</w:t>
      </w:r>
    </w:p>
    <w:p>
      <w:pPr>
        <w:adjustRightInd w:val="0"/>
        <w:snapToGrid w:val="0"/>
        <w:spacing w:line="440" w:lineRule="exact"/>
        <w:ind w:firstLine="420" w:firstLineChars="200"/>
        <w:contextualSpacing/>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18</w:t>
      </w:r>
      <w:r>
        <w:rPr>
          <w:rFonts w:asciiTheme="minorEastAsia" w:hAnsiTheme="minorEastAsia" w:eastAsiaTheme="minorEastAsia"/>
          <w:color w:val="000000"/>
          <w:highlight w:val="none"/>
        </w:rPr>
        <w:t>.2</w:t>
      </w:r>
      <w:r>
        <w:rPr>
          <w:rFonts w:hint="eastAsia" w:asciiTheme="minorEastAsia" w:hAnsiTheme="minorEastAsia" w:eastAsiaTheme="minorEastAsia"/>
          <w:color w:val="000000"/>
          <w:highlight w:val="none"/>
        </w:rPr>
        <w:t>投标文件密封袋上应写明工程名称、招标人名称、投标人的名称。</w:t>
      </w:r>
    </w:p>
    <w:p>
      <w:pPr>
        <w:adjustRightInd w:val="0"/>
        <w:snapToGrid w:val="0"/>
        <w:spacing w:line="440" w:lineRule="exact"/>
        <w:ind w:firstLine="420" w:firstLineChars="200"/>
        <w:contextualSpacing/>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18</w:t>
      </w:r>
      <w:r>
        <w:rPr>
          <w:rFonts w:asciiTheme="minorEastAsia" w:hAnsiTheme="minorEastAsia" w:eastAsiaTheme="minorEastAsia"/>
          <w:color w:val="000000"/>
          <w:highlight w:val="none"/>
        </w:rPr>
        <w:t>.</w:t>
      </w:r>
      <w:r>
        <w:rPr>
          <w:rFonts w:hint="eastAsia" w:asciiTheme="minorEastAsia" w:hAnsiTheme="minorEastAsia" w:eastAsiaTheme="minorEastAsia"/>
          <w:color w:val="000000"/>
          <w:highlight w:val="none"/>
        </w:rPr>
        <w:t>3如果投标文件没有按规定装订和注明标记及密封，招标人将不承担投标文件提前开封的责任。对由此造成提前开封的投标文件将予以拒绝，并退还给投标人。</w:t>
      </w:r>
    </w:p>
    <w:p>
      <w:pPr>
        <w:pStyle w:val="10"/>
        <w:tabs>
          <w:tab w:val="left" w:pos="400"/>
        </w:tabs>
        <w:snapToGrid w:val="0"/>
        <w:spacing w:line="440" w:lineRule="exact"/>
        <w:contextualSpacing/>
        <w:textAlignment w:val="auto"/>
        <w:outlineLvl w:val="2"/>
        <w:rPr>
          <w:rFonts w:asciiTheme="minorEastAsia" w:hAnsiTheme="minorEastAsia" w:eastAsiaTheme="minorEastAsia"/>
          <w:b/>
          <w:sz w:val="28"/>
          <w:szCs w:val="28"/>
          <w:highlight w:val="none"/>
        </w:rPr>
      </w:pPr>
      <w:bookmarkStart w:id="128" w:name="_Toc310965913"/>
      <w:bookmarkStart w:id="129" w:name="_Toc310966032"/>
      <w:bookmarkStart w:id="130" w:name="_Toc316985975"/>
      <w:r>
        <w:rPr>
          <w:rFonts w:hint="eastAsia" w:asciiTheme="minorEastAsia" w:hAnsiTheme="minorEastAsia" w:eastAsiaTheme="minorEastAsia"/>
          <w:b/>
          <w:color w:val="000000" w:themeColor="text1"/>
          <w:sz w:val="28"/>
          <w:szCs w:val="28"/>
          <w:highlight w:val="none"/>
          <w14:textFill>
            <w14:solidFill>
              <w14:schemeClr w14:val="tx1"/>
            </w14:solidFill>
          </w14:textFill>
        </w:rPr>
        <w:t>19、</w:t>
      </w:r>
      <w:r>
        <w:rPr>
          <w:rFonts w:hint="eastAsia" w:asciiTheme="minorEastAsia" w:hAnsiTheme="minorEastAsia" w:eastAsiaTheme="minorEastAsia"/>
          <w:b/>
          <w:sz w:val="28"/>
          <w:szCs w:val="28"/>
          <w:highlight w:val="none"/>
        </w:rPr>
        <w:t>投标文件的递交</w:t>
      </w:r>
      <w:bookmarkEnd w:id="128"/>
      <w:bookmarkEnd w:id="129"/>
      <w:bookmarkEnd w:id="130"/>
    </w:p>
    <w:p>
      <w:pPr>
        <w:pStyle w:val="10"/>
        <w:tabs>
          <w:tab w:val="left" w:pos="0"/>
          <w:tab w:val="left" w:pos="510"/>
          <w:tab w:val="left" w:pos="1000"/>
        </w:tabs>
        <w:snapToGrid w:val="0"/>
        <w:spacing w:line="440" w:lineRule="exact"/>
        <w:ind w:left="420" w:leftChars="200" w:firstLine="4" w:firstLineChars="2"/>
        <w:contextualSpacing/>
        <w:jc w:val="lef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19.1投标人应按于投标截止时间前递交投标文件给招标人。</w:t>
      </w:r>
    </w:p>
    <w:p>
      <w:pPr>
        <w:pStyle w:val="10"/>
        <w:tabs>
          <w:tab w:val="left" w:pos="0"/>
          <w:tab w:val="left" w:pos="510"/>
          <w:tab w:val="left" w:pos="1000"/>
        </w:tabs>
        <w:snapToGrid w:val="0"/>
        <w:spacing w:line="440" w:lineRule="exact"/>
        <w:ind w:left="420" w:leftChars="200" w:firstLine="4" w:firstLineChars="2"/>
        <w:contextualSpacing/>
        <w:jc w:val="left"/>
        <w:textAlignment w:val="auto"/>
        <w:rPr>
          <w:rFonts w:asciiTheme="minorEastAsia" w:hAnsiTheme="minorEastAsia" w:eastAsiaTheme="minorEastAsia"/>
          <w:szCs w:val="21"/>
          <w:highlight w:val="none"/>
        </w:rPr>
      </w:pPr>
      <w:r>
        <w:rPr>
          <w:rFonts w:hint="eastAsia" w:asciiTheme="minorEastAsia" w:hAnsiTheme="minorEastAsia" w:eastAsiaTheme="minorEastAsia"/>
          <w:highlight w:val="none"/>
        </w:rPr>
        <w:t>19.2逾期送达的或者未送达指定地点的投标文件，招标人不予受理。</w:t>
      </w:r>
    </w:p>
    <w:p>
      <w:pPr>
        <w:pStyle w:val="10"/>
        <w:tabs>
          <w:tab w:val="left" w:pos="400"/>
        </w:tabs>
        <w:snapToGrid w:val="0"/>
        <w:spacing w:line="440" w:lineRule="exact"/>
        <w:ind w:left="420" w:leftChars="200" w:firstLine="5" w:firstLineChars="2"/>
        <w:contextualSpacing/>
        <w:textAlignment w:val="auto"/>
        <w:outlineLvl w:val="2"/>
        <w:rPr>
          <w:rFonts w:asciiTheme="minorEastAsia" w:hAnsiTheme="minorEastAsia" w:eastAsiaTheme="minorEastAsia"/>
          <w:b/>
          <w:sz w:val="28"/>
          <w:szCs w:val="28"/>
          <w:highlight w:val="none"/>
        </w:rPr>
      </w:pPr>
      <w:bookmarkStart w:id="131" w:name="_Toc310965914"/>
      <w:bookmarkStart w:id="132" w:name="_Toc316985976"/>
      <w:bookmarkStart w:id="133" w:name="_Toc310966033"/>
      <w:r>
        <w:rPr>
          <w:rFonts w:hint="eastAsia" w:asciiTheme="minorEastAsia" w:hAnsiTheme="minorEastAsia" w:eastAsiaTheme="minorEastAsia"/>
          <w:b/>
          <w:color w:val="000000" w:themeColor="text1"/>
          <w:sz w:val="28"/>
          <w:szCs w:val="28"/>
          <w:highlight w:val="none"/>
          <w14:textFill>
            <w14:solidFill>
              <w14:schemeClr w14:val="tx1"/>
            </w14:solidFill>
          </w14:textFill>
        </w:rPr>
        <w:t>20、</w:t>
      </w:r>
      <w:r>
        <w:rPr>
          <w:rFonts w:hint="eastAsia" w:asciiTheme="minorEastAsia" w:hAnsiTheme="minorEastAsia" w:eastAsiaTheme="minorEastAsia"/>
          <w:b/>
          <w:sz w:val="28"/>
          <w:szCs w:val="28"/>
          <w:highlight w:val="none"/>
        </w:rPr>
        <w:t>投标文件递交的截止时间</w:t>
      </w:r>
      <w:bookmarkEnd w:id="131"/>
      <w:bookmarkEnd w:id="132"/>
      <w:bookmarkEnd w:id="133"/>
    </w:p>
    <w:p>
      <w:pPr>
        <w:pStyle w:val="10"/>
        <w:tabs>
          <w:tab w:val="left" w:pos="0"/>
          <w:tab w:val="left" w:pos="510"/>
          <w:tab w:val="left" w:pos="1000"/>
        </w:tabs>
        <w:snapToGrid w:val="0"/>
        <w:spacing w:line="440" w:lineRule="exact"/>
        <w:ind w:left="420" w:leftChars="200" w:firstLine="4" w:firstLineChars="2"/>
        <w:contextualSpacing/>
        <w:jc w:val="lef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20.1招标人可以按投标人须知</w:t>
      </w:r>
      <w:r>
        <w:rPr>
          <w:rFonts w:hint="eastAsia" w:asciiTheme="minorEastAsia" w:hAnsiTheme="minorEastAsia" w:eastAsiaTheme="minorEastAsia"/>
          <w:b/>
          <w:szCs w:val="21"/>
          <w:highlight w:val="none"/>
        </w:rPr>
        <w:t>第9条</w:t>
      </w:r>
      <w:r>
        <w:rPr>
          <w:rFonts w:hint="eastAsia" w:asciiTheme="minorEastAsia" w:hAnsiTheme="minorEastAsia" w:eastAsiaTheme="minorEastAsia"/>
          <w:szCs w:val="21"/>
          <w:highlight w:val="none"/>
        </w:rPr>
        <w:t>规定以修改补充通知的方式，酌情延长递交投标文件的截止时间。在此情况下，投标人的所有权利和义务以及投标人所制约的截止时间，均应以延长后新的截止时间为准。</w:t>
      </w:r>
    </w:p>
    <w:p>
      <w:pPr>
        <w:pStyle w:val="10"/>
        <w:tabs>
          <w:tab w:val="left" w:pos="0"/>
          <w:tab w:val="left" w:pos="510"/>
          <w:tab w:val="left" w:pos="1000"/>
        </w:tabs>
        <w:snapToGrid w:val="0"/>
        <w:spacing w:line="440" w:lineRule="exact"/>
        <w:ind w:left="420" w:leftChars="200" w:firstLine="4" w:firstLineChars="2"/>
        <w:contextualSpacing/>
        <w:jc w:val="lef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20.2超过投标截止时间送达的投标文件将被拒绝并原封退给投标人。</w:t>
      </w:r>
    </w:p>
    <w:p>
      <w:pPr>
        <w:pStyle w:val="10"/>
        <w:tabs>
          <w:tab w:val="left" w:pos="0"/>
          <w:tab w:val="left" w:pos="510"/>
          <w:tab w:val="left" w:pos="1000"/>
        </w:tabs>
        <w:snapToGrid w:val="0"/>
        <w:spacing w:line="440" w:lineRule="exact"/>
        <w:ind w:left="420" w:leftChars="200" w:firstLine="4" w:firstLineChars="2"/>
        <w:contextualSpacing/>
        <w:jc w:val="lef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20.4到投标截止时间止，招标人收到的投标文件少于3份的，招标人将依法重新组织招标。</w:t>
      </w:r>
    </w:p>
    <w:p>
      <w:pPr>
        <w:pStyle w:val="10"/>
        <w:tabs>
          <w:tab w:val="left" w:pos="400"/>
        </w:tabs>
        <w:snapToGrid w:val="0"/>
        <w:spacing w:line="440" w:lineRule="exact"/>
        <w:ind w:left="420" w:leftChars="200" w:firstLine="5" w:firstLineChars="2"/>
        <w:contextualSpacing/>
        <w:textAlignment w:val="auto"/>
        <w:outlineLvl w:val="2"/>
        <w:rPr>
          <w:rFonts w:asciiTheme="minorEastAsia" w:hAnsiTheme="minorEastAsia" w:eastAsiaTheme="minorEastAsia"/>
          <w:b/>
          <w:sz w:val="28"/>
          <w:szCs w:val="28"/>
          <w:highlight w:val="none"/>
        </w:rPr>
      </w:pPr>
      <w:bookmarkStart w:id="134" w:name="_Toc310966034"/>
      <w:bookmarkStart w:id="135" w:name="_Toc316985977"/>
      <w:bookmarkStart w:id="136" w:name="_Toc310965915"/>
      <w:r>
        <w:rPr>
          <w:rFonts w:hint="eastAsia" w:asciiTheme="minorEastAsia" w:hAnsiTheme="minorEastAsia" w:eastAsiaTheme="minorEastAsia"/>
          <w:b/>
          <w:color w:val="000000" w:themeColor="text1"/>
          <w:sz w:val="28"/>
          <w:szCs w:val="28"/>
          <w:highlight w:val="none"/>
          <w14:textFill>
            <w14:solidFill>
              <w14:schemeClr w14:val="tx1"/>
            </w14:solidFill>
          </w14:textFill>
        </w:rPr>
        <w:t>21、</w:t>
      </w:r>
      <w:r>
        <w:rPr>
          <w:rFonts w:hint="eastAsia" w:asciiTheme="minorEastAsia" w:hAnsiTheme="minorEastAsia" w:eastAsiaTheme="minorEastAsia"/>
          <w:b/>
          <w:sz w:val="28"/>
          <w:szCs w:val="28"/>
          <w:highlight w:val="none"/>
        </w:rPr>
        <w:t>投标文件的补充、修改与撤回</w:t>
      </w:r>
      <w:bookmarkEnd w:id="134"/>
      <w:bookmarkEnd w:id="135"/>
      <w:bookmarkEnd w:id="136"/>
    </w:p>
    <w:p>
      <w:pPr>
        <w:pStyle w:val="10"/>
        <w:tabs>
          <w:tab w:val="left" w:pos="0"/>
          <w:tab w:val="left" w:pos="510"/>
          <w:tab w:val="left" w:pos="1000"/>
        </w:tabs>
        <w:snapToGrid w:val="0"/>
        <w:spacing w:line="440" w:lineRule="exact"/>
        <w:ind w:left="420" w:leftChars="200" w:firstLine="4" w:firstLineChars="2"/>
        <w:contextualSpacing/>
        <w:jc w:val="lef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21.1投标人可以在递交投标文件以后，在</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的投标截止时间之前，可以书面形式向招标人递交补充修改或撤回其投标文件的通知。补充、修改的内容为投标文件的组成部分。在投标截止日期以后，不能更改投标文件。投标截止期之前对投标价格的修改应附有相应细目的单价和价格。</w:t>
      </w:r>
    </w:p>
    <w:p>
      <w:pPr>
        <w:pStyle w:val="10"/>
        <w:tabs>
          <w:tab w:val="left" w:pos="0"/>
          <w:tab w:val="left" w:pos="510"/>
          <w:tab w:val="left" w:pos="1000"/>
        </w:tabs>
        <w:snapToGrid w:val="0"/>
        <w:spacing w:line="440" w:lineRule="exact"/>
        <w:ind w:left="420" w:leftChars="200" w:firstLine="4" w:firstLineChars="2"/>
        <w:contextualSpacing/>
        <w:jc w:val="lef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21.2投标人的补充、修改或撤回通知，应按投标须知前附表的规定编制、密封、标识和发送，还要在包封上标明“补充、修改”或“撤回”字样。</w:t>
      </w:r>
    </w:p>
    <w:p>
      <w:pPr>
        <w:pStyle w:val="10"/>
        <w:tabs>
          <w:tab w:val="left" w:pos="0"/>
          <w:tab w:val="left" w:pos="510"/>
          <w:tab w:val="left" w:pos="1000"/>
        </w:tabs>
        <w:snapToGrid w:val="0"/>
        <w:spacing w:line="440" w:lineRule="exact"/>
        <w:ind w:left="420" w:leftChars="200" w:firstLine="4" w:firstLineChars="2"/>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21.3从投标截止期至投标有效期之间的这段时间内，投标人不得撤回其投标文件。</w:t>
      </w:r>
    </w:p>
    <w:p>
      <w:pPr>
        <w:adjustRightInd w:val="0"/>
        <w:snapToGrid w:val="0"/>
        <w:spacing w:line="440" w:lineRule="exact"/>
        <w:ind w:left="420" w:leftChars="200" w:firstLine="6" w:firstLineChars="2"/>
        <w:contextualSpacing/>
        <w:jc w:val="center"/>
        <w:rPr>
          <w:rFonts w:hint="eastAsia"/>
          <w:b/>
          <w:sz w:val="32"/>
          <w:szCs w:val="32"/>
          <w:highlight w:val="none"/>
        </w:rPr>
      </w:pPr>
      <w:bookmarkStart w:id="137" w:name="_Toc316985978"/>
      <w:bookmarkStart w:id="138" w:name="_Toc310965916"/>
      <w:bookmarkStart w:id="139" w:name="_Toc310966035"/>
    </w:p>
    <w:p>
      <w:pPr>
        <w:adjustRightInd w:val="0"/>
        <w:snapToGrid w:val="0"/>
        <w:spacing w:line="440" w:lineRule="exact"/>
        <w:ind w:left="420" w:leftChars="200" w:firstLine="6" w:firstLineChars="2"/>
        <w:contextualSpacing/>
        <w:jc w:val="center"/>
        <w:rPr>
          <w:b/>
          <w:sz w:val="32"/>
          <w:szCs w:val="32"/>
          <w:highlight w:val="none"/>
        </w:rPr>
      </w:pPr>
      <w:r>
        <w:rPr>
          <w:rFonts w:hint="eastAsia"/>
          <w:b/>
          <w:sz w:val="32"/>
          <w:szCs w:val="32"/>
          <w:highlight w:val="none"/>
        </w:rPr>
        <w:t>五、开标</w:t>
      </w:r>
      <w:bookmarkEnd w:id="137"/>
      <w:bookmarkEnd w:id="138"/>
      <w:bookmarkEnd w:id="139"/>
    </w:p>
    <w:p>
      <w:pPr>
        <w:pStyle w:val="10"/>
        <w:tabs>
          <w:tab w:val="left" w:pos="400"/>
        </w:tabs>
        <w:snapToGrid w:val="0"/>
        <w:spacing w:line="440" w:lineRule="exact"/>
        <w:ind w:left="420" w:leftChars="200" w:firstLine="5" w:firstLineChars="2"/>
        <w:contextualSpacing/>
        <w:outlineLvl w:val="2"/>
        <w:rPr>
          <w:rFonts w:asciiTheme="minorEastAsia" w:hAnsiTheme="minorEastAsia" w:eastAsiaTheme="minorEastAsia"/>
          <w:b/>
          <w:sz w:val="28"/>
          <w:szCs w:val="28"/>
          <w:highlight w:val="none"/>
        </w:rPr>
      </w:pPr>
      <w:bookmarkStart w:id="140" w:name="_Toc316985979"/>
      <w:bookmarkStart w:id="141" w:name="_Toc310965917"/>
      <w:bookmarkStart w:id="142" w:name="_Toc310966036"/>
      <w:r>
        <w:rPr>
          <w:rFonts w:hint="eastAsia" w:asciiTheme="minorEastAsia" w:hAnsiTheme="minorEastAsia" w:eastAsiaTheme="minorEastAsia"/>
          <w:b/>
          <w:sz w:val="28"/>
          <w:szCs w:val="28"/>
          <w:highlight w:val="none"/>
        </w:rPr>
        <w:t>22.</w:t>
      </w:r>
      <w:r>
        <w:rPr>
          <w:rFonts w:asciiTheme="minorEastAsia" w:hAnsiTheme="minorEastAsia" w:eastAsiaTheme="minorEastAsia"/>
          <w:b/>
          <w:sz w:val="28"/>
          <w:szCs w:val="28"/>
          <w:highlight w:val="none"/>
        </w:rPr>
        <w:t>开标</w:t>
      </w:r>
      <w:bookmarkEnd w:id="140"/>
      <w:bookmarkEnd w:id="141"/>
      <w:bookmarkEnd w:id="142"/>
    </w:p>
    <w:p>
      <w:pPr>
        <w:spacing w:line="4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投标文件有下列情况之一者，将视为无效投标。</w:t>
      </w:r>
    </w:p>
    <w:p>
      <w:pPr>
        <w:spacing w:line="4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(1)未按规定标志、密封。</w:t>
      </w:r>
    </w:p>
    <w:p>
      <w:pPr>
        <w:spacing w:line="4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(2)逾期送达的。</w:t>
      </w:r>
    </w:p>
    <w:p>
      <w:pPr>
        <w:adjustRightInd w:val="0"/>
        <w:snapToGrid w:val="0"/>
        <w:spacing w:line="440" w:lineRule="exact"/>
        <w:contextualSpacing/>
        <w:jc w:val="center"/>
        <w:rPr>
          <w:b/>
          <w:sz w:val="32"/>
          <w:szCs w:val="32"/>
          <w:highlight w:val="none"/>
        </w:rPr>
      </w:pPr>
      <w:bookmarkStart w:id="143" w:name="_Toc310965918"/>
      <w:bookmarkStart w:id="144" w:name="_Toc310966037"/>
      <w:bookmarkStart w:id="145" w:name="_Toc316985980"/>
      <w:r>
        <w:rPr>
          <w:rFonts w:hint="eastAsia"/>
          <w:b/>
          <w:sz w:val="32"/>
          <w:szCs w:val="32"/>
          <w:highlight w:val="none"/>
        </w:rPr>
        <w:t>六、评标</w:t>
      </w:r>
      <w:bookmarkEnd w:id="143"/>
      <w:bookmarkEnd w:id="144"/>
      <w:bookmarkEnd w:id="145"/>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46" w:name="_Toc310965919"/>
      <w:bookmarkStart w:id="147" w:name="_Toc316985981"/>
      <w:bookmarkStart w:id="148" w:name="_Toc310966038"/>
      <w:r>
        <w:rPr>
          <w:rFonts w:hint="eastAsia" w:asciiTheme="minorEastAsia" w:hAnsiTheme="minorEastAsia" w:eastAsiaTheme="minorEastAsia"/>
          <w:b/>
          <w:color w:val="000000" w:themeColor="text1"/>
          <w:sz w:val="28"/>
          <w:szCs w:val="28"/>
          <w:highlight w:val="none"/>
          <w14:textFill>
            <w14:solidFill>
              <w14:schemeClr w14:val="tx1"/>
            </w14:solidFill>
          </w14:textFill>
        </w:rPr>
        <w:t>23、</w:t>
      </w:r>
      <w:r>
        <w:rPr>
          <w:rFonts w:hint="eastAsia" w:asciiTheme="minorEastAsia" w:hAnsiTheme="minorEastAsia" w:eastAsiaTheme="minorEastAsia"/>
          <w:b/>
          <w:sz w:val="28"/>
          <w:szCs w:val="28"/>
          <w:highlight w:val="none"/>
        </w:rPr>
        <w:t>评标委员会</w:t>
      </w:r>
      <w:bookmarkEnd w:id="146"/>
      <w:bookmarkEnd w:id="147"/>
      <w:bookmarkEnd w:id="148"/>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23.1评标工作由招标人依法组建的评标委员会负责。</w:t>
      </w:r>
    </w:p>
    <w:p>
      <w:pPr>
        <w:pStyle w:val="10"/>
        <w:tabs>
          <w:tab w:val="left" w:pos="0"/>
          <w:tab w:val="left" w:pos="510"/>
          <w:tab w:val="left" w:pos="1000"/>
        </w:tabs>
        <w:snapToGrid w:val="0"/>
        <w:spacing w:line="440" w:lineRule="exact"/>
        <w:contextualSpacing/>
        <w:jc w:val="left"/>
        <w:rPr>
          <w:rFonts w:asciiTheme="minorEastAsia" w:hAnsiTheme="minorEastAsia" w:eastAsiaTheme="minorEastAsia"/>
          <w:b/>
          <w:color w:val="FF0000"/>
          <w:szCs w:val="21"/>
          <w:highlight w:val="none"/>
        </w:rPr>
      </w:pPr>
      <w:r>
        <w:rPr>
          <w:rFonts w:hint="eastAsia" w:asciiTheme="minorEastAsia" w:hAnsiTheme="minorEastAsia" w:eastAsiaTheme="minorEastAsia"/>
          <w:szCs w:val="21"/>
          <w:highlight w:val="none"/>
        </w:rPr>
        <w:t>23.2</w:t>
      </w:r>
      <w:r>
        <w:rPr>
          <w:rFonts w:hint="eastAsia" w:asciiTheme="minorEastAsia" w:hAnsiTheme="minorEastAsia" w:eastAsiaTheme="minorEastAsia"/>
          <w:color w:val="000000" w:themeColor="text1"/>
          <w:szCs w:val="21"/>
          <w:highlight w:val="none"/>
          <w14:textFill>
            <w14:solidFill>
              <w14:schemeClr w14:val="tx1"/>
            </w14:solidFill>
          </w14:textFill>
        </w:rPr>
        <w:t>评标委员会人数为5人及以上单数组成；</w:t>
      </w:r>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23.3评标委员会必须严格按照招标文件确定的评标标准和评标办法进行评审。评标委员会应集体推荐1名评标专家为主任委员，并由其主持评标工作。</w:t>
      </w:r>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49" w:name="_Toc310965920"/>
      <w:bookmarkStart w:id="150" w:name="_Toc310966039"/>
      <w:bookmarkStart w:id="151" w:name="_Toc316985982"/>
      <w:r>
        <w:rPr>
          <w:rFonts w:hint="eastAsia" w:asciiTheme="minorEastAsia" w:hAnsiTheme="minorEastAsia" w:eastAsiaTheme="minorEastAsia"/>
          <w:b/>
          <w:color w:val="000000" w:themeColor="text1"/>
          <w:sz w:val="28"/>
          <w:szCs w:val="28"/>
          <w:highlight w:val="none"/>
          <w14:textFill>
            <w14:solidFill>
              <w14:schemeClr w14:val="tx1"/>
            </w14:solidFill>
          </w14:textFill>
        </w:rPr>
        <w:t>24、</w:t>
      </w:r>
      <w:r>
        <w:rPr>
          <w:rFonts w:hint="eastAsia" w:asciiTheme="minorEastAsia" w:hAnsiTheme="minorEastAsia" w:eastAsiaTheme="minorEastAsia"/>
          <w:b/>
          <w:sz w:val="28"/>
          <w:szCs w:val="28"/>
          <w:highlight w:val="none"/>
        </w:rPr>
        <w:t>评标原则</w:t>
      </w:r>
      <w:bookmarkEnd w:id="149"/>
      <w:bookmarkEnd w:id="150"/>
      <w:bookmarkEnd w:id="151"/>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24.1评委应遵循公平、公正、客观、科学、独立、实事求是的评标原则。</w:t>
      </w:r>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52" w:name="_Toc316985983"/>
      <w:bookmarkStart w:id="153" w:name="_Toc310965921"/>
      <w:bookmarkStart w:id="154" w:name="_Toc310966040"/>
      <w:r>
        <w:rPr>
          <w:rFonts w:hint="eastAsia" w:asciiTheme="minorEastAsia" w:hAnsiTheme="minorEastAsia" w:eastAsiaTheme="minorEastAsia"/>
          <w:b/>
          <w:color w:val="000000" w:themeColor="text1"/>
          <w:sz w:val="28"/>
          <w:szCs w:val="28"/>
          <w:highlight w:val="none"/>
          <w14:textFill>
            <w14:solidFill>
              <w14:schemeClr w14:val="tx1"/>
            </w14:solidFill>
          </w14:textFill>
        </w:rPr>
        <w:t>25、</w:t>
      </w:r>
      <w:r>
        <w:rPr>
          <w:rFonts w:hint="eastAsia" w:asciiTheme="minorEastAsia" w:hAnsiTheme="minorEastAsia" w:eastAsiaTheme="minorEastAsia"/>
          <w:b/>
          <w:sz w:val="28"/>
          <w:szCs w:val="28"/>
          <w:highlight w:val="none"/>
        </w:rPr>
        <w:t>评标过程保密</w:t>
      </w:r>
      <w:bookmarkEnd w:id="152"/>
      <w:bookmarkEnd w:id="153"/>
      <w:bookmarkEnd w:id="154"/>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25.1评标采用保密方式进行。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25.2在投标文件的评审和比较、中标候选人推荐以及授予合同过程中，投标人任何试图影响或干扰招标人和评委会的评标活动，都可能导致其投标被拒绝。</w:t>
      </w:r>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25.3中标人确定后，招标人不对未中标人就评标过程以及未能中标的原因做出任何解释。未中标人不得向评委会组成人员或其他有关人员索问评标过程的情况和材料。</w:t>
      </w:r>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55" w:name="_Toc310965922"/>
      <w:bookmarkStart w:id="156" w:name="_Toc310966041"/>
      <w:bookmarkStart w:id="157" w:name="_Toc316985984"/>
      <w:r>
        <w:rPr>
          <w:rFonts w:hint="eastAsia" w:asciiTheme="minorEastAsia" w:hAnsiTheme="minorEastAsia" w:eastAsiaTheme="minorEastAsia"/>
          <w:b/>
          <w:color w:val="000000" w:themeColor="text1"/>
          <w:sz w:val="28"/>
          <w:szCs w:val="28"/>
          <w:highlight w:val="none"/>
          <w14:textFill>
            <w14:solidFill>
              <w14:schemeClr w14:val="tx1"/>
            </w14:solidFill>
          </w14:textFill>
        </w:rPr>
        <w:t>26、</w:t>
      </w:r>
      <w:r>
        <w:rPr>
          <w:rFonts w:hint="eastAsia" w:asciiTheme="minorEastAsia" w:hAnsiTheme="minorEastAsia" w:eastAsiaTheme="minorEastAsia"/>
          <w:b/>
          <w:sz w:val="28"/>
          <w:szCs w:val="28"/>
          <w:highlight w:val="none"/>
        </w:rPr>
        <w:t>评标</w:t>
      </w:r>
      <w:bookmarkEnd w:id="155"/>
      <w:bookmarkEnd w:id="156"/>
      <w:bookmarkEnd w:id="157"/>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26.1本招标项目采用的评标办法：综合评分法。</w:t>
      </w:r>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26.2评标委员会按照招标文件</w:t>
      </w:r>
      <w:r>
        <w:rPr>
          <w:rFonts w:hint="eastAsia" w:asciiTheme="minorEastAsia" w:hAnsiTheme="minorEastAsia" w:eastAsiaTheme="minorEastAsia"/>
          <w:b/>
          <w:szCs w:val="21"/>
          <w:highlight w:val="none"/>
        </w:rPr>
        <w:t>第三章“评标办法”</w:t>
      </w:r>
      <w:r>
        <w:rPr>
          <w:rFonts w:hint="eastAsia" w:asciiTheme="minorEastAsia" w:hAnsiTheme="minorEastAsia" w:eastAsiaTheme="minorEastAsia"/>
          <w:szCs w:val="21"/>
          <w:highlight w:val="none"/>
        </w:rPr>
        <w:t>规定进行评标。</w:t>
      </w:r>
    </w:p>
    <w:p>
      <w:pPr>
        <w:pStyle w:val="10"/>
        <w:tabs>
          <w:tab w:val="left" w:pos="0"/>
          <w:tab w:val="left" w:pos="510"/>
          <w:tab w:val="left" w:pos="1000"/>
        </w:tabs>
        <w:snapToGrid w:val="0"/>
        <w:spacing w:line="440" w:lineRule="exact"/>
        <w:ind w:firstLine="424" w:firstLineChars="202"/>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26.3投标文件有下列情形之一的，经评标委员会评审后按废标处理或被否决：</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bookmarkStart w:id="158" w:name="_Toc261518402"/>
      <w:bookmarkStart w:id="159" w:name="_Toc267475074"/>
      <w:bookmarkStart w:id="160" w:name="_Toc263777169"/>
      <w:bookmarkStart w:id="161" w:name="_Toc277937836"/>
      <w:r>
        <w:rPr>
          <w:rFonts w:hint="eastAsia" w:cs="宋体" w:asciiTheme="minorEastAsia" w:hAnsiTheme="minorEastAsia" w:eastAsiaTheme="minorEastAsia"/>
          <w:szCs w:val="21"/>
          <w:highlight w:val="none"/>
        </w:rPr>
        <w:t>26.3.1投标文件中的投标函未加盖投标人的公章及企业法定代表人印章的，或者企业法定代表人委托代理人没有合法、有效的委托书（原件）及委托代理人印章的；</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26.3.2未按招标文件规定的格式填写，内容不全或关键内容字迹模糊、无法辨认的；</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26.3.3投标人递交两份或者多份内容不同的投标文件，或者在一份投标文件中对同一招标项目有两个或者多个报价，且未声明哪个有效；</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26.3.4投标有效期不满足招标文件要求的；</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26.3.5投标文件载明的货物包装方式、检验标准和方法不符合招标文件要求的；</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26.3.6投标文件载明的招标项目完成期限超过招标文件规定的期限的；</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26.3.7明显不符合招标文件所要求的技术规格、技术标准和要求的；</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26.3.8投标文件附有招标人不能接受的条件的；</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26.3.9未响应招标文件规定的其他实质性要求；</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26.3.10不同投标人的投标文件出现了评标委员会认为不应当雷同的情况；</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26.3.11投标人未按照招标文件的要求提供必须提交的相关资料或提供虚假资料的；</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26.3.12投标报价超过最高限价的；</w:t>
      </w:r>
    </w:p>
    <w:p>
      <w:pPr>
        <w:widowControl/>
        <w:adjustRightInd w:val="0"/>
        <w:snapToGrid w:val="0"/>
        <w:spacing w:line="440" w:lineRule="exact"/>
        <w:ind w:firstLine="388" w:firstLineChars="185"/>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26.3.13招标文件明确规定废标和拒绝接受的其他情形；</w:t>
      </w:r>
    </w:p>
    <w:p>
      <w:pPr>
        <w:widowControl/>
        <w:adjustRightInd w:val="0"/>
        <w:snapToGrid w:val="0"/>
        <w:spacing w:line="440" w:lineRule="exact"/>
        <w:ind w:firstLine="420" w:firstLineChars="200"/>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26.3.14以他人的名义投标、串通投标、以行贿手段谋取中标或者以其他弄虚作假方式投标的。</w:t>
      </w:r>
    </w:p>
    <w:p>
      <w:pPr>
        <w:widowControl/>
        <w:adjustRightInd w:val="0"/>
        <w:snapToGrid w:val="0"/>
        <w:spacing w:line="440" w:lineRule="exact"/>
        <w:ind w:firstLine="420" w:firstLineChars="200"/>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经评标委员会认定为存在重大偏差的投标文件，将作为废标处理。</w:t>
      </w:r>
      <w:bookmarkEnd w:id="158"/>
      <w:bookmarkEnd w:id="159"/>
      <w:bookmarkEnd w:id="160"/>
      <w:bookmarkEnd w:id="161"/>
    </w:p>
    <w:p>
      <w:pPr>
        <w:pStyle w:val="10"/>
        <w:tabs>
          <w:tab w:val="left" w:pos="400"/>
        </w:tabs>
        <w:snapToGrid w:val="0"/>
        <w:spacing w:line="440" w:lineRule="exact"/>
        <w:ind w:firstLine="420" w:firstLineChars="150"/>
        <w:contextualSpacing/>
        <w:outlineLvl w:val="2"/>
        <w:rPr>
          <w:rFonts w:asciiTheme="minorEastAsia" w:hAnsiTheme="minorEastAsia" w:eastAsiaTheme="minorEastAsia"/>
          <w:b/>
          <w:sz w:val="28"/>
          <w:szCs w:val="28"/>
          <w:highlight w:val="none"/>
        </w:rPr>
      </w:pPr>
      <w:bookmarkStart w:id="162" w:name="_Toc310966042"/>
      <w:bookmarkStart w:id="163" w:name="_Toc316985985"/>
      <w:bookmarkStart w:id="164" w:name="_Toc310965923"/>
      <w:r>
        <w:rPr>
          <w:rFonts w:hint="eastAsia" w:asciiTheme="minorEastAsia" w:hAnsiTheme="minorEastAsia" w:eastAsiaTheme="minorEastAsia"/>
          <w:b/>
          <w:color w:val="000000" w:themeColor="text1"/>
          <w:sz w:val="28"/>
          <w:szCs w:val="28"/>
          <w:highlight w:val="none"/>
          <w14:textFill>
            <w14:solidFill>
              <w14:schemeClr w14:val="tx1"/>
            </w14:solidFill>
          </w14:textFill>
        </w:rPr>
        <w:t>27、</w:t>
      </w:r>
      <w:r>
        <w:rPr>
          <w:rFonts w:hint="eastAsia" w:asciiTheme="minorEastAsia" w:hAnsiTheme="minorEastAsia" w:eastAsiaTheme="minorEastAsia"/>
          <w:b/>
          <w:sz w:val="28"/>
          <w:szCs w:val="28"/>
          <w:highlight w:val="none"/>
        </w:rPr>
        <w:t>评前告知事项</w:t>
      </w:r>
      <w:bookmarkEnd w:id="162"/>
      <w:bookmarkEnd w:id="163"/>
      <w:bookmarkEnd w:id="164"/>
    </w:p>
    <w:p>
      <w:pPr>
        <w:pStyle w:val="10"/>
        <w:tabs>
          <w:tab w:val="left" w:pos="400"/>
        </w:tabs>
        <w:snapToGrid w:val="0"/>
        <w:spacing w:line="440" w:lineRule="exact"/>
        <w:ind w:firstLine="411" w:firstLineChars="196"/>
        <w:contextualSpacing/>
        <w:outlineLvl w:val="2"/>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招标人应在正式评标前，向评标委员会提供以下资料，以便评标专家决策参考。</w:t>
      </w:r>
    </w:p>
    <w:p>
      <w:pPr>
        <w:pStyle w:val="10"/>
        <w:tabs>
          <w:tab w:val="left" w:pos="0"/>
          <w:tab w:val="left" w:pos="510"/>
          <w:tab w:val="left" w:pos="1000"/>
        </w:tabs>
        <w:snapToGrid w:val="0"/>
        <w:spacing w:line="440" w:lineRule="exact"/>
        <w:contextualSpacing/>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27.1招标文件</w:t>
      </w:r>
    </w:p>
    <w:p>
      <w:pPr>
        <w:pStyle w:val="10"/>
        <w:tabs>
          <w:tab w:val="left" w:pos="0"/>
          <w:tab w:val="left" w:pos="510"/>
          <w:tab w:val="left" w:pos="1000"/>
        </w:tabs>
        <w:snapToGrid w:val="0"/>
        <w:spacing w:line="440" w:lineRule="exact"/>
        <w:contextualSpacing/>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27.2招标人认为应提供的其他相关资料</w:t>
      </w:r>
      <w:bookmarkStart w:id="165" w:name="_Toc310966043"/>
      <w:bookmarkStart w:id="166" w:name="_Toc310965924"/>
      <w:bookmarkStart w:id="167" w:name="_Toc316985986"/>
      <w:bookmarkStart w:id="168" w:name="_Toc152045574"/>
      <w:bookmarkStart w:id="169" w:name="_Toc267475084"/>
      <w:bookmarkStart w:id="170" w:name="_Toc152042350"/>
      <w:bookmarkStart w:id="171" w:name="_Toc144974542"/>
      <w:bookmarkStart w:id="172" w:name="_Toc263777179"/>
      <w:bookmarkStart w:id="173" w:name="_Toc277937846"/>
      <w:bookmarkStart w:id="174" w:name="_Toc263403079"/>
    </w:p>
    <w:p>
      <w:pPr>
        <w:adjustRightInd w:val="0"/>
        <w:snapToGrid w:val="0"/>
        <w:spacing w:line="440" w:lineRule="exact"/>
        <w:contextualSpacing/>
        <w:jc w:val="center"/>
        <w:rPr>
          <w:b/>
          <w:sz w:val="32"/>
          <w:szCs w:val="32"/>
          <w:highlight w:val="none"/>
        </w:rPr>
      </w:pPr>
      <w:r>
        <w:rPr>
          <w:rFonts w:hint="eastAsia"/>
          <w:b/>
          <w:sz w:val="32"/>
          <w:szCs w:val="32"/>
          <w:highlight w:val="none"/>
        </w:rPr>
        <w:t>七、合同授予</w:t>
      </w:r>
      <w:bookmarkEnd w:id="165"/>
      <w:bookmarkEnd w:id="166"/>
      <w:bookmarkEnd w:id="167"/>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75" w:name="_Toc310966044"/>
      <w:bookmarkStart w:id="176" w:name="_Toc316985987"/>
      <w:bookmarkStart w:id="177" w:name="_Toc310965925"/>
      <w:r>
        <w:rPr>
          <w:rFonts w:hint="eastAsia" w:asciiTheme="minorEastAsia" w:hAnsiTheme="minorEastAsia" w:eastAsiaTheme="minorEastAsia"/>
          <w:b/>
          <w:color w:val="000000" w:themeColor="text1"/>
          <w:sz w:val="28"/>
          <w:szCs w:val="28"/>
          <w:highlight w:val="none"/>
          <w14:textFill>
            <w14:solidFill>
              <w14:schemeClr w14:val="tx1"/>
            </w14:solidFill>
          </w14:textFill>
        </w:rPr>
        <w:t>28、</w:t>
      </w:r>
      <w:r>
        <w:rPr>
          <w:rFonts w:hint="eastAsia" w:asciiTheme="minorEastAsia" w:hAnsiTheme="minorEastAsia" w:eastAsiaTheme="minorEastAsia"/>
          <w:b/>
          <w:sz w:val="28"/>
          <w:szCs w:val="28"/>
          <w:highlight w:val="none"/>
        </w:rPr>
        <w:t>定标方式</w:t>
      </w:r>
      <w:bookmarkEnd w:id="175"/>
      <w:bookmarkEnd w:id="176"/>
      <w:bookmarkEnd w:id="177"/>
    </w:p>
    <w:p>
      <w:pPr>
        <w:pStyle w:val="10"/>
        <w:widowControl/>
        <w:tabs>
          <w:tab w:val="left" w:pos="0"/>
          <w:tab w:val="left" w:pos="510"/>
          <w:tab w:val="left" w:pos="1000"/>
        </w:tabs>
        <w:snapToGrid w:val="0"/>
        <w:spacing w:line="440" w:lineRule="exact"/>
        <w:contextualSpacing/>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28.1评标委员会完成评标后，应当向招标人提出书面评标报告，阐明评标委员会对各投标文件的评审和比较意见，并按照招标文件中规定的评标方法，推荐不超过3名有排序的合格的中标候选人。</w:t>
      </w:r>
    </w:p>
    <w:p>
      <w:pPr>
        <w:pStyle w:val="10"/>
        <w:widowControl/>
        <w:tabs>
          <w:tab w:val="left" w:pos="0"/>
          <w:tab w:val="left" w:pos="510"/>
          <w:tab w:val="left" w:pos="1000"/>
        </w:tabs>
        <w:snapToGrid w:val="0"/>
        <w:spacing w:line="440" w:lineRule="exact"/>
        <w:contextualSpacing/>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28.2排序原则：（1）按得分高低从高到低进行排序；（2）当得分相同时，取报价低者优先；（3）当得分、报价均相同时，由评标委员会决定。</w:t>
      </w:r>
    </w:p>
    <w:p>
      <w:pPr>
        <w:pStyle w:val="10"/>
        <w:widowControl/>
        <w:tabs>
          <w:tab w:val="left" w:pos="0"/>
          <w:tab w:val="left" w:pos="510"/>
          <w:tab w:val="left" w:pos="1000"/>
        </w:tabs>
        <w:snapToGrid w:val="0"/>
        <w:spacing w:line="440" w:lineRule="exact"/>
        <w:contextualSpacing/>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28.3评标委员会应当按照招标文件的规定推荐排序后的1至3名中标候选人。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招标人可以确定排名第二的中标候选人为中标人。如排名第二的中标候选人也发生上述问题，依次可确定排名第三的中标候选人为中标人或者重新招标。</w:t>
      </w:r>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78" w:name="_Toc310965926"/>
      <w:bookmarkStart w:id="179" w:name="_Toc316985988"/>
      <w:bookmarkStart w:id="180" w:name="_Toc310966045"/>
      <w:r>
        <w:rPr>
          <w:rFonts w:hint="eastAsia" w:asciiTheme="minorEastAsia" w:hAnsiTheme="minorEastAsia" w:eastAsiaTheme="minorEastAsia"/>
          <w:b/>
          <w:color w:val="000000" w:themeColor="text1"/>
          <w:sz w:val="28"/>
          <w:szCs w:val="28"/>
          <w:highlight w:val="none"/>
          <w14:textFill>
            <w14:solidFill>
              <w14:schemeClr w14:val="tx1"/>
            </w14:solidFill>
          </w14:textFill>
        </w:rPr>
        <w:t>29、</w:t>
      </w:r>
      <w:r>
        <w:rPr>
          <w:rFonts w:hint="eastAsia" w:asciiTheme="minorEastAsia" w:hAnsiTheme="minorEastAsia" w:eastAsiaTheme="minorEastAsia"/>
          <w:b/>
          <w:sz w:val="28"/>
          <w:szCs w:val="28"/>
          <w:highlight w:val="none"/>
        </w:rPr>
        <w:t>中标通知</w:t>
      </w:r>
      <w:bookmarkEnd w:id="178"/>
      <w:bookmarkEnd w:id="179"/>
      <w:bookmarkEnd w:id="180"/>
    </w:p>
    <w:p>
      <w:pPr>
        <w:pStyle w:val="10"/>
        <w:tabs>
          <w:tab w:val="left" w:pos="0"/>
          <w:tab w:val="left" w:pos="510"/>
          <w:tab w:val="left" w:pos="1000"/>
        </w:tabs>
        <w:snapToGrid w:val="0"/>
        <w:spacing w:line="440" w:lineRule="exact"/>
        <w:contextualSpacing/>
        <w:jc w:val="left"/>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29.1</w:t>
      </w:r>
      <w:r>
        <w:rPr>
          <w:rFonts w:asciiTheme="minorEastAsia" w:hAnsiTheme="minorEastAsia" w:eastAsiaTheme="minorEastAsia"/>
          <w:highlight w:val="none"/>
        </w:rPr>
        <w:t>定标后，招标</w:t>
      </w:r>
      <w:r>
        <w:rPr>
          <w:rFonts w:hint="eastAsia" w:asciiTheme="minorEastAsia" w:hAnsiTheme="minorEastAsia" w:eastAsiaTheme="minorEastAsia"/>
          <w:highlight w:val="none"/>
        </w:rPr>
        <w:t>人进行中标公示。投标人或者其他利害关系人对依法中标公示的结果有异议的，应当在中标公示期间提出。</w:t>
      </w:r>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29.2</w:t>
      </w:r>
      <w:r>
        <w:rPr>
          <w:rFonts w:cs="宋体" w:asciiTheme="minorEastAsia" w:hAnsiTheme="minorEastAsia" w:eastAsiaTheme="minorEastAsia"/>
          <w:szCs w:val="21"/>
          <w:highlight w:val="none"/>
        </w:rPr>
        <w:t>在规定的投标有效期内，招标人以书面形式向中标人发出中标通知书。</w:t>
      </w:r>
    </w:p>
    <w:p>
      <w:pPr>
        <w:pStyle w:val="10"/>
        <w:tabs>
          <w:tab w:val="left" w:pos="0"/>
          <w:tab w:val="left" w:pos="510"/>
          <w:tab w:val="left" w:pos="1000"/>
        </w:tabs>
        <w:snapToGrid w:val="0"/>
        <w:spacing w:line="440" w:lineRule="exact"/>
        <w:contextualSpacing/>
        <w:jc w:val="left"/>
        <w:rPr>
          <w:rFonts w:asciiTheme="minorEastAsia" w:hAnsiTheme="minorEastAsia" w:eastAsiaTheme="minorEastAsia"/>
          <w:highlight w:val="none"/>
        </w:rPr>
      </w:pPr>
      <w:r>
        <w:rPr>
          <w:rFonts w:hint="eastAsia" w:asciiTheme="minorEastAsia" w:hAnsiTheme="minorEastAsia" w:eastAsiaTheme="minorEastAsia"/>
          <w:highlight w:val="none"/>
        </w:rPr>
        <w:t>29.3</w:t>
      </w:r>
      <w:r>
        <w:rPr>
          <w:rFonts w:asciiTheme="minorEastAsia" w:hAnsiTheme="minorEastAsia" w:eastAsiaTheme="minorEastAsia"/>
          <w:highlight w:val="none"/>
        </w:rPr>
        <w:t>中标通知书将作为合同文件的组成部分。</w:t>
      </w:r>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81" w:name="_Toc310966046"/>
      <w:bookmarkStart w:id="182" w:name="_Toc316985989"/>
      <w:bookmarkStart w:id="183" w:name="_Toc310965927"/>
      <w:r>
        <w:rPr>
          <w:rFonts w:hint="eastAsia" w:asciiTheme="minorEastAsia" w:hAnsiTheme="minorEastAsia" w:eastAsiaTheme="minorEastAsia"/>
          <w:b/>
          <w:color w:val="000000" w:themeColor="text1"/>
          <w:sz w:val="28"/>
          <w:szCs w:val="28"/>
          <w:highlight w:val="none"/>
          <w14:textFill>
            <w14:solidFill>
              <w14:schemeClr w14:val="tx1"/>
            </w14:solidFill>
          </w14:textFill>
        </w:rPr>
        <w:t>30、</w:t>
      </w:r>
      <w:r>
        <w:rPr>
          <w:rFonts w:hint="eastAsia" w:asciiTheme="minorEastAsia" w:hAnsiTheme="minorEastAsia" w:eastAsiaTheme="minorEastAsia"/>
          <w:b/>
          <w:sz w:val="28"/>
          <w:szCs w:val="28"/>
          <w:highlight w:val="none"/>
        </w:rPr>
        <w:t>签订合同</w:t>
      </w:r>
      <w:bookmarkEnd w:id="181"/>
      <w:bookmarkEnd w:id="182"/>
      <w:bookmarkEnd w:id="183"/>
    </w:p>
    <w:p>
      <w:pPr>
        <w:pStyle w:val="10"/>
        <w:tabs>
          <w:tab w:val="left" w:pos="0"/>
          <w:tab w:val="left" w:pos="510"/>
          <w:tab w:val="left" w:pos="1000"/>
        </w:tabs>
        <w:snapToGrid w:val="0"/>
        <w:spacing w:line="440" w:lineRule="exact"/>
        <w:contextualSpacing/>
        <w:jc w:val="left"/>
        <w:rPr>
          <w:rFonts w:asciiTheme="minorEastAsia" w:hAnsiTheme="minorEastAsia" w:eastAsiaTheme="minorEastAsia"/>
          <w:b/>
          <w:szCs w:val="21"/>
          <w:highlight w:val="none"/>
        </w:rPr>
      </w:pPr>
      <w:r>
        <w:rPr>
          <w:rFonts w:hint="eastAsia" w:asciiTheme="minorEastAsia" w:hAnsiTheme="minorEastAsia" w:eastAsiaTheme="minorEastAsia"/>
          <w:highlight w:val="none"/>
        </w:rPr>
        <w:t>30.1</w:t>
      </w:r>
      <w:r>
        <w:rPr>
          <w:rFonts w:asciiTheme="minorEastAsia" w:hAnsiTheme="minorEastAsia" w:eastAsiaTheme="minorEastAsia"/>
          <w:highlight w:val="none"/>
        </w:rPr>
        <w:t>中标</w:t>
      </w:r>
      <w:r>
        <w:rPr>
          <w:rFonts w:hint="eastAsia" w:asciiTheme="minorEastAsia" w:hAnsiTheme="minorEastAsia" w:eastAsiaTheme="minorEastAsia"/>
          <w:highlight w:val="none"/>
        </w:rPr>
        <w:t>人和招标人根据</w:t>
      </w:r>
      <w:r>
        <w:rPr>
          <w:rFonts w:asciiTheme="minorEastAsia" w:hAnsiTheme="minorEastAsia" w:eastAsiaTheme="minorEastAsia"/>
          <w:highlight w:val="none"/>
        </w:rPr>
        <w:t>招标文件和中标人的投标文件</w:t>
      </w:r>
      <w:r>
        <w:rPr>
          <w:rFonts w:hint="eastAsia" w:asciiTheme="minorEastAsia" w:hAnsiTheme="minorEastAsia" w:eastAsiaTheme="minorEastAsia"/>
          <w:highlight w:val="none"/>
        </w:rPr>
        <w:t>，按照规定</w:t>
      </w:r>
      <w:r>
        <w:rPr>
          <w:rFonts w:asciiTheme="minorEastAsia" w:hAnsiTheme="minorEastAsia" w:eastAsiaTheme="minorEastAsia"/>
          <w:highlight w:val="none"/>
        </w:rPr>
        <w:t>订立书面合同。中标人无正当理由拒签合同的，招标人取消其中标资格；给招标人造成的损失超过投标保证金数额的，中标人还应当对超过部分予以赔偿。</w:t>
      </w:r>
    </w:p>
    <w:p>
      <w:pPr>
        <w:pStyle w:val="10"/>
        <w:tabs>
          <w:tab w:val="left" w:pos="400"/>
        </w:tabs>
        <w:snapToGrid w:val="0"/>
        <w:spacing w:line="440" w:lineRule="exact"/>
        <w:contextualSpacing/>
        <w:outlineLvl w:val="2"/>
        <w:rPr>
          <w:rFonts w:asciiTheme="minorEastAsia" w:hAnsiTheme="minorEastAsia" w:eastAsiaTheme="minorEastAsia"/>
          <w:b/>
          <w:sz w:val="28"/>
          <w:szCs w:val="28"/>
          <w:highlight w:val="none"/>
        </w:rPr>
      </w:pPr>
      <w:bookmarkStart w:id="184" w:name="_Toc142138247"/>
      <w:bookmarkStart w:id="185" w:name="_Toc310965928"/>
      <w:bookmarkStart w:id="186" w:name="_Toc316985990"/>
      <w:bookmarkStart w:id="187" w:name="_Toc310966047"/>
      <w:r>
        <w:rPr>
          <w:rFonts w:hint="eastAsia" w:asciiTheme="minorEastAsia" w:hAnsiTheme="minorEastAsia" w:eastAsiaTheme="minorEastAsia"/>
          <w:b/>
          <w:color w:val="000000" w:themeColor="text1"/>
          <w:sz w:val="28"/>
          <w:szCs w:val="28"/>
          <w:highlight w:val="none"/>
          <w14:textFill>
            <w14:solidFill>
              <w14:schemeClr w14:val="tx1"/>
            </w14:solidFill>
          </w14:textFill>
        </w:rPr>
        <w:t>31、</w:t>
      </w:r>
      <w:r>
        <w:rPr>
          <w:rFonts w:hint="eastAsia" w:asciiTheme="minorEastAsia" w:hAnsiTheme="minorEastAsia" w:eastAsiaTheme="minorEastAsia"/>
          <w:b/>
          <w:sz w:val="28"/>
          <w:szCs w:val="28"/>
          <w:highlight w:val="none"/>
        </w:rPr>
        <w:t>重新招标或经批准不招标</w:t>
      </w:r>
      <w:bookmarkEnd w:id="184"/>
      <w:bookmarkEnd w:id="185"/>
      <w:bookmarkEnd w:id="186"/>
      <w:bookmarkEnd w:id="187"/>
    </w:p>
    <w:p>
      <w:pPr>
        <w:pStyle w:val="10"/>
        <w:tabs>
          <w:tab w:val="left" w:pos="0"/>
          <w:tab w:val="left" w:pos="510"/>
          <w:tab w:val="left" w:pos="1000"/>
        </w:tabs>
        <w:snapToGrid w:val="0"/>
        <w:spacing w:line="440" w:lineRule="exact"/>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31.1有下列情形之一的，招标人应当依法重新招标：</w:t>
      </w:r>
    </w:p>
    <w:p>
      <w:pPr>
        <w:widowControl/>
        <w:adjustRightInd w:val="0"/>
        <w:snapToGrid w:val="0"/>
        <w:spacing w:line="440" w:lineRule="exact"/>
        <w:ind w:firstLine="420" w:firstLineChars="200"/>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(一)所有投标均做废标处理或被否决的；</w:t>
      </w:r>
    </w:p>
    <w:p>
      <w:pPr>
        <w:widowControl/>
        <w:adjustRightInd w:val="0"/>
        <w:snapToGrid w:val="0"/>
        <w:spacing w:line="440" w:lineRule="exact"/>
        <w:ind w:firstLine="420" w:firstLineChars="200"/>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(二)评标委员会界定为不合格标或废标后，因有效投标人不足3个使得投标明显缺乏竞争，评标委员会决定否决全部投标的；</w:t>
      </w:r>
    </w:p>
    <w:p>
      <w:pPr>
        <w:widowControl/>
        <w:adjustRightInd w:val="0"/>
        <w:snapToGrid w:val="0"/>
        <w:spacing w:line="440" w:lineRule="exact"/>
        <w:ind w:firstLine="420" w:firstLineChars="200"/>
        <w:contextualSpacing/>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符合前款第一种情形的，评标委员会应在评标纪要上详细说明所有投标均做废标处理或被否决的理由。</w:t>
      </w:r>
    </w:p>
    <w:p>
      <w:pPr>
        <w:pStyle w:val="10"/>
        <w:tabs>
          <w:tab w:val="left" w:pos="400"/>
        </w:tabs>
        <w:snapToGrid w:val="0"/>
        <w:spacing w:line="440" w:lineRule="exact"/>
        <w:ind w:firstLine="560" w:firstLineChars="200"/>
        <w:contextualSpacing/>
        <w:outlineLvl w:val="2"/>
        <w:rPr>
          <w:rFonts w:asciiTheme="minorEastAsia" w:hAnsiTheme="minorEastAsia" w:eastAsiaTheme="minorEastAsia"/>
          <w:b/>
          <w:sz w:val="28"/>
          <w:szCs w:val="28"/>
          <w:highlight w:val="none"/>
        </w:rPr>
      </w:pPr>
      <w:bookmarkStart w:id="188" w:name="_Toc310966048"/>
      <w:bookmarkStart w:id="189" w:name="_Toc316985991"/>
      <w:bookmarkStart w:id="190" w:name="_Toc310965929"/>
      <w:bookmarkStart w:id="191" w:name="_Toc142138248"/>
      <w:r>
        <w:rPr>
          <w:rFonts w:hint="eastAsia" w:asciiTheme="minorEastAsia" w:hAnsiTheme="minorEastAsia" w:eastAsiaTheme="minorEastAsia"/>
          <w:b/>
          <w:sz w:val="28"/>
          <w:szCs w:val="28"/>
          <w:highlight w:val="none"/>
        </w:rPr>
        <w:t>32.补偿和奖励</w:t>
      </w:r>
      <w:bookmarkEnd w:id="188"/>
      <w:bookmarkEnd w:id="189"/>
      <w:bookmarkEnd w:id="190"/>
    </w:p>
    <w:p>
      <w:pPr>
        <w:pStyle w:val="10"/>
        <w:tabs>
          <w:tab w:val="left" w:pos="0"/>
          <w:tab w:val="left" w:pos="510"/>
          <w:tab w:val="left" w:pos="1000"/>
        </w:tabs>
        <w:snapToGrid w:val="0"/>
        <w:spacing w:line="440" w:lineRule="exact"/>
        <w:ind w:firstLine="525" w:firstLineChars="250"/>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本招标项目不对未中标单位进行补偿。</w:t>
      </w:r>
    </w:p>
    <w:p>
      <w:pPr>
        <w:pStyle w:val="10"/>
        <w:tabs>
          <w:tab w:val="left" w:pos="400"/>
        </w:tabs>
        <w:snapToGrid w:val="0"/>
        <w:spacing w:line="440" w:lineRule="exact"/>
        <w:ind w:firstLine="560" w:firstLineChars="200"/>
        <w:contextualSpacing/>
        <w:outlineLvl w:val="2"/>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33.其他</w:t>
      </w:r>
    </w:p>
    <w:p>
      <w:pPr>
        <w:pStyle w:val="10"/>
        <w:tabs>
          <w:tab w:val="left" w:pos="0"/>
          <w:tab w:val="left" w:pos="510"/>
          <w:tab w:val="left" w:pos="1000"/>
        </w:tabs>
        <w:snapToGrid w:val="0"/>
        <w:spacing w:line="440" w:lineRule="exact"/>
        <w:ind w:firstLine="525" w:firstLineChars="250"/>
        <w:contextualSpacing/>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本次投标文件不予退还。</w:t>
      </w:r>
    </w:p>
    <w:bookmarkEnd w:id="168"/>
    <w:bookmarkEnd w:id="169"/>
    <w:bookmarkEnd w:id="170"/>
    <w:bookmarkEnd w:id="171"/>
    <w:bookmarkEnd w:id="172"/>
    <w:bookmarkEnd w:id="173"/>
    <w:bookmarkEnd w:id="174"/>
    <w:bookmarkEnd w:id="191"/>
    <w:p>
      <w:pPr>
        <w:pStyle w:val="10"/>
        <w:tabs>
          <w:tab w:val="left" w:pos="0"/>
          <w:tab w:val="left" w:pos="510"/>
          <w:tab w:val="left" w:pos="1000"/>
        </w:tabs>
        <w:snapToGrid w:val="0"/>
        <w:spacing w:line="440" w:lineRule="exact"/>
        <w:contextualSpacing/>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bookmarkEnd w:id="64"/>
    <w:p>
      <w:pPr>
        <w:adjustRightInd w:val="0"/>
        <w:spacing w:before="120" w:after="120"/>
        <w:jc w:val="center"/>
        <w:textAlignment w:val="baseline"/>
        <w:outlineLvl w:val="0"/>
        <w:rPr>
          <w:rFonts w:asciiTheme="minorEastAsia" w:hAnsiTheme="minorEastAsia" w:eastAsiaTheme="minorEastAsia"/>
          <w:b/>
          <w:bCs/>
          <w:kern w:val="0"/>
          <w:sz w:val="44"/>
          <w:szCs w:val="44"/>
          <w:highlight w:val="none"/>
        </w:rPr>
      </w:pPr>
      <w:bookmarkStart w:id="192" w:name="_Toc9303"/>
      <w:bookmarkStart w:id="193" w:name="_Toc316985994"/>
      <w:bookmarkStart w:id="194" w:name="_Toc367805008"/>
      <w:r>
        <w:rPr>
          <w:rFonts w:hint="eastAsia" w:asciiTheme="minorEastAsia" w:hAnsiTheme="minorEastAsia" w:eastAsiaTheme="minorEastAsia"/>
          <w:b/>
          <w:bCs/>
          <w:kern w:val="0"/>
          <w:sz w:val="44"/>
          <w:szCs w:val="44"/>
          <w:highlight w:val="none"/>
        </w:rPr>
        <w:t>第三章评标办法</w:t>
      </w:r>
      <w:bookmarkEnd w:id="192"/>
      <w:bookmarkEnd w:id="193"/>
      <w:bookmarkEnd w:id="194"/>
    </w:p>
    <w:p>
      <w:pPr>
        <w:adjustRightInd w:val="0"/>
        <w:spacing w:before="120" w:after="120"/>
        <w:jc w:val="center"/>
        <w:textAlignment w:val="baseline"/>
        <w:outlineLvl w:val="1"/>
        <w:rPr>
          <w:rFonts w:asciiTheme="minorEastAsia" w:hAnsiTheme="minorEastAsia" w:eastAsiaTheme="minorEastAsia"/>
          <w:b/>
          <w:bCs/>
          <w:kern w:val="0"/>
          <w:sz w:val="32"/>
          <w:szCs w:val="32"/>
          <w:highlight w:val="none"/>
        </w:rPr>
      </w:pPr>
      <w:bookmarkStart w:id="195" w:name="_Toc316985995"/>
      <w:bookmarkStart w:id="196" w:name="_Toc310965933"/>
      <w:bookmarkStart w:id="197" w:name="_Toc310966052"/>
      <w:r>
        <w:rPr>
          <w:rFonts w:hint="eastAsia" w:asciiTheme="minorEastAsia" w:hAnsiTheme="minorEastAsia" w:eastAsiaTheme="minorEastAsia"/>
          <w:b/>
          <w:bCs/>
          <w:kern w:val="0"/>
          <w:sz w:val="32"/>
          <w:szCs w:val="32"/>
          <w:highlight w:val="none"/>
        </w:rPr>
        <w:t>评标办法和标准</w:t>
      </w:r>
      <w:bookmarkEnd w:id="195"/>
      <w:bookmarkEnd w:id="196"/>
      <w:bookmarkEnd w:id="197"/>
    </w:p>
    <w:p>
      <w:pPr>
        <w:tabs>
          <w:tab w:val="left" w:pos="400"/>
        </w:tabs>
        <w:adjustRightInd w:val="0"/>
        <w:snapToGrid w:val="0"/>
        <w:spacing w:line="440" w:lineRule="atLeast"/>
        <w:ind w:firstLine="420" w:firstLineChars="150"/>
        <w:contextualSpacing/>
        <w:textAlignment w:val="baseline"/>
        <w:outlineLvl w:val="2"/>
        <w:rPr>
          <w:rFonts w:asciiTheme="minorEastAsia" w:hAnsiTheme="minorEastAsia" w:eastAsiaTheme="minorEastAsia"/>
          <w:b/>
          <w:sz w:val="28"/>
          <w:szCs w:val="28"/>
          <w:highlight w:val="none"/>
        </w:rPr>
      </w:pPr>
      <w:bookmarkStart w:id="198" w:name="_Toc316985996"/>
      <w:bookmarkStart w:id="199" w:name="_Toc310966053"/>
      <w:bookmarkStart w:id="200" w:name="_Toc310965934"/>
      <w:r>
        <w:rPr>
          <w:rFonts w:hint="eastAsia" w:asciiTheme="minorEastAsia" w:hAnsiTheme="minorEastAsia" w:eastAsiaTheme="minorEastAsia"/>
          <w:b/>
          <w:sz w:val="28"/>
          <w:szCs w:val="28"/>
          <w:highlight w:val="none"/>
        </w:rPr>
        <w:t>1、</w:t>
      </w:r>
      <w:bookmarkEnd w:id="198"/>
      <w:bookmarkEnd w:id="199"/>
      <w:bookmarkEnd w:id="200"/>
      <w:r>
        <w:rPr>
          <w:rFonts w:hint="eastAsia" w:asciiTheme="minorEastAsia" w:hAnsiTheme="minorEastAsia" w:eastAsiaTheme="minorEastAsia"/>
          <w:b/>
          <w:sz w:val="28"/>
          <w:szCs w:val="28"/>
          <w:highlight w:val="none"/>
        </w:rPr>
        <w:t>评标办法</w:t>
      </w:r>
    </w:p>
    <w:p>
      <w:pPr>
        <w:tabs>
          <w:tab w:val="left" w:pos="510"/>
          <w:tab w:val="left" w:pos="1000"/>
        </w:tabs>
        <w:adjustRightInd w:val="0"/>
        <w:snapToGrid w:val="0"/>
        <w:spacing w:line="360" w:lineRule="auto"/>
        <w:ind w:firstLine="420" w:firstLineChars="200"/>
        <w:contextualSpacing/>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1.1评标委员会仅对通过初步评审的技术文件进行详细评审。</w:t>
      </w:r>
    </w:p>
    <w:p>
      <w:pPr>
        <w:tabs>
          <w:tab w:val="left" w:pos="510"/>
          <w:tab w:val="left" w:pos="1000"/>
        </w:tabs>
        <w:adjustRightInd w:val="0"/>
        <w:snapToGrid w:val="0"/>
        <w:spacing w:line="360" w:lineRule="auto"/>
        <w:ind w:firstLine="420" w:firstLineChars="200"/>
        <w:contextualSpacing/>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1.2评标办法采用综合评估法。</w:t>
      </w:r>
    </w:p>
    <w:p>
      <w:pPr>
        <w:adjustRightInd w:val="0"/>
        <w:snapToGrid w:val="0"/>
        <w:spacing w:line="360" w:lineRule="auto"/>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1.2.1综合评估法采用百分制进行量化。</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Theme="minorEastAsia" w:hAnsiTheme="minorEastAsia" w:eastAsiaTheme="minorEastAsia"/>
          <w:szCs w:val="21"/>
          <w:highlight w:val="none"/>
        </w:rPr>
        <w:t>1.2.2评标委员会成员应当按照招标文件所规定的评标办法和标准进行独立、客观、公正地进行量化打分。</w:t>
      </w:r>
      <w:r>
        <w:rPr>
          <w:rFonts w:hint="eastAsia" w:ascii="宋体" w:hAnsi="宋体" w:cs="宋体"/>
          <w:szCs w:val="21"/>
          <w:highlight w:val="none"/>
        </w:rPr>
        <w:t>技术标的计分方法：按评委合计后汇总，去掉一个最高分，去掉一个最低分，汇总平均后的得分为其得分。计算出的分值保留</w:t>
      </w:r>
      <w:r>
        <w:rPr>
          <w:rFonts w:ascii="宋体" w:hAnsi="宋体" w:cs="宋体"/>
          <w:szCs w:val="21"/>
          <w:highlight w:val="none"/>
        </w:rPr>
        <w:t>2</w:t>
      </w:r>
      <w:r>
        <w:rPr>
          <w:rFonts w:hint="eastAsia" w:ascii="宋体" w:hAnsi="宋体" w:cs="宋体"/>
          <w:szCs w:val="21"/>
          <w:highlight w:val="none"/>
        </w:rPr>
        <w:t>位小数。</w:t>
      </w:r>
    </w:p>
    <w:p>
      <w:pPr>
        <w:tabs>
          <w:tab w:val="left" w:pos="540"/>
        </w:tabs>
        <w:adjustRightInd w:val="0"/>
        <w:snapToGrid w:val="0"/>
        <w:spacing w:line="360" w:lineRule="auto"/>
        <w:ind w:firstLine="422" w:firstLineChars="201"/>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1.3评分细则</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100分</w:t>
      </w:r>
      <w:r>
        <w:rPr>
          <w:rFonts w:asciiTheme="minorEastAsia" w:hAnsiTheme="minorEastAsia" w:eastAsiaTheme="minorEastAsia"/>
          <w:szCs w:val="21"/>
          <w:highlight w:val="none"/>
        </w:rPr>
        <w:t>)</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6"/>
        <w:gridCol w:w="1616"/>
        <w:gridCol w:w="1390"/>
        <w:gridCol w:w="5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2" w:type="dxa"/>
            <w:gridSpan w:val="3"/>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分值构成</w:t>
            </w:r>
          </w:p>
          <w:p>
            <w:pPr>
              <w:widowControl/>
              <w:spacing w:line="430" w:lineRule="exact"/>
              <w:jc w:val="center"/>
              <w:rPr>
                <w:rFonts w:ascii="宋体" w:hAnsi="宋体" w:cs="宋体"/>
                <w:kern w:val="0"/>
                <w:szCs w:val="21"/>
                <w:highlight w:val="none"/>
              </w:rPr>
            </w:pPr>
            <w:r>
              <w:rPr>
                <w:rFonts w:ascii="宋体" w:hAnsi="宋体" w:cs="宋体"/>
                <w:kern w:val="0"/>
                <w:szCs w:val="21"/>
                <w:highlight w:val="none"/>
              </w:rPr>
              <w:t>(</w:t>
            </w:r>
            <w:r>
              <w:rPr>
                <w:rFonts w:hint="eastAsia" w:ascii="宋体" w:hAnsi="宋体" w:cs="宋体"/>
                <w:kern w:val="0"/>
                <w:szCs w:val="21"/>
                <w:highlight w:val="none"/>
              </w:rPr>
              <w:t>总分</w:t>
            </w:r>
            <w:r>
              <w:rPr>
                <w:rFonts w:ascii="宋体" w:hAnsi="宋体" w:cs="宋体"/>
                <w:kern w:val="0"/>
                <w:szCs w:val="21"/>
                <w:highlight w:val="none"/>
              </w:rPr>
              <w:t>100</w:t>
            </w:r>
            <w:r>
              <w:rPr>
                <w:rFonts w:hint="eastAsia" w:ascii="宋体" w:hAnsi="宋体" w:cs="宋体"/>
                <w:kern w:val="0"/>
                <w:szCs w:val="21"/>
                <w:highlight w:val="none"/>
              </w:rPr>
              <w:t>分</w:t>
            </w:r>
            <w:r>
              <w:rPr>
                <w:rFonts w:ascii="宋体" w:hAnsi="宋体" w:cs="宋体"/>
                <w:kern w:val="0"/>
                <w:szCs w:val="21"/>
                <w:highlight w:val="none"/>
              </w:rPr>
              <w:t>)</w:t>
            </w:r>
          </w:p>
        </w:tc>
        <w:tc>
          <w:tcPr>
            <w:tcW w:w="5090" w:type="dxa"/>
            <w:tcBorders>
              <w:tl2br w:val="nil"/>
              <w:tr2bl w:val="nil"/>
            </w:tcBorders>
            <w:tcMar>
              <w:top w:w="0" w:type="dxa"/>
              <w:left w:w="108" w:type="dxa"/>
              <w:bottom w:w="0" w:type="dxa"/>
              <w:right w:w="108" w:type="dxa"/>
            </w:tcMar>
            <w:vAlign w:val="center"/>
          </w:tcPr>
          <w:p>
            <w:pPr>
              <w:spacing w:line="440" w:lineRule="exact"/>
              <w:rPr>
                <w:rFonts w:ascii="宋体" w:hAnsi="宋体" w:cs="宋体"/>
                <w:szCs w:val="21"/>
                <w:highlight w:val="none"/>
              </w:rPr>
            </w:pPr>
            <w:r>
              <w:rPr>
                <w:rFonts w:hint="eastAsia"/>
                <w:szCs w:val="21"/>
                <w:highlight w:val="none"/>
              </w:rPr>
              <w:t>技术标（勘察技术方案）：</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0</w:t>
            </w:r>
            <w:r>
              <w:rPr>
                <w:rFonts w:hint="eastAsia" w:ascii="宋体" w:hAnsi="宋体" w:cs="宋体"/>
                <w:szCs w:val="21"/>
                <w:highlight w:val="none"/>
              </w:rPr>
              <w:t>分</w:t>
            </w:r>
          </w:p>
          <w:p>
            <w:pPr>
              <w:spacing w:line="440" w:lineRule="exact"/>
              <w:rPr>
                <w:szCs w:val="21"/>
                <w:highlight w:val="none"/>
                <w:u w:val="single"/>
              </w:rPr>
            </w:pPr>
            <w:r>
              <w:rPr>
                <w:rFonts w:hint="eastAsia"/>
                <w:szCs w:val="21"/>
                <w:highlight w:val="none"/>
              </w:rPr>
              <w:t>商务标：</w:t>
            </w:r>
            <w:r>
              <w:rPr>
                <w:rFonts w:hint="eastAsia"/>
                <w:szCs w:val="21"/>
                <w:highlight w:val="none"/>
                <w:u w:val="single"/>
                <w:lang w:val="en-US" w:eastAsia="zh-CN"/>
              </w:rPr>
              <w:t>5</w:t>
            </w:r>
            <w:r>
              <w:rPr>
                <w:rFonts w:hint="eastAsia"/>
                <w:szCs w:val="21"/>
                <w:highlight w:val="none"/>
                <w:u w:val="single"/>
              </w:rPr>
              <w:t>0分</w:t>
            </w:r>
          </w:p>
          <w:p>
            <w:pPr>
              <w:widowControl/>
              <w:spacing w:line="430" w:lineRule="exact"/>
              <w:rPr>
                <w:szCs w:val="21"/>
                <w:highlight w:val="none"/>
              </w:rPr>
            </w:pPr>
            <w:r>
              <w:rPr>
                <w:rFonts w:hint="eastAsia" w:ascii="宋体" w:hAnsi="宋体" w:cs="宋体"/>
                <w:szCs w:val="21"/>
                <w:highlight w:val="none"/>
              </w:rPr>
              <w:t>经济标：</w:t>
            </w:r>
            <w:r>
              <w:rPr>
                <w:rFonts w:hint="eastAsia" w:ascii="宋体" w:hAnsi="宋体" w:cs="宋体"/>
                <w:kern w:val="0"/>
                <w:szCs w:val="21"/>
                <w:highlight w:val="none"/>
                <w:u w:val="single"/>
                <w:lang w:val="en-US" w:eastAsia="zh-CN"/>
              </w:rPr>
              <w:t>2</w:t>
            </w:r>
            <w:r>
              <w:rPr>
                <w:rFonts w:hint="eastAsia" w:ascii="宋体" w:hAnsi="宋体" w:cs="宋体"/>
                <w:kern w:val="0"/>
                <w:szCs w:val="21"/>
                <w:highlight w:val="none"/>
                <w:u w:val="singl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 w:type="dxa"/>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序号</w:t>
            </w:r>
          </w:p>
        </w:tc>
        <w:tc>
          <w:tcPr>
            <w:tcW w:w="1616" w:type="dxa"/>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评分项</w:t>
            </w:r>
          </w:p>
        </w:tc>
        <w:tc>
          <w:tcPr>
            <w:tcW w:w="1390" w:type="dxa"/>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评分因素</w:t>
            </w:r>
          </w:p>
        </w:tc>
        <w:tc>
          <w:tcPr>
            <w:tcW w:w="5090" w:type="dxa"/>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b/>
                <w:bCs/>
                <w:kern w:val="0"/>
                <w:szCs w:val="21"/>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42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ascii="宋体" w:hAnsi="宋体" w:cs="宋体"/>
                <w:kern w:val="0"/>
                <w:szCs w:val="21"/>
                <w:highlight w:val="none"/>
              </w:rPr>
              <w:t>1</w:t>
            </w:r>
          </w:p>
        </w:tc>
        <w:tc>
          <w:tcPr>
            <w:tcW w:w="161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技术标（</w:t>
            </w:r>
            <w:r>
              <w:rPr>
                <w:rFonts w:hint="eastAsia" w:ascii="宋体" w:hAnsi="宋体" w:cs="宋体"/>
                <w:kern w:val="0"/>
                <w:szCs w:val="21"/>
                <w:highlight w:val="none"/>
                <w:lang w:val="en-US" w:eastAsia="zh-CN"/>
              </w:rPr>
              <w:t>30</w:t>
            </w:r>
            <w:r>
              <w:rPr>
                <w:rFonts w:hint="eastAsia" w:ascii="宋体" w:hAnsi="宋体" w:cs="宋体"/>
                <w:kern w:val="0"/>
                <w:szCs w:val="21"/>
                <w:highlight w:val="none"/>
              </w:rPr>
              <w:t>分）</w:t>
            </w:r>
          </w:p>
        </w:tc>
        <w:tc>
          <w:tcPr>
            <w:tcW w:w="1390" w:type="dxa"/>
            <w:tcBorders>
              <w:tl2br w:val="nil"/>
              <w:tr2bl w:val="nil"/>
            </w:tcBorders>
            <w:tcMar>
              <w:top w:w="0" w:type="dxa"/>
              <w:left w:w="108" w:type="dxa"/>
              <w:bottom w:w="0" w:type="dxa"/>
              <w:right w:w="108" w:type="dxa"/>
            </w:tcMar>
            <w:vAlign w:val="center"/>
          </w:tcPr>
          <w:p>
            <w:pPr>
              <w:rPr>
                <w:rFonts w:ascii="Calibri" w:hAnsi="Calibri"/>
                <w:szCs w:val="22"/>
                <w:highlight w:val="none"/>
              </w:rPr>
            </w:pPr>
            <w:r>
              <w:rPr>
                <w:rFonts w:hint="eastAsia" w:ascii="Calibri" w:hAnsi="Calibri"/>
                <w:szCs w:val="22"/>
                <w:highlight w:val="none"/>
              </w:rPr>
              <w:t>项目总体工作思路（</w:t>
            </w:r>
            <w:r>
              <w:rPr>
                <w:rFonts w:hint="eastAsia" w:ascii="Calibri" w:hAnsi="Calibri"/>
                <w:szCs w:val="22"/>
                <w:highlight w:val="none"/>
                <w:lang w:val="en-US" w:eastAsia="zh-CN"/>
              </w:rPr>
              <w:t>5</w:t>
            </w:r>
            <w:r>
              <w:rPr>
                <w:rFonts w:hint="eastAsia" w:ascii="Calibri" w:hAnsi="Calibri"/>
                <w:szCs w:val="22"/>
                <w:highlight w:val="none"/>
              </w:rPr>
              <w:t>分）</w:t>
            </w:r>
          </w:p>
        </w:tc>
        <w:tc>
          <w:tcPr>
            <w:tcW w:w="5090" w:type="dxa"/>
            <w:tcBorders>
              <w:tl2br w:val="nil"/>
              <w:tr2bl w:val="nil"/>
            </w:tcBorders>
            <w:tcMar>
              <w:top w:w="0" w:type="dxa"/>
              <w:left w:w="108" w:type="dxa"/>
              <w:bottom w:w="0" w:type="dxa"/>
              <w:right w:w="108" w:type="dxa"/>
            </w:tcMar>
            <w:vAlign w:val="center"/>
          </w:tcPr>
          <w:p>
            <w:pPr>
              <w:spacing w:line="440" w:lineRule="exact"/>
              <w:rPr>
                <w:rFonts w:hint="eastAsia"/>
                <w:color w:val="000000"/>
                <w:szCs w:val="21"/>
                <w:highlight w:val="none"/>
              </w:rPr>
            </w:pPr>
            <w:r>
              <w:rPr>
                <w:rFonts w:hint="eastAsia"/>
                <w:color w:val="000000"/>
                <w:szCs w:val="21"/>
                <w:highlight w:val="none"/>
              </w:rPr>
              <w:t>对本项目功能、重点、难点等理解基本正确、总体设计思路基本清晰的，得基本分2分；</w:t>
            </w:r>
          </w:p>
          <w:p>
            <w:pPr>
              <w:spacing w:line="440" w:lineRule="exact"/>
              <w:rPr>
                <w:szCs w:val="21"/>
                <w:highlight w:val="none"/>
              </w:rPr>
            </w:pPr>
            <w:r>
              <w:rPr>
                <w:rFonts w:hint="eastAsia"/>
                <w:color w:val="000000"/>
                <w:szCs w:val="21"/>
                <w:highlight w:val="none"/>
              </w:rPr>
              <w:t>理解深刻、有独到见解，总体设计思路清晰的，得2-</w:t>
            </w:r>
            <w:r>
              <w:rPr>
                <w:rFonts w:hint="eastAsia"/>
                <w:color w:val="000000"/>
                <w:szCs w:val="21"/>
                <w:highlight w:val="none"/>
                <w:lang w:val="en-US" w:eastAsia="zh-CN"/>
              </w:rPr>
              <w:t>5</w:t>
            </w:r>
            <w:r>
              <w:rPr>
                <w:rFonts w:hint="eastAsia"/>
                <w:color w:val="000000"/>
                <w:szCs w:val="21"/>
                <w:highlight w:val="none"/>
              </w:rPr>
              <w:t>分</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rPr>
                <w:rFonts w:ascii="Calibri" w:hAnsi="Calibri"/>
                <w:szCs w:val="22"/>
                <w:highlight w:val="none"/>
              </w:rPr>
            </w:pPr>
            <w:r>
              <w:rPr>
                <w:color w:val="000000"/>
                <w:szCs w:val="21"/>
                <w:highlight w:val="none"/>
              </w:rPr>
              <w:t>项目勘察的特点、关键技术问题的认识及其对策措施</w:t>
            </w:r>
            <w:r>
              <w:rPr>
                <w:rFonts w:hint="eastAsia" w:ascii="Calibri" w:hAnsi="Calibri"/>
                <w:szCs w:val="22"/>
                <w:highlight w:val="none"/>
              </w:rPr>
              <w:t>（8分）</w:t>
            </w:r>
          </w:p>
        </w:tc>
        <w:tc>
          <w:tcPr>
            <w:tcW w:w="5090" w:type="dxa"/>
            <w:tcBorders>
              <w:tl2br w:val="nil"/>
              <w:tr2bl w:val="nil"/>
            </w:tcBorders>
            <w:tcMar>
              <w:top w:w="0" w:type="dxa"/>
              <w:left w:w="108" w:type="dxa"/>
              <w:bottom w:w="0" w:type="dxa"/>
              <w:right w:w="108" w:type="dxa"/>
            </w:tcMar>
            <w:vAlign w:val="center"/>
          </w:tcPr>
          <w:p>
            <w:pPr>
              <w:spacing w:line="440" w:lineRule="exact"/>
              <w:rPr>
                <w:rFonts w:hint="eastAsia"/>
                <w:color w:val="000000"/>
                <w:szCs w:val="21"/>
                <w:highlight w:val="none"/>
              </w:rPr>
            </w:pPr>
            <w:r>
              <w:rPr>
                <w:rFonts w:hint="eastAsia"/>
                <w:color w:val="000000"/>
                <w:szCs w:val="21"/>
                <w:highlight w:val="none"/>
              </w:rPr>
              <w:t>对招标项目勘察设计的特点、重点、难点及关键性技术问题把握基本</w:t>
            </w:r>
            <w:r>
              <w:rPr>
                <w:rFonts w:hint="eastAsia"/>
                <w:color w:val="000000"/>
                <w:szCs w:val="21"/>
                <w:highlight w:val="none"/>
                <w:lang w:eastAsia="zh-CN"/>
              </w:rPr>
              <w:t>正确</w:t>
            </w:r>
            <w:r>
              <w:rPr>
                <w:rFonts w:hint="eastAsia"/>
                <w:color w:val="000000"/>
                <w:szCs w:val="21"/>
                <w:highlight w:val="none"/>
              </w:rPr>
              <w:t>，所提出的措施基本可行的，得基本分5分；</w:t>
            </w:r>
          </w:p>
          <w:p>
            <w:pPr>
              <w:spacing w:line="440" w:lineRule="exact"/>
              <w:rPr>
                <w:szCs w:val="21"/>
                <w:highlight w:val="none"/>
              </w:rPr>
            </w:pPr>
            <w:r>
              <w:rPr>
                <w:rFonts w:hint="eastAsia"/>
                <w:color w:val="000000"/>
                <w:szCs w:val="21"/>
                <w:highlight w:val="none"/>
              </w:rPr>
              <w:t>对招标项目勘察设计的特点、重点、难点及关键性技术问题把握准确，所提出的措施</w:t>
            </w:r>
            <w:r>
              <w:rPr>
                <w:rFonts w:hint="eastAsia"/>
                <w:color w:val="000000"/>
                <w:szCs w:val="21"/>
                <w:highlight w:val="none"/>
                <w:lang w:eastAsia="zh-CN"/>
              </w:rPr>
              <w:t>切实</w:t>
            </w:r>
            <w:r>
              <w:rPr>
                <w:rFonts w:hint="eastAsia"/>
                <w:color w:val="000000"/>
                <w:szCs w:val="21"/>
                <w:highlight w:val="none"/>
              </w:rPr>
              <w:t>可行的，得5-8分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rPr>
                <w:rFonts w:ascii="Calibri" w:hAnsi="Calibri"/>
                <w:szCs w:val="22"/>
                <w:highlight w:val="none"/>
              </w:rPr>
            </w:pPr>
            <w:r>
              <w:rPr>
                <w:rFonts w:hint="eastAsia"/>
                <w:color w:val="000000"/>
                <w:szCs w:val="21"/>
                <w:highlight w:val="none"/>
              </w:rPr>
              <w:t>项目勘察质量保证措施、进度保证措施、安全保证措施</w:t>
            </w:r>
            <w:r>
              <w:rPr>
                <w:rFonts w:hint="eastAsia" w:ascii="Calibri" w:hAnsi="Calibri"/>
                <w:szCs w:val="22"/>
                <w:highlight w:val="none"/>
              </w:rPr>
              <w:t>（8分）</w:t>
            </w:r>
          </w:p>
        </w:tc>
        <w:tc>
          <w:tcPr>
            <w:tcW w:w="5090" w:type="dxa"/>
            <w:tcBorders>
              <w:tl2br w:val="nil"/>
              <w:tr2bl w:val="nil"/>
            </w:tcBorders>
            <w:tcMar>
              <w:top w:w="0" w:type="dxa"/>
              <w:left w:w="108" w:type="dxa"/>
              <w:bottom w:w="0" w:type="dxa"/>
              <w:right w:w="108" w:type="dxa"/>
            </w:tcMar>
            <w:vAlign w:val="center"/>
          </w:tcPr>
          <w:p>
            <w:pPr>
              <w:rPr>
                <w:rFonts w:hint="eastAsia"/>
                <w:color w:val="000000"/>
                <w:szCs w:val="21"/>
                <w:highlight w:val="none"/>
              </w:rPr>
            </w:pPr>
            <w:r>
              <w:rPr>
                <w:rFonts w:hint="eastAsia"/>
                <w:color w:val="000000"/>
                <w:szCs w:val="21"/>
                <w:highlight w:val="none"/>
              </w:rPr>
              <w:t>满足勘察设计工作质量、进度、安全要求，保证措施基本可行的，得基本分5分；</w:t>
            </w:r>
          </w:p>
          <w:p>
            <w:pPr>
              <w:rPr>
                <w:rFonts w:hint="eastAsia" w:eastAsia="宋体"/>
                <w:szCs w:val="21"/>
                <w:highlight w:val="none"/>
                <w:lang w:eastAsia="zh-CN"/>
              </w:rPr>
            </w:pPr>
            <w:r>
              <w:rPr>
                <w:rFonts w:hint="eastAsia"/>
                <w:color w:val="000000"/>
                <w:szCs w:val="21"/>
                <w:highlight w:val="none"/>
              </w:rPr>
              <w:t>满足勘察设计工作质量、进度、安全要求，质量保证措施</w:t>
            </w:r>
            <w:r>
              <w:rPr>
                <w:rFonts w:hint="eastAsia"/>
                <w:color w:val="000000"/>
                <w:szCs w:val="21"/>
                <w:highlight w:val="none"/>
                <w:lang w:eastAsia="zh-CN"/>
              </w:rPr>
              <w:t>有针对性，</w:t>
            </w:r>
            <w:r>
              <w:rPr>
                <w:rFonts w:hint="eastAsia"/>
                <w:color w:val="000000"/>
                <w:szCs w:val="21"/>
                <w:highlight w:val="none"/>
              </w:rPr>
              <w:t>切实可行的，得5-8分</w:t>
            </w:r>
            <w:r>
              <w:rPr>
                <w:rFonts w:hint="eastAsia"/>
                <w:color w:val="000000"/>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rPr>
                <w:rFonts w:hint="eastAsia" w:eastAsia="宋体"/>
                <w:color w:val="000000"/>
                <w:szCs w:val="21"/>
                <w:highlight w:val="none"/>
                <w:lang w:eastAsia="zh-CN"/>
              </w:rPr>
            </w:pPr>
            <w:r>
              <w:rPr>
                <w:rFonts w:hint="eastAsia" w:hAnsi="Times New Roman" w:cs="宋体"/>
                <w:sz w:val="21"/>
                <w:szCs w:val="21"/>
                <w:highlight w:val="none"/>
              </w:rPr>
              <w:t>投入的机具仪器</w:t>
            </w:r>
            <w:r>
              <w:rPr>
                <w:rFonts w:hint="eastAsia" w:cs="宋体"/>
                <w:sz w:val="21"/>
                <w:szCs w:val="21"/>
                <w:highlight w:val="none"/>
                <w:lang w:eastAsia="zh-CN"/>
              </w:rPr>
              <w:t>（</w:t>
            </w:r>
            <w:r>
              <w:rPr>
                <w:rFonts w:hint="eastAsia" w:cs="宋体"/>
                <w:sz w:val="21"/>
                <w:szCs w:val="21"/>
                <w:highlight w:val="none"/>
                <w:lang w:val="en-US" w:eastAsia="zh-CN"/>
              </w:rPr>
              <w:t>5分</w:t>
            </w:r>
            <w:r>
              <w:rPr>
                <w:rFonts w:hint="eastAsia" w:cs="宋体"/>
                <w:sz w:val="21"/>
                <w:szCs w:val="21"/>
                <w:highlight w:val="none"/>
                <w:lang w:eastAsia="zh-CN"/>
              </w:rPr>
              <w:t>）</w:t>
            </w:r>
          </w:p>
        </w:tc>
        <w:tc>
          <w:tcPr>
            <w:tcW w:w="5090" w:type="dxa"/>
            <w:tcBorders>
              <w:tl2br w:val="nil"/>
              <w:tr2bl w:val="nil"/>
            </w:tcBorders>
            <w:tcMar>
              <w:top w:w="0" w:type="dxa"/>
              <w:left w:w="108" w:type="dxa"/>
              <w:bottom w:w="0" w:type="dxa"/>
              <w:right w:w="108" w:type="dxa"/>
            </w:tcMar>
            <w:vAlign w:val="center"/>
          </w:tcPr>
          <w:p>
            <w:pPr>
              <w:autoSpaceDE w:val="0"/>
              <w:autoSpaceDN w:val="0"/>
              <w:adjustRightInd w:val="0"/>
              <w:snapToGrid w:val="0"/>
              <w:spacing w:line="312" w:lineRule="auto"/>
              <w:rPr>
                <w:sz w:val="21"/>
                <w:szCs w:val="21"/>
                <w:highlight w:val="none"/>
              </w:rPr>
            </w:pPr>
            <w:r>
              <w:rPr>
                <w:rFonts w:hint="eastAsia"/>
                <w:sz w:val="21"/>
                <w:szCs w:val="21"/>
                <w:highlight w:val="none"/>
              </w:rPr>
              <w:t>配备有工程钻机的得</w:t>
            </w:r>
            <w:r>
              <w:rPr>
                <w:sz w:val="21"/>
                <w:szCs w:val="21"/>
                <w:highlight w:val="none"/>
              </w:rPr>
              <w:t>2.5分、配备有静力触探机的得2.5分。本项最高得5分</w:t>
            </w:r>
            <w:r>
              <w:rPr>
                <w:rFonts w:hint="eastAsia"/>
                <w:sz w:val="21"/>
                <w:szCs w:val="21"/>
                <w:highlight w:val="none"/>
              </w:rPr>
              <w:t>。</w:t>
            </w:r>
          </w:p>
          <w:p>
            <w:pPr>
              <w:rPr>
                <w:rFonts w:hint="eastAsia"/>
                <w:color w:val="000000"/>
                <w:szCs w:val="21"/>
                <w:highlight w:val="none"/>
              </w:rPr>
            </w:pPr>
            <w:r>
              <w:rPr>
                <w:b/>
                <w:bCs/>
                <w:sz w:val="21"/>
                <w:szCs w:val="21"/>
                <w:highlight w:val="none"/>
              </w:rPr>
              <w:t>提供设备购买发票或设备租赁协议（复印件加盖公章，原件备查）。其中供应商提供设备购买发票按该项分值的100%计取，提供设备租赁协议的按该项分值的70%计取，不提供不得分。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spacing w:line="360" w:lineRule="auto"/>
              <w:jc w:val="center"/>
              <w:rPr>
                <w:rFonts w:hint="eastAsia" w:hAnsi="Times New Roman" w:cs="宋体"/>
                <w:sz w:val="21"/>
                <w:szCs w:val="21"/>
                <w:highlight w:val="none"/>
              </w:rPr>
            </w:pPr>
            <w:r>
              <w:rPr>
                <w:rFonts w:hint="eastAsia" w:hAnsi="Times New Roman" w:cs="宋体"/>
                <w:sz w:val="21"/>
                <w:szCs w:val="21"/>
                <w:highlight w:val="none"/>
              </w:rPr>
              <w:t>服务承诺</w:t>
            </w:r>
          </w:p>
          <w:p>
            <w:pPr>
              <w:spacing w:line="360" w:lineRule="auto"/>
              <w:jc w:val="center"/>
              <w:rPr>
                <w:rFonts w:hint="eastAsia" w:ascii="Times New Roman" w:hAnsi="Times New Roman" w:eastAsia="宋体" w:cs="Times New Roman"/>
                <w:kern w:val="2"/>
                <w:sz w:val="24"/>
                <w:szCs w:val="24"/>
                <w:highlight w:val="none"/>
                <w:lang w:val="en-US" w:eastAsia="zh-CN" w:bidi="ar-SA"/>
              </w:rPr>
            </w:pPr>
            <w:r>
              <w:rPr>
                <w:rFonts w:hint="eastAsia" w:cs="宋体"/>
                <w:sz w:val="21"/>
                <w:szCs w:val="21"/>
                <w:highlight w:val="none"/>
                <w:lang w:eastAsia="zh-CN"/>
              </w:rPr>
              <w:t>（</w:t>
            </w:r>
            <w:r>
              <w:rPr>
                <w:rFonts w:hint="eastAsia" w:cs="宋体"/>
                <w:sz w:val="21"/>
                <w:szCs w:val="21"/>
                <w:highlight w:val="none"/>
                <w:lang w:val="en-US" w:eastAsia="zh-CN"/>
              </w:rPr>
              <w:t>4分</w:t>
            </w:r>
            <w:r>
              <w:rPr>
                <w:rFonts w:hint="eastAsia" w:cs="宋体"/>
                <w:sz w:val="21"/>
                <w:szCs w:val="21"/>
                <w:highlight w:val="none"/>
                <w:lang w:eastAsia="zh-CN"/>
              </w:rPr>
              <w:t>）</w:t>
            </w:r>
          </w:p>
        </w:tc>
        <w:tc>
          <w:tcPr>
            <w:tcW w:w="5090" w:type="dxa"/>
            <w:tcBorders>
              <w:tl2br w:val="nil"/>
              <w:tr2bl w:val="nil"/>
            </w:tcBorders>
            <w:tcMar>
              <w:top w:w="0" w:type="dxa"/>
              <w:left w:w="108" w:type="dxa"/>
              <w:bottom w:w="0" w:type="dxa"/>
              <w:right w:w="108" w:type="dxa"/>
            </w:tcMar>
            <w:vAlign w:val="top"/>
          </w:tcPr>
          <w:p>
            <w:pPr>
              <w:autoSpaceDE w:val="0"/>
              <w:autoSpaceDN w:val="0"/>
              <w:adjustRightInd w:val="0"/>
              <w:jc w:val="left"/>
              <w:rPr>
                <w:rFonts w:hint="eastAsia" w:ascii="Times New Roman" w:hAnsi="Times New Roman" w:eastAsia="宋体" w:cs="宋体"/>
                <w:kern w:val="2"/>
                <w:sz w:val="24"/>
                <w:szCs w:val="24"/>
                <w:highlight w:val="none"/>
                <w:lang w:val="en-US" w:eastAsia="zh-CN" w:bidi="ar-SA"/>
              </w:rPr>
            </w:pPr>
            <w:r>
              <w:rPr>
                <w:rFonts w:hint="eastAsia" w:hAnsi="Times New Roman" w:cs="宋体"/>
                <w:sz w:val="21"/>
                <w:szCs w:val="21"/>
                <w:highlight w:val="none"/>
              </w:rPr>
              <w:t>在项目的实施过程中，承诺派驻联系人员，随时为建设方提供咨询和现场服务</w:t>
            </w:r>
            <w:r>
              <w:rPr>
                <w:rFonts w:hAnsi="Times New Roman" w:cs="宋体"/>
                <w:sz w:val="21"/>
                <w:szCs w:val="21"/>
                <w:highlight w:val="none"/>
              </w:rPr>
              <w:t xml:space="preserve"> </w:t>
            </w:r>
            <w:r>
              <w:rPr>
                <w:rFonts w:hint="eastAsia" w:hAnsi="Times New Roman" w:cs="宋体"/>
                <w:sz w:val="21"/>
                <w:szCs w:val="21"/>
                <w:highlight w:val="none"/>
              </w:rPr>
              <w:t>（</w:t>
            </w:r>
            <w:r>
              <w:rPr>
                <w:rFonts w:hAnsi="Times New Roman" w:cs="宋体"/>
                <w:sz w:val="21"/>
                <w:szCs w:val="21"/>
                <w:highlight w:val="none"/>
              </w:rPr>
              <w:t>0-</w:t>
            </w:r>
            <w:r>
              <w:rPr>
                <w:rFonts w:hint="eastAsia" w:cs="宋体"/>
                <w:sz w:val="21"/>
                <w:szCs w:val="21"/>
                <w:highlight w:val="none"/>
                <w:lang w:val="en-US" w:eastAsia="zh-CN"/>
              </w:rPr>
              <w:t>4</w:t>
            </w:r>
            <w:r>
              <w:rPr>
                <w:rFonts w:hint="eastAsia" w:hAnsi="Times New Roman" w:cs="宋体"/>
                <w:sz w:val="21"/>
                <w:szCs w:val="21"/>
                <w:highlight w:val="none"/>
              </w:rPr>
              <w:t>分）。</w:t>
            </w:r>
            <w:r>
              <w:rPr>
                <w:rFonts w:hAnsi="Times New Roman" w:cs="宋体"/>
                <w:sz w:val="21"/>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2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ascii="宋体" w:hAnsi="宋体" w:cs="宋体"/>
                <w:kern w:val="0"/>
                <w:szCs w:val="21"/>
                <w:highlight w:val="none"/>
              </w:rPr>
              <w:t>2</w:t>
            </w:r>
          </w:p>
        </w:tc>
        <w:tc>
          <w:tcPr>
            <w:tcW w:w="1616" w:type="dxa"/>
            <w:vMerge w:val="restart"/>
            <w:tcBorders>
              <w:tl2br w:val="nil"/>
              <w:tr2bl w:val="nil"/>
            </w:tcBorders>
            <w:tcMar>
              <w:top w:w="0" w:type="dxa"/>
              <w:left w:w="108" w:type="dxa"/>
              <w:bottom w:w="0" w:type="dxa"/>
              <w:right w:w="108" w:type="dxa"/>
            </w:tcMar>
            <w:vAlign w:val="center"/>
          </w:tcPr>
          <w:p>
            <w:pPr>
              <w:widowControl/>
              <w:jc w:val="center"/>
              <w:rPr>
                <w:rFonts w:ascii="宋体" w:hAnsi="宋体" w:cs="宋体"/>
                <w:szCs w:val="21"/>
                <w:highlight w:val="none"/>
              </w:rPr>
            </w:pPr>
            <w:r>
              <w:rPr>
                <w:rFonts w:hint="eastAsia" w:ascii="宋体" w:hAnsi="宋体" w:cs="宋体"/>
                <w:szCs w:val="21"/>
                <w:highlight w:val="none"/>
              </w:rPr>
              <w:t>商务标（</w:t>
            </w:r>
            <w:r>
              <w:rPr>
                <w:rFonts w:hint="eastAsia" w:ascii="宋体" w:hAnsi="宋体" w:cs="宋体"/>
                <w:szCs w:val="21"/>
                <w:highlight w:val="none"/>
                <w:lang w:val="en-US" w:eastAsia="zh-CN"/>
              </w:rPr>
              <w:t>5</w:t>
            </w:r>
            <w:r>
              <w:rPr>
                <w:rFonts w:hint="eastAsia" w:ascii="宋体" w:hAnsi="宋体" w:cs="宋体"/>
                <w:szCs w:val="21"/>
                <w:highlight w:val="none"/>
              </w:rPr>
              <w:t>0分）</w:t>
            </w:r>
          </w:p>
        </w:tc>
        <w:tc>
          <w:tcPr>
            <w:tcW w:w="1390" w:type="dxa"/>
            <w:tcBorders>
              <w:tl2br w:val="nil"/>
              <w:tr2bl w:val="nil"/>
            </w:tcBorders>
            <w:tcMar>
              <w:top w:w="0" w:type="dxa"/>
              <w:left w:w="108" w:type="dxa"/>
              <w:bottom w:w="0" w:type="dxa"/>
              <w:right w:w="108" w:type="dxa"/>
            </w:tcMar>
            <w:vAlign w:val="center"/>
          </w:tcPr>
          <w:p>
            <w:pPr>
              <w:pStyle w:val="45"/>
              <w:spacing w:line="320" w:lineRule="exact"/>
              <w:ind w:firstLine="0" w:firstLineChars="0"/>
              <w:rPr>
                <w:rFonts w:hint="eastAsia" w:ascii="宋体" w:hAnsi="宋体" w:cs="宋体"/>
                <w:highlight w:val="none"/>
                <w:lang w:eastAsia="zh-CN"/>
              </w:rPr>
            </w:pPr>
            <w:r>
              <w:rPr>
                <w:rFonts w:hint="eastAsia" w:ascii="宋体" w:hAnsi="宋体" w:cs="宋体"/>
                <w:highlight w:val="none"/>
                <w:lang w:eastAsia="zh-CN"/>
              </w:rPr>
              <w:t>技术能力</w:t>
            </w:r>
          </w:p>
          <w:p>
            <w:pPr>
              <w:pStyle w:val="45"/>
              <w:spacing w:line="320" w:lineRule="exact"/>
              <w:ind w:firstLine="0" w:firstLineChars="0"/>
              <w:rPr>
                <w:rFonts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4</w:t>
            </w:r>
            <w:r>
              <w:rPr>
                <w:rFonts w:hint="eastAsia" w:ascii="宋体" w:hAnsi="宋体" w:cs="宋体"/>
                <w:highlight w:val="none"/>
              </w:rPr>
              <w:t>分）</w:t>
            </w:r>
          </w:p>
          <w:p>
            <w:pPr>
              <w:widowControl/>
              <w:spacing w:line="430" w:lineRule="exact"/>
              <w:jc w:val="left"/>
              <w:rPr>
                <w:rFonts w:ascii="宋体" w:hAnsi="宋体" w:cs="宋体"/>
                <w:kern w:val="0"/>
                <w:szCs w:val="21"/>
                <w:highlight w:val="none"/>
              </w:rPr>
            </w:pPr>
          </w:p>
        </w:tc>
        <w:tc>
          <w:tcPr>
            <w:tcW w:w="5090" w:type="dxa"/>
            <w:tcBorders>
              <w:tl2br w:val="nil"/>
              <w:tr2bl w:val="nil"/>
            </w:tcBorders>
            <w:tcMar>
              <w:top w:w="0" w:type="dxa"/>
              <w:left w:w="108" w:type="dxa"/>
              <w:bottom w:w="0" w:type="dxa"/>
              <w:right w:w="108" w:type="dxa"/>
            </w:tcMar>
            <w:vAlign w:val="center"/>
          </w:tcPr>
          <w:p>
            <w:pPr>
              <w:spacing w:line="320" w:lineRule="exact"/>
              <w:rPr>
                <w:rFonts w:hint="eastAsia" w:ascii="宋体" w:hAnsi="宋体" w:cs="宋体"/>
                <w:kern w:val="0"/>
                <w:szCs w:val="21"/>
                <w:highlight w:val="none"/>
              </w:rPr>
            </w:pPr>
            <w:r>
              <w:rPr>
                <w:rFonts w:hint="eastAsia" w:ascii="宋体" w:hAnsi="宋体" w:cs="宋体"/>
                <w:kern w:val="0"/>
                <w:szCs w:val="21"/>
                <w:highlight w:val="none"/>
              </w:rPr>
              <w:t>具有一类土工实验室（提供证明材料）得4分，</w:t>
            </w:r>
          </w:p>
          <w:p>
            <w:pPr>
              <w:spacing w:line="320" w:lineRule="exact"/>
              <w:rPr>
                <w:rFonts w:ascii="宋体" w:hAnsi="宋体" w:cs="宋体"/>
                <w:szCs w:val="21"/>
                <w:highlight w:val="none"/>
              </w:rPr>
            </w:pPr>
            <w:r>
              <w:rPr>
                <w:rFonts w:hint="eastAsia" w:ascii="宋体" w:hAnsi="宋体" w:cs="宋体"/>
                <w:kern w:val="0"/>
                <w:szCs w:val="21"/>
                <w:highlight w:val="none"/>
              </w:rPr>
              <w:t>具有二类土工实验室（提供证明材料）得2分。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jc w:val="center"/>
              <w:rPr>
                <w:rFonts w:ascii="仿宋" w:hAnsi="仿宋" w:eastAsia="仿宋" w:cs="仿宋"/>
                <w:szCs w:val="21"/>
                <w:highlight w:val="none"/>
              </w:rPr>
            </w:pPr>
          </w:p>
        </w:tc>
        <w:tc>
          <w:tcPr>
            <w:tcW w:w="1390" w:type="dxa"/>
            <w:tcBorders>
              <w:tl2br w:val="nil"/>
              <w:tr2bl w:val="nil"/>
            </w:tcBorders>
            <w:tcMar>
              <w:top w:w="0" w:type="dxa"/>
              <w:left w:w="108" w:type="dxa"/>
              <w:bottom w:w="0" w:type="dxa"/>
              <w:right w:w="108" w:type="dxa"/>
            </w:tcMar>
            <w:vAlign w:val="center"/>
          </w:tcPr>
          <w:p>
            <w:pPr>
              <w:rPr>
                <w:rFonts w:ascii="宋体" w:hAnsi="宋体" w:cs="宋体"/>
                <w:kern w:val="0"/>
                <w:szCs w:val="21"/>
                <w:highlight w:val="none"/>
              </w:rPr>
            </w:pPr>
            <w:r>
              <w:rPr>
                <w:rFonts w:hint="eastAsia" w:ascii="宋体" w:hAnsi="宋体" w:cs="宋体"/>
                <w:kern w:val="0"/>
                <w:szCs w:val="21"/>
                <w:highlight w:val="none"/>
              </w:rPr>
              <w:t>管理体系（8分）</w:t>
            </w:r>
          </w:p>
        </w:tc>
        <w:tc>
          <w:tcPr>
            <w:tcW w:w="5090" w:type="dxa"/>
            <w:tcBorders>
              <w:tl2br w:val="nil"/>
              <w:tr2bl w:val="nil"/>
            </w:tcBorders>
            <w:tcMar>
              <w:top w:w="0" w:type="dxa"/>
              <w:left w:w="108" w:type="dxa"/>
              <w:bottom w:w="0" w:type="dxa"/>
              <w:right w:w="108" w:type="dxa"/>
            </w:tcMar>
            <w:vAlign w:val="center"/>
          </w:tcPr>
          <w:p>
            <w:pPr>
              <w:rPr>
                <w:rFonts w:ascii="宋体" w:hAnsi="宋体" w:cs="宋体"/>
                <w:kern w:val="0"/>
                <w:szCs w:val="21"/>
                <w:highlight w:val="none"/>
              </w:rPr>
            </w:pPr>
            <w:r>
              <w:rPr>
                <w:rFonts w:hint="eastAsia" w:ascii="宋体" w:hAnsi="宋体" w:cs="宋体"/>
                <w:kern w:val="0"/>
                <w:szCs w:val="21"/>
                <w:highlight w:val="none"/>
              </w:rPr>
              <w:t>获得符合质量管理体系认证体系证书且在有效期内，得2分</w:t>
            </w:r>
          </w:p>
          <w:p>
            <w:pPr>
              <w:rPr>
                <w:rFonts w:ascii="宋体" w:hAnsi="宋体" w:cs="宋体"/>
                <w:kern w:val="0"/>
                <w:szCs w:val="21"/>
                <w:highlight w:val="none"/>
              </w:rPr>
            </w:pPr>
            <w:r>
              <w:rPr>
                <w:rFonts w:hint="eastAsia" w:ascii="宋体" w:hAnsi="宋体" w:cs="宋体"/>
                <w:kern w:val="0"/>
                <w:szCs w:val="21"/>
                <w:highlight w:val="none"/>
              </w:rPr>
              <w:t>获得符合环境管理体系认证体系证书且在有效期内，得2分</w:t>
            </w:r>
          </w:p>
          <w:p>
            <w:pPr>
              <w:rPr>
                <w:rFonts w:ascii="宋体" w:hAnsi="宋体" w:cs="宋体"/>
                <w:kern w:val="0"/>
                <w:szCs w:val="21"/>
                <w:highlight w:val="none"/>
              </w:rPr>
            </w:pPr>
            <w:r>
              <w:rPr>
                <w:rFonts w:hint="eastAsia" w:ascii="宋体" w:hAnsi="宋体" w:cs="宋体"/>
                <w:kern w:val="0"/>
                <w:szCs w:val="21"/>
                <w:highlight w:val="none"/>
              </w:rPr>
              <w:t>获得符合职业健康安全管理体系认证体系证书且在有效期内，得2分</w:t>
            </w:r>
          </w:p>
          <w:p>
            <w:pPr>
              <w:rPr>
                <w:rFonts w:ascii="宋体" w:hAnsi="宋体" w:cs="宋体"/>
                <w:kern w:val="0"/>
                <w:szCs w:val="21"/>
                <w:highlight w:val="none"/>
              </w:rPr>
            </w:pPr>
            <w:r>
              <w:rPr>
                <w:rFonts w:hint="eastAsia" w:ascii="宋体" w:hAnsi="宋体" w:cs="宋体"/>
                <w:kern w:val="0"/>
                <w:szCs w:val="21"/>
                <w:highlight w:val="none"/>
              </w:rPr>
              <w:t>获得信息安全管理体系认证证书且在有效期内，得2分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jc w:val="center"/>
              <w:rPr>
                <w:rFonts w:ascii="仿宋" w:hAnsi="仿宋" w:eastAsia="仿宋" w:cs="仿宋"/>
                <w:szCs w:val="21"/>
                <w:highlight w:val="none"/>
              </w:rPr>
            </w:pPr>
          </w:p>
        </w:tc>
        <w:tc>
          <w:tcPr>
            <w:tcW w:w="1390" w:type="dxa"/>
            <w:tcBorders>
              <w:tl2br w:val="nil"/>
              <w:tr2bl w:val="nil"/>
            </w:tcBorders>
            <w:tcMar>
              <w:top w:w="0" w:type="dxa"/>
              <w:left w:w="108" w:type="dxa"/>
              <w:bottom w:w="0" w:type="dxa"/>
              <w:right w:w="108" w:type="dxa"/>
            </w:tcMar>
            <w:vAlign w:val="center"/>
          </w:tcPr>
          <w:p>
            <w:pPr>
              <w:jc w:val="center"/>
              <w:rPr>
                <w:rFonts w:ascii="宋体" w:hAnsi="宋体" w:cs="宋体"/>
                <w:kern w:val="0"/>
                <w:szCs w:val="21"/>
                <w:highlight w:val="none"/>
              </w:rPr>
            </w:pPr>
            <w:r>
              <w:rPr>
                <w:rFonts w:hint="eastAsia" w:ascii="宋体" w:hAnsi="宋体" w:cs="宋体"/>
                <w:kern w:val="0"/>
                <w:szCs w:val="21"/>
                <w:highlight w:val="none"/>
              </w:rPr>
              <w:t>企业业绩（12分）</w:t>
            </w:r>
          </w:p>
        </w:tc>
        <w:tc>
          <w:tcPr>
            <w:tcW w:w="5090" w:type="dxa"/>
            <w:tcBorders>
              <w:tl2br w:val="nil"/>
              <w:tr2bl w:val="nil"/>
            </w:tcBorders>
            <w:tcMar>
              <w:top w:w="0" w:type="dxa"/>
              <w:left w:w="108" w:type="dxa"/>
              <w:bottom w:w="0" w:type="dxa"/>
              <w:right w:w="108" w:type="dxa"/>
            </w:tcMar>
            <w:vAlign w:val="center"/>
          </w:tcPr>
          <w:p>
            <w:pPr>
              <w:spacing w:line="360" w:lineRule="auto"/>
              <w:rPr>
                <w:rFonts w:cs="宋体"/>
                <w:szCs w:val="21"/>
                <w:highlight w:val="none"/>
              </w:rPr>
            </w:pPr>
            <w:r>
              <w:rPr>
                <w:rFonts w:hint="eastAsia" w:ascii="宋体" w:hAnsi="宋体" w:eastAsia="宋体" w:cs="宋体"/>
                <w:kern w:val="0"/>
                <w:szCs w:val="21"/>
                <w:highlight w:val="none"/>
              </w:rPr>
              <w:t>自20</w:t>
            </w:r>
            <w:r>
              <w:rPr>
                <w:rFonts w:hint="eastAsia" w:ascii="宋体" w:hAnsi="宋体" w:eastAsia="宋体" w:cs="宋体"/>
                <w:kern w:val="0"/>
                <w:szCs w:val="21"/>
                <w:highlight w:val="none"/>
                <w:lang w:val="en-US" w:eastAsia="zh-CN"/>
              </w:rPr>
              <w:t>20</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月1日以来</w:t>
            </w:r>
            <w:r>
              <w:rPr>
                <w:rFonts w:hint="eastAsia" w:ascii="宋体" w:hAnsi="宋体" w:eastAsia="宋体" w:cs="宋体"/>
                <w:kern w:val="0"/>
                <w:sz w:val="21"/>
                <w:szCs w:val="21"/>
                <w:highlight w:val="none"/>
              </w:rPr>
              <w:t>承担过单项合同建筑面积</w:t>
            </w:r>
            <w:r>
              <w:rPr>
                <w:rFonts w:hint="eastAsia" w:ascii="宋体" w:hAnsi="宋体" w:eastAsia="宋体" w:cs="宋体"/>
                <w:kern w:val="0"/>
                <w:sz w:val="21"/>
                <w:szCs w:val="21"/>
                <w:highlight w:val="none"/>
                <w:lang w:val="en-US" w:eastAsia="zh-CN"/>
              </w:rPr>
              <w:t>18000</w:t>
            </w:r>
            <w:r>
              <w:rPr>
                <w:rFonts w:hint="eastAsia" w:ascii="宋体" w:hAnsi="宋体" w:eastAsia="宋体" w:cs="宋体"/>
                <w:kern w:val="0"/>
                <w:sz w:val="21"/>
                <w:szCs w:val="21"/>
                <w:highlight w:val="none"/>
              </w:rPr>
              <w:t>平米及以上的房屋建筑工程</w:t>
            </w:r>
            <w:r>
              <w:rPr>
                <w:rFonts w:hint="eastAsia" w:ascii="宋体" w:hAnsi="宋体" w:eastAsia="宋体" w:cs="宋体"/>
                <w:kern w:val="0"/>
                <w:szCs w:val="21"/>
                <w:highlight w:val="none"/>
              </w:rPr>
              <w:t>勘察项目，有一个得3分，最多12分。提供合同原件，未提供原件不得分。时间以合同签订时间为准。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jc w:val="center"/>
              <w:rPr>
                <w:rFonts w:ascii="仿宋" w:hAnsi="仿宋" w:eastAsia="仿宋" w:cs="仿宋"/>
                <w:szCs w:val="21"/>
                <w:highlight w:val="none"/>
              </w:rPr>
            </w:pPr>
          </w:p>
        </w:tc>
        <w:tc>
          <w:tcPr>
            <w:tcW w:w="1390" w:type="dxa"/>
            <w:tcBorders>
              <w:tl2br w:val="nil"/>
              <w:tr2bl w:val="nil"/>
            </w:tcBorders>
            <w:tcMar>
              <w:top w:w="0" w:type="dxa"/>
              <w:left w:w="108" w:type="dxa"/>
              <w:bottom w:w="0" w:type="dxa"/>
              <w:right w:w="108" w:type="dxa"/>
            </w:tcMar>
            <w:vAlign w:val="center"/>
          </w:tcPr>
          <w:p>
            <w:pPr>
              <w:jc w:val="center"/>
              <w:rPr>
                <w:rFonts w:ascii="宋体" w:hAnsi="宋体" w:cs="宋体"/>
                <w:kern w:val="0"/>
                <w:szCs w:val="21"/>
                <w:highlight w:val="none"/>
              </w:rPr>
            </w:pPr>
            <w:r>
              <w:rPr>
                <w:rFonts w:hint="eastAsia" w:ascii="宋体" w:hAnsi="宋体" w:cs="宋体"/>
                <w:kern w:val="0"/>
                <w:szCs w:val="21"/>
                <w:highlight w:val="none"/>
              </w:rPr>
              <w:t>企业获奖（1</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p>
        </w:tc>
        <w:tc>
          <w:tcPr>
            <w:tcW w:w="5090" w:type="dxa"/>
            <w:tcBorders>
              <w:tl2br w:val="nil"/>
              <w:tr2bl w:val="nil"/>
            </w:tcBorders>
            <w:tcMar>
              <w:top w:w="0" w:type="dxa"/>
              <w:left w:w="108" w:type="dxa"/>
              <w:bottom w:w="0" w:type="dxa"/>
              <w:right w:w="108" w:type="dxa"/>
            </w:tcMar>
            <w:vAlign w:val="center"/>
          </w:tcPr>
          <w:p>
            <w:pPr>
              <w:spacing w:line="360" w:lineRule="auto"/>
              <w:rPr>
                <w:rFonts w:hint="default" w:eastAsia="宋体" w:cs="宋体"/>
                <w:szCs w:val="21"/>
                <w:highlight w:val="none"/>
                <w:lang w:val="en-US" w:eastAsia="zh-CN"/>
              </w:rPr>
            </w:pPr>
            <w:r>
              <w:rPr>
                <w:rFonts w:hint="eastAsia" w:cs="宋体"/>
                <w:szCs w:val="21"/>
                <w:highlight w:val="none"/>
              </w:rPr>
              <w:t>自20</w:t>
            </w:r>
            <w:r>
              <w:rPr>
                <w:rFonts w:hint="eastAsia" w:cs="宋体"/>
                <w:szCs w:val="21"/>
                <w:highlight w:val="none"/>
                <w:lang w:val="en-US" w:eastAsia="zh-CN"/>
              </w:rPr>
              <w:t>20</w:t>
            </w:r>
            <w:r>
              <w:rPr>
                <w:rFonts w:hint="eastAsia" w:cs="宋体"/>
                <w:szCs w:val="21"/>
                <w:highlight w:val="none"/>
              </w:rPr>
              <w:t>年</w:t>
            </w:r>
            <w:r>
              <w:rPr>
                <w:rFonts w:hint="eastAsia" w:cs="宋体"/>
                <w:szCs w:val="21"/>
                <w:highlight w:val="none"/>
                <w:lang w:val="en-US" w:eastAsia="zh-CN"/>
              </w:rPr>
              <w:t>1</w:t>
            </w:r>
            <w:r>
              <w:rPr>
                <w:rFonts w:hint="eastAsia" w:cs="宋体"/>
                <w:szCs w:val="21"/>
                <w:highlight w:val="none"/>
              </w:rPr>
              <w:t>月1日内完成的勘察项目获建设行政主管部门或其授权单位颁发的奖项，省辖市级的每项得2分，省级</w:t>
            </w:r>
            <w:r>
              <w:rPr>
                <w:rFonts w:hint="eastAsia" w:cs="宋体"/>
                <w:szCs w:val="21"/>
                <w:highlight w:val="none"/>
                <w:lang w:val="en-US" w:eastAsia="zh-CN"/>
              </w:rPr>
              <w:t>的</w:t>
            </w:r>
            <w:r>
              <w:rPr>
                <w:rFonts w:hint="eastAsia" w:cs="宋体"/>
                <w:szCs w:val="21"/>
                <w:highlight w:val="none"/>
              </w:rPr>
              <w:t>每项得</w:t>
            </w:r>
            <w:r>
              <w:rPr>
                <w:rFonts w:hint="eastAsia" w:cs="宋体"/>
                <w:szCs w:val="21"/>
                <w:highlight w:val="none"/>
                <w:lang w:val="en-US" w:eastAsia="zh-CN"/>
              </w:rPr>
              <w:t>4</w:t>
            </w:r>
            <w:r>
              <w:rPr>
                <w:rFonts w:hint="eastAsia" w:cs="宋体"/>
                <w:szCs w:val="21"/>
                <w:highlight w:val="none"/>
              </w:rPr>
              <w:t>分，</w:t>
            </w:r>
            <w:r>
              <w:rPr>
                <w:rFonts w:hint="eastAsia" w:cs="宋体"/>
                <w:szCs w:val="21"/>
                <w:highlight w:val="none"/>
                <w:lang w:val="en-US" w:eastAsia="zh-CN"/>
              </w:rPr>
              <w:t>国家级的每项5分。</w:t>
            </w:r>
            <w:r>
              <w:rPr>
                <w:rFonts w:hint="eastAsia" w:cs="宋体"/>
                <w:szCs w:val="21"/>
                <w:highlight w:val="none"/>
              </w:rPr>
              <w:t>最多得1</w:t>
            </w:r>
            <w:r>
              <w:rPr>
                <w:rFonts w:hint="eastAsia" w:cs="宋体"/>
                <w:szCs w:val="21"/>
                <w:highlight w:val="none"/>
                <w:lang w:val="en-US" w:eastAsia="zh-CN"/>
              </w:rPr>
              <w:t>5</w:t>
            </w:r>
            <w:r>
              <w:rPr>
                <w:rFonts w:hint="eastAsia" w:cs="宋体"/>
                <w:szCs w:val="21"/>
                <w:highlight w:val="none"/>
              </w:rPr>
              <w:t>分。</w:t>
            </w:r>
            <w:r>
              <w:rPr>
                <w:rFonts w:hint="eastAsia" w:cs="宋体"/>
                <w:szCs w:val="21"/>
                <w:highlight w:val="none"/>
                <w:lang w:val="en-US" w:eastAsia="zh-CN"/>
              </w:rPr>
              <w:t>此项最多提供4个奖项。</w:t>
            </w:r>
          </w:p>
          <w:p>
            <w:pPr>
              <w:spacing w:line="360" w:lineRule="auto"/>
              <w:rPr>
                <w:rFonts w:cs="宋体"/>
                <w:szCs w:val="21"/>
                <w:highlight w:val="none"/>
              </w:rPr>
            </w:pPr>
            <w:r>
              <w:rPr>
                <w:rFonts w:hint="eastAsia" w:cs="宋体"/>
                <w:szCs w:val="21"/>
                <w:highlight w:val="none"/>
              </w:rPr>
              <w:t>（同一项目不得重复计算，以最高奖项为准，以证书时间为准）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64"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spacing w:line="360" w:lineRule="auto"/>
              <w:rPr>
                <w:rFonts w:cs="宋体"/>
                <w:szCs w:val="21"/>
                <w:highlight w:val="none"/>
              </w:rPr>
            </w:pPr>
            <w:r>
              <w:rPr>
                <w:rFonts w:hint="eastAsia" w:cs="宋体"/>
                <w:szCs w:val="21"/>
                <w:highlight w:val="none"/>
              </w:rPr>
              <w:t>项目负责人（</w:t>
            </w:r>
            <w:r>
              <w:rPr>
                <w:rFonts w:hint="eastAsia" w:cs="宋体"/>
                <w:szCs w:val="21"/>
                <w:highlight w:val="none"/>
                <w:lang w:val="en-US" w:eastAsia="zh-CN"/>
              </w:rPr>
              <w:t>5</w:t>
            </w:r>
            <w:r>
              <w:rPr>
                <w:rFonts w:hint="eastAsia" w:cs="宋体"/>
                <w:szCs w:val="21"/>
                <w:highlight w:val="none"/>
              </w:rPr>
              <w:t>分）</w:t>
            </w:r>
          </w:p>
        </w:tc>
        <w:tc>
          <w:tcPr>
            <w:tcW w:w="5090" w:type="dxa"/>
            <w:tcBorders>
              <w:tl2br w:val="nil"/>
              <w:tr2bl w:val="nil"/>
            </w:tcBorders>
            <w:tcMar>
              <w:top w:w="0" w:type="dxa"/>
              <w:left w:w="108" w:type="dxa"/>
              <w:bottom w:w="0" w:type="dxa"/>
              <w:right w:w="108" w:type="dxa"/>
            </w:tcMar>
            <w:vAlign w:val="center"/>
          </w:tcPr>
          <w:p>
            <w:pPr>
              <w:spacing w:line="360" w:lineRule="auto"/>
              <w:rPr>
                <w:rFonts w:hint="eastAsia" w:cs="宋体"/>
                <w:szCs w:val="21"/>
                <w:highlight w:val="none"/>
              </w:rPr>
            </w:pPr>
            <w:r>
              <w:rPr>
                <w:rFonts w:hint="eastAsia" w:cs="宋体"/>
                <w:szCs w:val="21"/>
                <w:highlight w:val="none"/>
              </w:rPr>
              <w:t>项目负责人具有研究员级高级工程师职称或正高级工程师的，得</w:t>
            </w:r>
            <w:r>
              <w:rPr>
                <w:rFonts w:hint="eastAsia" w:cs="宋体"/>
                <w:szCs w:val="21"/>
                <w:highlight w:val="none"/>
                <w:lang w:val="en-US" w:eastAsia="zh-CN"/>
              </w:rPr>
              <w:t>5</w:t>
            </w:r>
            <w:r>
              <w:rPr>
                <w:rFonts w:hint="eastAsia" w:cs="宋体"/>
                <w:szCs w:val="21"/>
                <w:highlight w:val="none"/>
              </w:rPr>
              <w:t>分；</w:t>
            </w:r>
          </w:p>
          <w:p>
            <w:pPr>
              <w:spacing w:line="360" w:lineRule="auto"/>
              <w:rPr>
                <w:rFonts w:cs="宋体"/>
                <w:szCs w:val="21"/>
                <w:highlight w:val="none"/>
              </w:rPr>
            </w:pPr>
            <w:r>
              <w:rPr>
                <w:rFonts w:hint="eastAsia" w:cs="宋体"/>
                <w:szCs w:val="21"/>
                <w:highlight w:val="none"/>
              </w:rPr>
              <w:t>具备高级工程师职称的，得</w:t>
            </w:r>
            <w:r>
              <w:rPr>
                <w:rFonts w:hint="eastAsia" w:cs="宋体"/>
                <w:szCs w:val="21"/>
                <w:highlight w:val="none"/>
                <w:lang w:val="en-US" w:eastAsia="zh-CN"/>
              </w:rPr>
              <w:t>3</w:t>
            </w:r>
            <w:r>
              <w:rPr>
                <w:rFonts w:hint="eastAsia" w:cs="宋体"/>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64"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spacing w:line="360" w:lineRule="auto"/>
              <w:rPr>
                <w:rFonts w:hint="eastAsia" w:eastAsia="宋体" w:cs="宋体"/>
                <w:szCs w:val="21"/>
                <w:highlight w:val="none"/>
                <w:lang w:val="en-US" w:eastAsia="zh-CN"/>
              </w:rPr>
            </w:pPr>
            <w:r>
              <w:rPr>
                <w:rFonts w:hint="eastAsia" w:cs="宋体"/>
                <w:szCs w:val="21"/>
                <w:highlight w:val="none"/>
                <w:lang w:val="en-US" w:eastAsia="zh-CN"/>
              </w:rPr>
              <w:t>企业资信（6分）</w:t>
            </w:r>
          </w:p>
        </w:tc>
        <w:tc>
          <w:tcPr>
            <w:tcW w:w="5090" w:type="dxa"/>
            <w:tcBorders>
              <w:tl2br w:val="nil"/>
              <w:tr2bl w:val="nil"/>
            </w:tcBorders>
            <w:tcMar>
              <w:top w:w="0" w:type="dxa"/>
              <w:left w:w="108" w:type="dxa"/>
              <w:bottom w:w="0" w:type="dxa"/>
              <w:right w:w="108" w:type="dxa"/>
            </w:tcMar>
            <w:vAlign w:val="center"/>
          </w:tcPr>
          <w:p>
            <w:pPr>
              <w:spacing w:line="360" w:lineRule="auto"/>
              <w:rPr>
                <w:rFonts w:hint="eastAsia" w:cs="宋体"/>
                <w:szCs w:val="21"/>
                <w:highlight w:val="none"/>
              </w:rPr>
            </w:pPr>
            <w:r>
              <w:rPr>
                <w:rFonts w:hint="eastAsia" w:cs="宋体"/>
                <w:szCs w:val="21"/>
                <w:highlight w:val="none"/>
                <w:lang w:eastAsia="zh-CN"/>
              </w:rPr>
              <w:t>企业</w:t>
            </w:r>
            <w:r>
              <w:rPr>
                <w:rFonts w:hint="eastAsia" w:cs="宋体"/>
                <w:szCs w:val="21"/>
                <w:highlight w:val="none"/>
              </w:rPr>
              <w:t>具备“国家级勘察设计类诚信单位”的得</w:t>
            </w:r>
            <w:r>
              <w:rPr>
                <w:rFonts w:hint="eastAsia" w:cs="宋体"/>
                <w:szCs w:val="21"/>
                <w:highlight w:val="none"/>
                <w:lang w:val="en-US" w:eastAsia="zh-CN"/>
              </w:rPr>
              <w:t>3</w:t>
            </w:r>
            <w:r>
              <w:rPr>
                <w:rFonts w:hint="eastAsia" w:cs="宋体"/>
                <w:szCs w:val="21"/>
                <w:highlight w:val="none"/>
              </w:rPr>
              <w:t xml:space="preserve">分；                     </w:t>
            </w:r>
          </w:p>
          <w:p>
            <w:pPr>
              <w:spacing w:line="360" w:lineRule="auto"/>
              <w:rPr>
                <w:rFonts w:hint="eastAsia" w:cs="宋体"/>
                <w:szCs w:val="21"/>
                <w:highlight w:val="none"/>
              </w:rPr>
            </w:pPr>
            <w:r>
              <w:rPr>
                <w:rFonts w:hint="eastAsia" w:cs="宋体"/>
                <w:szCs w:val="21"/>
                <w:highlight w:val="none"/>
                <w:lang w:eastAsia="zh-CN"/>
              </w:rPr>
              <w:t>企业</w:t>
            </w:r>
            <w:r>
              <w:rPr>
                <w:rFonts w:hint="eastAsia" w:cs="宋体"/>
                <w:szCs w:val="21"/>
                <w:highlight w:val="none"/>
              </w:rPr>
              <w:t>具备“江苏省勘察设计质量管理先进单位”的得</w:t>
            </w:r>
            <w:r>
              <w:rPr>
                <w:rFonts w:hint="eastAsia" w:cs="宋体"/>
                <w:szCs w:val="21"/>
                <w:highlight w:val="none"/>
                <w:lang w:val="en-US" w:eastAsia="zh-CN"/>
              </w:rPr>
              <w:t>3</w:t>
            </w:r>
            <w:r>
              <w:rPr>
                <w:rFonts w:hint="eastAsia" w:cs="宋体"/>
                <w:szCs w:val="21"/>
                <w:highlight w:val="none"/>
              </w:rPr>
              <w:t xml:space="preserve">分。            </w:t>
            </w:r>
          </w:p>
          <w:p>
            <w:pPr>
              <w:spacing w:line="360" w:lineRule="auto"/>
              <w:rPr>
                <w:rFonts w:hint="eastAsia" w:cs="宋体"/>
                <w:szCs w:val="21"/>
                <w:highlight w:val="none"/>
              </w:rPr>
            </w:pPr>
            <w:r>
              <w:rPr>
                <w:rFonts w:hint="eastAsia" w:cs="宋体"/>
                <w:szCs w:val="21"/>
                <w:highlight w:val="none"/>
              </w:rPr>
              <w:t xml:space="preserve"> 本项最高</w:t>
            </w:r>
            <w:r>
              <w:rPr>
                <w:rFonts w:hint="eastAsia" w:cs="宋体"/>
                <w:szCs w:val="21"/>
                <w:highlight w:val="none"/>
                <w:lang w:val="en-US" w:eastAsia="zh-CN"/>
              </w:rPr>
              <w:t>6</w:t>
            </w:r>
            <w:r>
              <w:rPr>
                <w:rFonts w:hint="eastAsia" w:cs="宋体"/>
                <w:szCs w:val="21"/>
                <w:highlight w:val="none"/>
              </w:rPr>
              <w:t>分(提供证书原件扫描件或网页截图上传)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42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161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经济标（</w:t>
            </w:r>
            <w:r>
              <w:rPr>
                <w:rFonts w:hint="eastAsia" w:ascii="宋体" w:hAnsi="宋体" w:cs="宋体"/>
                <w:kern w:val="0"/>
                <w:szCs w:val="21"/>
                <w:highlight w:val="none"/>
                <w:lang w:val="en-US" w:eastAsia="zh-CN"/>
              </w:rPr>
              <w:t>2</w:t>
            </w:r>
            <w:r>
              <w:rPr>
                <w:rFonts w:hint="eastAsia" w:ascii="宋体" w:hAnsi="宋体" w:cs="宋体"/>
                <w:kern w:val="0"/>
                <w:szCs w:val="21"/>
                <w:highlight w:val="none"/>
              </w:rPr>
              <w:t>0分）</w:t>
            </w:r>
          </w:p>
        </w:tc>
        <w:tc>
          <w:tcPr>
            <w:tcW w:w="1390" w:type="dxa"/>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勘察费用报价（</w:t>
            </w:r>
            <w:r>
              <w:rPr>
                <w:rFonts w:hint="eastAsia" w:ascii="宋体" w:hAnsi="宋体" w:cs="宋体"/>
                <w:kern w:val="0"/>
                <w:szCs w:val="21"/>
                <w:highlight w:val="none"/>
                <w:lang w:val="en-US" w:eastAsia="zh-CN"/>
              </w:rPr>
              <w:t>2</w:t>
            </w:r>
            <w:r>
              <w:rPr>
                <w:rFonts w:hint="eastAsia" w:ascii="宋体" w:hAnsi="宋体" w:cs="宋体"/>
                <w:kern w:val="0"/>
                <w:szCs w:val="21"/>
                <w:highlight w:val="none"/>
              </w:rPr>
              <w:t>0分）</w:t>
            </w:r>
          </w:p>
        </w:tc>
        <w:tc>
          <w:tcPr>
            <w:tcW w:w="5090" w:type="dxa"/>
            <w:tcBorders>
              <w:tl2br w:val="nil"/>
              <w:tr2bl w:val="nil"/>
            </w:tcBorders>
            <w:tcMar>
              <w:top w:w="0" w:type="dxa"/>
              <w:left w:w="108" w:type="dxa"/>
              <w:bottom w:w="0" w:type="dxa"/>
              <w:right w:w="108" w:type="dxa"/>
            </w:tcMar>
            <w:vAlign w:val="center"/>
          </w:tcPr>
          <w:p>
            <w:pPr>
              <w:widowControl/>
              <w:spacing w:line="360" w:lineRule="auto"/>
              <w:jc w:val="left"/>
              <w:rPr>
                <w:rFonts w:ascii="宋体" w:hAnsi="宋体"/>
                <w:kern w:val="0"/>
                <w:szCs w:val="21"/>
                <w:highlight w:val="none"/>
              </w:rPr>
            </w:pPr>
            <w:r>
              <w:rPr>
                <w:rFonts w:hint="eastAsia" w:ascii="宋体" w:hAnsi="宋体"/>
                <w:kern w:val="0"/>
                <w:szCs w:val="21"/>
                <w:highlight w:val="none"/>
              </w:rPr>
              <w:t>各投标单位有效投标报价的算术平均值作为评标基准价（若7≤有效投标文件＜10家时，去掉其中的1个最高价和1个最低价后取算术平均值为评标基准价；若有效投标文件≥10家时，去掉其中的2个最高价和2个最低价后取算术平均值为评标基准价），投标报价等于评标基准价的得满分</w:t>
            </w:r>
            <w:r>
              <w:rPr>
                <w:rFonts w:hint="eastAsia" w:ascii="宋体" w:hAnsi="宋体"/>
                <w:kern w:val="0"/>
                <w:szCs w:val="21"/>
                <w:highlight w:val="none"/>
                <w:lang w:val="en-US" w:eastAsia="zh-CN"/>
              </w:rPr>
              <w:t>2</w:t>
            </w:r>
            <w:r>
              <w:rPr>
                <w:rFonts w:hint="eastAsia" w:ascii="宋体" w:hAnsi="宋体"/>
                <w:kern w:val="0"/>
                <w:szCs w:val="21"/>
                <w:highlight w:val="none"/>
              </w:rPr>
              <w:t>0分，投标报价每高于评标基准价1％扣0.</w:t>
            </w:r>
            <w:r>
              <w:rPr>
                <w:rFonts w:hint="eastAsia" w:ascii="宋体" w:hAnsi="宋体"/>
                <w:kern w:val="0"/>
                <w:szCs w:val="21"/>
                <w:highlight w:val="none"/>
                <w:lang w:val="en-US" w:eastAsia="zh-CN"/>
              </w:rPr>
              <w:t>2</w:t>
            </w:r>
            <w:r>
              <w:rPr>
                <w:rFonts w:hint="eastAsia" w:ascii="宋体" w:hAnsi="宋体"/>
                <w:kern w:val="0"/>
                <w:szCs w:val="21"/>
                <w:highlight w:val="none"/>
              </w:rPr>
              <w:t>分，每低于评标基准价1％扣0.</w:t>
            </w:r>
            <w:r>
              <w:rPr>
                <w:rFonts w:hint="eastAsia" w:ascii="宋体" w:hAnsi="宋体"/>
                <w:kern w:val="0"/>
                <w:szCs w:val="21"/>
                <w:highlight w:val="none"/>
                <w:lang w:val="en-US" w:eastAsia="zh-CN"/>
              </w:rPr>
              <w:t>1</w:t>
            </w:r>
            <w:r>
              <w:rPr>
                <w:rFonts w:hint="eastAsia" w:ascii="宋体" w:hAnsi="宋体"/>
                <w:kern w:val="0"/>
                <w:szCs w:val="21"/>
                <w:highlight w:val="none"/>
              </w:rPr>
              <w:t>分，不足1%的以插入法进行计算（计算出的分值保留2位小数）。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426" w:type="dxa"/>
            <w:vMerge w:val="continue"/>
            <w:tcBorders>
              <w:tl2br w:val="nil"/>
              <w:tr2bl w:val="nil"/>
            </w:tcBorders>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vAlign w:val="center"/>
          </w:tcPr>
          <w:p>
            <w:pPr>
              <w:widowControl/>
              <w:spacing w:line="430" w:lineRule="exact"/>
              <w:jc w:val="center"/>
              <w:rPr>
                <w:rFonts w:ascii="宋体" w:hAnsi="宋体" w:cs="宋体"/>
                <w:kern w:val="0"/>
                <w:szCs w:val="21"/>
                <w:highlight w:val="none"/>
              </w:rPr>
            </w:pPr>
          </w:p>
        </w:tc>
        <w:tc>
          <w:tcPr>
            <w:tcW w:w="6480" w:type="dxa"/>
            <w:gridSpan w:val="2"/>
            <w:tcBorders>
              <w:tl2br w:val="nil"/>
              <w:tr2bl w:val="nil"/>
            </w:tcBorders>
            <w:tcMar>
              <w:top w:w="0" w:type="dxa"/>
              <w:left w:w="108" w:type="dxa"/>
              <w:bottom w:w="0" w:type="dxa"/>
              <w:right w:w="108" w:type="dxa"/>
            </w:tcMar>
            <w:vAlign w:val="center"/>
          </w:tcPr>
          <w:p>
            <w:pPr>
              <w:adjustRightInd w:val="0"/>
              <w:jc w:val="left"/>
              <w:rPr>
                <w:rFonts w:ascii="宋体" w:hAnsi="宋体" w:cs="宋体"/>
                <w:kern w:val="0"/>
                <w:szCs w:val="21"/>
                <w:highlight w:val="none"/>
              </w:rPr>
            </w:pPr>
            <w:r>
              <w:rPr>
                <w:rFonts w:hint="eastAsia" w:ascii="宋体" w:hAnsi="宋体" w:cs="宋体"/>
                <w:kern w:val="0"/>
                <w:szCs w:val="21"/>
                <w:highlight w:val="none"/>
              </w:rPr>
              <w:t>除确认存在计算错误外，评标基准价不因招投标当事人质疑、投诉、复议以及其它任何情形而改变。</w:t>
            </w:r>
          </w:p>
        </w:tc>
      </w:tr>
    </w:tbl>
    <w:p>
      <w:pPr>
        <w:adjustRightInd w:val="0"/>
        <w:snapToGrid w:val="0"/>
        <w:spacing w:line="360" w:lineRule="auto"/>
        <w:ind w:firstLine="315" w:firstLineChars="150"/>
        <w:rPr>
          <w:rFonts w:asciiTheme="minorEastAsia" w:hAnsiTheme="minorEastAsia" w:eastAsiaTheme="minorEastAsia"/>
          <w:b/>
          <w:bCs/>
          <w:snapToGrid w:val="0"/>
          <w:color w:val="000000"/>
          <w:szCs w:val="21"/>
          <w:highlight w:val="none"/>
        </w:rPr>
      </w:pPr>
      <w:r>
        <w:rPr>
          <w:rFonts w:hint="eastAsia" w:asciiTheme="minorEastAsia" w:hAnsiTheme="minorEastAsia" w:eastAsiaTheme="minorEastAsia"/>
          <w:b/>
          <w:bCs/>
          <w:snapToGrid w:val="0"/>
          <w:color w:val="000000"/>
          <w:szCs w:val="21"/>
          <w:highlight w:val="none"/>
        </w:rPr>
        <w:t>注：工程业绩合同、人员职称证书、获奖证书需提供原件核查，未提供，视同无证书，不予评分。</w:t>
      </w:r>
    </w:p>
    <w:p>
      <w:pPr>
        <w:snapToGrid w:val="0"/>
        <w:spacing w:line="360" w:lineRule="auto"/>
        <w:rPr>
          <w:rFonts w:asciiTheme="minorEastAsia" w:hAnsiTheme="minorEastAsia" w:eastAsiaTheme="minorEastAsia"/>
          <w:szCs w:val="21"/>
          <w:highlight w:val="none"/>
        </w:rPr>
      </w:pPr>
    </w:p>
    <w:p>
      <w:pPr>
        <w:widowControl/>
        <w:jc w:val="left"/>
        <w:rPr>
          <w:b/>
          <w:sz w:val="44"/>
          <w:szCs w:val="44"/>
          <w:highlight w:val="none"/>
        </w:rPr>
      </w:pPr>
      <w:bookmarkStart w:id="201" w:name="_Toc219773161"/>
      <w:bookmarkStart w:id="202" w:name="_Toc316986001"/>
      <w:bookmarkStart w:id="203" w:name="_Toc310965939"/>
      <w:bookmarkStart w:id="204" w:name="_Toc310966058"/>
      <w:bookmarkStart w:id="205" w:name="_Toc367805009"/>
      <w:r>
        <w:rPr>
          <w:b/>
          <w:sz w:val="44"/>
          <w:szCs w:val="44"/>
          <w:highlight w:val="none"/>
        </w:rPr>
        <w:br w:type="page"/>
      </w:r>
    </w:p>
    <w:p>
      <w:pPr>
        <w:jc w:val="center"/>
        <w:outlineLvl w:val="0"/>
        <w:rPr>
          <w:b/>
          <w:sz w:val="44"/>
          <w:szCs w:val="44"/>
          <w:highlight w:val="none"/>
        </w:rPr>
      </w:pPr>
      <w:bookmarkStart w:id="206" w:name="_Toc9868"/>
    </w:p>
    <w:p>
      <w:pPr>
        <w:jc w:val="center"/>
        <w:outlineLvl w:val="0"/>
        <w:rPr>
          <w:b/>
          <w:sz w:val="44"/>
          <w:szCs w:val="44"/>
          <w:highlight w:val="none"/>
        </w:rPr>
      </w:pPr>
      <w:r>
        <w:rPr>
          <w:rFonts w:hint="eastAsia"/>
          <w:b/>
          <w:sz w:val="44"/>
          <w:szCs w:val="44"/>
          <w:highlight w:val="none"/>
        </w:rPr>
        <w:t>第四章合同条款</w:t>
      </w:r>
      <w:bookmarkEnd w:id="201"/>
      <w:r>
        <w:rPr>
          <w:rFonts w:hint="eastAsia"/>
          <w:b/>
          <w:sz w:val="44"/>
          <w:szCs w:val="44"/>
          <w:highlight w:val="none"/>
        </w:rPr>
        <w:t>及格式</w:t>
      </w:r>
      <w:bookmarkEnd w:id="202"/>
      <w:bookmarkEnd w:id="203"/>
      <w:bookmarkEnd w:id="204"/>
      <w:bookmarkEnd w:id="205"/>
      <w:bookmarkEnd w:id="206"/>
    </w:p>
    <w:p>
      <w:pPr>
        <w:ind w:right="560"/>
        <w:jc w:val="both"/>
        <w:rPr>
          <w:rFonts w:hint="eastAsia" w:ascii="Arial" w:hAnsi="Arial" w:cs="Arial"/>
          <w:sz w:val="28"/>
          <w:szCs w:val="28"/>
          <w:highlight w:val="none"/>
        </w:rPr>
      </w:pPr>
    </w:p>
    <w:p>
      <w:pPr>
        <w:wordWrap/>
        <w:adjustRightInd w:val="0"/>
        <w:snapToGrid w:val="0"/>
        <w:spacing w:before="60" w:after="60" w:line="4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合同编号：</w:t>
      </w:r>
    </w:p>
    <w:p>
      <w:pPr>
        <w:wordWrap w:val="0"/>
        <w:adjustRightInd w:val="0"/>
        <w:snapToGrid w:val="0"/>
        <w:spacing w:before="60" w:after="60" w:line="400" w:lineRule="exact"/>
        <w:ind w:firstLine="640" w:firstLineChars="200"/>
        <w:jc w:val="left"/>
        <w:rPr>
          <w:rFonts w:hint="eastAsia" w:ascii="方正仿宋_GBK" w:hAnsi="方正仿宋_GBK" w:eastAsia="方正仿宋_GBK" w:cs="方正仿宋_GBK"/>
          <w:b/>
          <w:bCs/>
          <w:snapToGrid w:val="0"/>
          <w:kern w:val="0"/>
          <w:sz w:val="32"/>
          <w:szCs w:val="32"/>
          <w:highlight w:val="none"/>
        </w:rPr>
      </w:pPr>
    </w:p>
    <w:p>
      <w:pPr>
        <w:wordWrap w:val="0"/>
        <w:adjustRightInd w:val="0"/>
        <w:snapToGrid w:val="0"/>
        <w:spacing w:before="60" w:after="60" w:line="400" w:lineRule="exact"/>
        <w:ind w:firstLine="640" w:firstLineChars="200"/>
        <w:jc w:val="left"/>
        <w:rPr>
          <w:rFonts w:hint="eastAsia" w:ascii="方正仿宋_GBK" w:hAnsi="方正仿宋_GBK" w:eastAsia="方正仿宋_GBK" w:cs="方正仿宋_GBK"/>
          <w:b/>
          <w:bCs/>
          <w:snapToGrid w:val="0"/>
          <w:kern w:val="0"/>
          <w:sz w:val="32"/>
          <w:szCs w:val="32"/>
          <w:highlight w:val="none"/>
        </w:rPr>
      </w:pPr>
    </w:p>
    <w:p>
      <w:pPr>
        <w:wordWrap w:val="0"/>
        <w:adjustRightInd w:val="0"/>
        <w:snapToGrid w:val="0"/>
        <w:spacing w:before="60" w:after="60" w:line="360" w:lineRule="auto"/>
        <w:ind w:firstLine="1040" w:firstLineChars="200"/>
        <w:jc w:val="center"/>
        <w:rPr>
          <w:rFonts w:hint="eastAsia" w:ascii="方正仿宋_GBK" w:hAnsi="方正仿宋_GBK" w:eastAsia="方正仿宋_GBK" w:cs="方正仿宋_GBK"/>
          <w:b/>
          <w:bCs/>
          <w:snapToGrid w:val="0"/>
          <w:kern w:val="0"/>
          <w:sz w:val="32"/>
          <w:szCs w:val="32"/>
          <w:highlight w:val="none"/>
        </w:rPr>
      </w:pPr>
      <w:r>
        <w:rPr>
          <w:rFonts w:hint="eastAsia" w:ascii="黑体" w:hAnsi="黑体" w:eastAsia="黑体" w:cs="黑体"/>
          <w:b/>
          <w:bCs/>
          <w:snapToGrid w:val="0"/>
          <w:kern w:val="0"/>
          <w:sz w:val="52"/>
          <w:szCs w:val="52"/>
          <w:highlight w:val="none"/>
        </w:rPr>
        <w:t>建设工程勘察合同</w:t>
      </w:r>
    </w:p>
    <w:p>
      <w:pPr>
        <w:wordWrap w:val="0"/>
        <w:adjustRightInd w:val="0"/>
        <w:snapToGrid w:val="0"/>
        <w:spacing w:before="60" w:after="60" w:line="360" w:lineRule="auto"/>
        <w:ind w:firstLine="880" w:firstLineChars="200"/>
        <w:jc w:val="center"/>
        <w:rPr>
          <w:rFonts w:hint="eastAsia" w:ascii="黑体" w:hAnsi="黑体" w:eastAsia="黑体" w:cs="黑体"/>
          <w:b/>
          <w:bCs/>
          <w:snapToGrid w:val="0"/>
          <w:kern w:val="0"/>
          <w:sz w:val="44"/>
          <w:szCs w:val="44"/>
          <w:highlight w:val="none"/>
        </w:rPr>
      </w:pPr>
      <w:r>
        <w:rPr>
          <w:rFonts w:hint="eastAsia" w:ascii="黑体" w:hAnsi="黑体" w:eastAsia="黑体" w:cs="黑体"/>
          <w:b/>
          <w:bCs/>
          <w:snapToGrid w:val="0"/>
          <w:kern w:val="0"/>
          <w:sz w:val="44"/>
          <w:szCs w:val="44"/>
          <w:highlight w:val="none"/>
        </w:rPr>
        <w:t>[岩土工程勘察]</w:t>
      </w:r>
    </w:p>
    <w:p>
      <w:pPr>
        <w:adjustRightInd/>
        <w:snapToGrid/>
        <w:spacing w:before="0" w:after="0" w:line="240" w:lineRule="auto"/>
        <w:ind w:left="0" w:leftChars="0" w:firstLine="0" w:firstLineChars="0"/>
        <w:jc w:val="left"/>
        <w:rPr>
          <w:rFonts w:hint="eastAsia" w:ascii="方正仿宋_GBK" w:hAnsi="方正仿宋_GBK" w:eastAsia="方正仿宋_GBK" w:cs="方正仿宋_GBK"/>
          <w:sz w:val="24"/>
          <w:highlight w:val="none"/>
        </w:rPr>
      </w:pPr>
    </w:p>
    <w:p>
      <w:pPr>
        <w:adjustRightInd/>
        <w:snapToGrid/>
        <w:spacing w:before="0" w:after="0" w:line="240" w:lineRule="auto"/>
        <w:ind w:left="0" w:leftChars="0" w:firstLine="0" w:firstLineChars="0"/>
        <w:jc w:val="left"/>
        <w:rPr>
          <w:rFonts w:hint="eastAsia" w:ascii="方正仿宋_GBK" w:hAnsi="方正仿宋_GBK" w:eastAsia="方正仿宋_GBK" w:cs="方正仿宋_GBK"/>
          <w:sz w:val="24"/>
          <w:highlight w:val="none"/>
        </w:rPr>
      </w:pPr>
    </w:p>
    <w:p>
      <w:pPr>
        <w:adjustRightInd w:val="0"/>
        <w:snapToGrid w:val="0"/>
        <w:spacing w:before="313" w:beforeLines="100" w:after="313" w:afterLines="100" w:line="400" w:lineRule="exact"/>
        <w:ind w:left="0" w:leftChars="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工程名称：</w:t>
      </w:r>
      <w:r>
        <w:rPr>
          <w:rFonts w:hint="eastAsia" w:ascii="宋体" w:hAnsi="宋体" w:eastAsia="宋体" w:cs="宋体"/>
          <w:sz w:val="28"/>
          <w:szCs w:val="28"/>
          <w:highlight w:val="none"/>
          <w:lang w:val="en-US" w:eastAsia="zh-CN"/>
        </w:rPr>
        <w:t>扬州市古城小秦淮河保护更新二期项目工程勘察</w:t>
      </w:r>
    </w:p>
    <w:p>
      <w:pPr>
        <w:adjustRightInd w:val="0"/>
        <w:snapToGrid w:val="0"/>
        <w:spacing w:before="313" w:beforeLines="100" w:after="313" w:afterLines="100" w:line="400" w:lineRule="exact"/>
        <w:ind w:left="0" w:leftChars="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工程地点：</w:t>
      </w:r>
      <w:r>
        <w:rPr>
          <w:rFonts w:hint="eastAsia" w:ascii="宋体" w:hAnsi="宋体" w:eastAsia="宋体" w:cs="宋体"/>
          <w:color w:val="auto"/>
          <w:kern w:val="2"/>
          <w:sz w:val="28"/>
          <w:szCs w:val="28"/>
          <w:highlight w:val="none"/>
          <w:lang w:eastAsia="zh-CN"/>
        </w:rPr>
        <w:t>扬州市广陵区，北至盐阜路，</w:t>
      </w:r>
      <w:r>
        <w:rPr>
          <w:rFonts w:hint="eastAsia" w:ascii="宋体" w:hAnsi="宋体" w:eastAsia="宋体" w:cs="宋体"/>
          <w:color w:val="auto"/>
          <w:kern w:val="2"/>
          <w:sz w:val="28"/>
          <w:szCs w:val="28"/>
          <w:highlight w:val="none"/>
        </w:rPr>
        <w:t>南至文昌中路，</w:t>
      </w:r>
      <w:r>
        <w:rPr>
          <w:rFonts w:hint="eastAsia" w:ascii="宋体" w:hAnsi="宋体" w:eastAsia="宋体" w:cs="宋体"/>
          <w:color w:val="auto"/>
          <w:kern w:val="2"/>
          <w:sz w:val="28"/>
          <w:szCs w:val="28"/>
          <w:highlight w:val="none"/>
          <w:lang w:eastAsia="zh-CN"/>
        </w:rPr>
        <w:t>西至九巷、十巷、石灰巷沿线，</w:t>
      </w:r>
      <w:r>
        <w:rPr>
          <w:rFonts w:hint="eastAsia" w:ascii="宋体" w:hAnsi="宋体" w:eastAsia="宋体" w:cs="宋体"/>
          <w:color w:val="auto"/>
          <w:kern w:val="2"/>
          <w:sz w:val="28"/>
          <w:szCs w:val="28"/>
          <w:highlight w:val="none"/>
        </w:rPr>
        <w:t>东至天宁门街</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北柳巷沿线</w:t>
      </w:r>
    </w:p>
    <w:p>
      <w:pPr>
        <w:adjustRightInd w:val="0"/>
        <w:snapToGrid w:val="0"/>
        <w:spacing w:before="313" w:beforeLines="100" w:after="313" w:afterLines="100" w:line="400" w:lineRule="exact"/>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合同编号：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adjustRightInd w:val="0"/>
        <w:snapToGrid w:val="0"/>
        <w:spacing w:before="313" w:beforeLines="100" w:after="313" w:afterLines="100" w:line="400" w:lineRule="exact"/>
        <w:ind w:firstLine="560" w:firstLineChars="200"/>
        <w:jc w:val="left"/>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（由勘察人编填）</w:t>
      </w:r>
      <w:r>
        <w:rPr>
          <w:rFonts w:hint="eastAsia" w:ascii="宋体" w:hAnsi="宋体" w:eastAsia="宋体" w:cs="宋体"/>
          <w:sz w:val="28"/>
          <w:szCs w:val="28"/>
          <w:highlight w:val="none"/>
          <w:u w:val="single"/>
        </w:rPr>
        <w:t xml:space="preserve">                                 </w:t>
      </w:r>
    </w:p>
    <w:p>
      <w:pPr>
        <w:adjustRightInd w:val="0"/>
        <w:snapToGrid w:val="0"/>
        <w:spacing w:before="313" w:beforeLines="100" w:after="313" w:afterLines="100" w:line="400" w:lineRule="exact"/>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kern w:val="0"/>
          <w:sz w:val="28"/>
          <w:szCs w:val="28"/>
          <w:highlight w:val="none"/>
        </w:rPr>
        <w:t>勘察证书等级</w:t>
      </w:r>
      <w:r>
        <w:rPr>
          <w:rFonts w:hint="eastAsia" w:ascii="宋体" w:hAnsi="宋体" w:eastAsia="宋体" w:cs="宋体"/>
          <w:sz w:val="28"/>
          <w:szCs w:val="28"/>
          <w:highlight w:val="none"/>
        </w:rPr>
        <w:t>：</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p>
    <w:p>
      <w:pPr>
        <w:adjustRightInd w:val="0"/>
        <w:snapToGrid w:val="0"/>
        <w:spacing w:before="313" w:beforeLines="100" w:after="313" w:afterLines="100" w:line="400" w:lineRule="exact"/>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发包人：</w:t>
      </w:r>
      <w:r>
        <w:rPr>
          <w:rFonts w:hint="eastAsia" w:ascii="宋体" w:hAnsi="宋体" w:eastAsia="宋体" w:cs="宋体"/>
          <w:sz w:val="28"/>
          <w:szCs w:val="28"/>
          <w:highlight w:val="none"/>
          <w:u w:val="single"/>
        </w:rPr>
        <w:t>扬州</w:t>
      </w:r>
      <w:r>
        <w:rPr>
          <w:rFonts w:hint="eastAsia" w:ascii="宋体" w:hAnsi="宋体" w:eastAsia="宋体" w:cs="宋体"/>
          <w:sz w:val="28"/>
          <w:szCs w:val="28"/>
          <w:highlight w:val="none"/>
          <w:u w:val="single"/>
          <w:lang w:val="en-US" w:eastAsia="zh-CN"/>
        </w:rPr>
        <w:t>古城历史文化保护建设有限公司</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p>
    <w:p>
      <w:pPr>
        <w:adjustRightInd w:val="0"/>
        <w:snapToGrid w:val="0"/>
        <w:spacing w:before="313" w:beforeLines="100" w:after="313" w:afterLines="100" w:line="400" w:lineRule="exact"/>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勘察人：</w:t>
      </w:r>
      <w:r>
        <w:rPr>
          <w:rFonts w:hint="eastAsia" w:ascii="宋体" w:hAnsi="宋体" w:eastAsia="宋体" w:cs="宋体"/>
          <w:kern w:val="0"/>
          <w:sz w:val="28"/>
          <w:szCs w:val="28"/>
          <w:highlight w:val="none"/>
          <w:u w:val="single"/>
        </w:rPr>
        <w:t xml:space="preserve">                                         </w:t>
      </w:r>
    </w:p>
    <w:p>
      <w:pPr>
        <w:adjustRightInd w:val="0"/>
        <w:snapToGrid w:val="0"/>
        <w:spacing w:before="313" w:beforeLines="100" w:after="313" w:afterLines="100" w:line="400" w:lineRule="exact"/>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签订日期：</w:t>
      </w:r>
      <w:r>
        <w:rPr>
          <w:rFonts w:hint="eastAsia" w:ascii="宋体" w:hAnsi="宋体" w:eastAsia="宋体" w:cs="宋体"/>
          <w:kern w:val="0"/>
          <w:sz w:val="28"/>
          <w:szCs w:val="28"/>
          <w:highlight w:val="none"/>
          <w:u w:val="single"/>
        </w:rPr>
        <w:t xml:space="preserve">                                       </w:t>
      </w:r>
    </w:p>
    <w:p>
      <w:pPr>
        <w:adjustRightInd w:val="0"/>
        <w:snapToGrid w:val="0"/>
        <w:spacing w:before="60" w:after="60" w:line="400" w:lineRule="exact"/>
        <w:ind w:firstLine="480" w:firstLineChars="200"/>
        <w:jc w:val="left"/>
        <w:rPr>
          <w:rFonts w:hint="eastAsia" w:ascii="方正仿宋_GBK" w:hAnsi="方正仿宋_GBK" w:eastAsia="方正仿宋_GBK" w:cs="方正仿宋_GBK"/>
          <w:sz w:val="24"/>
          <w:highlight w:val="none"/>
        </w:rPr>
      </w:pPr>
    </w:p>
    <w:p>
      <w:pPr>
        <w:tabs>
          <w:tab w:val="center" w:pos="4309"/>
          <w:tab w:val="left" w:pos="7365"/>
        </w:tabs>
        <w:adjustRightInd w:val="0"/>
        <w:snapToGrid w:val="0"/>
        <w:spacing w:before="60" w:after="60" w:line="400" w:lineRule="exact"/>
        <w:ind w:firstLine="480" w:firstLineChars="200"/>
        <w:jc w:val="left"/>
        <w:rPr>
          <w:rFonts w:hint="eastAsia" w:eastAsia="仿宋_GB2312"/>
          <w:sz w:val="24"/>
          <w:szCs w:val="24"/>
          <w:highlight w:val="none"/>
        </w:rPr>
      </w:pPr>
      <w:r>
        <w:rPr>
          <w:rFonts w:hint="eastAsia" w:ascii="方正仿宋_GBK" w:hAnsi="方正仿宋_GBK" w:eastAsia="方正仿宋_GBK" w:cs="方正仿宋_GBK"/>
          <w:sz w:val="24"/>
          <w:highlight w:val="none"/>
        </w:rPr>
        <w:tab/>
      </w:r>
      <w:r>
        <w:rPr>
          <w:sz w:val="24"/>
          <w:highlight w:val="none"/>
        </w:rPr>
        <w:tab/>
      </w:r>
    </w:p>
    <w:p>
      <w:pPr>
        <w:adjustRightInd/>
        <w:snapToGrid/>
        <w:spacing w:before="0" w:after="0" w:line="240" w:lineRule="auto"/>
        <w:ind w:firstLine="0" w:firstLineChars="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w:t>
      </w:r>
      <w:r>
        <w:rPr>
          <w:rFonts w:hint="eastAsia" w:ascii="宋体" w:hAnsi="宋体" w:eastAsia="宋体" w:cs="宋体"/>
          <w:sz w:val="24"/>
          <w:szCs w:val="24"/>
          <w:highlight w:val="none"/>
          <w:u w:val="single"/>
        </w:rPr>
        <w:t>：扬州</w:t>
      </w:r>
      <w:r>
        <w:rPr>
          <w:rFonts w:hint="eastAsia" w:ascii="宋体" w:hAnsi="宋体" w:eastAsia="宋体" w:cs="宋体"/>
          <w:sz w:val="24"/>
          <w:szCs w:val="24"/>
          <w:highlight w:val="none"/>
          <w:u w:val="single"/>
          <w:lang w:val="en-US" w:eastAsia="zh-CN"/>
        </w:rPr>
        <w:t>古城历史文化保护建设有限公司</w:t>
      </w:r>
      <w:r>
        <w:rPr>
          <w:rFonts w:hint="eastAsia" w:ascii="宋体" w:hAnsi="宋体" w:eastAsia="宋体" w:cs="宋体"/>
          <w:sz w:val="24"/>
          <w:szCs w:val="24"/>
          <w:highlight w:val="none"/>
          <w:u w:val="single"/>
        </w:rPr>
        <w:t xml:space="preserve">           </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勘察人</w:t>
      </w:r>
      <w:r>
        <w:rPr>
          <w:rFonts w:hint="eastAsia" w:ascii="宋体" w:hAnsi="宋体" w:eastAsia="宋体" w:cs="宋体"/>
          <w:sz w:val="24"/>
          <w:szCs w:val="24"/>
          <w:highlight w:val="none"/>
          <w:u w:val="single"/>
        </w:rPr>
        <w:t>：</w:t>
      </w:r>
      <w:r>
        <w:rPr>
          <w:rFonts w:hint="eastAsia" w:ascii="宋体" w:hAnsi="宋体" w:eastAsia="宋体" w:cs="宋体"/>
          <w:kern w:val="0"/>
          <w:sz w:val="24"/>
          <w:szCs w:val="24"/>
          <w:highlight w:val="none"/>
          <w:u w:val="single"/>
        </w:rPr>
        <w:t xml:space="preserve">                                            </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发包人委托勘察人承担</w:t>
      </w:r>
      <w:r>
        <w:rPr>
          <w:rFonts w:hint="eastAsia" w:ascii="宋体" w:hAnsi="宋体" w:eastAsia="宋体" w:cs="宋体"/>
          <w:sz w:val="24"/>
          <w:szCs w:val="24"/>
          <w:highlight w:val="none"/>
          <w:u w:val="single"/>
          <w:lang w:val="en-US" w:eastAsia="zh-CN"/>
        </w:rPr>
        <w:t>扬州市古城小秦淮河保护更新二期项目工程勘察，</w:t>
      </w:r>
      <w:r>
        <w:rPr>
          <w:rFonts w:hint="eastAsia" w:ascii="宋体" w:hAnsi="宋体" w:eastAsia="宋体" w:cs="宋体"/>
          <w:sz w:val="24"/>
          <w:szCs w:val="24"/>
          <w:highlight w:val="none"/>
        </w:rPr>
        <w:t>根据《中华人民共和国民法典》及国家有关法规规定，结合本工程的具体情况，为明确责任，协作配合，确保工程勘察质量，经发包人、勘察人协商一致，签订本合同，共同遵守。</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第一条：工程概况</w:t>
      </w:r>
    </w:p>
    <w:p>
      <w:pPr>
        <w:wordWrap w:val="0"/>
        <w:adjustRightInd w:val="0"/>
        <w:snapToGrid w:val="0"/>
        <w:spacing w:before="60" w:after="60" w:line="400" w:lineRule="exact"/>
        <w:ind w:right="0" w:rightChars="0" w:firstLine="480" w:firstLineChars="200"/>
        <w:jc w:val="left"/>
        <w:outlineLvl w:val="0"/>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rPr>
        <w:t>1.1工程名称：</w:t>
      </w:r>
      <w:r>
        <w:rPr>
          <w:rFonts w:hint="eastAsia" w:ascii="宋体" w:hAnsi="宋体" w:eastAsia="宋体" w:cs="宋体"/>
          <w:b w:val="0"/>
          <w:bCs w:val="0"/>
          <w:sz w:val="24"/>
          <w:szCs w:val="24"/>
          <w:highlight w:val="none"/>
          <w:u w:val="single"/>
          <w:lang w:val="en-US" w:eastAsia="zh-CN"/>
        </w:rPr>
        <w:t>扬州市古城小秦淮河保护更新二期项目工程勘察</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1.2工程建设地点：</w:t>
      </w:r>
      <w:r>
        <w:rPr>
          <w:rFonts w:hint="eastAsia" w:ascii="宋体" w:hAnsi="宋体" w:eastAsia="宋体" w:cs="宋体"/>
          <w:kern w:val="2"/>
          <w:sz w:val="24"/>
          <w:szCs w:val="24"/>
          <w:highlight w:val="none"/>
          <w:u w:val="single"/>
          <w:lang w:eastAsia="zh-CN"/>
        </w:rPr>
        <w:t>扬州市广陵区，北至盐阜路，</w:t>
      </w:r>
      <w:r>
        <w:rPr>
          <w:rFonts w:hint="eastAsia" w:ascii="宋体" w:hAnsi="宋体" w:eastAsia="宋体" w:cs="宋体"/>
          <w:kern w:val="2"/>
          <w:sz w:val="24"/>
          <w:szCs w:val="24"/>
          <w:highlight w:val="none"/>
          <w:u w:val="single"/>
        </w:rPr>
        <w:t>南至文昌中路，</w:t>
      </w:r>
      <w:r>
        <w:rPr>
          <w:rFonts w:hint="eastAsia" w:ascii="宋体" w:hAnsi="宋体" w:eastAsia="宋体" w:cs="宋体"/>
          <w:kern w:val="2"/>
          <w:sz w:val="24"/>
          <w:szCs w:val="24"/>
          <w:highlight w:val="none"/>
          <w:u w:val="single"/>
          <w:lang w:eastAsia="zh-CN"/>
        </w:rPr>
        <w:t>西至九巷、十巷、石灰巷沿线，</w:t>
      </w:r>
      <w:r>
        <w:rPr>
          <w:rFonts w:hint="eastAsia" w:ascii="宋体" w:hAnsi="宋体" w:eastAsia="宋体" w:cs="宋体"/>
          <w:kern w:val="2"/>
          <w:sz w:val="24"/>
          <w:szCs w:val="24"/>
          <w:highlight w:val="none"/>
          <w:u w:val="single"/>
        </w:rPr>
        <w:t>东至天宁门街</w:t>
      </w:r>
      <w:r>
        <w:rPr>
          <w:rFonts w:hint="eastAsia" w:ascii="宋体" w:hAnsi="宋体" w:eastAsia="宋体" w:cs="宋体"/>
          <w:kern w:val="2"/>
          <w:sz w:val="24"/>
          <w:szCs w:val="24"/>
          <w:highlight w:val="none"/>
          <w:u w:val="single"/>
          <w:lang w:eastAsia="zh-CN"/>
        </w:rPr>
        <w:t>、</w:t>
      </w:r>
      <w:r>
        <w:rPr>
          <w:rFonts w:hint="eastAsia" w:ascii="宋体" w:hAnsi="宋体" w:eastAsia="宋体" w:cs="宋体"/>
          <w:kern w:val="2"/>
          <w:sz w:val="24"/>
          <w:szCs w:val="24"/>
          <w:highlight w:val="none"/>
          <w:u w:val="single"/>
        </w:rPr>
        <w:t>北柳巷沿线</w:t>
      </w:r>
      <w:r>
        <w:rPr>
          <w:rFonts w:hint="eastAsia" w:ascii="宋体" w:hAnsi="宋体" w:eastAsia="宋体" w:cs="宋体"/>
          <w:b w:val="0"/>
          <w:bCs w:val="0"/>
          <w:sz w:val="24"/>
          <w:szCs w:val="24"/>
          <w:highlight w:val="none"/>
          <w:u w:val="single"/>
        </w:rPr>
        <w:t>。</w:t>
      </w:r>
    </w:p>
    <w:p>
      <w:pPr>
        <w:wordWrap w:val="0"/>
        <w:adjustRightInd w:val="0"/>
        <w:snapToGrid w:val="0"/>
        <w:spacing w:before="60" w:after="60" w:line="400" w:lineRule="exact"/>
        <w:ind w:firstLine="480" w:firstLineChars="200"/>
        <w:jc w:val="left"/>
        <w:rPr>
          <w:rFonts w:hint="eastAsia" w:ascii="宋体" w:hAnsi="宋体" w:eastAsia="宋体" w:cs="宋体"/>
          <w:b w:val="0"/>
          <w:bCs w:val="0"/>
          <w:color w:val="FF0000"/>
          <w:sz w:val="24"/>
          <w:szCs w:val="24"/>
          <w:highlight w:val="none"/>
          <w:u w:val="single"/>
          <w:lang w:val="en-US" w:eastAsia="zh-CN"/>
        </w:rPr>
      </w:pPr>
      <w:r>
        <w:rPr>
          <w:rFonts w:hint="eastAsia" w:ascii="宋体" w:hAnsi="宋体" w:eastAsia="宋体" w:cs="宋体"/>
          <w:b w:val="0"/>
          <w:bCs w:val="0"/>
          <w:sz w:val="24"/>
          <w:szCs w:val="24"/>
          <w:highlight w:val="none"/>
        </w:rPr>
        <w:t>1.3工程规模、特征：</w:t>
      </w:r>
      <w:r>
        <w:rPr>
          <w:rFonts w:hint="eastAsia" w:ascii="宋体" w:hAnsi="宋体" w:eastAsia="宋体" w:cs="宋体"/>
          <w:b w:val="0"/>
          <w:bCs w:val="0"/>
          <w:kern w:val="0"/>
          <w:sz w:val="24"/>
          <w:szCs w:val="24"/>
          <w:highlight w:val="none"/>
          <w:u w:val="single"/>
          <w:lang w:val="en-US" w:eastAsia="zh-CN"/>
        </w:rPr>
        <w:t>详见附图</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1.4 工程勘察任务委托文号、日期：</w:t>
      </w:r>
      <w:r>
        <w:rPr>
          <w:rFonts w:hint="eastAsia" w:ascii="宋体" w:hAnsi="宋体" w:eastAsia="宋体" w:cs="宋体"/>
          <w:b w:val="0"/>
          <w:bCs w:val="0"/>
          <w:color w:val="FF0000"/>
          <w:sz w:val="24"/>
          <w:szCs w:val="24"/>
          <w:highlight w:val="none"/>
        </w:rPr>
        <w:t xml:space="preserve"> </w:t>
      </w:r>
      <w:r>
        <w:rPr>
          <w:rFonts w:hint="eastAsia" w:ascii="宋体" w:hAnsi="宋体" w:eastAsia="宋体" w:cs="宋体"/>
          <w:b w:val="0"/>
          <w:bCs w:val="0"/>
          <w:kern w:val="0"/>
          <w:sz w:val="24"/>
          <w:szCs w:val="24"/>
          <w:highlight w:val="none"/>
          <w:u w:val="single"/>
        </w:rPr>
        <w:t xml:space="preserve">    </w:t>
      </w:r>
      <w:r>
        <w:rPr>
          <w:rFonts w:hint="eastAsia" w:ascii="宋体" w:hAnsi="宋体" w:eastAsia="宋体" w:cs="宋体"/>
          <w:b w:val="0"/>
          <w:bCs w:val="0"/>
          <w:kern w:val="0"/>
          <w:sz w:val="24"/>
          <w:szCs w:val="24"/>
          <w:highlight w:val="none"/>
          <w:u w:val="single"/>
          <w:lang w:val="en-US" w:eastAsia="zh-CN"/>
        </w:rPr>
        <w:t>/</w:t>
      </w:r>
      <w:r>
        <w:rPr>
          <w:rFonts w:hint="eastAsia" w:ascii="宋体" w:hAnsi="宋体" w:eastAsia="宋体" w:cs="宋体"/>
          <w:b w:val="0"/>
          <w:bCs w:val="0"/>
          <w:kern w:val="0"/>
          <w:sz w:val="24"/>
          <w:szCs w:val="24"/>
          <w:highlight w:val="none"/>
          <w:u w:val="single"/>
        </w:rPr>
        <w:t xml:space="preserve">                     </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1.5工程勘察任务（内容）与技术要求：</w:t>
      </w:r>
      <w:r>
        <w:rPr>
          <w:rFonts w:hint="eastAsia" w:ascii="宋体" w:hAnsi="宋体" w:eastAsia="宋体" w:cs="宋体"/>
          <w:b w:val="0"/>
          <w:bCs w:val="0"/>
          <w:sz w:val="24"/>
          <w:szCs w:val="24"/>
          <w:highlight w:val="none"/>
          <w:u w:val="single"/>
        </w:rPr>
        <w:t xml:space="preserve">满足规范及设计要求。  </w:t>
      </w:r>
    </w:p>
    <w:p>
      <w:pPr>
        <w:wordWrap w:val="0"/>
        <w:adjustRightInd w:val="0"/>
        <w:snapToGrid w:val="0"/>
        <w:spacing w:before="60" w:after="60" w:line="400" w:lineRule="exact"/>
        <w:ind w:firstLine="480" w:firstLineChars="200"/>
        <w:jc w:val="left"/>
        <w:outlineLvl w:val="0"/>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1.6承接方式：</w:t>
      </w:r>
      <w:r>
        <w:rPr>
          <w:rFonts w:hint="eastAsia" w:ascii="宋体" w:hAnsi="宋体" w:eastAsia="宋体" w:cs="宋体"/>
          <w:b w:val="0"/>
          <w:bCs w:val="0"/>
          <w:kern w:val="0"/>
          <w:sz w:val="24"/>
          <w:szCs w:val="24"/>
          <w:highlight w:val="none"/>
          <w:u w:val="single"/>
        </w:rPr>
        <w:t xml:space="preserve">                        </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1.7勘察工作量：</w:t>
      </w:r>
      <w:r>
        <w:rPr>
          <w:rFonts w:hint="eastAsia" w:ascii="宋体" w:hAnsi="宋体" w:eastAsia="宋体" w:cs="宋体"/>
          <w:b w:val="0"/>
          <w:bCs w:val="0"/>
          <w:sz w:val="24"/>
          <w:szCs w:val="24"/>
          <w:highlight w:val="none"/>
          <w:u w:val="single"/>
        </w:rPr>
        <w:t xml:space="preserve">                      </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第二条：发包人应及时向勘察人提供下列文件资料，并对其准确性、可靠性负责。</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2.1提供本工程批准文件（复印件）</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2.2提供工程勘察任务委托书、技术要求和工作范围的地形图、建设总平面布置图。</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2.3提供勘察工作范围已有的技术资料及工程所需的坐标与标高资料。</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2.4提供勘察工作范围地下已有埋藏物的资料（如电力、电讯电缆、各种管道、人防设施、洞室等）及具体位置分布图。</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第三条：勘察人向发包人提交勘察成果资料并对其质量负责。勘察人负责向发包人提交勘察成果资料肆份。</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第四条：开工及提交勘察成果资料的时间和收费标准及付费方式</w:t>
      </w:r>
    </w:p>
    <w:p>
      <w:pPr>
        <w:wordWrap w:val="0"/>
        <w:adjustRightInd w:val="0"/>
        <w:snapToGrid w:val="0"/>
        <w:spacing w:before="60" w:after="60" w:line="400" w:lineRule="exact"/>
        <w:ind w:firstLine="480" w:firstLineChars="200"/>
        <w:jc w:val="left"/>
        <w:outlineLvl w:val="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4.1开工及提交勘察成果资料的时间为202</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年</w:t>
      </w:r>
      <w:r>
        <w:rPr>
          <w:rFonts w:hint="eastAsia" w:ascii="宋体" w:hAnsi="宋体" w:cs="宋体"/>
          <w:b w:val="0"/>
          <w:bCs w:val="0"/>
          <w:sz w:val="24"/>
          <w:szCs w:val="24"/>
          <w:highlight w:val="none"/>
          <w:u w:val="singl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日。</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4.1.1本工程的勘察工作定于202</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年</w:t>
      </w:r>
      <w:r>
        <w:rPr>
          <w:rFonts w:hint="eastAsia" w:ascii="宋体" w:hAnsi="宋体" w:cs="宋体"/>
          <w:b w:val="0"/>
          <w:bCs w:val="0"/>
          <w:sz w:val="24"/>
          <w:szCs w:val="24"/>
          <w:highlight w:val="none"/>
          <w:u w:val="singl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日</w:t>
      </w:r>
      <w:r>
        <w:rPr>
          <w:rFonts w:hint="eastAsia" w:ascii="宋体" w:hAnsi="宋体" w:cs="宋体"/>
          <w:b w:val="0"/>
          <w:bCs w:val="0"/>
          <w:sz w:val="24"/>
          <w:szCs w:val="24"/>
          <w:highlight w:val="none"/>
          <w:lang w:eastAsia="zh-CN"/>
        </w:rPr>
        <w:t>分节点分批次</w:t>
      </w:r>
      <w:r>
        <w:rPr>
          <w:rFonts w:hint="eastAsia" w:ascii="宋体" w:hAnsi="宋体" w:eastAsia="宋体" w:cs="宋体"/>
          <w:b w:val="0"/>
          <w:bCs w:val="0"/>
          <w:sz w:val="24"/>
          <w:szCs w:val="24"/>
          <w:highlight w:val="none"/>
        </w:rPr>
        <w:t>开工，</w:t>
      </w:r>
      <w:r>
        <w:rPr>
          <w:rFonts w:hint="eastAsia" w:ascii="宋体" w:hAnsi="宋体" w:eastAsia="宋体" w:cs="宋体"/>
          <w:b w:val="0"/>
          <w:bCs w:val="0"/>
          <w:sz w:val="24"/>
          <w:szCs w:val="24"/>
          <w:highlight w:val="none"/>
          <w:lang w:val="en-US" w:eastAsia="zh-CN"/>
        </w:rPr>
        <w:t>15</w:t>
      </w:r>
      <w:r>
        <w:rPr>
          <w:rFonts w:hint="eastAsia" w:ascii="宋体" w:hAnsi="宋体" w:eastAsia="宋体" w:cs="宋体"/>
          <w:b w:val="0"/>
          <w:bCs w:val="0"/>
          <w:sz w:val="24"/>
          <w:szCs w:val="24"/>
          <w:highlight w:val="none"/>
          <w:lang w:eastAsia="zh-CN"/>
        </w:rPr>
        <w:t>日内</w:t>
      </w:r>
      <w:r>
        <w:rPr>
          <w:rFonts w:hint="eastAsia" w:ascii="宋体" w:hAnsi="宋体" w:eastAsia="宋体" w:cs="宋体"/>
          <w:b w:val="0"/>
          <w:bCs w:val="0"/>
          <w:sz w:val="24"/>
          <w:szCs w:val="24"/>
          <w:highlight w:val="none"/>
        </w:rPr>
        <w:t>提交勘察成果资料，工期为</w:t>
      </w:r>
      <w:r>
        <w:rPr>
          <w:rFonts w:hint="eastAsia" w:ascii="宋体" w:hAnsi="宋体" w:eastAsia="宋体" w:cs="宋体"/>
          <w:b w:val="0"/>
          <w:bCs w:val="0"/>
          <w:sz w:val="24"/>
          <w:szCs w:val="24"/>
          <w:highlight w:val="none"/>
          <w:u w:val="single"/>
          <w:lang w:eastAsia="zh-CN"/>
        </w:rPr>
        <w:t>1</w:t>
      </w:r>
      <w:r>
        <w:rPr>
          <w:rFonts w:hint="eastAsia" w:ascii="宋体" w:hAnsi="宋体" w:eastAsia="宋体" w:cs="宋体"/>
          <w:b w:val="0"/>
          <w:bCs w:val="0"/>
          <w:sz w:val="24"/>
          <w:szCs w:val="24"/>
          <w:highlight w:val="none"/>
          <w:u w:val="single"/>
          <w:lang w:val="en-US" w:eastAsia="zh-CN"/>
        </w:rPr>
        <w:t>5</w:t>
      </w:r>
      <w:r>
        <w:rPr>
          <w:rFonts w:hint="eastAsia" w:ascii="宋体" w:hAnsi="宋体" w:eastAsia="宋体" w:cs="宋体"/>
          <w:b w:val="0"/>
          <w:bCs w:val="0"/>
          <w:sz w:val="24"/>
          <w:szCs w:val="24"/>
          <w:highlight w:val="none"/>
        </w:rPr>
        <w:t>日。由于发包人或勘察人的原因未能按期开工或提交成果资料时，按本合同第</w:t>
      </w:r>
      <w:r>
        <w:rPr>
          <w:rFonts w:hint="eastAsia" w:ascii="宋体" w:hAnsi="宋体" w:eastAsia="宋体" w:cs="宋体"/>
          <w:b w:val="0"/>
          <w:bCs w:val="0"/>
          <w:sz w:val="24"/>
          <w:szCs w:val="24"/>
          <w:highlight w:val="none"/>
          <w:lang w:val="en-US" w:eastAsia="zh-CN"/>
        </w:rPr>
        <w:t>十二</w:t>
      </w:r>
      <w:r>
        <w:rPr>
          <w:rFonts w:hint="eastAsia" w:ascii="宋体" w:hAnsi="宋体" w:eastAsia="宋体" w:cs="宋体"/>
          <w:b w:val="0"/>
          <w:bCs w:val="0"/>
          <w:sz w:val="24"/>
          <w:szCs w:val="24"/>
          <w:highlight w:val="none"/>
        </w:rPr>
        <w:t>条规定办理。</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4.1.2勘察工作期限以发包人下达的开工通知书或合同规定的时间为准，如遇特殊情况（设计变更、工作量变化、不可抗力影响以及非勘察人原因造成的停、窝工等）时，经发包人确认后，工期顺延。</w:t>
      </w:r>
    </w:p>
    <w:p>
      <w:pPr>
        <w:wordWrap w:val="0"/>
        <w:adjustRightInd w:val="0"/>
        <w:snapToGrid w:val="0"/>
        <w:spacing w:before="60" w:after="60" w:line="400" w:lineRule="exact"/>
        <w:ind w:firstLine="480" w:firstLineChars="200"/>
        <w:jc w:val="left"/>
        <w:outlineLvl w:val="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4.2收费标准及付费方式</w:t>
      </w:r>
    </w:p>
    <w:p>
      <w:pPr>
        <w:wordWrap w:val="0"/>
        <w:adjustRightInd w:val="0"/>
        <w:snapToGrid w:val="0"/>
        <w:spacing w:before="60" w:after="60" w:line="400" w:lineRule="exact"/>
        <w:ind w:firstLine="480" w:firstLineChars="200"/>
        <w:jc w:val="left"/>
        <w:rPr>
          <w:rFonts w:hint="eastAsia" w:ascii="宋体" w:hAnsi="宋体" w:eastAsia="宋体" w:cs="宋体"/>
          <w:b w:val="0"/>
          <w:bCs w:val="0"/>
          <w:kern w:val="0"/>
          <w:sz w:val="24"/>
          <w:szCs w:val="24"/>
          <w:highlight w:val="none"/>
          <w:u w:val="none"/>
        </w:rPr>
      </w:pPr>
      <w:r>
        <w:rPr>
          <w:rFonts w:hint="eastAsia" w:ascii="宋体" w:hAnsi="宋体" w:eastAsia="宋体" w:cs="宋体"/>
          <w:b w:val="0"/>
          <w:bCs w:val="0"/>
          <w:sz w:val="24"/>
          <w:szCs w:val="24"/>
          <w:highlight w:val="none"/>
        </w:rPr>
        <w:t>4.2.1本工程</w:t>
      </w:r>
      <w:r>
        <w:rPr>
          <w:rFonts w:hint="eastAsia" w:ascii="宋体" w:hAnsi="宋体" w:eastAsia="宋体" w:cs="宋体"/>
          <w:b w:val="0"/>
          <w:bCs w:val="0"/>
          <w:sz w:val="24"/>
          <w:szCs w:val="24"/>
          <w:highlight w:val="none"/>
          <w:lang w:eastAsia="zh-CN"/>
        </w:rPr>
        <w:t>签约</w:t>
      </w:r>
      <w:r>
        <w:rPr>
          <w:rFonts w:hint="eastAsia" w:ascii="宋体" w:hAnsi="宋体" w:eastAsia="宋体" w:cs="宋体"/>
          <w:b w:val="0"/>
          <w:bCs w:val="0"/>
          <w:kern w:val="0"/>
          <w:sz w:val="24"/>
          <w:szCs w:val="24"/>
          <w:highlight w:val="none"/>
        </w:rPr>
        <w:t>合同价为：</w:t>
      </w:r>
      <w:r>
        <w:rPr>
          <w:rFonts w:hint="eastAsia" w:ascii="宋体" w:hAnsi="宋体" w:eastAsia="宋体" w:cs="宋体"/>
          <w:b w:val="0"/>
          <w:bCs w:val="0"/>
          <w:kern w:val="0"/>
          <w:sz w:val="24"/>
          <w:szCs w:val="24"/>
          <w:highlight w:val="none"/>
          <w:u w:val="single"/>
          <w:lang w:eastAsia="zh-CN"/>
        </w:rPr>
        <w:t xml:space="preserve"> </w:t>
      </w:r>
      <w:r>
        <w:rPr>
          <w:rFonts w:hint="eastAsia" w:ascii="宋体" w:hAnsi="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lang w:eastAsia="zh-CN"/>
        </w:rPr>
        <w:t>元</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合同价应是合同约定所确定的勘察范围内的全部工作内容的价格体现包含但不限于为完成本项目勘察报告并</w:t>
      </w:r>
      <w:r>
        <w:rPr>
          <w:rFonts w:hint="eastAsia" w:ascii="宋体" w:hAnsi="宋体" w:eastAsia="宋体" w:cs="宋体"/>
          <w:b w:val="0"/>
          <w:bCs w:val="0"/>
          <w:sz w:val="24"/>
          <w:szCs w:val="24"/>
          <w:highlight w:val="none"/>
        </w:rPr>
        <w:t>通过政府审批</w:t>
      </w:r>
      <w:r>
        <w:rPr>
          <w:rFonts w:hint="eastAsia" w:ascii="宋体" w:hAnsi="宋体" w:eastAsia="宋体" w:cs="宋体"/>
          <w:b w:val="0"/>
          <w:bCs w:val="0"/>
          <w:sz w:val="24"/>
          <w:szCs w:val="24"/>
          <w:highlight w:val="none"/>
        </w:rPr>
        <w:t>而采取的钻孔、实验、静力触探、波速测试、对土质液化情况的判定等必要的勘察手段、以及机械进退场、场平、局部挖土、土方短驳、临时道路修建、临水临电、青苗费、防疫费用等措施费均需考虑合同价内，不再另行计取。如工期、质量、安全、文明施工达不到合同约定，按合同条款扣除相应费用。包括人员、设备、管理、利润、风险、税金及政策性文件规定等各项应有费用。勘察人应充分考虑建设场地现行情况，今后固定</w:t>
      </w:r>
      <w:r>
        <w:rPr>
          <w:rFonts w:hint="eastAsia" w:ascii="宋体" w:hAnsi="宋体" w:cs="宋体"/>
          <w:b w:val="0"/>
          <w:bCs w:val="0"/>
          <w:sz w:val="24"/>
          <w:szCs w:val="24"/>
          <w:highlight w:val="none"/>
          <w:lang w:eastAsia="zh-CN"/>
        </w:rPr>
        <w:t>单价</w:t>
      </w:r>
      <w:r>
        <w:rPr>
          <w:rFonts w:hint="eastAsia" w:ascii="宋体" w:hAnsi="宋体" w:eastAsia="宋体" w:cs="宋体"/>
          <w:b w:val="0"/>
          <w:bCs w:val="0"/>
          <w:sz w:val="24"/>
          <w:szCs w:val="24"/>
          <w:highlight w:val="none"/>
        </w:rPr>
        <w:t>一律不作调整。若因勘察人的原因造成补勘，所有费用由勘察人自行承担。</w:t>
      </w:r>
    </w:p>
    <w:p>
      <w:pPr>
        <w:wordWrap w:val="0"/>
        <w:adjustRightInd w:val="0"/>
        <w:snapToGrid w:val="0"/>
        <w:spacing w:before="60" w:after="60" w:line="400" w:lineRule="exact"/>
        <w:ind w:right="0" w:rightChars="0" w:firstLine="480" w:firstLineChars="200"/>
        <w:jc w:val="left"/>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rPr>
        <w:t>4.2.2结算方式：结算价=固定</w:t>
      </w:r>
      <w:r>
        <w:rPr>
          <w:rFonts w:hint="eastAsia" w:ascii="宋体" w:hAnsi="宋体" w:eastAsia="宋体" w:cs="宋体"/>
          <w:b w:val="0"/>
          <w:bCs w:val="0"/>
          <w:kern w:val="0"/>
          <w:sz w:val="24"/>
          <w:szCs w:val="24"/>
          <w:highlight w:val="none"/>
          <w:lang w:eastAsia="zh-CN"/>
        </w:rPr>
        <w:t>单价</w:t>
      </w:r>
      <w:r>
        <w:rPr>
          <w:rFonts w:hint="eastAsia" w:ascii="宋体" w:hAnsi="宋体" w:eastAsia="宋体" w:cs="宋体"/>
          <w:b w:val="0"/>
          <w:bCs w:val="0"/>
          <w:kern w:val="0"/>
          <w:sz w:val="24"/>
          <w:szCs w:val="24"/>
          <w:highlight w:val="none"/>
          <w:lang w:val="en-US" w:eastAsia="zh-CN"/>
        </w:rPr>
        <w:t>*</w:t>
      </w:r>
      <w:r>
        <w:rPr>
          <w:rFonts w:hint="eastAsia" w:ascii="宋体" w:hAnsi="宋体" w:cs="宋体"/>
          <w:b w:val="0"/>
          <w:bCs w:val="0"/>
          <w:kern w:val="0"/>
          <w:sz w:val="24"/>
          <w:szCs w:val="24"/>
          <w:highlight w:val="none"/>
          <w:lang w:val="en-US" w:eastAsia="zh-CN"/>
        </w:rPr>
        <w:t>实际</w:t>
      </w:r>
      <w:r>
        <w:rPr>
          <w:rFonts w:hint="eastAsia" w:ascii="宋体" w:hAnsi="宋体" w:eastAsia="宋体" w:cs="宋体"/>
          <w:b w:val="0"/>
          <w:bCs w:val="0"/>
          <w:kern w:val="0"/>
          <w:sz w:val="24"/>
          <w:szCs w:val="24"/>
          <w:highlight w:val="none"/>
          <w:lang w:val="en-US" w:eastAsia="zh-CN"/>
        </w:rPr>
        <w:t>工程量</w:t>
      </w:r>
    </w:p>
    <w:p>
      <w:pPr>
        <w:wordWrap w:val="0"/>
        <w:adjustRightInd w:val="0"/>
        <w:snapToGrid w:val="0"/>
        <w:spacing w:before="60" w:after="60" w:line="400" w:lineRule="exact"/>
        <w:ind w:right="0" w:rightChars="0" w:firstLine="480" w:firstLineChars="200"/>
        <w:jc w:val="left"/>
        <w:rPr>
          <w:rFonts w:hint="eastAsia" w:ascii="宋体" w:hAnsi="宋体" w:eastAsia="宋体" w:cs="宋体"/>
          <w:b w:val="0"/>
          <w:bCs w:val="0"/>
          <w:kern w:val="0"/>
          <w:sz w:val="24"/>
          <w:szCs w:val="24"/>
          <w:highlight w:val="none"/>
        </w:rPr>
      </w:pPr>
      <w:r>
        <w:rPr>
          <w:rFonts w:hint="eastAsia" w:ascii="宋体" w:hAnsi="宋体" w:cs="宋体"/>
          <w:b w:val="0"/>
          <w:bCs w:val="0"/>
          <w:sz w:val="24"/>
          <w:szCs w:val="24"/>
          <w:highlight w:val="none"/>
          <w:lang w:val="en-US" w:eastAsia="zh-CN"/>
        </w:rPr>
        <w:t>若</w:t>
      </w:r>
      <w:r>
        <w:rPr>
          <w:rFonts w:hint="eastAsia" w:ascii="宋体" w:hAnsi="宋体" w:cs="宋体"/>
          <w:b w:val="0"/>
          <w:bCs w:val="0"/>
          <w:sz w:val="24"/>
          <w:szCs w:val="24"/>
          <w:highlight w:val="none"/>
          <w:lang w:eastAsia="zh-CN"/>
        </w:rPr>
        <w:t>结算价格</w:t>
      </w:r>
      <w:r>
        <w:rPr>
          <w:rFonts w:hint="eastAsia" w:ascii="宋体" w:hAnsi="宋体" w:cs="宋体"/>
          <w:b w:val="0"/>
          <w:bCs w:val="0"/>
          <w:sz w:val="24"/>
          <w:szCs w:val="24"/>
          <w:highlight w:val="none"/>
          <w:lang w:val="en-US" w:eastAsia="zh-CN"/>
        </w:rPr>
        <w:t>小于该节点的</w:t>
      </w:r>
      <w:r>
        <w:rPr>
          <w:rFonts w:hint="eastAsia" w:ascii="宋体" w:hAnsi="宋体" w:cs="宋体"/>
          <w:b w:val="0"/>
          <w:bCs w:val="0"/>
          <w:sz w:val="24"/>
          <w:szCs w:val="24"/>
          <w:highlight w:val="none"/>
          <w:lang w:eastAsia="zh-CN"/>
        </w:rPr>
        <w:t>中标价</w:t>
      </w:r>
      <w:r>
        <w:rPr>
          <w:rFonts w:hint="eastAsia" w:ascii="宋体" w:hAnsi="宋体" w:cs="宋体"/>
          <w:b w:val="0"/>
          <w:bCs w:val="0"/>
          <w:sz w:val="24"/>
          <w:szCs w:val="24"/>
          <w:highlight w:val="none"/>
          <w:lang w:val="en-US" w:eastAsia="zh-CN"/>
        </w:rPr>
        <w:t>格</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费用按实</w:t>
      </w:r>
      <w:r>
        <w:rPr>
          <w:rFonts w:hint="eastAsia" w:ascii="宋体" w:hAnsi="宋体" w:cs="宋体"/>
          <w:b w:val="0"/>
          <w:bCs w:val="0"/>
          <w:sz w:val="24"/>
          <w:szCs w:val="24"/>
          <w:highlight w:val="none"/>
          <w:lang w:eastAsia="zh-CN"/>
        </w:rPr>
        <w:t>结算；</w:t>
      </w:r>
      <w:r>
        <w:rPr>
          <w:rFonts w:hint="eastAsia" w:ascii="宋体" w:hAnsi="宋体" w:cs="宋体"/>
          <w:b w:val="0"/>
          <w:bCs w:val="0"/>
          <w:sz w:val="24"/>
          <w:szCs w:val="24"/>
          <w:highlight w:val="none"/>
          <w:lang w:val="en-US" w:eastAsia="zh-CN"/>
        </w:rPr>
        <w:t>结算价格增加幅度在5%以内的，结算价按中标价执行，不予调整；若因重大设计变更造成工程量增加，且最终结算总价增加幅度在5%~10%以内的，甲、乙双方签订补充协议。</w:t>
      </w:r>
    </w:p>
    <w:p>
      <w:pPr>
        <w:pStyle w:val="2"/>
        <w:spacing w:before="60" w:after="60"/>
        <w:ind w:firstLine="480" w:firstLineChars="200"/>
        <w:rPr>
          <w:rFonts w:hint="eastAsia" w:ascii="宋体" w:hAnsi="宋体" w:cs="宋体"/>
          <w:sz w:val="24"/>
          <w:highlight w:val="none"/>
        </w:rPr>
      </w:pPr>
      <w:r>
        <w:rPr>
          <w:rFonts w:hint="eastAsia" w:ascii="宋体" w:hAnsi="宋体" w:cs="宋体"/>
          <w:sz w:val="24"/>
          <w:highlight w:val="none"/>
          <w:lang w:val="en-US" w:eastAsia="zh-CN"/>
        </w:rPr>
        <w:t>合同签订后，项目分节点实施，</w:t>
      </w:r>
      <w:r>
        <w:rPr>
          <w:rFonts w:hint="eastAsia" w:ascii="宋体" w:hAnsi="宋体" w:cs="宋体"/>
          <w:sz w:val="24"/>
          <w:highlight w:val="none"/>
        </w:rPr>
        <w:t>勘察人提交勘察成果</w:t>
      </w:r>
      <w:r>
        <w:rPr>
          <w:rFonts w:hint="eastAsia" w:ascii="宋体" w:hAnsi="宋体" w:cs="宋体"/>
          <w:sz w:val="24"/>
          <w:highlight w:val="none"/>
          <w:lang w:val="en-US" w:eastAsia="zh-CN"/>
        </w:rPr>
        <w:t>并</w:t>
      </w:r>
      <w:r>
        <w:rPr>
          <w:rFonts w:hint="eastAsia" w:ascii="宋体" w:hAnsi="宋体" w:cs="宋体"/>
          <w:sz w:val="24"/>
          <w:highlight w:val="none"/>
        </w:rPr>
        <w:t>通过审图后</w:t>
      </w:r>
      <w:r>
        <w:rPr>
          <w:rFonts w:hint="eastAsia" w:ascii="宋体" w:hAnsi="宋体" w:cs="宋体"/>
          <w:sz w:val="24"/>
          <w:highlight w:val="none"/>
          <w:lang w:eastAsia="zh-CN"/>
        </w:rPr>
        <w:t>（</w:t>
      </w:r>
      <w:r>
        <w:rPr>
          <w:rFonts w:hint="eastAsia" w:ascii="宋体" w:hAnsi="宋体" w:cs="宋体"/>
          <w:sz w:val="24"/>
          <w:highlight w:val="none"/>
          <w:lang w:val="en-US" w:eastAsia="zh-CN"/>
        </w:rPr>
        <w:t>以甲方收到合格审图意见为付款依据</w:t>
      </w:r>
      <w:r>
        <w:rPr>
          <w:rFonts w:hint="eastAsia" w:ascii="宋体" w:hAnsi="宋体" w:cs="宋体"/>
          <w:sz w:val="24"/>
          <w:highlight w:val="none"/>
          <w:lang w:eastAsia="zh-CN"/>
        </w:rPr>
        <w:t>）</w:t>
      </w:r>
      <w:r>
        <w:rPr>
          <w:rFonts w:hint="eastAsia" w:ascii="宋体" w:hAnsi="宋体" w:cs="宋体"/>
          <w:sz w:val="24"/>
          <w:highlight w:val="none"/>
        </w:rPr>
        <w:t>付至</w:t>
      </w:r>
      <w:r>
        <w:rPr>
          <w:rFonts w:hint="eastAsia" w:ascii="宋体" w:hAnsi="宋体" w:cs="宋体"/>
          <w:sz w:val="24"/>
          <w:highlight w:val="none"/>
          <w:lang w:val="en-US" w:eastAsia="zh-CN"/>
        </w:rPr>
        <w:t>相应节点</w:t>
      </w:r>
      <w:r>
        <w:rPr>
          <w:rFonts w:hint="eastAsia" w:ascii="宋体" w:hAnsi="宋体" w:cs="宋体"/>
          <w:sz w:val="24"/>
          <w:highlight w:val="none"/>
        </w:rPr>
        <w:t>合同价款的60%；</w:t>
      </w:r>
    </w:p>
    <w:p>
      <w:pPr>
        <w:pStyle w:val="2"/>
        <w:spacing w:before="60" w:after="60"/>
        <w:ind w:firstLine="480" w:firstLineChars="200"/>
        <w:rPr>
          <w:rFonts w:hint="eastAsia" w:ascii="宋体" w:hAnsi="宋体" w:cs="宋体"/>
          <w:sz w:val="24"/>
          <w:highlight w:val="none"/>
        </w:rPr>
      </w:pPr>
      <w:r>
        <w:rPr>
          <w:rFonts w:hint="eastAsia" w:ascii="宋体" w:hAnsi="宋体" w:cs="宋体"/>
          <w:sz w:val="24"/>
          <w:highlight w:val="none"/>
          <w:lang w:val="en-US" w:eastAsia="zh-CN"/>
        </w:rPr>
        <w:t>结构加固和主体工程完成</w:t>
      </w:r>
      <w:r>
        <w:rPr>
          <w:rFonts w:hint="eastAsia" w:ascii="宋体" w:hAnsi="宋体" w:cs="宋体"/>
          <w:sz w:val="24"/>
          <w:highlight w:val="none"/>
        </w:rPr>
        <w:t>付至</w:t>
      </w:r>
      <w:r>
        <w:rPr>
          <w:rFonts w:hint="eastAsia" w:ascii="宋体" w:hAnsi="宋体" w:cs="宋体"/>
          <w:sz w:val="24"/>
          <w:highlight w:val="none"/>
          <w:lang w:val="en-US" w:eastAsia="zh-CN"/>
        </w:rPr>
        <w:t>相应节点</w:t>
      </w:r>
      <w:r>
        <w:rPr>
          <w:rFonts w:hint="eastAsia" w:ascii="宋体" w:hAnsi="宋体" w:cs="宋体"/>
          <w:sz w:val="24"/>
          <w:highlight w:val="none"/>
        </w:rPr>
        <w:t>合同价款的80%；</w:t>
      </w:r>
    </w:p>
    <w:p>
      <w:pPr>
        <w:pStyle w:val="2"/>
        <w:spacing w:before="60" w:after="60"/>
        <w:ind w:firstLine="480" w:firstLineChars="200"/>
        <w:rPr>
          <w:rFonts w:hint="eastAsia" w:ascii="宋体" w:hAnsi="宋体" w:cs="宋体"/>
          <w:sz w:val="24"/>
          <w:highlight w:val="none"/>
        </w:rPr>
      </w:pPr>
      <w:r>
        <w:rPr>
          <w:rFonts w:hint="eastAsia" w:ascii="宋体" w:hAnsi="宋体" w:cs="宋体"/>
          <w:sz w:val="24"/>
          <w:highlight w:val="none"/>
        </w:rPr>
        <w:t>工程竣工验收后</w:t>
      </w:r>
      <w:r>
        <w:rPr>
          <w:rFonts w:hint="eastAsia" w:ascii="宋体" w:hAnsi="宋体" w:cs="宋体"/>
          <w:sz w:val="24"/>
          <w:highlight w:val="none"/>
          <w:lang w:eastAsia="zh-CN"/>
        </w:rPr>
        <w:t>（</w:t>
      </w:r>
      <w:r>
        <w:rPr>
          <w:rFonts w:hint="eastAsia" w:ascii="宋体" w:hAnsi="宋体" w:cs="宋体"/>
          <w:sz w:val="24"/>
          <w:highlight w:val="none"/>
          <w:lang w:val="en-US" w:eastAsia="zh-CN"/>
        </w:rPr>
        <w:t>若因甲方原因无法进行正式验收工作</w:t>
      </w:r>
      <w:r>
        <w:rPr>
          <w:rFonts w:hint="eastAsia" w:ascii="宋体" w:hAnsi="宋体" w:cs="宋体"/>
          <w:sz w:val="24"/>
          <w:highlight w:val="none"/>
          <w:lang w:eastAsia="zh-CN"/>
        </w:rPr>
        <w:t>）</w:t>
      </w:r>
      <w:r>
        <w:rPr>
          <w:rFonts w:hint="eastAsia" w:ascii="宋体" w:hAnsi="宋体" w:cs="宋体"/>
          <w:sz w:val="24"/>
          <w:highlight w:val="none"/>
        </w:rPr>
        <w:t>付至</w:t>
      </w:r>
      <w:r>
        <w:rPr>
          <w:rFonts w:hint="eastAsia" w:ascii="宋体" w:hAnsi="宋体" w:cs="宋体"/>
          <w:sz w:val="24"/>
          <w:highlight w:val="none"/>
          <w:lang w:val="en-US" w:eastAsia="zh-CN"/>
        </w:rPr>
        <w:t>相应节点</w:t>
      </w:r>
      <w:r>
        <w:rPr>
          <w:rFonts w:hint="eastAsia" w:ascii="宋体" w:hAnsi="宋体" w:cs="宋体"/>
          <w:sz w:val="24"/>
          <w:highlight w:val="none"/>
        </w:rPr>
        <w:t>结算价款的95%；</w:t>
      </w:r>
    </w:p>
    <w:p>
      <w:pPr>
        <w:pStyle w:val="2"/>
        <w:spacing w:before="60" w:after="60"/>
        <w:ind w:firstLine="480" w:firstLineChars="200"/>
        <w:rPr>
          <w:rFonts w:hint="eastAsia" w:ascii="宋体" w:hAnsi="宋体" w:cs="宋体"/>
          <w:b w:val="0"/>
          <w:bCs w:val="0"/>
          <w:sz w:val="24"/>
          <w:szCs w:val="24"/>
          <w:highlight w:val="none"/>
          <w:lang w:val="en-US" w:eastAsia="zh-CN"/>
        </w:rPr>
      </w:pPr>
      <w:r>
        <w:rPr>
          <w:rFonts w:hint="eastAsia" w:ascii="宋体" w:hAnsi="宋体" w:cs="宋体"/>
          <w:sz w:val="24"/>
          <w:highlight w:val="none"/>
        </w:rPr>
        <w:t>全部工程竣工验收网上备案后结清</w:t>
      </w:r>
      <w:r>
        <w:rPr>
          <w:rFonts w:hint="eastAsia" w:ascii="宋体" w:hAnsi="宋体" w:cs="宋体"/>
          <w:sz w:val="24"/>
          <w:highlight w:val="none"/>
          <w:lang w:val="en-US" w:eastAsia="zh-CN"/>
        </w:rPr>
        <w:t>该节点</w:t>
      </w:r>
      <w:r>
        <w:rPr>
          <w:rFonts w:hint="eastAsia" w:ascii="宋体" w:hAnsi="宋体" w:cs="宋体"/>
          <w:sz w:val="24"/>
          <w:highlight w:val="none"/>
        </w:rPr>
        <w:t>全部勘察费用。</w:t>
      </w:r>
    </w:p>
    <w:p>
      <w:pPr>
        <w:pStyle w:val="3"/>
        <w:rPr>
          <w:rFonts w:hint="default"/>
          <w:highlight w:val="none"/>
          <w:lang w:val="en-US" w:eastAsia="zh-CN"/>
        </w:rPr>
      </w:pPr>
      <w:r>
        <w:rPr>
          <w:rFonts w:hint="eastAsia" w:ascii="宋体" w:hAnsi="宋体" w:eastAsia="宋体" w:cs="宋体"/>
          <w:b w:val="0"/>
          <w:bCs w:val="0"/>
          <w:sz w:val="24"/>
          <w:szCs w:val="24"/>
          <w:highlight w:val="none"/>
        </w:rPr>
        <w:t>上述付款前勘察人均需提供相应的</w:t>
      </w:r>
      <w:r>
        <w:rPr>
          <w:rFonts w:hint="eastAsia" w:ascii="宋体" w:hAnsi="宋体" w:eastAsia="宋体" w:cs="宋体"/>
          <w:b w:val="0"/>
          <w:bCs w:val="0"/>
          <w:sz w:val="24"/>
          <w:szCs w:val="24"/>
          <w:highlight w:val="none"/>
          <w:lang w:val="en-US" w:eastAsia="zh-CN"/>
        </w:rPr>
        <w:t>增值税专用</w:t>
      </w:r>
      <w:r>
        <w:rPr>
          <w:rFonts w:hint="eastAsia" w:ascii="宋体" w:hAnsi="宋体" w:eastAsia="宋体" w:cs="宋体"/>
          <w:b w:val="0"/>
          <w:bCs w:val="0"/>
          <w:sz w:val="24"/>
          <w:szCs w:val="24"/>
          <w:highlight w:val="none"/>
        </w:rPr>
        <w:t>发票(符合税务局相关发票规定，税率：6%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，否则发包人有权拒绝付款。</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第五条：发包人、勘察人责任</w:t>
      </w:r>
    </w:p>
    <w:p>
      <w:pPr>
        <w:wordWrap w:val="0"/>
        <w:adjustRightInd w:val="0"/>
        <w:snapToGrid w:val="0"/>
        <w:spacing w:before="60" w:after="60" w:line="400" w:lineRule="exact"/>
        <w:ind w:firstLine="480" w:firstLineChars="200"/>
        <w:jc w:val="left"/>
        <w:outlineLvl w:val="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5.1发包人责任</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5.1.1发包人委托任务时，必须以书面形式向勘察人</w:t>
      </w:r>
      <w:r>
        <w:rPr>
          <w:rFonts w:hint="eastAsia" w:ascii="宋体" w:hAnsi="宋体" w:eastAsia="宋体" w:cs="宋体"/>
          <w:b w:val="0"/>
          <w:bCs w:val="0"/>
          <w:kern w:val="0"/>
          <w:sz w:val="24"/>
          <w:szCs w:val="24"/>
          <w:highlight w:val="none"/>
        </w:rPr>
        <w:t>明确勘察任务及技术要求，并按第二条规定提供文件资料。</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工程勘察前，若发包人负责提供材料的，应根据勘察人提出的工程用料计划，按时提供各种材料及其产品合格证明，并承担费用和运到现场，派人与勘察人的人员一起验收。</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勘察过程中的任何变更，经办理正式变更手续后，勘察人在办理结算后统一支付勘察费。</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为勘察人的工作人员提供必要的生产、工作条件。</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由于发包人原因造成勘察人停、窝工，除工期顺延外，发包人应支付停、窝工费；发包人若要求在合同规定时间内提前完工（或提交勘察成果资料）时，发包人应按每提前一天向勘察人支付</w:t>
      </w:r>
      <w:r>
        <w:rPr>
          <w:rFonts w:hint="eastAsia" w:ascii="宋体" w:hAnsi="宋体" w:eastAsia="宋体" w:cs="宋体"/>
          <w:b w:val="0"/>
          <w:bCs w:val="0"/>
          <w:sz w:val="24"/>
          <w:szCs w:val="24"/>
          <w:highlight w:val="none"/>
          <w:u w:val="single"/>
        </w:rPr>
        <w:t xml:space="preserve"> / </w:t>
      </w:r>
      <w:r>
        <w:rPr>
          <w:rFonts w:hint="eastAsia" w:ascii="宋体" w:hAnsi="宋体" w:eastAsia="宋体" w:cs="宋体"/>
          <w:b w:val="0"/>
          <w:bCs w:val="0"/>
          <w:sz w:val="24"/>
          <w:szCs w:val="24"/>
          <w:highlight w:val="none"/>
        </w:rPr>
        <w:t>元计算加班费。</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w:t>
      </w: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本合同有关条款规定和补充协议中发包人应负的其他责任。</w:t>
      </w:r>
    </w:p>
    <w:p>
      <w:pPr>
        <w:wordWrap w:val="0"/>
        <w:adjustRightInd w:val="0"/>
        <w:snapToGrid w:val="0"/>
        <w:spacing w:before="60" w:after="60" w:line="400" w:lineRule="exact"/>
        <w:ind w:firstLine="480" w:firstLineChars="200"/>
        <w:jc w:val="left"/>
        <w:outlineLvl w:val="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5.2勘察人责任</w:t>
      </w:r>
    </w:p>
    <w:p>
      <w:pPr>
        <w:wordWrap w:val="0"/>
        <w:adjustRightInd w:val="0"/>
        <w:snapToGrid w:val="0"/>
        <w:spacing w:before="60" w:after="60" w:line="4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5.2.1勘察人应按国家技术规范、标准、规程和发包人的任务委托书及技术要求进行工程勘察，按本合同规定的时间提交质量合格的勘察成果资料，并对其负责。</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5.2.2根据工程需要，提供和维修非夜间施工使用的照明、围栏设施，并负责安全保卫。</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5.2.3遵守政府有关主管部门对施工场地交通、施工噪音以及环境保护和安全生产等的管理规定。</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5.2.4现场情况：以投标时的现场现状为准，进场时候临时水电还未接通，具体情况勘察人现场勘查为准。本工程施工完毕后由勘察人负责清除，如果现场施工临时水电未通，则由勘察人执行协调解决，发包人不提供。</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5.2.5自行安排施工人员的食宿问题，本工程不提供食宿设施，做好卫生、环境管理、防疫措施，并为工人购买规定的一切保险，并提供相关购买保险证明材料。</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5.2.6勘察人需按照发包人管理规定的有关条款要求执行，如违反发包人现场管理规定的，需向发包人支付违约金。</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5.2.7勘察人进场前自行至主管部门进行备案，并将备案证明原件、施工方案、人员等报发包人项目部核查后方可施工。</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5.2.8施工建设过程中的施工质量、工程进度、文明施工、工程决算办理等勘察人不服从或不执行发包人指令，勘察人支付发包人2000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5000元的违约金，并影响和顺延一次付款机会；不能按合同履约的，应</w:t>
      </w:r>
      <w:r>
        <w:rPr>
          <w:rFonts w:hint="eastAsia" w:ascii="宋体" w:hAnsi="宋体" w:eastAsia="宋体" w:cs="宋体"/>
          <w:sz w:val="24"/>
          <w:szCs w:val="24"/>
          <w:highlight w:val="none"/>
          <w:lang w:eastAsia="zh-CN"/>
        </w:rPr>
        <w:t>按</w:t>
      </w:r>
      <w:r>
        <w:rPr>
          <w:rFonts w:hint="eastAsia" w:ascii="宋体" w:hAnsi="宋体" w:eastAsia="宋体" w:cs="宋体"/>
          <w:sz w:val="24"/>
          <w:szCs w:val="24"/>
          <w:highlight w:val="none"/>
        </w:rPr>
        <w:t>合同约定</w:t>
      </w:r>
      <w:r>
        <w:rPr>
          <w:rFonts w:hint="eastAsia" w:ascii="宋体" w:hAnsi="宋体" w:eastAsia="宋体" w:cs="宋体"/>
          <w:sz w:val="24"/>
          <w:szCs w:val="24"/>
          <w:highlight w:val="none"/>
          <w:lang w:val="en-US" w:eastAsia="zh-CN"/>
        </w:rPr>
        <w:t>执行</w:t>
      </w:r>
      <w:r>
        <w:rPr>
          <w:rFonts w:hint="eastAsia" w:ascii="宋体" w:hAnsi="宋体" w:eastAsia="宋体" w:cs="宋体"/>
          <w:sz w:val="24"/>
          <w:szCs w:val="24"/>
          <w:highlight w:val="none"/>
        </w:rPr>
        <w:t>。</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5.2.9勘察人应确保审图一次性通过，若因勘察人原因导致审图办、设计单位提出补勘，勘察人支付发包人5000元的违约金，并必须积极组织</w:t>
      </w:r>
      <w:r>
        <w:rPr>
          <w:rFonts w:hint="eastAsia" w:ascii="宋体" w:hAnsi="宋体" w:eastAsia="宋体" w:cs="宋体"/>
          <w:sz w:val="24"/>
          <w:szCs w:val="24"/>
          <w:highlight w:val="none"/>
          <w:lang w:val="en-US" w:eastAsia="zh-CN"/>
        </w:rPr>
        <w:t>补勘</w:t>
      </w:r>
      <w:r>
        <w:rPr>
          <w:rFonts w:hint="eastAsia" w:ascii="宋体" w:hAnsi="宋体" w:eastAsia="宋体" w:cs="宋体"/>
          <w:sz w:val="24"/>
          <w:szCs w:val="24"/>
          <w:highlight w:val="none"/>
        </w:rPr>
        <w:t>，不能耽误发包人的相关工作的正常进行。</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5.2.10勘察人必须每天提报前一天经现场负责人签字的工程施工进度、工程量的记录表，以便发包人复核并知晓现场的实际进度。</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5.2.11</w:t>
      </w:r>
      <w:r>
        <w:rPr>
          <w:rFonts w:hint="eastAsia" w:ascii="宋体" w:hAnsi="宋体" w:eastAsia="宋体" w:cs="宋体"/>
          <w:sz w:val="24"/>
          <w:szCs w:val="24"/>
          <w:highlight w:val="none"/>
        </w:rPr>
        <w:t>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按照勘察费用20%的比例向发包人支付赔偿金。</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5.2.12</w:t>
      </w:r>
      <w:r>
        <w:rPr>
          <w:rFonts w:hint="eastAsia" w:ascii="宋体" w:hAnsi="宋体" w:eastAsia="宋体" w:cs="宋体"/>
          <w:sz w:val="24"/>
          <w:szCs w:val="24"/>
          <w:highlight w:val="none"/>
        </w:rPr>
        <w:t>在工程勘察前，提出勘察纲要或勘察组织设计</w:t>
      </w:r>
      <w:r>
        <w:rPr>
          <w:rFonts w:hint="eastAsia" w:ascii="宋体" w:hAnsi="宋体" w:eastAsia="宋体" w:cs="宋体"/>
          <w:sz w:val="24"/>
          <w:szCs w:val="24"/>
          <w:highlight w:val="none"/>
          <w:lang w:eastAsia="zh-CN"/>
        </w:rPr>
        <w:t>。</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5.2.13</w:t>
      </w:r>
      <w:r>
        <w:rPr>
          <w:rFonts w:hint="eastAsia" w:ascii="宋体" w:hAnsi="宋体" w:eastAsia="宋体" w:cs="宋体"/>
          <w:sz w:val="24"/>
          <w:szCs w:val="24"/>
          <w:highlight w:val="none"/>
        </w:rPr>
        <w:t>勘察过程中，根据工程的岩土工程条件（或工作现场地形地貌、地质和水文地质条件）及技术规范要求，向发包人提出增减工作量或修改勘察工作的意见，并办理正式变更手续。</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5.2.14</w:t>
      </w:r>
      <w:r>
        <w:rPr>
          <w:rFonts w:hint="eastAsia" w:ascii="宋体" w:hAnsi="宋体" w:eastAsia="宋体" w:cs="宋体"/>
          <w:sz w:val="24"/>
          <w:szCs w:val="24"/>
          <w:highlight w:val="none"/>
        </w:rPr>
        <w:t>在现场工作的勘察人的人员，应遵守发包人的安全保卫及其他有关的规章制度，承担其有关资料保密义务。</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5.2.15</w:t>
      </w:r>
      <w:r>
        <w:rPr>
          <w:rFonts w:hint="eastAsia" w:ascii="宋体" w:hAnsi="宋体" w:eastAsia="宋体" w:cs="宋体"/>
          <w:sz w:val="24"/>
          <w:szCs w:val="24"/>
          <w:highlight w:val="none"/>
        </w:rPr>
        <w:t>本合同有关条款规定和补充协议中勘察人应负的其他责任。</w:t>
      </w:r>
    </w:p>
    <w:p>
      <w:pPr>
        <w:wordWrap w:val="0"/>
        <w:adjustRightInd w:val="0"/>
        <w:snapToGrid w:val="0"/>
        <w:spacing w:before="60" w:after="60" w:line="400" w:lineRule="exact"/>
        <w:ind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第六条：主要勘察技术要求：</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6.1勘探单位应结合实际情况以及《岩土工程勘察规范》（GB50021-2001）2009版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工程勘察通用规范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GB55017-2021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规定，科学合理地确定本工程的勘察等级。并在勘察作业前，结合投标技术方案以及工程实际情况编报《工程勘察方案》，经发包人确认后方可实施。工程勘察方案应至少包括如下内容：</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(1)工程概述（包括本次勘察任务、目标等）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(2)项目组织（包括组织机构，人员组成、职责、资格，制度等）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(3)主要勘察方法和具体指标</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(4)人员及机械设备投入情况</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(5)工程进度计划及工期保证措施（网络图或横道图）；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(6)确保勘察质量及安全的措施</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(7)地质勘察总平面布置图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(8)拟提供分析报告的主要内容</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(9)其他（包括建议或需发包人配合的事宜）。</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6.2勘探点可采用钻探、原位触探相结合的方式，但是钻探点的布置要足以评价建筑物纵横两个方向地层土质的均匀性和岩土力学特性，并符合设计对勘探的要求。勘探点的布置，要满足：</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(1)满足施工图设计的需要；</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(2)桩基设计和施工的需要；</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(3)基坑支护工程设计与施工的需要；</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(4)评价、论证地基土和地下水在建筑施工和使用期间可能产生的变化及其对工程和环境影响的需要。</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6.3布置勘探工作时应充分考虑勘探工作对工程自然环境的影响，防止对地下管线、地下工程和自然环境的破坏。</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6.4钻探方法及钻具（含其规格）的选择应满足本工程地质勘察要求并符合现行国家标准的规定，钻孔作业人员应持证上岗；钻孔作业期间应采取切实有效的措施，确保施工安全，作业完毕后应妥善回填。</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6.5钻探作业时，钻进深度和岩土分层深度的量测精度应控制在±5cm，钻孔倾角和方位的量测精度应符合《岩土工程勘察规范》的相关规定。当非连续取芯钻进时，应严格控制回次进尺，确保分层精度符合要求。重点部位，应采用双层岩芯管连续取芯。</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6.6野外记录应由经过专业训练的人员承担；记录应及时、真实，按钻进回次逐段填写，严禁事后追记；钻探现场应综合肉眼、手触方法以及微型贯入仪等定量方法进行鉴别；钻探成果应采用钻孔野外柱状图或分层记录表示。</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6.7钻探取样时，应保证80%的土试样质量等级为Ⅰ级；试样采取的工具（及其规格）和方法应符合《岩土工程勘察规范》的相关规定；操作方法应按现行标准《原状土取样技术标准》执行；土试样应妥善密封，防止湿度变化，严防曝晒或冰冻。在运输中应避免振动，保存时间不宜超过三周。对易于振动液化和水分离析的土试样宜就近进行试验。</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6.8现场探察时，可采用地球物理勘探了解隐蔽的地质界线、界面或异常点；在钻孔之间增加地球物理勘探点，为钻探成果的内插、外推提供依据；作为原位测试手段，测定岩土体的波速、动弹性模量、动剪切模量、卓越周期、电阻率、放射性辐射参数、土对金属的腐蚀性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6.9原位触探点应同钻探点有机布置，原位触探试验应符合《岩土工程勘察规范》的相关规定；其他相关原位测试试验，应结合工程勘察需求进行，确保能够全面查明工程水文地质情况以及相应物理力学性能。</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6.10土试样的室内试验应遵照《岩土工程勘察规范》以及《土工试验方法标准》、《工程岩体试验方法标准》等标准规范的规定。</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6.11相关标准规范，包括但不限于：</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工程勘察通用规范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GB55017-2021</w:t>
      </w:r>
      <w:r>
        <w:rPr>
          <w:rFonts w:hint="eastAsia" w:ascii="宋体" w:hAnsi="宋体" w:eastAsia="宋体" w:cs="宋体"/>
          <w:sz w:val="24"/>
          <w:szCs w:val="24"/>
          <w:highlight w:val="none"/>
          <w:lang w:eastAsia="zh-CN"/>
        </w:rPr>
        <w:t>）</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)中华人民共和国国家标准《岩土工程勘察规范》（GB50021-2001）（2009年版）；</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)中华人民共和国国家标准《建筑地基基础设计规范》（GB50007-201</w:t>
      </w: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lang w:val="en-US" w:eastAsia="zh-CN"/>
        </w:rPr>
        <w:t>年版</w:t>
      </w:r>
      <w:r>
        <w:rPr>
          <w:rFonts w:hint="eastAsia" w:ascii="宋体" w:hAnsi="宋体" w:eastAsia="宋体" w:cs="宋体"/>
          <w:sz w:val="24"/>
          <w:szCs w:val="24"/>
          <w:highlight w:val="none"/>
        </w:rPr>
        <w:t>）；</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)中华人民共和国国家标准《建筑抗震设计规范》（GB50011-201</w:t>
      </w: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)中华人民共和国国家标准《土工试验方法标准》（GB/T50123-1999）；</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rPr>
        <w:t>)中华人民共和国国家标准《工程测量</w:t>
      </w:r>
      <w:r>
        <w:rPr>
          <w:rFonts w:hint="eastAsia" w:ascii="宋体" w:hAnsi="宋体" w:eastAsia="宋体" w:cs="宋体"/>
          <w:sz w:val="24"/>
          <w:szCs w:val="24"/>
          <w:highlight w:val="none"/>
          <w:lang w:val="en-US" w:eastAsia="zh-CN"/>
        </w:rPr>
        <w:t>标准</w:t>
      </w:r>
      <w:r>
        <w:rPr>
          <w:rFonts w:hint="eastAsia" w:ascii="宋体" w:hAnsi="宋体" w:eastAsia="宋体" w:cs="宋体"/>
          <w:sz w:val="24"/>
          <w:szCs w:val="24"/>
          <w:highlight w:val="none"/>
        </w:rPr>
        <w:t>》（GB50026-2</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)中华人民共和国行业标准《静力触探技术标准》（CECS04：88）；</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 中华人民共和国行业标准《高层建筑岩土工程勘察</w:t>
      </w:r>
      <w:r>
        <w:rPr>
          <w:rFonts w:hint="eastAsia" w:ascii="宋体" w:hAnsi="宋体" w:eastAsia="宋体" w:cs="宋体"/>
          <w:sz w:val="24"/>
          <w:szCs w:val="24"/>
          <w:highlight w:val="none"/>
          <w:lang w:val="en-US" w:eastAsia="zh-CN"/>
        </w:rPr>
        <w:t>标准</w:t>
      </w:r>
      <w:r>
        <w:rPr>
          <w:rFonts w:hint="eastAsia" w:ascii="宋体" w:hAnsi="宋体" w:eastAsia="宋体" w:cs="宋体"/>
          <w:sz w:val="24"/>
          <w:szCs w:val="24"/>
          <w:highlight w:val="none"/>
        </w:rPr>
        <w:t>》（JGJ</w:t>
      </w:r>
      <w:r>
        <w:rPr>
          <w:rFonts w:hint="eastAsia" w:ascii="宋体" w:hAnsi="宋体" w:eastAsia="宋体" w:cs="宋体"/>
          <w:sz w:val="24"/>
          <w:szCs w:val="24"/>
          <w:highlight w:val="none"/>
          <w:lang w:val="en-US" w:eastAsia="zh-CN"/>
        </w:rPr>
        <w:t>/T</w:t>
      </w:r>
      <w:r>
        <w:rPr>
          <w:rFonts w:hint="eastAsia" w:ascii="宋体" w:hAnsi="宋体" w:eastAsia="宋体" w:cs="宋体"/>
          <w:sz w:val="24"/>
          <w:szCs w:val="24"/>
          <w:highlight w:val="none"/>
        </w:rPr>
        <w:t>72-20</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)中华人民共和国行业标准《建筑桩基技术规范》（JGJ 94-2008）；</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第七条：</w:t>
      </w:r>
      <w:r>
        <w:rPr>
          <w:rFonts w:hint="eastAsia" w:ascii="宋体" w:hAnsi="宋体" w:eastAsia="宋体" w:cs="宋体"/>
          <w:sz w:val="24"/>
          <w:szCs w:val="24"/>
          <w:highlight w:val="none"/>
        </w:rPr>
        <w:t>勘察成果编制及深度要求</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7.1</w:t>
      </w:r>
      <w:r>
        <w:rPr>
          <w:rFonts w:hint="eastAsia" w:ascii="宋体" w:hAnsi="宋体" w:eastAsia="宋体" w:cs="宋体"/>
          <w:sz w:val="24"/>
          <w:szCs w:val="24"/>
          <w:highlight w:val="none"/>
        </w:rPr>
        <w:t>勘探单位应结合本任务书要求以及《岩土工程勘察规范》等标准规范的规定，根据现场勘察作业情况、实验分析情况等，如实编制工程勘察报告，并经相应资格人员校对、审查合格后方可提交给发包人。</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7.2</w:t>
      </w:r>
      <w:r>
        <w:rPr>
          <w:rFonts w:hint="eastAsia" w:ascii="宋体" w:hAnsi="宋体" w:eastAsia="宋体" w:cs="宋体"/>
          <w:sz w:val="24"/>
          <w:szCs w:val="24"/>
          <w:highlight w:val="none"/>
        </w:rPr>
        <w:t>工程勘察报告应全面体现本工程勘探任务要求，全面客观评价本工程地质情况，资料完整、分析科学、数据真实无误、图表清晰、结论有据，并因地制宜地对工程设计与施工提出合理建议。</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7.3</w:t>
      </w:r>
      <w:r>
        <w:rPr>
          <w:rFonts w:hint="eastAsia" w:ascii="宋体" w:hAnsi="宋体" w:eastAsia="宋体" w:cs="宋体"/>
          <w:sz w:val="24"/>
          <w:szCs w:val="24"/>
          <w:highlight w:val="none"/>
        </w:rPr>
        <w:t>工程勘察报告由文字部分和图表部分组成，其中文字部分至少应包括：</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(1)拟建工程概况、勘察目的、任务要求和依据的技术标准；</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(2)勘探点位布置及勘察方法情况，原土取样及实验分析情况；</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场地位置、地形地貌、地质构造、不良地质现象、地形成层条件、水文地质条件（包括水埋藏情况、类型、水位及其变化等），各土层的分布情况以及物理特性、性质指标、强度参数、变形参数、地基承载力的建议值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(4)场地的稳定性和适宜性评价、地下水及土质对建筑物的腐蚀影响、地震基本烈度以及由于工程建设可能引起的工程地质问题及其防治措施，适宜的基础形式和有关的计算参数及施工中应注意的事项等。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(5)对岩土利用、整治和改造的方案进行分析论证，提出建议；对工程施工和使用期间可能发生的岩土工程问题进行预测，提出监控和预防措施的建议。</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(6)当工程需要时尚应提供：</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1)深基坑开挖的边坡稳定计算和支护实际所需的岩土技术参数，论证其周围已有建筑物地下设施的影响；</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2)基坑施工降水的有关技术参数及施工降水方法的建议；</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3)提供防水设计水位和抗浮设计水位。</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7.4</w:t>
      </w:r>
      <w:r>
        <w:rPr>
          <w:rFonts w:hint="eastAsia" w:ascii="宋体" w:hAnsi="宋体" w:eastAsia="宋体" w:cs="宋体"/>
          <w:sz w:val="24"/>
          <w:szCs w:val="24"/>
          <w:highlight w:val="none"/>
        </w:rPr>
        <w:t>工程勘察报告中的图纸部分，至少包括：</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(1)勘探点平面布置图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(2)综合工程地质图或工程地质分区图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(3)工程地质剖面图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(4)地质柱状图或综合地质柱状图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(5)各主要土层物理力学性质指标统计、钻探点坐标标高深度、土层试验成果等有关测试图表等。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(6)地下水等水位线图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(7)岩土工程计算简图及计算成果图表等。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7.5</w:t>
      </w:r>
      <w:r>
        <w:rPr>
          <w:rFonts w:hint="eastAsia" w:ascii="宋体" w:hAnsi="宋体" w:eastAsia="宋体" w:cs="宋体"/>
          <w:sz w:val="24"/>
          <w:szCs w:val="24"/>
          <w:highlight w:val="none"/>
        </w:rPr>
        <w:t>任务需要时，可提交下列专题报告：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(1)岩土工程测试报告；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(2)岩土工程检验或监测报告；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(3)岩土工程事故调查与分析报告；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(4)岩土利用、整治或改造方案报告；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(5)有关岩土工程问题的专门技术咨询报告等。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7.6</w:t>
      </w:r>
      <w:r>
        <w:rPr>
          <w:rFonts w:hint="eastAsia" w:ascii="宋体" w:hAnsi="宋体" w:eastAsia="宋体" w:cs="宋体"/>
          <w:sz w:val="24"/>
          <w:szCs w:val="24"/>
          <w:highlight w:val="none"/>
        </w:rPr>
        <w:t>工程勘察报告的文字、术语、代号、符号、数字、计量单位、标点，均应符合国家有关标准的规定。</w:t>
      </w:r>
    </w:p>
    <w:p>
      <w:pPr>
        <w:wordWrap w:val="0"/>
        <w:adjustRightInd w:val="0"/>
        <w:snapToGrid w:val="0"/>
        <w:spacing w:before="60" w:after="60" w:line="400" w:lineRule="exact"/>
        <w:ind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第八条：工程质量要求</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8.1</w:t>
      </w:r>
      <w:r>
        <w:rPr>
          <w:rFonts w:hint="eastAsia" w:ascii="宋体" w:hAnsi="宋体" w:eastAsia="宋体" w:cs="宋体"/>
          <w:sz w:val="24"/>
          <w:szCs w:val="24"/>
          <w:highlight w:val="none"/>
        </w:rPr>
        <w:t>按国家技术规范、标准、规程和发包人的任务委托书及技术要求对本工程建设场地进行详细岩土工程地质勘察，同时进行各项土工试验，查明建筑场地的土层分布情况，查明场地有无不良地质现象并提出处理措施，提出各土层的物理力学性指标和提出桩参数指标，对场地的地震液化进行判别，取水样进行水质分析，评价其腐蚀性，对该场地的工程地质条件进行评价，对土壤氡含量进行测试、对土质液化情况的判定等，提交工程地质勘察成果资料，并保证勘察成果资料经建设施工图审查中心等相关部门审查通过。</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8.2</w:t>
      </w:r>
      <w:r>
        <w:rPr>
          <w:rFonts w:hint="eastAsia" w:ascii="宋体" w:hAnsi="宋体" w:eastAsia="宋体" w:cs="宋体"/>
          <w:sz w:val="24"/>
          <w:szCs w:val="24"/>
          <w:highlight w:val="none"/>
        </w:rPr>
        <w:t>勘察报告必须符合现行的国家及地方验收规范、规程中的规定，若勘察报告不符合验收规定，视同违约，根据情节严重程度，勘察人应向发包人支付2万—10万元违约金，在工程合同中扣除。如现场踏勘、施工中发生安全责任事故，费用及责任由勘察人全部承担，发包人不承担任何责任，同时追究因此带来的相关损失。</w:t>
      </w:r>
    </w:p>
    <w:p>
      <w:pPr>
        <w:wordWrap w:val="0"/>
        <w:adjustRightInd w:val="0"/>
        <w:snapToGrid w:val="0"/>
        <w:spacing w:before="60" w:after="60" w:line="400" w:lineRule="exact"/>
        <w:ind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第九条：工程分包</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工程严禁分包，勘察人不得将其承包的全部或部分工程分包给他人，也不得将其承包的全部工程肢解以后以分包的名义分别分包给他人。如现场发现未经发包人书面同意的第三方进入现场施工，发包人及监理单位有权采取勒令停工、驱逐出现场或解除合同等行动，因此造成的一切损失均由勘察人承担。</w:t>
      </w:r>
    </w:p>
    <w:p>
      <w:pPr>
        <w:wordWrap w:val="0"/>
        <w:adjustRightInd w:val="0"/>
        <w:snapToGrid w:val="0"/>
        <w:spacing w:before="60" w:after="60" w:line="400" w:lineRule="exact"/>
        <w:ind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第十条：不可抗力</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不可抗力的认定标准：遵循现行《建设工程施工合同（示范文本）》中的定义。</w:t>
      </w:r>
    </w:p>
    <w:p>
      <w:pPr>
        <w:wordWrap w:val="0"/>
        <w:adjustRightInd w:val="0"/>
        <w:snapToGrid w:val="0"/>
        <w:spacing w:before="60" w:after="60" w:line="400" w:lineRule="exact"/>
        <w:ind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第十一条：保险和安全</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勘察人应自行为进入现场的人员办理保险，所有因勘察人原因造成的任何人员伤亡，包括第三方人员在内，所造成依法应该支付的损失赔偿费、抚恤费和法律责任均由勘察人负责。</w:t>
      </w:r>
    </w:p>
    <w:p>
      <w:pPr>
        <w:wordWrap w:val="0"/>
        <w:adjustRightInd w:val="0"/>
        <w:snapToGrid w:val="0"/>
        <w:spacing w:before="60" w:after="60" w:line="400" w:lineRule="exact"/>
        <w:ind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第十二条：违约责任</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12.1</w:t>
      </w:r>
      <w:r>
        <w:rPr>
          <w:rFonts w:hint="eastAsia" w:ascii="宋体" w:hAnsi="宋体" w:eastAsia="宋体" w:cs="宋体"/>
          <w:sz w:val="24"/>
          <w:szCs w:val="24"/>
          <w:highlight w:val="none"/>
        </w:rPr>
        <w:t>由于发包人未给勘察人提供必要的工作条件而造成停、窝工或来回进出场地，发包人应付给勘察人停、窝工实际损失，工期相应顺延。</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12.2</w:t>
      </w:r>
      <w:r>
        <w:rPr>
          <w:rFonts w:hint="eastAsia" w:ascii="宋体" w:hAnsi="宋体" w:eastAsia="宋体" w:cs="宋体"/>
          <w:sz w:val="24"/>
          <w:szCs w:val="24"/>
          <w:highlight w:val="none"/>
        </w:rPr>
        <w:t>由于勘察人原因造成勘察成果资料质量不合格，不能满足技术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设计及相关部门的审查</w:t>
      </w:r>
      <w:r>
        <w:rPr>
          <w:rFonts w:hint="eastAsia" w:ascii="宋体" w:hAnsi="宋体" w:eastAsia="宋体" w:cs="宋体"/>
          <w:sz w:val="24"/>
          <w:szCs w:val="24"/>
          <w:highlight w:val="none"/>
        </w:rPr>
        <w:t>要求时，其返工勘察费用由勘察人承担。</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12.3</w:t>
      </w:r>
      <w:r>
        <w:rPr>
          <w:rFonts w:hint="eastAsia" w:ascii="宋体" w:hAnsi="宋体" w:eastAsia="宋体" w:cs="宋体"/>
          <w:sz w:val="24"/>
          <w:szCs w:val="24"/>
          <w:highlight w:val="none"/>
        </w:rPr>
        <w:t>合同履行期间，由于工程停建而终止合同或发包人要求解除合同时，按实际已完成工作量向勘察人支付勘察费。</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12.4</w:t>
      </w:r>
      <w:r>
        <w:rPr>
          <w:rFonts w:hint="eastAsia" w:ascii="宋体" w:hAnsi="宋体" w:eastAsia="宋体" w:cs="宋体"/>
          <w:sz w:val="24"/>
          <w:szCs w:val="24"/>
          <w:highlight w:val="none"/>
        </w:rPr>
        <w:t>发包人未按合同规定时间（日期）拨付勘察费，每超过一日，应偿付未支付勘察费的千分之一逾期违约金。</w:t>
      </w:r>
    </w:p>
    <w:p>
      <w:pPr>
        <w:wordWrap w:val="0"/>
        <w:adjustRightInd w:val="0"/>
        <w:snapToGrid w:val="0"/>
        <w:spacing w:before="60" w:after="60" w:line="400" w:lineRule="exact"/>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b/>
          <w:bCs/>
          <w:sz w:val="24"/>
          <w:szCs w:val="24"/>
          <w:highlight w:val="none"/>
        </w:rPr>
        <w:t>12.5</w:t>
      </w:r>
      <w:r>
        <w:rPr>
          <w:rFonts w:hint="eastAsia" w:ascii="宋体" w:hAnsi="宋体" w:eastAsia="宋体" w:cs="宋体"/>
          <w:sz w:val="24"/>
          <w:szCs w:val="24"/>
          <w:highlight w:val="none"/>
        </w:rPr>
        <w:t>由于勘察人原因未按合同规定时间（日期）提交勘察成果资料，每超过一日，应减收勘察费千分之一；延期超过10日，发包人可选择继续按照上述标准减付勘察费用或解除合同，发包人选择解除合同的，勘察人需参照5.2.11条款支付违约赔偿金。</w:t>
      </w:r>
    </w:p>
    <w:p>
      <w:pPr>
        <w:pStyle w:val="6"/>
        <w:keepLines w:val="0"/>
        <w:wordWrap w:val="0"/>
        <w:adjustRightInd w:val="0"/>
        <w:snapToGrid w:val="0"/>
        <w:spacing w:before="60" w:after="60" w:line="400" w:lineRule="exact"/>
        <w:ind w:firstLine="480" w:firstLineChars="200"/>
        <w:jc w:val="left"/>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12.6</w:t>
      </w:r>
      <w:r>
        <w:rPr>
          <w:rFonts w:hint="eastAsia" w:ascii="宋体" w:hAnsi="宋体" w:eastAsia="宋体" w:cs="宋体"/>
          <w:b w:val="0"/>
          <w:bCs/>
          <w:sz w:val="24"/>
          <w:szCs w:val="24"/>
          <w:highlight w:val="none"/>
        </w:rPr>
        <w:t>合同履行期间，勘察人单方解除合同的，其除需退还发包人支付的费用外，还需按照合同约定支付不低于勘察费用总金额20%的违约金。</w:t>
      </w:r>
    </w:p>
    <w:p>
      <w:pPr>
        <w:pStyle w:val="12"/>
        <w:wordWrap w:val="0"/>
        <w:adjustRightInd w:val="0"/>
        <w:snapToGrid w:val="0"/>
        <w:spacing w:before="60" w:after="60"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第十三条：本合同未尽事宜，经发包人与勘察人协商一致，签订补充协议，补充协议与本合同具有同等效力。</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第十四条：其他约定事项：</w:t>
      </w:r>
      <w:r>
        <w:rPr>
          <w:rFonts w:hint="eastAsia" w:ascii="宋体" w:hAnsi="宋体" w:eastAsia="宋体" w:cs="宋体"/>
          <w:sz w:val="24"/>
          <w:szCs w:val="24"/>
          <w:highlight w:val="none"/>
          <w:u w:val="single"/>
        </w:rPr>
        <w:t>暂无</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第十五条：本合同在履行过程中发生的争议，由双方当事人协商解决，协商不成的，提交项目所在地有管辖权的人民法院裁决。</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第十六条：本合同自发包人、勘察人签字盖章后生效；发包人、勘察人履行完合同规定的义务后，本合同终止。</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本合同一式 </w:t>
      </w:r>
      <w:r>
        <w:rPr>
          <w:rFonts w:hint="eastAsia" w:ascii="宋体" w:hAnsi="宋体" w:eastAsia="宋体" w:cs="宋体"/>
          <w:kern w:val="0"/>
          <w:sz w:val="24"/>
          <w:szCs w:val="24"/>
          <w:highlight w:val="none"/>
          <w:u w:val="single"/>
        </w:rPr>
        <w:t xml:space="preserve">陆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val="en-US" w:eastAsia="zh-CN"/>
        </w:rPr>
        <w:t>甲、乙双</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lang w:val="en-US" w:eastAsia="zh-CN"/>
        </w:rPr>
        <w:t>各执叁</w:t>
      </w:r>
      <w:r>
        <w:rPr>
          <w:rFonts w:hint="eastAsia" w:ascii="宋体" w:hAnsi="宋体" w:eastAsia="宋体" w:cs="宋体"/>
          <w:sz w:val="24"/>
          <w:szCs w:val="24"/>
          <w:highlight w:val="none"/>
        </w:rPr>
        <w:t>份。</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发包人名称（盖章）：                     勘察人名称（盖章）：</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                     法定代表人（签字）：</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                     委托代理人（签字）：</w:t>
      </w:r>
    </w:p>
    <w:p>
      <w:pPr>
        <w:wordWrap w:val="0"/>
        <w:adjustRightInd w:val="0"/>
        <w:snapToGrid w:val="0"/>
        <w:spacing w:before="60" w:after="60" w:line="400" w:lineRule="exact"/>
        <w:ind w:right="0" w:righ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住所：                                   住所：</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                              邮政编码：</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电话：                                  电话：</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传真：                                  传真：</w:t>
      </w:r>
    </w:p>
    <w:p>
      <w:pPr>
        <w:wordWrap w:val="0"/>
        <w:adjustRightInd w:val="0"/>
        <w:snapToGrid w:val="0"/>
        <w:spacing w:before="60" w:after="60" w:line="400" w:lineRule="exact"/>
        <w:ind w:left="0" w:right="0" w:righ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银行帐号：                              银行帐号：</w:t>
      </w:r>
    </w:p>
    <w:p>
      <w:pPr>
        <w:adjustRightInd/>
        <w:snapToGrid/>
        <w:spacing w:line="240" w:lineRule="auto"/>
        <w:jc w:val="left"/>
        <w:rPr>
          <w:rFonts w:hint="eastAsia" w:ascii="方正仿宋_GBK" w:hAnsi="方正仿宋_GBK" w:eastAsia="方正仿宋_GBK" w:cs="方正仿宋_GBK"/>
          <w:sz w:val="28"/>
          <w:szCs w:val="28"/>
          <w:highlight w:val="none"/>
        </w:rPr>
      </w:pP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eastAsia="zh-CN"/>
        </w:rPr>
        <w:t>扬州市古城保护二期更新项目</w:t>
      </w:r>
      <w:r>
        <w:rPr>
          <w:rFonts w:hint="eastAsia" w:ascii="宋体" w:hAnsi="宋体" w:cs="宋体"/>
          <w:sz w:val="24"/>
          <w:szCs w:val="24"/>
          <w:highlight w:val="none"/>
          <w:lang w:eastAsia="zh-CN"/>
        </w:rPr>
        <w:t>工程勘察</w:t>
      </w:r>
      <w:r>
        <w:rPr>
          <w:rFonts w:hint="eastAsia" w:ascii="宋体" w:hAnsi="宋体" w:eastAsia="宋体" w:cs="宋体"/>
          <w:sz w:val="24"/>
          <w:szCs w:val="24"/>
          <w:highlight w:val="none"/>
        </w:rPr>
        <w:t>报价</w:t>
      </w:r>
      <w:r>
        <w:rPr>
          <w:rFonts w:hint="eastAsia" w:ascii="宋体" w:hAnsi="宋体" w:cs="宋体"/>
          <w:sz w:val="24"/>
          <w:szCs w:val="24"/>
          <w:highlight w:val="none"/>
          <w:lang w:eastAsia="zh-CN"/>
        </w:rPr>
        <w:t>表</w:t>
      </w:r>
    </w:p>
    <w:p>
      <w:pPr>
        <w:adjustRightInd/>
        <w:snapToGrid/>
        <w:spacing w:line="240" w:lineRule="auto"/>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br w:type="page"/>
      </w:r>
    </w:p>
    <w:p>
      <w:pPr>
        <w:adjustRightInd w:val="0"/>
        <w:snapToGrid w:val="0"/>
        <w:spacing w:line="360" w:lineRule="auto"/>
        <w:jc w:val="left"/>
        <w:rPr>
          <w:rFonts w:hint="eastAsia" w:ascii="方正仿宋_GBK" w:hAnsi="方正仿宋_GBK" w:eastAsia="方正仿宋_GBK" w:cs="方正仿宋_GBK"/>
          <w:sz w:val="28"/>
          <w:szCs w:val="28"/>
          <w:highlight w:val="none"/>
        </w:rPr>
      </w:pPr>
      <w:r>
        <w:rPr>
          <w:rFonts w:hint="eastAsia" w:ascii="宋体" w:hAnsi="宋体" w:eastAsia="宋体" w:cs="宋体"/>
          <w:sz w:val="28"/>
          <w:szCs w:val="28"/>
          <w:highlight w:val="none"/>
        </w:rPr>
        <w:t>附件：</w:t>
      </w:r>
    </w:p>
    <w:p>
      <w:pPr>
        <w:spacing w:line="240" w:lineRule="auto"/>
        <w:ind w:firstLine="0" w:firstLineChars="0"/>
        <w:jc w:val="center"/>
        <w:rPr>
          <w:rFonts w:hint="eastAsia" w:ascii="方正仿宋_GBK" w:hAnsi="方正仿宋_GBK" w:eastAsia="方正仿宋_GBK" w:cs="方正仿宋_GBK"/>
          <w:b/>
          <w:sz w:val="44"/>
          <w:szCs w:val="44"/>
          <w:highlight w:val="none"/>
        </w:rPr>
      </w:pPr>
      <w:r>
        <w:rPr>
          <w:rFonts w:hint="eastAsia" w:ascii="宋体" w:hAnsi="宋体" w:eastAsia="宋体" w:cs="宋体"/>
          <w:b/>
          <w:sz w:val="44"/>
          <w:szCs w:val="44"/>
          <w:highlight w:val="none"/>
        </w:rPr>
        <w:t>扬州市工程建设项目廉政合同</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项目名称：</w:t>
      </w:r>
    </w:p>
    <w:p>
      <w:pPr>
        <w:snapToGrid w:val="0"/>
        <w:spacing w:before="60" w:after="60" w:line="40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发包人（全称）：</w:t>
      </w:r>
    </w:p>
    <w:p>
      <w:pPr>
        <w:tabs>
          <w:tab w:val="left" w:pos="8820"/>
        </w:tabs>
        <w:snapToGrid w:val="0"/>
        <w:spacing w:before="60" w:after="60" w:line="40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承包人（全称）：</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第一条 甲乙双方的责任</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（一）甲、乙双方应加强对本方人员的廉政监督，健立和健全廉政制度。</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（二）甲、乙双方有对本方人员开展廉政告知、廉政教育和职业道德教育的义务。</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（三）甲、乙双方应严格遵守国家关于市场准入、项目招标投标、工程建设、施工安装和市场活动等有关法律、法规，相关政策，以及廉政建设的各项规定。</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（四）甲、乙双方严格执行建设工程项目承发包合同文件，自觉按合同办事。</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（五）甲、乙双方业务活动必须坚持公开、公平、公正、诚信、透明的原则（除法律法规另有规定者外），不得为获取不正当的利益，损害国家、集体和利益，不得违反工程建设管理、施工安装的规章制度。</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（六）甲、乙双方发现对方在业务活动中违规、违纪、违法行为的，应及时提醒对方，情节严重的，应向其上级主管部门或纪检监察、司法等有关机关举报。</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第二条 甲方在廉政建设方面的责任</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（一）不准向乙方和相关单位索要或接受回扣、礼金、有价证券、贵重物品和好处费、感谢费等。</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（二）不准向乙方和相关单位报销任何应由甲方或个人支付的费用。</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（三）不准要求、暗示和接受乙方和相关单位为个人装修住房、婚丧嫁娶、配偶子女的工作安排以及出国（境）、旅游等提供方便。</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（四）不准发出或参加有可能影响公正执行公务的乙方和相关单位的宴请和健身、娱乐等活动。</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（五）服从市场管理，并遵从有关规定，不提不合理的要求和条件；</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（六）不准预定框框、照顾关系，造成不公平竞争；</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（七）不准向评委施加任何倾向性影响；</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第三条 乙方廉政建设方面的责任</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（一）不准以任何理由向甲方、相关单位及其工作人员赠送礼金、有价证券、贵重物品等。</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（二）不准以任何理由为甲方和相关单位报销应由对方或个人支付的费用。</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（三）不准接受或暗示为甲方、相关单位或个人装修住房、婚丧嫁娶、配偶子女的工作安排以及出国（境）、旅游等提供方便。</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（四）不准以任何理由为甲方、相关单位或个人组织有可能影响公正执行公务的宴请、健身、娱乐等活动。</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（五）不准通过关系对甲方、相关单位或个人施加影响；</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第四条 违约责任</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（一）甲方若有违反本合同的，视情节轻重，每次给予 1 至 10 万元的违约罚款；若严重违反本合同，按照管理权限，依据有关法律法规和规定，给予党纪、政纪处分或组织处理；涉嫌犯罪的，移交司法机关追究刑事责任；给乙方单位造成经济损失的，应予以赔偿。</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（二）乙方若有违反本合同的，视情节轻重。每次给予工程款的 1％至 10％的违约罚款；若严重违反本责任书，在 1- 3 年内不得进入扬州市工程建设市场；涉嫌犯罪的，移交司法机关追究刑事责任；给甲方单位造成经济损失的，应予以赔偿。</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第五条 本合同作为工程施工合同的附件，与工程施工合同具有同等法律效力。经双方签署后立即生效。</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第六条 本合同的有效期为双方签署之日 起至该工程项目竣工验收合格时止。</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第七条 本合同一式肆份，由甲乙双方各执两份，每份均具有同等法律效力。</w:t>
      </w:r>
    </w:p>
    <w:p>
      <w:pPr>
        <w:snapToGrid w:val="0"/>
        <w:spacing w:before="60" w:after="60" w:line="400" w:lineRule="exact"/>
        <w:ind w:firstLine="420" w:firstLineChars="200"/>
        <w:rPr>
          <w:rFonts w:hint="eastAsia" w:ascii="宋体" w:hAnsi="宋体" w:eastAsia="宋体" w:cs="宋体"/>
          <w:highlight w:val="none"/>
        </w:rPr>
      </w:pPr>
    </w:p>
    <w:p>
      <w:pPr>
        <w:snapToGrid w:val="0"/>
        <w:spacing w:before="60" w:after="60" w:line="400" w:lineRule="exact"/>
        <w:ind w:firstLine="420" w:firstLineChars="200"/>
        <w:rPr>
          <w:rFonts w:hint="eastAsia" w:ascii="宋体" w:hAnsi="宋体" w:eastAsia="宋体" w:cs="宋体"/>
          <w:highlight w:val="none"/>
        </w:rPr>
      </w:pP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甲方单位：（盖章）                  </w:t>
      </w:r>
      <w:r>
        <w:rPr>
          <w:rFonts w:hint="eastAsia" w:ascii="宋体" w:hAnsi="宋体" w:eastAsia="宋体" w:cs="宋体"/>
          <w:highlight w:val="none"/>
          <w:lang w:val="en-US" w:eastAsia="zh-CN"/>
        </w:rPr>
        <w:t xml:space="preserve">              </w:t>
      </w:r>
      <w:r>
        <w:rPr>
          <w:rFonts w:hint="eastAsia" w:ascii="宋体" w:hAnsi="宋体" w:eastAsia="宋体" w:cs="宋体"/>
          <w:highlight w:val="none"/>
        </w:rPr>
        <w:t>乙方单位：（盖章）</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法定代表人(代理人)：               </w:t>
      </w:r>
      <w:r>
        <w:rPr>
          <w:rFonts w:hint="eastAsia" w:ascii="宋体" w:hAnsi="宋体" w:eastAsia="宋体" w:cs="宋体"/>
          <w:highlight w:val="none"/>
          <w:lang w:val="en-US" w:eastAsia="zh-CN"/>
        </w:rPr>
        <w:t xml:space="preserve">               </w:t>
      </w:r>
      <w:r>
        <w:rPr>
          <w:rFonts w:hint="eastAsia" w:ascii="宋体" w:hAnsi="宋体" w:eastAsia="宋体" w:cs="宋体"/>
          <w:highlight w:val="none"/>
        </w:rPr>
        <w:t>法定代表人(代理人)：</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地址：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地址：</w:t>
      </w:r>
    </w:p>
    <w:p>
      <w:pPr>
        <w:snapToGrid w:val="0"/>
        <w:spacing w:before="60" w:after="6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电话：                             </w:t>
      </w:r>
      <w:r>
        <w:rPr>
          <w:rFonts w:hint="eastAsia" w:ascii="宋体" w:hAnsi="宋体" w:eastAsia="宋体" w:cs="宋体"/>
          <w:highlight w:val="none"/>
          <w:lang w:val="en-US" w:eastAsia="zh-CN"/>
        </w:rPr>
        <w:t xml:space="preserve">              </w:t>
      </w:r>
      <w:r>
        <w:rPr>
          <w:rFonts w:hint="eastAsia" w:ascii="宋体" w:hAnsi="宋体" w:eastAsia="宋体" w:cs="宋体"/>
          <w:highlight w:val="none"/>
        </w:rPr>
        <w:t>电话：</w:t>
      </w:r>
    </w:p>
    <w:p>
      <w:pPr>
        <w:snapToGrid w:val="0"/>
        <w:spacing w:before="60" w:after="60" w:line="400" w:lineRule="exact"/>
        <w:ind w:firstLine="420" w:firstLineChars="200"/>
        <w:rPr>
          <w:rFonts w:hint="eastAsia" w:ascii="方正仿宋_GBK" w:hAnsi="方正仿宋_GBK" w:eastAsia="方正仿宋_GBK" w:cs="方正仿宋_GBK"/>
          <w:highlight w:val="none"/>
        </w:rPr>
      </w:pPr>
      <w:r>
        <w:rPr>
          <w:rFonts w:hint="eastAsia" w:ascii="宋体" w:hAnsi="宋体" w:eastAsia="宋体" w:cs="宋体"/>
          <w:highlight w:val="none"/>
        </w:rPr>
        <w:t xml:space="preserve">年   月    日                     </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   月    日</w:t>
      </w:r>
    </w:p>
    <w:p>
      <w:pPr>
        <w:rPr>
          <w:rFonts w:asciiTheme="minorEastAsia" w:hAnsiTheme="minorEastAsia" w:eastAsiaTheme="minorEastAsia"/>
          <w:color w:val="FF0000"/>
          <w:highlight w:val="none"/>
        </w:rPr>
      </w:pPr>
      <w:r>
        <w:rPr>
          <w:rFonts w:asciiTheme="minorEastAsia" w:hAnsiTheme="minorEastAsia" w:eastAsiaTheme="minorEastAsia"/>
          <w:szCs w:val="21"/>
          <w:highlight w:val="none"/>
        </w:rPr>
        <w:br w:type="page"/>
      </w:r>
    </w:p>
    <w:p>
      <w:pPr>
        <w:pStyle w:val="42"/>
        <w:numPr>
          <w:ilvl w:val="0"/>
          <w:numId w:val="0"/>
        </w:numPr>
        <w:ind w:left="420"/>
        <w:rPr>
          <w:highlight w:val="none"/>
        </w:rPr>
      </w:pPr>
    </w:p>
    <w:p>
      <w:pPr>
        <w:jc w:val="center"/>
        <w:outlineLvl w:val="0"/>
        <w:rPr>
          <w:rFonts w:asciiTheme="minorEastAsia" w:hAnsiTheme="minorEastAsia"/>
          <w:b/>
          <w:color w:val="000000" w:themeColor="text1"/>
          <w:sz w:val="44"/>
          <w:szCs w:val="44"/>
          <w:highlight w:val="none"/>
          <w14:textFill>
            <w14:solidFill>
              <w14:schemeClr w14:val="tx1"/>
            </w14:solidFill>
          </w14:textFill>
        </w:rPr>
      </w:pPr>
      <w:bookmarkStart w:id="207" w:name="_Toc310965980"/>
      <w:bookmarkStart w:id="208" w:name="_Toc29790"/>
      <w:bookmarkStart w:id="209" w:name="_Toc310966099"/>
      <w:bookmarkStart w:id="210" w:name="_Toc367805011"/>
      <w:bookmarkStart w:id="211" w:name="_Toc316986042"/>
      <w:r>
        <w:rPr>
          <w:rFonts w:hint="eastAsia" w:ascii="宋体" w:hAnsi="宋体" w:eastAsia="宋体" w:cs="宋体"/>
          <w:b/>
          <w:sz w:val="44"/>
          <w:szCs w:val="44"/>
          <w:highlight w:val="none"/>
        </w:rPr>
        <w:t>第五章</w:t>
      </w:r>
      <w:bookmarkEnd w:id="207"/>
      <w:bookmarkEnd w:id="208"/>
      <w:bookmarkEnd w:id="209"/>
      <w:bookmarkEnd w:id="210"/>
      <w:bookmarkEnd w:id="211"/>
      <w:bookmarkStart w:id="212" w:name="_Toc316986043"/>
      <w:bookmarkStart w:id="213" w:name="_Toc367805012"/>
      <w:bookmarkStart w:id="214" w:name="_Toc310966100"/>
      <w:bookmarkStart w:id="215" w:name="_Toc310965981"/>
      <w:r>
        <w:rPr>
          <w:rFonts w:hint="eastAsia" w:ascii="宋体" w:hAnsi="宋体" w:eastAsia="宋体" w:cs="宋体"/>
          <w:b/>
          <w:color w:val="000000" w:themeColor="text1"/>
          <w:sz w:val="44"/>
          <w:szCs w:val="44"/>
          <w:highlight w:val="none"/>
          <w14:textFill>
            <w14:solidFill>
              <w14:schemeClr w14:val="tx1"/>
            </w14:solidFill>
          </w14:textFill>
        </w:rPr>
        <w:t>勘察任务书</w:t>
      </w:r>
    </w:p>
    <w:p>
      <w:pPr>
        <w:widowControl/>
        <w:jc w:val="left"/>
        <w:rPr>
          <w:rFonts w:asciiTheme="minorEastAsia" w:hAnsiTheme="minorEastAsia" w:eastAsiaTheme="minorEastAsia"/>
          <w:b/>
          <w:bCs/>
          <w:kern w:val="44"/>
          <w:sz w:val="44"/>
          <w:szCs w:val="44"/>
          <w:highlight w:val="none"/>
        </w:rPr>
      </w:pPr>
    </w:p>
    <w:p>
      <w:pPr>
        <w:tabs>
          <w:tab w:val="left" w:pos="0"/>
          <w:tab w:val="left" w:pos="993"/>
          <w:tab w:val="left" w:pos="1134"/>
        </w:tabs>
        <w:adjustRightInd w:val="0"/>
        <w:snapToGrid w:val="0"/>
        <w:spacing w:line="360" w:lineRule="auto"/>
        <w:jc w:val="center"/>
        <w:rPr>
          <w:rFonts w:hint="eastAsia"/>
          <w:b/>
          <w:bCs/>
          <w:sz w:val="32"/>
          <w:szCs w:val="32"/>
          <w:highlight w:val="none"/>
          <w:lang w:eastAsia="zh-CN"/>
        </w:rPr>
      </w:pPr>
      <w:r>
        <w:rPr>
          <w:rFonts w:hint="eastAsia"/>
          <w:b/>
          <w:bCs/>
          <w:sz w:val="32"/>
          <w:szCs w:val="32"/>
          <w:highlight w:val="none"/>
          <w:lang w:eastAsia="zh-CN"/>
        </w:rPr>
        <w:t>扬州市古城小秦淮河保护更新二期项目</w:t>
      </w:r>
    </w:p>
    <w:p>
      <w:pPr>
        <w:tabs>
          <w:tab w:val="left" w:pos="0"/>
          <w:tab w:val="left" w:pos="993"/>
          <w:tab w:val="left" w:pos="1134"/>
        </w:tabs>
        <w:adjustRightInd w:val="0"/>
        <w:snapToGrid w:val="0"/>
        <w:spacing w:line="360" w:lineRule="auto"/>
        <w:jc w:val="center"/>
        <w:rPr>
          <w:rFonts w:ascii="宋体" w:hAnsi="宋体"/>
          <w:b/>
          <w:snapToGrid w:val="0"/>
          <w:sz w:val="32"/>
          <w:szCs w:val="32"/>
          <w:highlight w:val="none"/>
        </w:rPr>
      </w:pPr>
      <w:r>
        <w:rPr>
          <w:rFonts w:hint="eastAsia"/>
          <w:b/>
          <w:bCs/>
          <w:sz w:val="32"/>
          <w:szCs w:val="32"/>
          <w:highlight w:val="none"/>
          <w:lang w:eastAsia="zh-CN"/>
        </w:rPr>
        <w:t>工程</w:t>
      </w:r>
      <w:r>
        <w:rPr>
          <w:rFonts w:hint="eastAsia" w:ascii="宋体" w:hAnsi="宋体"/>
          <w:b/>
          <w:snapToGrid w:val="0"/>
          <w:sz w:val="32"/>
          <w:szCs w:val="32"/>
          <w:highlight w:val="none"/>
        </w:rPr>
        <w:t>勘察任务书</w:t>
      </w:r>
    </w:p>
    <w:p>
      <w:pPr>
        <w:autoSpaceDE w:val="0"/>
        <w:autoSpaceDN w:val="0"/>
        <w:adjustRightInd w:val="0"/>
        <w:snapToGrid w:val="0"/>
        <w:spacing w:before="60" w:after="60" w:line="360" w:lineRule="auto"/>
        <w:ind w:firstLine="480" w:firstLineChars="200"/>
        <w:rPr>
          <w:rFonts w:ascii="宋体" w:hAnsi="宋体" w:cs="宋体"/>
          <w:b/>
          <w:bCs/>
          <w:sz w:val="24"/>
          <w:highlight w:val="none"/>
        </w:rPr>
      </w:pPr>
      <w:r>
        <w:rPr>
          <w:rFonts w:hint="eastAsia" w:ascii="宋体" w:hAnsi="宋体" w:cs="宋体"/>
          <w:b/>
          <w:bCs/>
          <w:kern w:val="0"/>
          <w:sz w:val="24"/>
          <w:highlight w:val="none"/>
          <w:lang w:val="zh-CN"/>
        </w:rPr>
        <w:t>一、项目概况</w:t>
      </w:r>
    </w:p>
    <w:p>
      <w:pPr>
        <w:pStyle w:val="11"/>
        <w:adjustRightInd w:val="0"/>
        <w:snapToGrid w:val="0"/>
        <w:spacing w:before="60" w:after="60" w:line="360" w:lineRule="auto"/>
        <w:ind w:firstLine="360" w:firstLineChars="150"/>
        <w:rPr>
          <w:rStyle w:val="40"/>
          <w:rFonts w:hint="eastAsia" w:ascii="宋体" w:hAnsi="宋体" w:eastAsia="宋体" w:cs="宋体"/>
          <w:color w:val="auto"/>
          <w:kern w:val="2"/>
          <w:sz w:val="24"/>
          <w:szCs w:val="24"/>
          <w:highlight w:val="none"/>
          <w:lang w:val="zh-CN" w:eastAsia="zh-CN" w:bidi="ar-SA"/>
        </w:rPr>
      </w:pPr>
      <w:r>
        <w:rPr>
          <w:rFonts w:hint="eastAsia" w:ascii="宋体" w:hAnsi="宋体" w:cs="宋体"/>
          <w:b w:val="0"/>
          <w:bCs w:val="0"/>
          <w:kern w:val="0"/>
          <w:sz w:val="24"/>
          <w:szCs w:val="24"/>
          <w:highlight w:val="none"/>
          <w:lang w:val="zh-CN" w:eastAsia="zh-CN"/>
        </w:rPr>
        <w:t>该项目拟对小秦淮河沿线区域按节点分期分阶段进行城市更新改造。主要包括：北讲经墩、营城园、</w:t>
      </w:r>
      <w:r>
        <w:rPr>
          <w:rFonts w:hint="eastAsia" w:ascii="宋体" w:hAnsi="宋体" w:eastAsia="宋体" w:cs="宋体"/>
          <w:b w:val="0"/>
          <w:bCs w:val="0"/>
          <w:kern w:val="0"/>
          <w:sz w:val="24"/>
          <w:szCs w:val="24"/>
          <w:highlight w:val="none"/>
          <w:lang w:val="zh-CN" w:eastAsia="zh-CN"/>
        </w:rPr>
        <w:t>净业庵</w:t>
      </w:r>
      <w:r>
        <w:rPr>
          <w:rFonts w:hint="eastAsia" w:ascii="宋体" w:hAnsi="宋体" w:cs="宋体"/>
          <w:b w:val="0"/>
          <w:bCs w:val="0"/>
          <w:kern w:val="0"/>
          <w:sz w:val="24"/>
          <w:szCs w:val="24"/>
          <w:highlight w:val="none"/>
          <w:lang w:val="zh-CN" w:eastAsia="zh-CN"/>
        </w:rPr>
        <w:t>、沈复寓所、大涤草堂、</w:t>
      </w:r>
      <w:r>
        <w:rPr>
          <w:rFonts w:hint="eastAsia" w:ascii="宋体" w:hAnsi="宋体" w:eastAsia="宋体" w:cs="宋体"/>
          <w:b w:val="0"/>
          <w:bCs w:val="0"/>
          <w:kern w:val="0"/>
          <w:sz w:val="24"/>
          <w:szCs w:val="24"/>
          <w:highlight w:val="none"/>
          <w:lang w:val="zh-CN"/>
        </w:rPr>
        <w:t>漆器二厂、大东门</w:t>
      </w:r>
      <w:r>
        <w:rPr>
          <w:rFonts w:hint="eastAsia" w:ascii="宋体" w:hAnsi="宋体" w:cs="宋体"/>
          <w:b w:val="0"/>
          <w:bCs w:val="0"/>
          <w:kern w:val="0"/>
          <w:sz w:val="24"/>
          <w:szCs w:val="24"/>
          <w:highlight w:val="none"/>
          <w:lang w:val="zh-CN" w:eastAsia="zh-CN"/>
        </w:rPr>
        <w:t>、十巷东、珍园非遗园、台地园</w:t>
      </w:r>
      <w:r>
        <w:rPr>
          <w:rFonts w:hint="eastAsia" w:ascii="宋体" w:hAnsi="宋体" w:eastAsia="宋体" w:cs="宋体"/>
          <w:b w:val="0"/>
          <w:bCs w:val="0"/>
          <w:kern w:val="0"/>
          <w:sz w:val="24"/>
          <w:szCs w:val="24"/>
          <w:highlight w:val="none"/>
          <w:lang w:val="zh-CN"/>
        </w:rPr>
        <w:t>等10个</w:t>
      </w:r>
      <w:r>
        <w:rPr>
          <w:rFonts w:hint="eastAsia" w:ascii="宋体" w:hAnsi="宋体" w:cs="宋体"/>
          <w:b w:val="0"/>
          <w:bCs w:val="0"/>
          <w:kern w:val="0"/>
          <w:sz w:val="24"/>
          <w:szCs w:val="24"/>
          <w:highlight w:val="none"/>
          <w:lang w:val="zh-CN" w:eastAsia="zh-CN"/>
        </w:rPr>
        <w:t>节点（暂定名）地块改造利用</w:t>
      </w:r>
      <w:r>
        <w:rPr>
          <w:rFonts w:hint="eastAsia" w:ascii="宋体" w:hAnsi="宋体" w:eastAsia="宋体" w:cs="宋体"/>
          <w:b w:val="0"/>
          <w:bCs w:val="0"/>
          <w:kern w:val="0"/>
          <w:sz w:val="24"/>
          <w:szCs w:val="24"/>
          <w:highlight w:val="none"/>
          <w:lang w:val="zh-CN"/>
        </w:rPr>
        <w:t>（涉及房屋建筑面积约</w:t>
      </w:r>
      <w:r>
        <w:rPr>
          <w:rFonts w:hint="eastAsia" w:ascii="宋体" w:hAnsi="宋体" w:cs="宋体"/>
          <w:b w:val="0"/>
          <w:bCs w:val="0"/>
          <w:kern w:val="0"/>
          <w:sz w:val="24"/>
          <w:szCs w:val="24"/>
          <w:highlight w:val="none"/>
          <w:lang w:val="zh-CN" w:eastAsia="zh-CN"/>
        </w:rPr>
        <w:t>30</w:t>
      </w:r>
      <w:r>
        <w:rPr>
          <w:rFonts w:hint="eastAsia" w:ascii="宋体" w:hAnsi="宋体" w:eastAsia="宋体" w:cs="宋体"/>
          <w:b w:val="0"/>
          <w:bCs w:val="0"/>
          <w:kern w:val="0"/>
          <w:sz w:val="24"/>
          <w:szCs w:val="24"/>
          <w:highlight w:val="none"/>
          <w:lang w:val="zh-CN"/>
        </w:rPr>
        <w:t>000㎡），</w:t>
      </w:r>
      <w:r>
        <w:rPr>
          <w:rFonts w:hint="eastAsia" w:ascii="宋体" w:hAnsi="宋体" w:cs="宋体"/>
          <w:b w:val="0"/>
          <w:bCs w:val="0"/>
          <w:kern w:val="0"/>
          <w:sz w:val="24"/>
          <w:szCs w:val="24"/>
          <w:highlight w:val="none"/>
          <w:lang w:val="zh-CN" w:eastAsia="zh-CN"/>
        </w:rPr>
        <w:t>分步</w:t>
      </w:r>
      <w:r>
        <w:rPr>
          <w:rFonts w:hint="eastAsia" w:ascii="宋体" w:hAnsi="宋体" w:eastAsia="宋体" w:cs="宋体"/>
          <w:b w:val="0"/>
          <w:bCs w:val="0"/>
          <w:kern w:val="0"/>
          <w:sz w:val="24"/>
          <w:szCs w:val="24"/>
          <w:highlight w:val="none"/>
          <w:lang w:val="zh-CN"/>
        </w:rPr>
        <w:t>提升完善片区巷道、照明、绿化、景观等基础设施并对小秦淮河1.98公里河道进行环境综合整治</w:t>
      </w:r>
      <w:r>
        <w:rPr>
          <w:rStyle w:val="40"/>
          <w:rFonts w:hint="eastAsia" w:ascii="宋体" w:hAnsi="宋体" w:eastAsia="宋体" w:cs="宋体"/>
          <w:color w:val="auto"/>
          <w:kern w:val="2"/>
          <w:sz w:val="24"/>
          <w:szCs w:val="24"/>
          <w:highlight w:val="none"/>
          <w:lang w:val="zh-CN" w:eastAsia="zh-CN" w:bidi="ar-SA"/>
        </w:rPr>
        <w:t>。</w:t>
      </w:r>
    </w:p>
    <w:p>
      <w:pPr>
        <w:adjustRightInd w:val="0"/>
        <w:snapToGrid w:val="0"/>
        <w:spacing w:before="60" w:after="60" w:line="360" w:lineRule="auto"/>
        <w:ind w:firstLine="480" w:firstLineChars="200"/>
        <w:jc w:val="left"/>
        <w:rPr>
          <w:rFonts w:ascii="宋体" w:hAnsi="宋体" w:cs="宋体"/>
          <w:b/>
          <w:bCs/>
          <w:kern w:val="0"/>
          <w:sz w:val="24"/>
          <w:highlight w:val="none"/>
          <w:lang w:val="zh-CN"/>
        </w:rPr>
      </w:pPr>
      <w:r>
        <w:rPr>
          <w:rFonts w:hint="eastAsia" w:ascii="宋体" w:hAnsi="宋体" w:cs="宋体"/>
          <w:b/>
          <w:bCs/>
          <w:kern w:val="0"/>
          <w:sz w:val="24"/>
          <w:highlight w:val="none"/>
          <w:lang w:val="zh-CN"/>
        </w:rPr>
        <w:t>二、技术规范</w:t>
      </w:r>
    </w:p>
    <w:p>
      <w:pPr>
        <w:adjustRightInd w:val="0"/>
        <w:snapToGrid w:val="0"/>
        <w:spacing w:before="60" w:after="60" w:line="360" w:lineRule="auto"/>
        <w:ind w:firstLine="480" w:firstLineChars="200"/>
        <w:jc w:val="left"/>
        <w:rPr>
          <w:rStyle w:val="40"/>
          <w:rFonts w:ascii="宋体" w:hAnsi="宋体" w:eastAsia="宋体" w:cs="宋体"/>
          <w:color w:val="auto"/>
          <w:sz w:val="24"/>
          <w:szCs w:val="24"/>
          <w:highlight w:val="none"/>
          <w:lang w:val="zh-CN"/>
        </w:rPr>
      </w:pPr>
      <w:r>
        <w:rPr>
          <w:rStyle w:val="40"/>
          <w:rFonts w:ascii="宋体" w:hAnsi="宋体" w:eastAsia="宋体" w:cs="宋体"/>
          <w:color w:val="auto"/>
          <w:sz w:val="24"/>
          <w:szCs w:val="24"/>
          <w:highlight w:val="none"/>
          <w:lang w:val="zh-CN"/>
        </w:rPr>
        <w:t>(1)《工程勘察通用规范》（GB55017-2021）</w:t>
      </w:r>
      <w:r>
        <w:rPr>
          <w:rStyle w:val="40"/>
          <w:rFonts w:hint="eastAsia" w:ascii="宋体" w:hAnsi="宋体" w:eastAsia="宋体" w:cs="宋体"/>
          <w:color w:val="auto"/>
          <w:sz w:val="24"/>
          <w:szCs w:val="24"/>
          <w:highlight w:val="none"/>
          <w:lang w:val="zh-CN"/>
        </w:rPr>
        <w:t>；</w:t>
      </w:r>
    </w:p>
    <w:p>
      <w:pPr>
        <w:adjustRightInd w:val="0"/>
        <w:snapToGrid w:val="0"/>
        <w:spacing w:before="60" w:after="60" w:line="360" w:lineRule="auto"/>
        <w:ind w:firstLine="480" w:firstLineChars="200"/>
        <w:jc w:val="left"/>
        <w:rPr>
          <w:rStyle w:val="40"/>
          <w:rFonts w:ascii="宋体" w:hAnsi="宋体" w:eastAsia="宋体" w:cs="宋体"/>
          <w:color w:val="auto"/>
          <w:sz w:val="24"/>
          <w:szCs w:val="24"/>
          <w:highlight w:val="none"/>
          <w:lang w:val="zh-CN"/>
        </w:rPr>
      </w:pPr>
      <w:r>
        <w:rPr>
          <w:rStyle w:val="40"/>
          <w:rFonts w:ascii="宋体" w:hAnsi="宋体" w:eastAsia="宋体" w:cs="宋体"/>
          <w:color w:val="auto"/>
          <w:sz w:val="24"/>
          <w:szCs w:val="24"/>
          <w:highlight w:val="none"/>
          <w:lang w:val="zh-CN"/>
        </w:rPr>
        <w:t>(2)中华人民共和国国家标准《岩土工程勘察规范》（GB50021-2001）（2009年版）；</w:t>
      </w:r>
    </w:p>
    <w:p>
      <w:pPr>
        <w:adjustRightInd w:val="0"/>
        <w:snapToGrid w:val="0"/>
        <w:spacing w:before="60" w:after="60" w:line="360" w:lineRule="auto"/>
        <w:ind w:firstLine="480" w:firstLineChars="200"/>
        <w:jc w:val="left"/>
        <w:rPr>
          <w:rStyle w:val="40"/>
          <w:rFonts w:ascii="宋体" w:hAnsi="宋体" w:eastAsia="宋体" w:cs="宋体"/>
          <w:color w:val="auto"/>
          <w:sz w:val="24"/>
          <w:szCs w:val="24"/>
          <w:highlight w:val="none"/>
          <w:lang w:val="zh-CN"/>
        </w:rPr>
      </w:pPr>
      <w:r>
        <w:rPr>
          <w:rStyle w:val="40"/>
          <w:rFonts w:ascii="宋体" w:hAnsi="宋体" w:eastAsia="宋体" w:cs="宋体"/>
          <w:color w:val="auto"/>
          <w:sz w:val="24"/>
          <w:szCs w:val="24"/>
          <w:highlight w:val="none"/>
          <w:lang w:val="zh-CN"/>
        </w:rPr>
        <w:t>(3)中华人民共和国国家标准《建筑地基基础设计规范》（GB50007-2016年版）；</w:t>
      </w:r>
    </w:p>
    <w:p>
      <w:pPr>
        <w:adjustRightInd w:val="0"/>
        <w:snapToGrid w:val="0"/>
        <w:spacing w:before="60" w:after="60" w:line="360" w:lineRule="auto"/>
        <w:ind w:firstLine="480" w:firstLineChars="200"/>
        <w:jc w:val="left"/>
        <w:rPr>
          <w:rStyle w:val="40"/>
          <w:rFonts w:ascii="宋体" w:hAnsi="宋体" w:eastAsia="宋体" w:cs="宋体"/>
          <w:color w:val="auto"/>
          <w:sz w:val="24"/>
          <w:szCs w:val="24"/>
          <w:highlight w:val="none"/>
          <w:lang w:val="zh-CN"/>
        </w:rPr>
      </w:pPr>
      <w:r>
        <w:rPr>
          <w:rStyle w:val="40"/>
          <w:rFonts w:ascii="宋体" w:hAnsi="宋体" w:eastAsia="宋体" w:cs="宋体"/>
          <w:color w:val="auto"/>
          <w:sz w:val="24"/>
          <w:szCs w:val="24"/>
          <w:highlight w:val="none"/>
          <w:lang w:val="zh-CN"/>
        </w:rPr>
        <w:t>(4)中华人民共和国国家标准《建筑抗震设计规范》（GB50011-2019）；</w:t>
      </w:r>
    </w:p>
    <w:p>
      <w:pPr>
        <w:adjustRightInd w:val="0"/>
        <w:snapToGrid w:val="0"/>
        <w:spacing w:before="60" w:after="60" w:line="360" w:lineRule="auto"/>
        <w:ind w:firstLine="480" w:firstLineChars="200"/>
        <w:jc w:val="left"/>
        <w:rPr>
          <w:rStyle w:val="40"/>
          <w:rFonts w:ascii="宋体" w:hAnsi="宋体" w:eastAsia="宋体" w:cs="宋体"/>
          <w:color w:val="auto"/>
          <w:sz w:val="24"/>
          <w:szCs w:val="24"/>
          <w:highlight w:val="none"/>
          <w:lang w:val="zh-CN"/>
        </w:rPr>
      </w:pPr>
      <w:r>
        <w:rPr>
          <w:rStyle w:val="40"/>
          <w:rFonts w:ascii="宋体" w:hAnsi="宋体" w:eastAsia="宋体" w:cs="宋体"/>
          <w:color w:val="auto"/>
          <w:sz w:val="24"/>
          <w:szCs w:val="24"/>
          <w:highlight w:val="none"/>
          <w:lang w:val="zh-CN"/>
        </w:rPr>
        <w:t>(5)中华人民共和国国家标准《土工试验方法标准》（GB/T50123-1999）；</w:t>
      </w:r>
    </w:p>
    <w:p>
      <w:pPr>
        <w:adjustRightInd w:val="0"/>
        <w:snapToGrid w:val="0"/>
        <w:spacing w:before="60" w:after="60" w:line="360" w:lineRule="auto"/>
        <w:ind w:firstLine="480" w:firstLineChars="200"/>
        <w:jc w:val="left"/>
        <w:rPr>
          <w:rStyle w:val="40"/>
          <w:rFonts w:ascii="宋体" w:hAnsi="宋体" w:eastAsia="宋体" w:cs="宋体"/>
          <w:color w:val="auto"/>
          <w:sz w:val="24"/>
          <w:szCs w:val="24"/>
          <w:highlight w:val="none"/>
          <w:lang w:val="zh-CN"/>
        </w:rPr>
      </w:pPr>
      <w:r>
        <w:rPr>
          <w:rStyle w:val="40"/>
          <w:rFonts w:ascii="宋体" w:hAnsi="宋体" w:eastAsia="宋体" w:cs="宋体"/>
          <w:color w:val="auto"/>
          <w:sz w:val="24"/>
          <w:szCs w:val="24"/>
          <w:highlight w:val="none"/>
          <w:lang w:val="zh-CN"/>
        </w:rPr>
        <w:t>(6)中华人民共和国国家标准《工程测量标准》（GB50026-2020）；</w:t>
      </w:r>
    </w:p>
    <w:p>
      <w:pPr>
        <w:adjustRightInd w:val="0"/>
        <w:snapToGrid w:val="0"/>
        <w:spacing w:before="60" w:after="60" w:line="360" w:lineRule="auto"/>
        <w:ind w:firstLine="480" w:firstLineChars="200"/>
        <w:jc w:val="left"/>
        <w:rPr>
          <w:rStyle w:val="40"/>
          <w:rFonts w:ascii="宋体" w:hAnsi="宋体" w:eastAsia="宋体" w:cs="宋体"/>
          <w:color w:val="auto"/>
          <w:sz w:val="24"/>
          <w:szCs w:val="24"/>
          <w:highlight w:val="none"/>
          <w:lang w:val="zh-CN"/>
        </w:rPr>
      </w:pPr>
      <w:r>
        <w:rPr>
          <w:rStyle w:val="40"/>
          <w:rFonts w:ascii="宋体" w:hAnsi="宋体" w:eastAsia="宋体" w:cs="宋体"/>
          <w:color w:val="auto"/>
          <w:sz w:val="24"/>
          <w:szCs w:val="24"/>
          <w:highlight w:val="none"/>
          <w:lang w:val="zh-CN"/>
        </w:rPr>
        <w:t>(7)中华人民共和国行业标准《静力触探技术标准》（CECS04：88）；</w:t>
      </w:r>
    </w:p>
    <w:p>
      <w:pPr>
        <w:adjustRightInd w:val="0"/>
        <w:snapToGrid w:val="0"/>
        <w:spacing w:before="60" w:after="60" w:line="360" w:lineRule="auto"/>
        <w:ind w:firstLine="480" w:firstLineChars="200"/>
        <w:jc w:val="left"/>
        <w:rPr>
          <w:rStyle w:val="40"/>
          <w:rFonts w:ascii="宋体" w:hAnsi="宋体" w:eastAsia="宋体" w:cs="宋体"/>
          <w:color w:val="auto"/>
          <w:sz w:val="24"/>
          <w:szCs w:val="24"/>
          <w:highlight w:val="none"/>
          <w:lang w:val="zh-CN"/>
        </w:rPr>
      </w:pPr>
      <w:r>
        <w:rPr>
          <w:rStyle w:val="40"/>
          <w:rFonts w:ascii="宋体" w:hAnsi="宋体" w:eastAsia="宋体" w:cs="宋体"/>
          <w:color w:val="auto"/>
          <w:sz w:val="24"/>
          <w:szCs w:val="24"/>
          <w:highlight w:val="none"/>
          <w:lang w:val="zh-CN"/>
        </w:rPr>
        <w:t>(8) 中华人民共和国行业标准《建筑桩基技术规范》（JGJ 94-2008）；</w:t>
      </w:r>
    </w:p>
    <w:p>
      <w:pPr>
        <w:adjustRightInd w:val="0"/>
        <w:snapToGrid w:val="0"/>
        <w:spacing w:before="60" w:after="60" w:line="360" w:lineRule="auto"/>
        <w:ind w:firstLine="480" w:firstLineChars="200"/>
        <w:jc w:val="left"/>
        <w:rPr>
          <w:rStyle w:val="40"/>
          <w:rFonts w:ascii="宋体" w:hAnsi="宋体" w:eastAsia="宋体" w:cs="宋体"/>
          <w:color w:val="auto"/>
          <w:sz w:val="24"/>
          <w:szCs w:val="24"/>
          <w:highlight w:val="none"/>
          <w:lang w:val="zh-CN"/>
        </w:rPr>
      </w:pPr>
      <w:r>
        <w:rPr>
          <w:rStyle w:val="40"/>
          <w:rFonts w:ascii="宋体" w:hAnsi="宋体" w:eastAsia="宋体" w:cs="宋体"/>
          <w:color w:val="auto"/>
          <w:sz w:val="24"/>
          <w:szCs w:val="24"/>
          <w:highlight w:val="none"/>
          <w:lang w:val="zh-CN"/>
        </w:rPr>
        <w:t>(9)</w:t>
      </w:r>
      <w:r>
        <w:rPr>
          <w:rStyle w:val="40"/>
          <w:rFonts w:ascii="宋体" w:hAnsi="宋体" w:eastAsia="宋体" w:cs="宋体"/>
          <w:color w:val="auto"/>
          <w:kern w:val="2"/>
          <w:sz w:val="24"/>
          <w:highlight w:val="none"/>
          <w:lang w:val="zh-CN"/>
        </w:rPr>
        <w:t>国家、江苏省及扬州市现行各种规范、规程及强制性条文</w:t>
      </w:r>
      <w:r>
        <w:rPr>
          <w:rStyle w:val="40"/>
          <w:rFonts w:hint="eastAsia" w:ascii="宋体" w:hAnsi="宋体" w:eastAsia="宋体" w:cs="宋体"/>
          <w:color w:val="auto"/>
          <w:kern w:val="2"/>
          <w:sz w:val="24"/>
          <w:highlight w:val="none"/>
          <w:lang w:val="zh-CN"/>
        </w:rPr>
        <w:t>。</w:t>
      </w:r>
    </w:p>
    <w:p>
      <w:pPr>
        <w:adjustRightInd w:val="0"/>
        <w:snapToGrid w:val="0"/>
        <w:spacing w:before="60" w:after="60" w:line="360" w:lineRule="auto"/>
        <w:ind w:firstLine="480" w:firstLineChars="200"/>
        <w:rPr>
          <w:rFonts w:ascii="宋体" w:hAnsi="宋体" w:cs="宋体"/>
          <w:b/>
          <w:bCs/>
          <w:sz w:val="24"/>
          <w:highlight w:val="none"/>
        </w:rPr>
      </w:pPr>
      <w:r>
        <w:rPr>
          <w:rFonts w:hint="eastAsia" w:ascii="宋体" w:hAnsi="宋体" w:cs="宋体"/>
          <w:b/>
          <w:bCs/>
          <w:sz w:val="24"/>
          <w:highlight w:val="none"/>
        </w:rPr>
        <w:t>三、勘探阶段</w:t>
      </w:r>
    </w:p>
    <w:p>
      <w:pPr>
        <w:adjustRightInd w:val="0"/>
        <w:snapToGrid w:val="0"/>
        <w:spacing w:before="60" w:after="60" w:line="360" w:lineRule="auto"/>
        <w:ind w:firstLine="480" w:firstLineChars="200"/>
        <w:jc w:val="left"/>
        <w:rPr>
          <w:rFonts w:ascii="宋体" w:hAnsi="宋体" w:cs="宋体"/>
          <w:bCs/>
          <w:sz w:val="24"/>
          <w:highlight w:val="none"/>
        </w:rPr>
      </w:pPr>
      <w:r>
        <w:rPr>
          <w:rFonts w:hint="eastAsia" w:ascii="宋体" w:hAnsi="宋体" w:cs="宋体"/>
          <w:sz w:val="24"/>
          <w:highlight w:val="none"/>
          <w:lang w:val="en-US" w:eastAsia="zh-CN"/>
        </w:rPr>
        <w:t>3.1</w:t>
      </w:r>
      <w:r>
        <w:rPr>
          <w:rFonts w:hint="eastAsia" w:ascii="宋体" w:hAnsi="宋体" w:cs="宋体"/>
          <w:sz w:val="24"/>
          <w:highlight w:val="none"/>
        </w:rPr>
        <w:t>勘察技术要求</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勘探单位应结合实际情况以及《岩土工程勘察规范》（GB50021-2001）2009版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工程勘察通用规范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GB55017-2021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规定，科学合理地确定本工程的勘察等级。并在勘察作业前，结合投标技术方案以及工程实际情况编报《工程勘察方案》，经发包人确认后方可实施。工程勘察方案应至少包括如下内容：</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(1)工程概述（包括本次勘察任务、目标等）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(2)项目组织（包括组织机构，人员组成、职责、资格，制度等）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(3)主要勘察方法和具体指标</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(4)人员及机械设备投入情况</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(5)工程进度计划及工期保证措施（网络图或横道图）；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(6)确保勘察质量及安全的措施</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(7)地质勘察总平面布置图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(8)拟提供分析报告的主要内容</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(9)其他（包括建议或需发包人配合的事宜）。</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.2勘探点可采用钻探、原位触探相结合的方式，但是钻探点的布置要足以评价建筑物纵横两个方向地层土质的均匀性和岩土力学特性，并符合设计对勘探的要求。勘探点的布置，要满足：</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(1)满足施工图设计的需要；</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(2)桩基设计和施工的需要；</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(3)基坑支护工程设计与施工的需要；</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(4)评价、论证地基土和地下水在建筑施工和使用期间可能产生的变化及其对工程和环境影响的需要。</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.3布置勘探工作时应充分考虑勘探工作对工程自然环境的影响，防止对地下管线、地下工程和自然环境的破坏。</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.4钻探方法及钻具（含其规格）的选择应满足本工程地质勘察要求并符合现行国家标准的规定，钻孔作业人员应持证上岗；钻孔作业期间应采取切实有效的措施，确保施工安全，作业完毕后应妥善回填。</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5钻探作业时，钻进深度和岩土分层深度的量测精度应控制在±5cm，钻孔倾角和方位的量测精度应符合《岩土工程勘察规范》的相关规定。当非连续取芯钻进时，应严格控制回次进尺，确保分层精度符合要求。重点部位，应采用双层岩芯管连续取芯。</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6野外记录应由经过专业训练的人员承担；记录应及时、真实，按钻进回次逐段填写，严禁事后追记；钻探现场应综合肉眼、手触方法以及微型贯入仪等定量方法进行鉴别；钻探成果应采用钻孔野外柱状图或分层记录表示。</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7钻探取样时，应保证80%的土试样质量等级为Ⅰ级；试样采取的工具（及其规格）和方法应符合《岩土工程勘察规范》的相关规定；操作方法应按现行标准《原状土取样技术标准》执行；土试样应妥善密封，防止湿度变化，严防曝晒或冰冻。在运输中应避免振动，保存时间不宜超过三周。对易于振动液化和水分离析的土试样宜就近进行试验。</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8现场探察时，可采用地球物理勘探了解隐蔽的地质界线、界面或异常点；在钻孔之间增加地球物理勘探点，为钻探成果的内插、外推提供依据；作为原位测试手段，测定岩土体的波速、动弹性模量、动剪切模量、卓越周期、电阻率、放射性辐射参数、土对金属的腐蚀性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.9原位触探点应同钻探点有机布置，原位触探试验应符合《岩土工程勘察规范》的相关规定；其他相关原位测试试验，应结合工程勘察需求进行，确保能够全面查明工程水文地质情况以及相应物理力学性能。</w:t>
      </w:r>
    </w:p>
    <w:p>
      <w:pPr>
        <w:adjustRightInd w:val="0"/>
        <w:snapToGrid w:val="0"/>
        <w:spacing w:before="60" w:after="60" w:line="360" w:lineRule="auto"/>
        <w:ind w:firstLine="480" w:firstLineChars="200"/>
        <w:rPr>
          <w:rFonts w:ascii="宋体" w:hAnsi="宋体" w:cs="宋体"/>
          <w:sz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.10土试样的室内试验应遵照《岩土工程勘察规范》以及《土工试验方法标准》、《工程岩体试验方法标准》等标准规范的规定。</w:t>
      </w:r>
      <w:r>
        <w:rPr>
          <w:rFonts w:hint="eastAsia" w:ascii="宋体" w:hAnsi="宋体" w:cs="宋体"/>
          <w:sz w:val="24"/>
          <w:highlight w:val="none"/>
        </w:rPr>
        <w:t>。</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sz w:val="24"/>
          <w:szCs w:val="24"/>
          <w:highlight w:val="none"/>
        </w:rPr>
        <w:t>勘察成果编制及深度要求</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.1</w:t>
      </w:r>
      <w:r>
        <w:rPr>
          <w:rFonts w:hint="eastAsia" w:ascii="宋体" w:hAnsi="宋体" w:eastAsia="宋体" w:cs="宋体"/>
          <w:sz w:val="24"/>
          <w:szCs w:val="24"/>
          <w:highlight w:val="none"/>
        </w:rPr>
        <w:t>勘探单位应结合本任务书要求以及《岩土工程勘察规范》等标准规范的规定，根据现场勘察作业情况、实验分析情况等，如实编制工程勘察报告，并经相应资格人员校对、审查合格后方可提交给发包人。</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.2</w:t>
      </w:r>
      <w:r>
        <w:rPr>
          <w:rFonts w:hint="eastAsia" w:ascii="宋体" w:hAnsi="宋体" w:eastAsia="宋体" w:cs="宋体"/>
          <w:sz w:val="24"/>
          <w:szCs w:val="24"/>
          <w:highlight w:val="none"/>
        </w:rPr>
        <w:t>工程勘察报告应全面体现本工程勘探任务要求，全面客观评价本工程地质情况，资料完整、分析科学、数据真实无误、图表清晰、结论有据，并因地制宜地对工程设计与施工提出合理建议。</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.3</w:t>
      </w:r>
      <w:r>
        <w:rPr>
          <w:rFonts w:hint="eastAsia" w:ascii="宋体" w:hAnsi="宋体" w:eastAsia="宋体" w:cs="宋体"/>
          <w:sz w:val="24"/>
          <w:szCs w:val="24"/>
          <w:highlight w:val="none"/>
        </w:rPr>
        <w:t>工程勘察报告由文字部分和图表部分组成，其中文字部分至少应包括：</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(1)拟建工程概况、勘察目的、任务要求和依据的技术标准；</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(2)勘探点位布置及勘察方法情况，原土取样及实验分析情况；</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场地位置、地形地貌、地质构造、不良地质现象、地形成层条件、水文地质条件（包括水埋藏情况、类型、水位及其变化等），各土层的分布情况以及物理特性、性质指标、强度参数、变形参数、地基承载力的建议值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(4)场地的稳定性和适宜性评价、地下水及土质对建筑物的腐蚀影响、地震基本烈度以及由于工程建设可能引起的工程地质问题及其防治措施，适宜的基础形式和有关的计算参数及施工中应注意的事项等。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(5)对岩土利用、整治和改造的方案进行分析论证，提出建议；对工程施工和使用期间可能发生的岩土工程问题进行预测，提出监控和预防措施的建议。</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(6)当工程需要时尚应提供：</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1)深基坑开挖的边坡稳定计算和支护实际所需的岩土技术参数，论证其周围已有建筑物地下设施的影响；</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2)基坑施工降水的有关技术参数及施工降水方法的建议；</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3)提供防水设计水位和抗浮设计水位。</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.4</w:t>
      </w:r>
      <w:r>
        <w:rPr>
          <w:rFonts w:hint="eastAsia" w:ascii="宋体" w:hAnsi="宋体" w:eastAsia="宋体" w:cs="宋体"/>
          <w:sz w:val="24"/>
          <w:szCs w:val="24"/>
          <w:highlight w:val="none"/>
        </w:rPr>
        <w:t>工程勘察报告中的图纸部分，至少包括：</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(1)勘探点平面布置图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(2)综合工程地质图或工程地质分区图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(3)工程地质剖面图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(4)地质柱状图或综合地质柱状图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(5)各主要土层物理力学性质指标统计、钻探点坐标标高深度、土层试验成果等有关测试图表等。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(6)地下水等水位线图</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(7)岩土工程计算简图及计算成果图表等。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.5</w:t>
      </w:r>
      <w:r>
        <w:rPr>
          <w:rFonts w:hint="eastAsia" w:ascii="宋体" w:hAnsi="宋体" w:eastAsia="宋体" w:cs="宋体"/>
          <w:sz w:val="24"/>
          <w:szCs w:val="24"/>
          <w:highlight w:val="none"/>
        </w:rPr>
        <w:t>任务需要时，可提交下列专题报告：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(1)岩土工程测试报告；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(2)岩土工程检验或监测报告；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(3)岩土工程事故调查与分析报告；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(4)岩土利用、整治或改造方案报告；</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(5)有关岩土工程问题的专门技术咨询报告等。</w:t>
      </w:r>
    </w:p>
    <w:p>
      <w:pPr>
        <w:wordWrap w:val="0"/>
        <w:adjustRightInd w:val="0"/>
        <w:snapToGrid w:val="0"/>
        <w:spacing w:before="60" w:after="6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.6</w:t>
      </w:r>
      <w:r>
        <w:rPr>
          <w:rFonts w:hint="eastAsia" w:ascii="宋体" w:hAnsi="宋体" w:eastAsia="宋体" w:cs="宋体"/>
          <w:sz w:val="24"/>
          <w:szCs w:val="24"/>
          <w:highlight w:val="none"/>
        </w:rPr>
        <w:t>工程勘察报告的文字、术语、代号、符号、数字、计量单位、标点，均应符合国家有关标准的规定。</w:t>
      </w:r>
    </w:p>
    <w:p>
      <w:pPr>
        <w:wordWrap w:val="0"/>
        <w:adjustRightInd w:val="0"/>
        <w:snapToGrid w:val="0"/>
        <w:spacing w:before="60" w:after="60" w:line="400" w:lineRule="exact"/>
        <w:ind w:firstLine="480" w:firstLineChars="200"/>
        <w:jc w:val="left"/>
        <w:rPr>
          <w:rFonts w:hint="eastAsia" w:ascii="宋体" w:hAnsi="宋体" w:cs="宋体"/>
          <w:bCs w:val="0"/>
          <w:sz w:val="24"/>
          <w:highlight w:val="none"/>
        </w:rPr>
      </w:pPr>
      <w:r>
        <w:rPr>
          <w:rFonts w:hint="eastAsia" w:ascii="宋体" w:hAnsi="宋体" w:cs="宋体"/>
          <w:sz w:val="24"/>
          <w:highlight w:val="none"/>
          <w:lang w:val="en-US" w:eastAsia="zh-CN"/>
        </w:rPr>
        <w:t>4.7</w:t>
      </w:r>
      <w:r>
        <w:rPr>
          <w:rFonts w:hint="eastAsia" w:ascii="宋体" w:hAnsi="宋体" w:cs="宋体"/>
          <w:sz w:val="24"/>
          <w:highlight w:val="none"/>
        </w:rPr>
        <w:t>深度要求</w:t>
      </w:r>
    </w:p>
    <w:p>
      <w:pPr>
        <w:wordWrap w:val="0"/>
        <w:adjustRightInd w:val="0"/>
        <w:snapToGrid w:val="0"/>
        <w:spacing w:before="60" w:after="60"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岩土工程勘察设计深度必须满足国家和建设当地的相关规范、标准及审批要求。</w:t>
      </w:r>
    </w:p>
    <w:p>
      <w:pPr>
        <w:wordWrap w:val="0"/>
        <w:adjustRightInd w:val="0"/>
        <w:snapToGrid w:val="0"/>
        <w:spacing w:before="60" w:after="60" w:line="400" w:lineRule="exact"/>
        <w:ind w:firstLine="480" w:firstLineChars="200"/>
        <w:jc w:val="left"/>
        <w:rPr>
          <w:b/>
          <w:sz w:val="36"/>
          <w:szCs w:val="36"/>
          <w:highlight w:val="none"/>
        </w:rPr>
      </w:pPr>
      <w:r>
        <w:rPr>
          <w:rFonts w:hint="eastAsia" w:ascii="宋体" w:hAnsi="宋体" w:cs="宋体"/>
          <w:b w:val="0"/>
          <w:bCs w:val="0"/>
          <w:sz w:val="24"/>
          <w:highlight w:val="none"/>
        </w:rPr>
        <w:t>该阶段需提供12份满足要求的勘探设计报告，成果的电子文件两套。</w:t>
      </w:r>
      <w:r>
        <w:rPr>
          <w:rFonts w:hint="eastAsia"/>
          <w:b/>
          <w:sz w:val="36"/>
          <w:szCs w:val="36"/>
          <w:highlight w:val="none"/>
        </w:rPr>
        <w:br w:type="page"/>
      </w:r>
    </w:p>
    <w:p>
      <w:pPr>
        <w:jc w:val="center"/>
        <w:outlineLvl w:val="0"/>
        <w:rPr>
          <w:b/>
          <w:sz w:val="44"/>
          <w:szCs w:val="44"/>
          <w:highlight w:val="none"/>
        </w:rPr>
      </w:pPr>
      <w:bookmarkStart w:id="216" w:name="_Toc10504"/>
      <w:r>
        <w:rPr>
          <w:rFonts w:hint="eastAsia"/>
          <w:b/>
          <w:sz w:val="44"/>
          <w:szCs w:val="44"/>
          <w:highlight w:val="none"/>
        </w:rPr>
        <w:t>第六章投标文件格式</w:t>
      </w:r>
      <w:bookmarkEnd w:id="212"/>
      <w:bookmarkEnd w:id="213"/>
      <w:bookmarkEnd w:id="214"/>
      <w:bookmarkEnd w:id="215"/>
      <w:bookmarkEnd w:id="216"/>
    </w:p>
    <w:p>
      <w:pPr>
        <w:pStyle w:val="16"/>
        <w:spacing w:line="264" w:lineRule="auto"/>
        <w:jc w:val="center"/>
        <w:rPr>
          <w:rFonts w:asciiTheme="minorEastAsia" w:hAnsiTheme="minorEastAsia" w:eastAsiaTheme="minorEastAsia"/>
          <w:b/>
          <w:sz w:val="32"/>
          <w:highlight w:val="none"/>
        </w:rPr>
      </w:pPr>
    </w:p>
    <w:p>
      <w:pPr>
        <w:pStyle w:val="16"/>
        <w:spacing w:line="264" w:lineRule="auto"/>
        <w:jc w:val="center"/>
        <w:rPr>
          <w:rFonts w:asciiTheme="minorEastAsia" w:hAnsiTheme="minorEastAsia" w:eastAsiaTheme="minorEastAsia"/>
          <w:b/>
          <w:sz w:val="32"/>
          <w:highlight w:val="none"/>
        </w:rPr>
      </w:pPr>
    </w:p>
    <w:p>
      <w:pPr>
        <w:pStyle w:val="16"/>
        <w:spacing w:line="264" w:lineRule="auto"/>
        <w:jc w:val="center"/>
        <w:rPr>
          <w:rFonts w:asciiTheme="minorEastAsia" w:hAnsiTheme="minorEastAsia" w:eastAsiaTheme="minorEastAsia"/>
          <w:sz w:val="36"/>
          <w:highlight w:val="none"/>
        </w:rPr>
      </w:pPr>
      <w:r>
        <w:rPr>
          <w:rFonts w:hint="eastAsia" w:asciiTheme="minorEastAsia" w:hAnsiTheme="minorEastAsia" w:eastAsiaTheme="minorEastAsia"/>
          <w:b/>
          <w:sz w:val="32"/>
          <w:highlight w:val="none"/>
        </w:rPr>
        <w:t>项目名称：</w:t>
      </w:r>
      <w:r>
        <w:rPr>
          <w:rFonts w:asciiTheme="minorEastAsia" w:hAnsiTheme="minorEastAsia" w:eastAsiaTheme="minorEastAsia"/>
          <w:sz w:val="36"/>
          <w:highlight w:val="none"/>
        </w:rPr>
        <w:t>________________</w:t>
      </w:r>
    </w:p>
    <w:p>
      <w:pPr>
        <w:pStyle w:val="16"/>
        <w:spacing w:line="264" w:lineRule="auto"/>
        <w:jc w:val="center"/>
        <w:rPr>
          <w:rFonts w:asciiTheme="minorEastAsia" w:hAnsiTheme="minorEastAsia" w:eastAsiaTheme="minorEastAsia"/>
          <w:sz w:val="36"/>
          <w:highlight w:val="none"/>
        </w:rPr>
      </w:pPr>
    </w:p>
    <w:p>
      <w:pPr>
        <w:pStyle w:val="16"/>
        <w:spacing w:line="264" w:lineRule="auto"/>
        <w:jc w:val="center"/>
        <w:rPr>
          <w:rFonts w:asciiTheme="minorEastAsia" w:hAnsiTheme="minorEastAsia" w:eastAsiaTheme="minorEastAsia"/>
          <w:sz w:val="36"/>
          <w:highlight w:val="none"/>
        </w:rPr>
      </w:pPr>
    </w:p>
    <w:p>
      <w:pPr>
        <w:pStyle w:val="16"/>
        <w:spacing w:line="264" w:lineRule="auto"/>
        <w:jc w:val="center"/>
        <w:rPr>
          <w:rFonts w:asciiTheme="minorEastAsia" w:hAnsiTheme="minorEastAsia" w:eastAsiaTheme="minorEastAsia"/>
          <w:sz w:val="28"/>
          <w:highlight w:val="none"/>
        </w:rPr>
      </w:pPr>
      <w:r>
        <w:rPr>
          <w:rFonts w:hint="eastAsia" w:asciiTheme="minorEastAsia" w:hAnsiTheme="minorEastAsia" w:eastAsiaTheme="minorEastAsia"/>
          <w:b/>
          <w:sz w:val="84"/>
          <w:highlight w:val="none"/>
        </w:rPr>
        <w:t>投标文件</w:t>
      </w:r>
    </w:p>
    <w:p>
      <w:pPr>
        <w:pStyle w:val="16"/>
        <w:spacing w:line="264" w:lineRule="auto"/>
        <w:jc w:val="center"/>
        <w:rPr>
          <w:rFonts w:asciiTheme="minorEastAsia" w:hAnsiTheme="minorEastAsia" w:eastAsiaTheme="minorEastAsia"/>
          <w:sz w:val="28"/>
          <w:highlight w:val="none"/>
        </w:rPr>
      </w:pPr>
    </w:p>
    <w:p>
      <w:pPr>
        <w:pStyle w:val="16"/>
        <w:spacing w:line="264" w:lineRule="auto"/>
        <w:jc w:val="center"/>
        <w:rPr>
          <w:rFonts w:asciiTheme="minorEastAsia" w:hAnsiTheme="minorEastAsia" w:eastAsiaTheme="minorEastAsia"/>
          <w:sz w:val="28"/>
          <w:highlight w:val="none"/>
        </w:rPr>
      </w:pPr>
    </w:p>
    <w:p>
      <w:pPr>
        <w:pStyle w:val="16"/>
        <w:spacing w:line="264" w:lineRule="auto"/>
        <w:jc w:val="center"/>
        <w:rPr>
          <w:rFonts w:asciiTheme="minorEastAsia" w:hAnsiTheme="minorEastAsia" w:eastAsiaTheme="minorEastAsia"/>
          <w:sz w:val="28"/>
          <w:highlight w:val="none"/>
        </w:rPr>
      </w:pPr>
    </w:p>
    <w:p>
      <w:pPr>
        <w:pStyle w:val="16"/>
        <w:spacing w:line="264" w:lineRule="auto"/>
        <w:jc w:val="center"/>
        <w:rPr>
          <w:rFonts w:asciiTheme="minorEastAsia" w:hAnsiTheme="minorEastAsia" w:eastAsiaTheme="minorEastAsia"/>
          <w:sz w:val="28"/>
          <w:highlight w:val="none"/>
        </w:rPr>
      </w:pPr>
    </w:p>
    <w:p>
      <w:pPr>
        <w:pStyle w:val="16"/>
        <w:spacing w:line="264" w:lineRule="auto"/>
        <w:jc w:val="center"/>
        <w:rPr>
          <w:rFonts w:asciiTheme="minorEastAsia" w:hAnsiTheme="minorEastAsia" w:eastAsiaTheme="minorEastAsia"/>
          <w:sz w:val="28"/>
          <w:highlight w:val="none"/>
        </w:rPr>
      </w:pPr>
    </w:p>
    <w:p>
      <w:pPr>
        <w:pStyle w:val="16"/>
        <w:spacing w:line="264" w:lineRule="auto"/>
        <w:jc w:val="center"/>
        <w:rPr>
          <w:rFonts w:asciiTheme="minorEastAsia" w:hAnsiTheme="minorEastAsia" w:eastAsiaTheme="minorEastAsia"/>
          <w:sz w:val="28"/>
          <w:highlight w:val="none"/>
        </w:rPr>
      </w:pPr>
    </w:p>
    <w:p>
      <w:pPr>
        <w:pStyle w:val="16"/>
        <w:spacing w:before="240" w:after="240"/>
        <w:ind w:firstLine="600" w:firstLineChars="200"/>
        <w:rPr>
          <w:rFonts w:asciiTheme="minorEastAsia" w:hAnsiTheme="minorEastAsia" w:eastAsiaTheme="minorEastAsia"/>
          <w:sz w:val="30"/>
          <w:highlight w:val="none"/>
          <w:u w:val="single"/>
        </w:rPr>
      </w:pPr>
      <w:r>
        <w:rPr>
          <w:rFonts w:hint="eastAsia" w:asciiTheme="minorEastAsia" w:hAnsiTheme="minorEastAsia" w:eastAsiaTheme="minorEastAsia"/>
          <w:sz w:val="30"/>
          <w:highlight w:val="none"/>
        </w:rPr>
        <w:t>投标人：</w:t>
      </w:r>
      <w:r>
        <w:rPr>
          <w:rFonts w:hint="eastAsia" w:asciiTheme="minorEastAsia" w:hAnsiTheme="minorEastAsia" w:eastAsiaTheme="minorEastAsia"/>
          <w:sz w:val="30"/>
          <w:highlight w:val="none"/>
          <w:u w:val="single"/>
        </w:rPr>
        <w:t xml:space="preserve">        (盖投标人单位公章)      </w:t>
      </w:r>
    </w:p>
    <w:p>
      <w:pPr>
        <w:pStyle w:val="16"/>
        <w:spacing w:before="240" w:after="240"/>
        <w:ind w:firstLine="600" w:firstLineChars="200"/>
        <w:rPr>
          <w:rFonts w:asciiTheme="minorEastAsia" w:hAnsiTheme="minorEastAsia" w:eastAsiaTheme="minorEastAsia"/>
          <w:sz w:val="30"/>
          <w:highlight w:val="none"/>
        </w:rPr>
      </w:pPr>
      <w:r>
        <w:rPr>
          <w:rFonts w:hint="eastAsia" w:asciiTheme="minorEastAsia" w:hAnsiTheme="minorEastAsia" w:eastAsiaTheme="minorEastAsia"/>
          <w:sz w:val="30"/>
          <w:highlight w:val="none"/>
        </w:rPr>
        <w:t>法定代表人：</w:t>
      </w:r>
      <w:r>
        <w:rPr>
          <w:rFonts w:hint="eastAsia" w:asciiTheme="minorEastAsia" w:hAnsiTheme="minorEastAsia" w:eastAsiaTheme="minorEastAsia"/>
          <w:sz w:val="30"/>
          <w:highlight w:val="none"/>
          <w:u w:val="single"/>
        </w:rPr>
        <w:t>(签字或盖章)</w:t>
      </w:r>
      <w:r>
        <w:rPr>
          <w:rFonts w:hint="eastAsia" w:asciiTheme="minorEastAsia" w:hAnsiTheme="minorEastAsia" w:eastAsiaTheme="minorEastAsia"/>
          <w:sz w:val="30"/>
          <w:highlight w:val="none"/>
        </w:rPr>
        <w:t>或其委托代理人：</w:t>
      </w:r>
      <w:r>
        <w:rPr>
          <w:rFonts w:hint="eastAsia" w:asciiTheme="minorEastAsia" w:hAnsiTheme="minorEastAsia" w:eastAsiaTheme="minorEastAsia"/>
          <w:sz w:val="30"/>
          <w:highlight w:val="none"/>
          <w:u w:val="single"/>
        </w:rPr>
        <w:t xml:space="preserve">  (签字)  </w:t>
      </w:r>
    </w:p>
    <w:p>
      <w:pPr>
        <w:pStyle w:val="16"/>
        <w:spacing w:before="240" w:after="240"/>
        <w:ind w:firstLine="600" w:firstLineChars="200"/>
        <w:rPr>
          <w:rFonts w:asciiTheme="minorEastAsia" w:hAnsiTheme="minorEastAsia" w:eastAsiaTheme="minorEastAsia"/>
          <w:sz w:val="30"/>
          <w:highlight w:val="none"/>
        </w:rPr>
      </w:pPr>
      <w:r>
        <w:rPr>
          <w:rFonts w:hint="eastAsia" w:asciiTheme="minorEastAsia" w:hAnsiTheme="minorEastAsia" w:eastAsiaTheme="minorEastAsia"/>
          <w:sz w:val="30"/>
          <w:highlight w:val="none"/>
        </w:rPr>
        <w:t>日期：</w:t>
      </w:r>
      <w:r>
        <w:rPr>
          <w:rFonts w:asciiTheme="minorEastAsia" w:hAnsiTheme="minorEastAsia" w:eastAsiaTheme="minorEastAsia"/>
          <w:sz w:val="30"/>
          <w:highlight w:val="none"/>
        </w:rPr>
        <w:t>__________</w:t>
      </w:r>
      <w:r>
        <w:rPr>
          <w:rFonts w:hint="eastAsia" w:asciiTheme="minorEastAsia" w:hAnsiTheme="minorEastAsia" w:eastAsiaTheme="minorEastAsia"/>
          <w:sz w:val="30"/>
          <w:highlight w:val="none"/>
        </w:rPr>
        <w:t>年</w:t>
      </w:r>
      <w:r>
        <w:rPr>
          <w:rFonts w:asciiTheme="minorEastAsia" w:hAnsiTheme="minorEastAsia" w:eastAsiaTheme="minorEastAsia"/>
          <w:sz w:val="30"/>
          <w:highlight w:val="none"/>
        </w:rPr>
        <w:t>_____</w:t>
      </w:r>
      <w:r>
        <w:rPr>
          <w:rFonts w:hint="eastAsia" w:asciiTheme="minorEastAsia" w:hAnsiTheme="minorEastAsia" w:eastAsiaTheme="minorEastAsia"/>
          <w:sz w:val="30"/>
          <w:highlight w:val="none"/>
        </w:rPr>
        <w:t>月</w:t>
      </w:r>
      <w:r>
        <w:rPr>
          <w:rFonts w:asciiTheme="minorEastAsia" w:hAnsiTheme="minorEastAsia" w:eastAsiaTheme="minorEastAsia"/>
          <w:sz w:val="30"/>
          <w:highlight w:val="none"/>
        </w:rPr>
        <w:t>_____</w:t>
      </w:r>
      <w:r>
        <w:rPr>
          <w:rFonts w:hint="eastAsia" w:asciiTheme="minorEastAsia" w:hAnsiTheme="minorEastAsia" w:eastAsiaTheme="minorEastAsia"/>
          <w:sz w:val="30"/>
          <w:highlight w:val="none"/>
        </w:rPr>
        <w:t>日</w:t>
      </w:r>
    </w:p>
    <w:p>
      <w:pPr>
        <w:pStyle w:val="16"/>
        <w:spacing w:line="360" w:lineRule="auto"/>
        <w:ind w:firstLine="700" w:firstLineChars="250"/>
        <w:jc w:val="left"/>
        <w:rPr>
          <w:rFonts w:asciiTheme="minorEastAsia" w:hAnsiTheme="minorEastAsia" w:eastAsiaTheme="minorEastAsia"/>
          <w:sz w:val="28"/>
          <w:szCs w:val="28"/>
          <w:highlight w:val="none"/>
        </w:rPr>
      </w:pPr>
      <w:r>
        <w:rPr>
          <w:rFonts w:hint="eastAsia" w:asciiTheme="minorEastAsia" w:hAnsiTheme="minorEastAsia" w:eastAsiaTheme="minorEastAsia"/>
          <w:b/>
          <w:sz w:val="28"/>
          <w:szCs w:val="28"/>
          <w:highlight w:val="none"/>
        </w:rPr>
        <w:t>注：</w:t>
      </w:r>
      <w:r>
        <w:rPr>
          <w:rFonts w:hint="eastAsia" w:asciiTheme="minorEastAsia" w:hAnsiTheme="minorEastAsia" w:eastAsiaTheme="minorEastAsia"/>
          <w:b/>
          <w:sz w:val="28"/>
          <w:szCs w:val="28"/>
          <w:highlight w:val="none"/>
          <w:u w:val="double"/>
        </w:rPr>
        <w:t>目录、序号和页码由投标人自行编列</w:t>
      </w:r>
      <w:r>
        <w:rPr>
          <w:rFonts w:hint="eastAsia" w:asciiTheme="minorEastAsia" w:hAnsiTheme="minorEastAsia" w:eastAsiaTheme="minorEastAsia"/>
          <w:sz w:val="28"/>
          <w:szCs w:val="28"/>
          <w:highlight w:val="none"/>
        </w:rPr>
        <w:t>。</w:t>
      </w:r>
    </w:p>
    <w:p>
      <w:pPr>
        <w:pStyle w:val="10"/>
        <w:tabs>
          <w:tab w:val="left" w:pos="1000"/>
        </w:tabs>
        <w:spacing w:line="360" w:lineRule="auto"/>
        <w:ind w:left="30" w:firstLine="0"/>
        <w:rPr>
          <w:rFonts w:asciiTheme="minorEastAsia" w:hAnsiTheme="minorEastAsia" w:eastAsiaTheme="minorEastAsia"/>
          <w:szCs w:val="21"/>
          <w:highlight w:val="none"/>
        </w:rPr>
      </w:pPr>
    </w:p>
    <w:p>
      <w:pPr>
        <w:pStyle w:val="49"/>
        <w:outlineLvl w:val="9"/>
        <w:rPr>
          <w:rFonts w:asciiTheme="minorEastAsia" w:hAnsiTheme="minorEastAsia" w:eastAsiaTheme="minorEastAsia"/>
          <w:highlight w:val="none"/>
        </w:rPr>
      </w:pPr>
      <w:r>
        <w:rPr>
          <w:rFonts w:asciiTheme="minorEastAsia" w:hAnsiTheme="minorEastAsia" w:eastAsiaTheme="minorEastAsia"/>
          <w:highlight w:val="none"/>
        </w:rPr>
        <w:br w:type="page"/>
      </w:r>
      <w:bookmarkStart w:id="217" w:name="_Toc316986045"/>
      <w:bookmarkStart w:id="218" w:name="_Toc310965983"/>
      <w:bookmarkStart w:id="219" w:name="_Toc310966102"/>
      <w:bookmarkStart w:id="220" w:name="_Toc7770"/>
      <w:r>
        <w:rPr>
          <w:rFonts w:hint="eastAsia" w:asciiTheme="minorEastAsia" w:hAnsiTheme="minorEastAsia" w:eastAsiaTheme="minorEastAsia"/>
          <w:highlight w:val="none"/>
        </w:rPr>
        <w:t>一、投标函</w:t>
      </w:r>
      <w:bookmarkEnd w:id="217"/>
      <w:bookmarkEnd w:id="218"/>
      <w:bookmarkEnd w:id="219"/>
      <w:bookmarkEnd w:id="220"/>
    </w:p>
    <w:p>
      <w:pPr>
        <w:adjustRightInd w:val="0"/>
        <w:snapToGrid w:val="0"/>
        <w:spacing w:line="44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致：(招</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人)</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根据(招标</w:t>
      </w:r>
      <w:r>
        <w:rPr>
          <w:rFonts w:hint="eastAsia" w:cs="宋体" w:asciiTheme="minorEastAsia" w:hAnsiTheme="minorEastAsia" w:eastAsiaTheme="minorEastAsia"/>
          <w:szCs w:val="21"/>
          <w:highlight w:val="none"/>
        </w:rPr>
        <w:t>项</w:t>
      </w:r>
      <w:r>
        <w:rPr>
          <w:rFonts w:hint="eastAsia" w:asciiTheme="minorEastAsia" w:hAnsiTheme="minorEastAsia" w:eastAsiaTheme="minorEastAsia"/>
          <w:szCs w:val="21"/>
          <w:highlight w:val="none"/>
        </w:rPr>
        <w:t>目名称)招标文件，我方</w:t>
      </w:r>
      <w:r>
        <w:rPr>
          <w:rFonts w:hint="eastAsia" w:cs="宋体" w:asciiTheme="minorEastAsia" w:hAnsiTheme="minorEastAsia" w:eastAsiaTheme="minorEastAsia"/>
          <w:szCs w:val="21"/>
          <w:highlight w:val="none"/>
        </w:rPr>
        <w:t>针对该项目投标报价为</w:t>
      </w:r>
      <w:r>
        <w:rPr>
          <w:rFonts w:hint="eastAsia" w:asciiTheme="minorEastAsia" w:hAnsiTheme="minorEastAsia" w:eastAsiaTheme="minorEastAsia"/>
          <w:szCs w:val="21"/>
          <w:highlight w:val="none"/>
        </w:rPr>
        <w:t>投标函附表上所列明的勘察费投标报价总额。并正式授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的下述</w:t>
      </w:r>
      <w:r>
        <w:rPr>
          <w:rFonts w:hint="eastAsia" w:cs="宋体" w:asciiTheme="minorEastAsia" w:hAnsiTheme="minorEastAsia" w:eastAsiaTheme="minorEastAsia"/>
          <w:szCs w:val="21"/>
          <w:highlight w:val="none"/>
        </w:rPr>
        <w:t>签</w:t>
      </w:r>
      <w:r>
        <w:rPr>
          <w:rFonts w:hint="eastAsia" w:asciiTheme="minorEastAsia" w:hAnsiTheme="minorEastAsia" w:eastAsiaTheme="minorEastAsia"/>
          <w:szCs w:val="21"/>
          <w:highlight w:val="none"/>
        </w:rPr>
        <w:t>字人代表本投标人提交招</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文件要求的全套投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文件，包括：</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1、招</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文件中要求的投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w:t>
      </w:r>
    </w:p>
    <w:p>
      <w:pPr>
        <w:adjustRightInd w:val="0"/>
        <w:snapToGrid w:val="0"/>
        <w:spacing w:line="440" w:lineRule="exact"/>
        <w:ind w:firstLine="420" w:firstLineChars="200"/>
        <w:contextualSpacing/>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2、金</w:t>
      </w:r>
      <w:r>
        <w:rPr>
          <w:rFonts w:hint="eastAsia" w:cs="宋体" w:asciiTheme="minorEastAsia" w:hAnsiTheme="minorEastAsia" w:eastAsiaTheme="minorEastAsia"/>
          <w:szCs w:val="21"/>
          <w:highlight w:val="none"/>
        </w:rPr>
        <w:t>额为</w:t>
      </w:r>
      <w:r>
        <w:rPr>
          <w:rFonts w:hint="eastAsia" w:cs="宋体" w:asciiTheme="minorEastAsia" w:hAnsiTheme="minorEastAsia" w:eastAsiaTheme="minorEastAsia"/>
          <w:szCs w:val="21"/>
          <w:highlight w:val="none"/>
          <w:lang w:val="en-US" w:eastAsia="zh-CN"/>
        </w:rPr>
        <w:t>0</w:t>
      </w:r>
      <w:r>
        <w:rPr>
          <w:rFonts w:hint="eastAsia" w:asciiTheme="minorEastAsia" w:hAnsiTheme="minorEastAsia" w:eastAsiaTheme="minorEastAsia"/>
          <w:szCs w:val="21"/>
          <w:highlight w:val="none"/>
        </w:rPr>
        <w:t>元的投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保</w:t>
      </w:r>
      <w:r>
        <w:rPr>
          <w:rFonts w:hint="eastAsia" w:cs="宋体" w:asciiTheme="minorEastAsia" w:hAnsiTheme="minorEastAsia" w:eastAsiaTheme="minorEastAsia"/>
          <w:szCs w:val="21"/>
          <w:highlight w:val="none"/>
        </w:rPr>
        <w:t>证</w:t>
      </w:r>
      <w:r>
        <w:rPr>
          <w:rFonts w:hint="eastAsia" w:asciiTheme="minorEastAsia" w:hAnsiTheme="minorEastAsia" w:eastAsiaTheme="minorEastAsia"/>
          <w:szCs w:val="21"/>
          <w:highlight w:val="none"/>
        </w:rPr>
        <w:t>金；</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3、其他</w:t>
      </w:r>
      <w:r>
        <w:rPr>
          <w:rFonts w:hint="eastAsia" w:cs="宋体" w:asciiTheme="minorEastAsia" w:hAnsiTheme="minorEastAsia" w:eastAsiaTheme="minorEastAsia"/>
          <w:szCs w:val="21"/>
          <w:highlight w:val="none"/>
        </w:rPr>
        <w:t>资</w:t>
      </w:r>
      <w:r>
        <w:rPr>
          <w:rFonts w:hint="eastAsia" w:asciiTheme="minorEastAsia" w:hAnsiTheme="minorEastAsia" w:eastAsiaTheme="minorEastAsia"/>
          <w:szCs w:val="21"/>
          <w:highlight w:val="none"/>
        </w:rPr>
        <w:t>料。</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据此函，</w:t>
      </w:r>
      <w:r>
        <w:rPr>
          <w:rFonts w:hint="eastAsia" w:cs="宋体" w:asciiTheme="minorEastAsia" w:hAnsiTheme="minorEastAsia" w:eastAsiaTheme="minorEastAsia"/>
          <w:szCs w:val="21"/>
          <w:highlight w:val="none"/>
        </w:rPr>
        <w:t>签</w:t>
      </w:r>
      <w:r>
        <w:rPr>
          <w:rFonts w:hint="eastAsia" w:asciiTheme="minorEastAsia" w:hAnsiTheme="minorEastAsia" w:eastAsiaTheme="minorEastAsia"/>
          <w:szCs w:val="21"/>
          <w:highlight w:val="none"/>
        </w:rPr>
        <w:t>字人</w:t>
      </w:r>
      <w:r>
        <w:rPr>
          <w:rFonts w:hint="eastAsia" w:cs="宋体" w:asciiTheme="minorEastAsia" w:hAnsiTheme="minorEastAsia" w:eastAsiaTheme="minorEastAsia"/>
          <w:szCs w:val="21"/>
          <w:highlight w:val="none"/>
        </w:rPr>
        <w:t>兹</w:t>
      </w:r>
      <w:r>
        <w:rPr>
          <w:rFonts w:hint="eastAsia" w:asciiTheme="minorEastAsia" w:hAnsiTheme="minorEastAsia" w:eastAsiaTheme="minorEastAsia"/>
          <w:szCs w:val="21"/>
          <w:highlight w:val="none"/>
        </w:rPr>
        <w:t>宣布同意如下：</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1、我方已</w:t>
      </w:r>
      <w:r>
        <w:rPr>
          <w:rFonts w:hint="eastAsia" w:cs="宋体" w:asciiTheme="minorEastAsia" w:hAnsiTheme="minorEastAsia" w:eastAsiaTheme="minorEastAsia"/>
          <w:szCs w:val="21"/>
          <w:highlight w:val="none"/>
        </w:rPr>
        <w:t>详细审</w:t>
      </w:r>
      <w:r>
        <w:rPr>
          <w:rFonts w:hint="eastAsia" w:asciiTheme="minorEastAsia" w:hAnsiTheme="minorEastAsia" w:eastAsiaTheme="minorEastAsia"/>
          <w:szCs w:val="21"/>
          <w:highlight w:val="none"/>
        </w:rPr>
        <w:t>核并确</w:t>
      </w:r>
      <w:r>
        <w:rPr>
          <w:rFonts w:hint="eastAsia" w:cs="宋体" w:asciiTheme="minorEastAsia" w:hAnsiTheme="minorEastAsia" w:eastAsiaTheme="minorEastAsia"/>
          <w:szCs w:val="21"/>
          <w:highlight w:val="none"/>
        </w:rPr>
        <w:t>认</w:t>
      </w:r>
      <w:r>
        <w:rPr>
          <w:rFonts w:hint="eastAsia" w:asciiTheme="minorEastAsia" w:hAnsiTheme="minorEastAsia" w:eastAsiaTheme="minorEastAsia"/>
          <w:szCs w:val="21"/>
          <w:highlight w:val="none"/>
        </w:rPr>
        <w:t>全部招</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文件，包括澄清、修改或补充招标文件(如有</w:t>
      </w:r>
      <w:r>
        <w:rPr>
          <w:rFonts w:hint="eastAsia" w:cs="宋体" w:asciiTheme="minorEastAsia" w:hAnsiTheme="minorEastAsia" w:eastAsiaTheme="minorEastAsia"/>
          <w:szCs w:val="21"/>
          <w:highlight w:val="none"/>
        </w:rPr>
        <w:t>时</w:t>
      </w:r>
      <w:r>
        <w:rPr>
          <w:rFonts w:hint="eastAsia" w:asciiTheme="minorEastAsia" w:hAnsiTheme="minorEastAsia" w:eastAsiaTheme="minorEastAsia"/>
          <w:szCs w:val="21"/>
          <w:highlight w:val="none"/>
        </w:rPr>
        <w:t>)及有关附件。</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2、一旦我方中</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，我方将按照投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文件中的承</w:t>
      </w:r>
      <w:r>
        <w:rPr>
          <w:rFonts w:hint="eastAsia" w:cs="宋体" w:asciiTheme="minorEastAsia" w:hAnsiTheme="minorEastAsia" w:eastAsiaTheme="minorEastAsia"/>
          <w:szCs w:val="21"/>
          <w:highlight w:val="none"/>
        </w:rPr>
        <w:t>诺组</w:t>
      </w:r>
      <w:r>
        <w:rPr>
          <w:rFonts w:hint="eastAsia" w:asciiTheme="minorEastAsia" w:hAnsiTheme="minorEastAsia" w:eastAsiaTheme="minorEastAsia"/>
          <w:szCs w:val="21"/>
          <w:highlight w:val="none"/>
        </w:rPr>
        <w:t>建</w:t>
      </w:r>
      <w:r>
        <w:rPr>
          <w:rFonts w:hint="eastAsia" w:cs="宋体" w:asciiTheme="minorEastAsia" w:hAnsiTheme="minorEastAsia" w:eastAsiaTheme="minorEastAsia"/>
          <w:szCs w:val="21"/>
          <w:highlight w:val="none"/>
        </w:rPr>
        <w:t>项</w:t>
      </w:r>
      <w:r>
        <w:rPr>
          <w:rFonts w:hint="eastAsia" w:asciiTheme="minorEastAsia" w:hAnsiTheme="minorEastAsia" w:eastAsiaTheme="minorEastAsia"/>
          <w:szCs w:val="21"/>
          <w:highlight w:val="none"/>
        </w:rPr>
        <w:t>目</w:t>
      </w:r>
      <w:r>
        <w:rPr>
          <w:rFonts w:hint="eastAsia" w:cs="宋体" w:asciiTheme="minorEastAsia" w:hAnsiTheme="minorEastAsia" w:eastAsiaTheme="minorEastAsia"/>
          <w:szCs w:val="21"/>
          <w:highlight w:val="none"/>
        </w:rPr>
        <w:t>勘察组</w:t>
      </w:r>
      <w:r>
        <w:rPr>
          <w:rFonts w:hint="eastAsia" w:asciiTheme="minorEastAsia" w:hAnsiTheme="minorEastAsia" w:eastAsiaTheme="minorEastAsia"/>
          <w:szCs w:val="21"/>
          <w:highlight w:val="none"/>
        </w:rPr>
        <w:t>，由投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文件所承</w:t>
      </w:r>
      <w:r>
        <w:rPr>
          <w:rFonts w:hint="eastAsia" w:cs="宋体" w:asciiTheme="minorEastAsia" w:hAnsiTheme="minorEastAsia" w:eastAsiaTheme="minorEastAsia"/>
          <w:szCs w:val="21"/>
          <w:highlight w:val="none"/>
        </w:rPr>
        <w:t>诺</w:t>
      </w:r>
      <w:r>
        <w:rPr>
          <w:rFonts w:hint="eastAsia" w:asciiTheme="minorEastAsia" w:hAnsiTheme="minorEastAsia" w:eastAsiaTheme="minorEastAsia"/>
          <w:szCs w:val="21"/>
          <w:highlight w:val="none"/>
        </w:rPr>
        <w:t>的设计项目负责人和其他主要人</w:t>
      </w:r>
      <w:r>
        <w:rPr>
          <w:rFonts w:hint="eastAsia" w:cs="宋体" w:asciiTheme="minorEastAsia" w:hAnsiTheme="minorEastAsia" w:eastAsiaTheme="minorEastAsia"/>
          <w:szCs w:val="21"/>
          <w:highlight w:val="none"/>
        </w:rPr>
        <w:t>员</w:t>
      </w:r>
      <w:r>
        <w:rPr>
          <w:rFonts w:hint="eastAsia" w:asciiTheme="minorEastAsia" w:hAnsiTheme="minorEastAsia" w:eastAsiaTheme="minorEastAsia"/>
          <w:szCs w:val="21"/>
          <w:highlight w:val="none"/>
        </w:rPr>
        <w:t>完成本</w:t>
      </w:r>
      <w:r>
        <w:rPr>
          <w:rFonts w:hint="eastAsia" w:cs="宋体" w:asciiTheme="minorEastAsia" w:hAnsiTheme="minorEastAsia" w:eastAsiaTheme="minorEastAsia"/>
          <w:szCs w:val="21"/>
          <w:highlight w:val="none"/>
        </w:rPr>
        <w:t>项</w:t>
      </w:r>
      <w:r>
        <w:rPr>
          <w:rFonts w:hint="eastAsia" w:asciiTheme="minorEastAsia" w:hAnsiTheme="minorEastAsia" w:eastAsiaTheme="minorEastAsia"/>
          <w:szCs w:val="21"/>
          <w:highlight w:val="none"/>
        </w:rPr>
        <w:t>目的全部</w:t>
      </w:r>
      <w:r>
        <w:rPr>
          <w:rFonts w:hint="eastAsia" w:cs="宋体" w:asciiTheme="minorEastAsia" w:hAnsiTheme="minorEastAsia" w:eastAsiaTheme="minorEastAsia"/>
          <w:szCs w:val="21"/>
          <w:highlight w:val="none"/>
        </w:rPr>
        <w:t>勘察</w:t>
      </w:r>
      <w:r>
        <w:rPr>
          <w:rFonts w:hint="eastAsia" w:asciiTheme="minorEastAsia" w:hAnsiTheme="minorEastAsia" w:eastAsiaTheme="minorEastAsia"/>
          <w:szCs w:val="21"/>
          <w:highlight w:val="none"/>
        </w:rPr>
        <w:t>工作，保</w:t>
      </w:r>
      <w:r>
        <w:rPr>
          <w:rFonts w:hint="eastAsia" w:cs="宋体" w:asciiTheme="minorEastAsia" w:hAnsiTheme="minorEastAsia" w:eastAsiaTheme="minorEastAsia"/>
          <w:szCs w:val="21"/>
          <w:highlight w:val="none"/>
        </w:rPr>
        <w:t>证</w:t>
      </w:r>
      <w:r>
        <w:rPr>
          <w:rFonts w:hint="eastAsia" w:asciiTheme="minorEastAsia" w:hAnsiTheme="minorEastAsia" w:eastAsiaTheme="minorEastAsia"/>
          <w:szCs w:val="21"/>
          <w:highlight w:val="none"/>
        </w:rPr>
        <w:t>在未征得招</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人同意的前提下不</w:t>
      </w:r>
      <w:r>
        <w:rPr>
          <w:rFonts w:hint="eastAsia" w:cs="宋体" w:asciiTheme="minorEastAsia" w:hAnsiTheme="minorEastAsia" w:eastAsiaTheme="minorEastAsia"/>
          <w:szCs w:val="21"/>
          <w:highlight w:val="none"/>
        </w:rPr>
        <w:t>变</w:t>
      </w:r>
      <w:r>
        <w:rPr>
          <w:rFonts w:hint="eastAsia" w:asciiTheme="minorEastAsia" w:hAnsiTheme="minorEastAsia" w:eastAsiaTheme="minorEastAsia"/>
          <w:szCs w:val="21"/>
          <w:highlight w:val="none"/>
        </w:rPr>
        <w:t>更主要</w:t>
      </w:r>
      <w:r>
        <w:rPr>
          <w:rFonts w:hint="eastAsia" w:cs="宋体" w:asciiTheme="minorEastAsia" w:hAnsiTheme="minorEastAsia" w:eastAsiaTheme="minorEastAsia"/>
          <w:szCs w:val="21"/>
          <w:highlight w:val="none"/>
        </w:rPr>
        <w:t>勘察</w:t>
      </w:r>
      <w:r>
        <w:rPr>
          <w:rFonts w:hint="eastAsia" w:asciiTheme="minorEastAsia" w:hAnsiTheme="minorEastAsia" w:eastAsiaTheme="minorEastAsia"/>
          <w:szCs w:val="21"/>
          <w:highlight w:val="none"/>
        </w:rPr>
        <w:t>人</w:t>
      </w:r>
      <w:r>
        <w:rPr>
          <w:rFonts w:hint="eastAsia" w:cs="宋体" w:asciiTheme="minorEastAsia" w:hAnsiTheme="minorEastAsia" w:eastAsiaTheme="minorEastAsia"/>
          <w:szCs w:val="21"/>
          <w:highlight w:val="none"/>
        </w:rPr>
        <w:t>员</w:t>
      </w:r>
      <w:r>
        <w:rPr>
          <w:rFonts w:hint="eastAsia" w:asciiTheme="minorEastAsia" w:hAnsiTheme="minorEastAsia" w:eastAsiaTheme="minorEastAsia"/>
          <w:szCs w:val="21"/>
          <w:highlight w:val="none"/>
        </w:rPr>
        <w:t>，保</w:t>
      </w:r>
      <w:r>
        <w:rPr>
          <w:rFonts w:hint="eastAsia" w:cs="宋体" w:asciiTheme="minorEastAsia" w:hAnsiTheme="minorEastAsia" w:eastAsiaTheme="minorEastAsia"/>
          <w:szCs w:val="21"/>
          <w:highlight w:val="none"/>
        </w:rPr>
        <w:t>证</w:t>
      </w:r>
      <w:r>
        <w:rPr>
          <w:rFonts w:hint="eastAsia" w:asciiTheme="minorEastAsia" w:hAnsiTheme="minorEastAsia" w:eastAsiaTheme="minorEastAsia"/>
          <w:szCs w:val="21"/>
          <w:highlight w:val="none"/>
        </w:rPr>
        <w:t>按投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函附表中承</w:t>
      </w:r>
      <w:r>
        <w:rPr>
          <w:rFonts w:hint="eastAsia" w:cs="宋体" w:asciiTheme="minorEastAsia" w:hAnsiTheme="minorEastAsia" w:eastAsiaTheme="minorEastAsia"/>
          <w:szCs w:val="21"/>
          <w:highlight w:val="none"/>
        </w:rPr>
        <w:t>诺</w:t>
      </w:r>
      <w:r>
        <w:rPr>
          <w:rFonts w:hint="eastAsia" w:asciiTheme="minorEastAsia" w:hAnsiTheme="minorEastAsia" w:eastAsiaTheme="minorEastAsia"/>
          <w:szCs w:val="21"/>
          <w:highlight w:val="none"/>
        </w:rPr>
        <w:t>的</w:t>
      </w:r>
      <w:r>
        <w:rPr>
          <w:rFonts w:hint="eastAsia" w:cs="宋体" w:asciiTheme="minorEastAsia" w:hAnsiTheme="minorEastAsia" w:eastAsiaTheme="minorEastAsia"/>
          <w:szCs w:val="21"/>
          <w:highlight w:val="none"/>
        </w:rPr>
        <w:t>服务周期</w:t>
      </w:r>
      <w:r>
        <w:rPr>
          <w:rFonts w:hint="eastAsia" w:asciiTheme="minorEastAsia" w:hAnsiTheme="minorEastAsia" w:eastAsiaTheme="minorEastAsia"/>
          <w:szCs w:val="21"/>
          <w:highlight w:val="none"/>
        </w:rPr>
        <w:t>完成</w:t>
      </w:r>
      <w:r>
        <w:rPr>
          <w:rFonts w:hint="eastAsia" w:cs="宋体" w:asciiTheme="minorEastAsia" w:hAnsiTheme="minorEastAsia" w:eastAsiaTheme="minorEastAsia"/>
          <w:szCs w:val="21"/>
          <w:highlight w:val="none"/>
        </w:rPr>
        <w:t>勘察</w:t>
      </w:r>
      <w:r>
        <w:rPr>
          <w:rFonts w:hint="eastAsia" w:asciiTheme="minorEastAsia" w:hAnsiTheme="minorEastAsia" w:eastAsiaTheme="minorEastAsia"/>
          <w:szCs w:val="21"/>
          <w:highlight w:val="none"/>
        </w:rPr>
        <w:t>并提供相</w:t>
      </w:r>
      <w:r>
        <w:rPr>
          <w:rFonts w:hint="eastAsia" w:cs="宋体" w:asciiTheme="minorEastAsia" w:hAnsiTheme="minorEastAsia" w:eastAsiaTheme="minorEastAsia"/>
          <w:szCs w:val="21"/>
          <w:highlight w:val="none"/>
        </w:rPr>
        <w:t>应</w:t>
      </w:r>
      <w:r>
        <w:rPr>
          <w:rFonts w:hint="eastAsia" w:asciiTheme="minorEastAsia" w:hAnsiTheme="minorEastAsia" w:eastAsiaTheme="minorEastAsia"/>
          <w:szCs w:val="21"/>
          <w:highlight w:val="none"/>
        </w:rPr>
        <w:t>的</w:t>
      </w:r>
      <w:r>
        <w:rPr>
          <w:rFonts w:hint="eastAsia" w:cs="宋体" w:asciiTheme="minorEastAsia" w:hAnsiTheme="minorEastAsia" w:eastAsiaTheme="minorEastAsia"/>
          <w:szCs w:val="21"/>
          <w:highlight w:val="none"/>
        </w:rPr>
        <w:t>勘察服务</w:t>
      </w:r>
      <w:r>
        <w:rPr>
          <w:rFonts w:hint="eastAsia" w:asciiTheme="minorEastAsia" w:hAnsiTheme="minorEastAsia" w:eastAsiaTheme="minorEastAsia"/>
          <w:szCs w:val="21"/>
          <w:highlight w:val="none"/>
        </w:rPr>
        <w:t>。</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3、我方同意所提交的投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文件在招</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文件的投标须知前附表第15项</w:t>
      </w:r>
      <w:r>
        <w:rPr>
          <w:rFonts w:hint="eastAsia" w:cs="宋体" w:asciiTheme="minorEastAsia" w:hAnsiTheme="minorEastAsia" w:eastAsiaTheme="minorEastAsia"/>
          <w:szCs w:val="21"/>
          <w:highlight w:val="none"/>
        </w:rPr>
        <w:t>规</w:t>
      </w:r>
      <w:r>
        <w:rPr>
          <w:rFonts w:hint="eastAsia" w:asciiTheme="minorEastAsia" w:hAnsiTheme="minorEastAsia" w:eastAsiaTheme="minorEastAsia"/>
          <w:szCs w:val="21"/>
          <w:highlight w:val="none"/>
        </w:rPr>
        <w:t>定的投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有效期限内有效，在此期</w:t>
      </w:r>
      <w:r>
        <w:rPr>
          <w:rFonts w:hint="eastAsia" w:cs="宋体" w:asciiTheme="minorEastAsia" w:hAnsiTheme="minorEastAsia" w:eastAsiaTheme="minorEastAsia"/>
          <w:szCs w:val="21"/>
          <w:highlight w:val="none"/>
        </w:rPr>
        <w:t>间</w:t>
      </w:r>
      <w:r>
        <w:rPr>
          <w:rFonts w:hint="eastAsia" w:asciiTheme="minorEastAsia" w:hAnsiTheme="minorEastAsia" w:eastAsiaTheme="minorEastAsia"/>
          <w:szCs w:val="21"/>
          <w:highlight w:val="none"/>
        </w:rPr>
        <w:t>内如果中</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，我方将受此</w:t>
      </w:r>
      <w:r>
        <w:rPr>
          <w:rFonts w:hint="eastAsia" w:cs="宋体" w:asciiTheme="minorEastAsia" w:hAnsiTheme="minorEastAsia" w:eastAsiaTheme="minorEastAsia"/>
          <w:szCs w:val="21"/>
          <w:highlight w:val="none"/>
        </w:rPr>
        <w:t>约</w:t>
      </w:r>
      <w:r>
        <w:rPr>
          <w:rFonts w:hint="eastAsia" w:asciiTheme="minorEastAsia" w:hAnsiTheme="minorEastAsia" w:eastAsiaTheme="minorEastAsia"/>
          <w:szCs w:val="21"/>
          <w:highlight w:val="none"/>
        </w:rPr>
        <w:t>束。</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4、除非另外达成</w:t>
      </w:r>
      <w:r>
        <w:rPr>
          <w:rFonts w:hint="eastAsia" w:cs="宋体" w:asciiTheme="minorEastAsia" w:hAnsiTheme="minorEastAsia" w:eastAsiaTheme="minorEastAsia"/>
          <w:szCs w:val="21"/>
          <w:highlight w:val="none"/>
        </w:rPr>
        <w:t>协议</w:t>
      </w:r>
      <w:r>
        <w:rPr>
          <w:rFonts w:hint="eastAsia" w:asciiTheme="minorEastAsia" w:hAnsiTheme="minorEastAsia" w:eastAsiaTheme="minorEastAsia"/>
          <w:szCs w:val="21"/>
          <w:highlight w:val="none"/>
        </w:rPr>
        <w:t>并生效，</w:t>
      </w:r>
      <w:r>
        <w:rPr>
          <w:rFonts w:hint="eastAsia" w:cs="宋体" w:asciiTheme="minorEastAsia" w:hAnsiTheme="minorEastAsia" w:eastAsiaTheme="minorEastAsia"/>
          <w:szCs w:val="21"/>
          <w:highlight w:val="none"/>
        </w:rPr>
        <w:t>贵</w:t>
      </w:r>
      <w:r>
        <w:rPr>
          <w:rFonts w:hint="eastAsia" w:asciiTheme="minorEastAsia" w:hAnsiTheme="minorEastAsia" w:eastAsiaTheme="minorEastAsia"/>
          <w:szCs w:val="21"/>
          <w:highlight w:val="none"/>
        </w:rPr>
        <w:t>方的中</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通知</w:t>
      </w:r>
      <w:r>
        <w:rPr>
          <w:rFonts w:hint="eastAsia" w:cs="宋体" w:asciiTheme="minorEastAsia" w:hAnsiTheme="minorEastAsia" w:eastAsiaTheme="minorEastAsia"/>
          <w:szCs w:val="21"/>
          <w:highlight w:val="none"/>
        </w:rPr>
        <w:t>书</w:t>
      </w:r>
      <w:r>
        <w:rPr>
          <w:rFonts w:hint="eastAsia" w:asciiTheme="minorEastAsia" w:hAnsiTheme="minorEastAsia" w:eastAsiaTheme="minorEastAsia"/>
          <w:szCs w:val="21"/>
          <w:highlight w:val="none"/>
        </w:rPr>
        <w:t>和本投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文件将成</w:t>
      </w:r>
      <w:r>
        <w:rPr>
          <w:rFonts w:hint="eastAsia" w:cs="宋体" w:asciiTheme="minorEastAsia" w:hAnsiTheme="minorEastAsia" w:eastAsiaTheme="minorEastAsia"/>
          <w:szCs w:val="21"/>
          <w:highlight w:val="none"/>
        </w:rPr>
        <w:t>为约</w:t>
      </w:r>
      <w:r>
        <w:rPr>
          <w:rFonts w:hint="eastAsia" w:asciiTheme="minorEastAsia" w:hAnsiTheme="minorEastAsia" w:eastAsiaTheme="minorEastAsia"/>
          <w:szCs w:val="21"/>
          <w:highlight w:val="none"/>
        </w:rPr>
        <w:t>束双方的合同文件的</w:t>
      </w:r>
      <w:r>
        <w:rPr>
          <w:rFonts w:hint="eastAsia" w:cs="宋体" w:asciiTheme="minorEastAsia" w:hAnsiTheme="minorEastAsia" w:eastAsiaTheme="minorEastAsia"/>
          <w:szCs w:val="21"/>
          <w:highlight w:val="none"/>
        </w:rPr>
        <w:t>组</w:t>
      </w:r>
      <w:r>
        <w:rPr>
          <w:rFonts w:hint="eastAsia" w:asciiTheme="minorEastAsia" w:hAnsiTheme="minorEastAsia" w:eastAsiaTheme="minorEastAsia"/>
          <w:szCs w:val="21"/>
          <w:highlight w:val="none"/>
        </w:rPr>
        <w:t>成部分。</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w:t>
      </w:r>
      <w:r>
        <w:rPr>
          <w:rFonts w:hint="eastAsia" w:cs="宋体" w:asciiTheme="minorEastAsia" w:hAnsiTheme="minorEastAsia" w:eastAsiaTheme="minorEastAsia"/>
          <w:szCs w:val="21"/>
          <w:highlight w:val="none"/>
        </w:rPr>
        <w:t>补</w:t>
      </w:r>
      <w:r>
        <w:rPr>
          <w:rFonts w:hint="eastAsia" w:asciiTheme="minorEastAsia" w:hAnsiTheme="minorEastAsia" w:eastAsiaTheme="minorEastAsia"/>
          <w:szCs w:val="21"/>
          <w:highlight w:val="none"/>
        </w:rPr>
        <w:t>充</w:t>
      </w:r>
      <w:r>
        <w:rPr>
          <w:rFonts w:hint="eastAsia" w:cs="宋体" w:asciiTheme="minorEastAsia" w:hAnsiTheme="minorEastAsia" w:eastAsiaTheme="minorEastAsia"/>
          <w:szCs w:val="21"/>
          <w:highlight w:val="none"/>
        </w:rPr>
        <w:t>说</w:t>
      </w:r>
      <w:r>
        <w:rPr>
          <w:rFonts w:hint="eastAsia" w:asciiTheme="minorEastAsia" w:hAnsiTheme="minorEastAsia" w:eastAsiaTheme="minorEastAsia"/>
          <w:szCs w:val="21"/>
          <w:highlight w:val="none"/>
        </w:rPr>
        <w:t>明：(</w:t>
      </w:r>
      <w:r>
        <w:rPr>
          <w:rFonts w:hint="eastAsia" w:cs="宋体" w:asciiTheme="minorEastAsia" w:hAnsiTheme="minorEastAsia" w:eastAsiaTheme="minorEastAsia"/>
          <w:szCs w:val="21"/>
          <w:highlight w:val="none"/>
        </w:rPr>
        <w:t>补</w:t>
      </w:r>
      <w:r>
        <w:rPr>
          <w:rFonts w:hint="eastAsia" w:asciiTheme="minorEastAsia" w:hAnsiTheme="minorEastAsia" w:eastAsiaTheme="minorEastAsia"/>
          <w:szCs w:val="21"/>
          <w:highlight w:val="none"/>
        </w:rPr>
        <w:t>充</w:t>
      </w:r>
      <w:r>
        <w:rPr>
          <w:rFonts w:hint="eastAsia" w:cs="宋体" w:asciiTheme="minorEastAsia" w:hAnsiTheme="minorEastAsia" w:eastAsiaTheme="minorEastAsia"/>
          <w:szCs w:val="21"/>
          <w:highlight w:val="none"/>
        </w:rPr>
        <w:t>说</w:t>
      </w:r>
      <w:r>
        <w:rPr>
          <w:rFonts w:hint="eastAsia" w:asciiTheme="minorEastAsia" w:hAnsiTheme="minorEastAsia" w:eastAsiaTheme="minorEastAsia"/>
          <w:szCs w:val="21"/>
          <w:highlight w:val="none"/>
        </w:rPr>
        <w:t>明事</w:t>
      </w:r>
      <w:r>
        <w:rPr>
          <w:rFonts w:hint="eastAsia" w:cs="宋体" w:asciiTheme="minorEastAsia" w:hAnsiTheme="minorEastAsia" w:eastAsiaTheme="minorEastAsia"/>
          <w:szCs w:val="21"/>
          <w:highlight w:val="none"/>
        </w:rPr>
        <w:t>项</w:t>
      </w:r>
      <w:r>
        <w:rPr>
          <w:rFonts w:hint="eastAsia" w:asciiTheme="minorEastAsia" w:hAnsiTheme="minorEastAsia" w:eastAsiaTheme="minorEastAsia"/>
          <w:szCs w:val="21"/>
          <w:highlight w:val="none"/>
        </w:rPr>
        <w:t>)与本投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有</w:t>
      </w:r>
      <w:r>
        <w:rPr>
          <w:rFonts w:hint="eastAsia" w:cs="宋体" w:asciiTheme="minorEastAsia" w:hAnsiTheme="minorEastAsia" w:eastAsiaTheme="minorEastAsia"/>
          <w:szCs w:val="21"/>
          <w:highlight w:val="none"/>
        </w:rPr>
        <w:t>关</w:t>
      </w:r>
      <w:r>
        <w:rPr>
          <w:rFonts w:hint="eastAsia" w:asciiTheme="minorEastAsia" w:hAnsiTheme="minorEastAsia" w:eastAsiaTheme="minorEastAsia"/>
          <w:szCs w:val="21"/>
          <w:highlight w:val="none"/>
        </w:rPr>
        <w:t>的一切正式往来通</w:t>
      </w:r>
      <w:r>
        <w:rPr>
          <w:rFonts w:hint="eastAsia" w:cs="宋体" w:asciiTheme="minorEastAsia" w:hAnsiTheme="minorEastAsia" w:eastAsiaTheme="minorEastAsia"/>
          <w:szCs w:val="21"/>
          <w:highlight w:val="none"/>
        </w:rPr>
        <w:t>讯请</w:t>
      </w:r>
      <w:r>
        <w:rPr>
          <w:rFonts w:hint="eastAsia" w:asciiTheme="minorEastAsia" w:hAnsiTheme="minorEastAsia" w:eastAsiaTheme="minorEastAsia"/>
          <w:szCs w:val="21"/>
          <w:highlight w:val="none"/>
        </w:rPr>
        <w:t>寄：</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人：</w:t>
      </w:r>
      <w:r>
        <w:rPr>
          <w:rFonts w:hint="eastAsia" w:asciiTheme="minorEastAsia" w:hAnsiTheme="minorEastAsia" w:eastAsiaTheme="minorEastAsia"/>
          <w:szCs w:val="21"/>
          <w:highlight w:val="none"/>
          <w:u w:val="single"/>
        </w:rPr>
        <w:t xml:space="preserve">                     (盖单位公章)                    </w:t>
      </w:r>
    </w:p>
    <w:p>
      <w:pPr>
        <w:adjustRightInd w:val="0"/>
        <w:snapToGrid w:val="0"/>
        <w:spacing w:line="440" w:lineRule="exact"/>
        <w:ind w:firstLine="420" w:firstLineChars="200"/>
        <w:contextualSpacing/>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地址：</w:t>
      </w:r>
      <w:r>
        <w:rPr>
          <w:rFonts w:hint="eastAsia" w:cs="宋体" w:asciiTheme="minorEastAsia" w:hAnsiTheme="minorEastAsia" w:eastAsiaTheme="minorEastAsia"/>
          <w:szCs w:val="21"/>
          <w:highlight w:val="none"/>
        </w:rPr>
        <w:t>邮编</w:t>
      </w:r>
      <w:r>
        <w:rPr>
          <w:rFonts w:hint="eastAsia" w:asciiTheme="minorEastAsia" w:hAnsiTheme="minorEastAsia" w:eastAsiaTheme="minorEastAsia"/>
          <w:szCs w:val="21"/>
          <w:highlight w:val="none"/>
        </w:rPr>
        <w:t>：</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电话</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传</w:t>
      </w:r>
      <w:r>
        <w:rPr>
          <w:rFonts w:hint="eastAsia" w:asciiTheme="minorEastAsia" w:hAnsiTheme="minorEastAsia" w:eastAsiaTheme="minorEastAsia"/>
          <w:szCs w:val="21"/>
          <w:highlight w:val="none"/>
        </w:rPr>
        <w:t>真：</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w:t>
      </w:r>
      <w:r>
        <w:rPr>
          <w:rFonts w:hint="eastAsia" w:asciiTheme="minorEastAsia" w:hAnsiTheme="minorEastAsia" w:eastAsiaTheme="minorEastAsia"/>
          <w:szCs w:val="21"/>
          <w:highlight w:val="none"/>
          <w:u w:val="single"/>
        </w:rPr>
        <w:t xml:space="preserve">    (签字或盖章)</w:t>
      </w:r>
      <w:r>
        <w:rPr>
          <w:rFonts w:hint="eastAsia" w:asciiTheme="minorEastAsia" w:hAnsiTheme="minorEastAsia" w:eastAsiaTheme="minorEastAsia"/>
          <w:szCs w:val="21"/>
          <w:highlight w:val="none"/>
        </w:rPr>
        <w:t>或授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委托人：</w:t>
      </w:r>
      <w:r>
        <w:rPr>
          <w:rFonts w:hint="eastAsia" w:asciiTheme="minorEastAsia" w:hAnsiTheme="minorEastAsia" w:eastAsiaTheme="minorEastAsia"/>
          <w:szCs w:val="21"/>
          <w:highlight w:val="none"/>
          <w:u w:val="single"/>
        </w:rPr>
        <w:t xml:space="preserve">          (签字)   </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日期：年月日</w:t>
      </w:r>
    </w:p>
    <w:p>
      <w:pPr>
        <w:spacing w:line="360" w:lineRule="auto"/>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p>
    <w:p>
      <w:pPr>
        <w:pStyle w:val="2"/>
        <w:rPr>
          <w:rFonts w:asciiTheme="minorEastAsia" w:hAnsiTheme="minorEastAsia" w:eastAsiaTheme="minorEastAsia"/>
          <w:szCs w:val="21"/>
          <w:highlight w:val="none"/>
        </w:rPr>
      </w:pPr>
    </w:p>
    <w:p>
      <w:pPr>
        <w:pStyle w:val="3"/>
        <w:rPr>
          <w:highlight w:val="none"/>
        </w:rPr>
      </w:pPr>
    </w:p>
    <w:p>
      <w:pPr>
        <w:pStyle w:val="42"/>
        <w:numPr>
          <w:ilvl w:val="0"/>
          <w:numId w:val="0"/>
        </w:numPr>
        <w:rPr>
          <w:rFonts w:asciiTheme="minorEastAsia" w:hAnsiTheme="minorEastAsia" w:eastAsiaTheme="minorEastAsia"/>
          <w:szCs w:val="21"/>
          <w:highlight w:val="none"/>
        </w:rPr>
      </w:pPr>
    </w:p>
    <w:p>
      <w:pPr>
        <w:pStyle w:val="42"/>
        <w:numPr>
          <w:ilvl w:val="0"/>
          <w:numId w:val="0"/>
        </w:numPr>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p>
    <w:p>
      <w:pPr>
        <w:pStyle w:val="49"/>
        <w:outlineLvl w:val="9"/>
        <w:rPr>
          <w:rFonts w:hint="eastAsia" w:asciiTheme="minorEastAsia" w:hAnsiTheme="minorEastAsia" w:eastAsiaTheme="minorEastAsia"/>
          <w:highlight w:val="none"/>
        </w:rPr>
      </w:pPr>
      <w:bookmarkStart w:id="221" w:name="_Toc310966103"/>
      <w:bookmarkStart w:id="222" w:name="_Toc310965984"/>
      <w:bookmarkStart w:id="223" w:name="_Toc316986046"/>
      <w:bookmarkStart w:id="224" w:name="_Toc31585"/>
      <w:r>
        <w:rPr>
          <w:rFonts w:hint="eastAsia" w:asciiTheme="minorEastAsia" w:hAnsiTheme="minorEastAsia" w:eastAsiaTheme="minorEastAsia"/>
          <w:highlight w:val="none"/>
        </w:rPr>
        <w:t>二、投标函附表</w:t>
      </w:r>
      <w:bookmarkEnd w:id="221"/>
      <w:bookmarkEnd w:id="222"/>
      <w:bookmarkEnd w:id="223"/>
      <w:bookmarkEnd w:id="224"/>
    </w:p>
    <w:p>
      <w:pPr>
        <w:pStyle w:val="49"/>
        <w:outlineLvl w:val="9"/>
        <w:rPr>
          <w:rFonts w:hint="eastAsia" w:asciiTheme="minorEastAsia" w:hAnsiTheme="minorEastAsia" w:eastAsiaTheme="minorEastAsia"/>
          <w:highlight w:val="none"/>
        </w:rPr>
        <w:sectPr>
          <w:footerReference r:id="rId5" w:type="first"/>
          <w:headerReference r:id="rId3" w:type="default"/>
          <w:footerReference r:id="rId4" w:type="default"/>
          <w:pgSz w:w="11906" w:h="16838"/>
          <w:pgMar w:top="1417" w:right="1417" w:bottom="1417" w:left="1417" w:header="850" w:footer="992" w:gutter="283"/>
          <w:cols w:space="0" w:num="1"/>
          <w:rtlGutter w:val="0"/>
          <w:docGrid w:type="linesAndChars" w:linePitch="312" w:charSpace="0"/>
        </w:sectPr>
      </w:pPr>
    </w:p>
    <w:p>
      <w:pPr>
        <w:pStyle w:val="49"/>
        <w:outlineLvl w:val="9"/>
        <w:rPr>
          <w:rFonts w:hint="eastAsia" w:asciiTheme="minorEastAsia" w:hAnsiTheme="minorEastAsia" w:eastAsiaTheme="minorEastAsia"/>
          <w:highlight w:val="none"/>
        </w:rPr>
      </w:pP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6129"/>
        <w:gridCol w:w="1614"/>
        <w:gridCol w:w="808"/>
        <w:gridCol w:w="970"/>
        <w:gridCol w:w="712"/>
        <w:gridCol w:w="1080"/>
        <w:gridCol w:w="2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扬州市古城小秦淮河保护更新二期项目工程勘察报价表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w:t>
            </w:r>
            <w:r>
              <w:rPr>
                <w:rStyle w:val="69"/>
                <w:highlight w:val="none"/>
                <w:lang w:val="en-US" w:eastAsia="zh-CN" w:bidi="ar"/>
              </w:rPr>
              <w:t>共</w:t>
            </w:r>
            <w:r>
              <w:rPr>
                <w:rStyle w:val="70"/>
                <w:rFonts w:eastAsia="宋体"/>
                <w:highlight w:val="none"/>
                <w:lang w:val="en-US" w:eastAsia="zh-CN" w:bidi="ar"/>
              </w:rPr>
              <w:t xml:space="preserve">   1   </w:t>
            </w:r>
            <w:r>
              <w:rPr>
                <w:rStyle w:val="69"/>
                <w:highlight w:val="none"/>
                <w:lang w:val="en-US" w:eastAsia="zh-CN" w:bidi="ar"/>
              </w:rPr>
              <w:t>页</w:t>
            </w:r>
            <w:r>
              <w:rPr>
                <w:rStyle w:val="70"/>
                <w:rFonts w:eastAsia="宋体"/>
                <w:highlight w:val="none"/>
                <w:lang w:val="en-US" w:eastAsia="zh-CN" w:bidi="ar"/>
              </w:rPr>
              <w:t xml:space="preserve">  </w:t>
            </w:r>
            <w:r>
              <w:rPr>
                <w:rStyle w:val="69"/>
                <w:highlight w:val="none"/>
                <w:lang w:val="en-US" w:eastAsia="zh-CN" w:bidi="ar"/>
              </w:rPr>
              <w:t>第</w:t>
            </w:r>
            <w:r>
              <w:rPr>
                <w:rStyle w:val="70"/>
                <w:rFonts w:eastAsia="宋体"/>
                <w:highlight w:val="none"/>
                <w:lang w:val="en-US" w:eastAsia="zh-CN" w:bidi="ar"/>
              </w:rPr>
              <w:t xml:space="preserve">   1   </w:t>
            </w:r>
            <w:r>
              <w:rPr>
                <w:rStyle w:val="69"/>
                <w:highlight w:val="none"/>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w:t>
            </w:r>
            <w:r>
              <w:rPr>
                <w:rStyle w:val="71"/>
                <w:highlight w:val="none"/>
                <w:lang w:val="en-US" w:eastAsia="zh-CN" w:bidi="ar"/>
              </w:rPr>
              <w:t xml:space="preserve">  </w:t>
            </w:r>
            <w:r>
              <w:rPr>
                <w:rStyle w:val="72"/>
                <w:highlight w:val="none"/>
                <w:lang w:val="en-US" w:eastAsia="zh-CN" w:bidi="ar"/>
              </w:rPr>
              <w:t>号</w:t>
            </w:r>
          </w:p>
        </w:tc>
        <w:tc>
          <w:tcPr>
            <w:tcW w:w="22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w:t>
            </w:r>
            <w:r>
              <w:rPr>
                <w:rStyle w:val="71"/>
                <w:highlight w:val="none"/>
                <w:lang w:val="en-US" w:eastAsia="zh-CN" w:bidi="ar"/>
              </w:rPr>
              <w:t xml:space="preserve"> </w:t>
            </w:r>
            <w:r>
              <w:rPr>
                <w:rStyle w:val="72"/>
                <w:highlight w:val="none"/>
                <w:lang w:val="en-US" w:eastAsia="zh-CN" w:bidi="ar"/>
              </w:rPr>
              <w:t>作</w:t>
            </w:r>
            <w:r>
              <w:rPr>
                <w:rStyle w:val="71"/>
                <w:highlight w:val="none"/>
                <w:lang w:val="en-US" w:eastAsia="zh-CN" w:bidi="ar"/>
              </w:rPr>
              <w:t xml:space="preserve"> </w:t>
            </w:r>
            <w:r>
              <w:rPr>
                <w:rStyle w:val="72"/>
                <w:highlight w:val="none"/>
                <w:lang w:val="en-US" w:eastAsia="zh-CN" w:bidi="ar"/>
              </w:rPr>
              <w:t>项</w:t>
            </w:r>
            <w:r>
              <w:rPr>
                <w:rStyle w:val="71"/>
                <w:highlight w:val="none"/>
                <w:lang w:val="en-US" w:eastAsia="zh-CN" w:bidi="ar"/>
              </w:rPr>
              <w:t xml:space="preserve"> </w:t>
            </w:r>
            <w:r>
              <w:rPr>
                <w:rStyle w:val="72"/>
                <w:highlight w:val="none"/>
                <w:lang w:val="en-US" w:eastAsia="zh-CN" w:bidi="ar"/>
              </w:rPr>
              <w:t>目</w:t>
            </w:r>
            <w:r>
              <w:rPr>
                <w:rStyle w:val="71"/>
                <w:highlight w:val="none"/>
                <w:lang w:val="en-US" w:eastAsia="zh-CN" w:bidi="ar"/>
              </w:rPr>
              <w:t xml:space="preserve"> </w:t>
            </w:r>
            <w:r>
              <w:rPr>
                <w:rStyle w:val="72"/>
                <w:highlight w:val="none"/>
                <w:lang w:val="en-US" w:eastAsia="zh-CN" w:bidi="ar"/>
              </w:rPr>
              <w:t>及</w:t>
            </w:r>
            <w:r>
              <w:rPr>
                <w:rStyle w:val="71"/>
                <w:highlight w:val="none"/>
                <w:lang w:val="en-US" w:eastAsia="zh-CN" w:bidi="ar"/>
              </w:rPr>
              <w:t xml:space="preserve"> </w:t>
            </w:r>
            <w:r>
              <w:rPr>
                <w:rStyle w:val="72"/>
                <w:highlight w:val="none"/>
                <w:lang w:val="en-US" w:eastAsia="zh-CN" w:bidi="ar"/>
              </w:rPr>
              <w:t>内</w:t>
            </w:r>
            <w:r>
              <w:rPr>
                <w:rStyle w:val="71"/>
                <w:highlight w:val="none"/>
                <w:lang w:val="en-US" w:eastAsia="zh-CN" w:bidi="ar"/>
              </w:rPr>
              <w:t xml:space="preserve"> </w:t>
            </w:r>
            <w:r>
              <w:rPr>
                <w:rStyle w:val="72"/>
                <w:highlight w:val="none"/>
                <w:lang w:val="en-US" w:eastAsia="zh-CN" w:bidi="ar"/>
              </w:rPr>
              <w:t>容</w:t>
            </w:r>
          </w:p>
        </w:tc>
        <w:tc>
          <w:tcPr>
            <w:tcW w:w="56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工作量（暂定）</w:t>
            </w:r>
          </w:p>
        </w:tc>
        <w:tc>
          <w:tcPr>
            <w:tcW w:w="26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计量单位</w:t>
            </w:r>
          </w:p>
        </w:tc>
        <w:tc>
          <w:tcPr>
            <w:tcW w:w="32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单价（元）</w:t>
            </w:r>
          </w:p>
        </w:tc>
        <w:tc>
          <w:tcPr>
            <w:tcW w:w="22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相关系数</w:t>
            </w:r>
          </w:p>
        </w:tc>
        <w:tc>
          <w:tcPr>
            <w:tcW w:w="3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费</w:t>
            </w:r>
            <w:r>
              <w:rPr>
                <w:rStyle w:val="71"/>
                <w:highlight w:val="none"/>
                <w:lang w:val="en-US" w:eastAsia="zh-CN" w:bidi="ar"/>
              </w:rPr>
              <w:t xml:space="preserve">  </w:t>
            </w:r>
            <w:r>
              <w:rPr>
                <w:rStyle w:val="72"/>
                <w:highlight w:val="none"/>
                <w:lang w:val="en-US" w:eastAsia="zh-CN" w:bidi="ar"/>
              </w:rPr>
              <w:t>用（元）</w:t>
            </w:r>
          </w:p>
        </w:tc>
        <w:tc>
          <w:tcPr>
            <w:tcW w:w="72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w:t>
            </w:r>
            <w:r>
              <w:rPr>
                <w:rStyle w:val="71"/>
                <w:highlight w:val="none"/>
                <w:lang w:val="en-US" w:eastAsia="zh-CN" w:bidi="ar"/>
              </w:rPr>
              <w:t xml:space="preserve">             </w:t>
            </w:r>
            <w:r>
              <w:rPr>
                <w:rStyle w:val="72"/>
                <w:highlight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w:t>
            </w:r>
          </w:p>
        </w:tc>
        <w:tc>
          <w:tcPr>
            <w:tcW w:w="47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按规范要求，对项目进行勘察,暂定完成取土试样孔6</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个，孔深20m，进尺为1220m。90个静力触探孔，孔深15m，进尺为1350m。总进尺2750m。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机钻孔              0~10m深度Ⅰ类地层</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610</w:t>
            </w:r>
            <w:r>
              <w:rPr>
                <w:rFonts w:hint="eastAsia" w:ascii="宋体" w:hAnsi="宋体" w:eastAsia="宋体" w:cs="宋体"/>
                <w:i w:val="0"/>
                <w:iCs w:val="0"/>
                <w:color w:val="000000"/>
                <w:kern w:val="0"/>
                <w:sz w:val="24"/>
                <w:szCs w:val="24"/>
                <w:highlight w:val="none"/>
                <w:u w:val="none"/>
                <w:lang w:val="en-US" w:eastAsia="zh-CN" w:bidi="ar"/>
              </w:rPr>
              <w:t xml:space="preserve">.00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相关系数含在单价中自行考虑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10~20m深度Ⅱ类类地层</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相关系数自行考虑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双桥静探孔          0~10m深度Ⅰ类地层</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900.00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相关系数自行考虑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10~20m深度Ⅱ类地层</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450.00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相关系数自行考虑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取原状土样</w:t>
            </w:r>
            <w:r>
              <w:rPr>
                <w:rStyle w:val="71"/>
                <w:highlight w:val="none"/>
                <w:lang w:val="en-US" w:eastAsia="zh-CN" w:bidi="ar"/>
              </w:rPr>
              <w:t xml:space="preserve">                                 ≤30m</w:t>
            </w:r>
            <w:r>
              <w:rPr>
                <w:rStyle w:val="72"/>
                <w:highlight w:val="none"/>
                <w:lang w:val="en-US" w:eastAsia="zh-CN" w:bidi="ar"/>
              </w:rPr>
              <w:t>深度</w:t>
            </w:r>
            <w:r>
              <w:rPr>
                <w:rStyle w:val="71"/>
                <w:highlight w:val="none"/>
                <w:lang w:val="en-US" w:eastAsia="zh-CN" w:bidi="ar"/>
              </w:rPr>
              <w:t xml:space="preserve">       </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650.00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标准贯入试验</w:t>
            </w:r>
            <w:r>
              <w:rPr>
                <w:rStyle w:val="71"/>
                <w:highlight w:val="none"/>
                <w:lang w:val="en-US" w:eastAsia="zh-CN" w:bidi="ar"/>
              </w:rPr>
              <w:t xml:space="preserve">                              ≤20m</w:t>
            </w:r>
            <w:r>
              <w:rPr>
                <w:rStyle w:val="72"/>
                <w:highlight w:val="none"/>
                <w:lang w:val="en-US" w:eastAsia="zh-CN" w:bidi="ar"/>
              </w:rPr>
              <w:t>深度</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650.00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土工试验</w:t>
            </w:r>
            <w:r>
              <w:rPr>
                <w:rStyle w:val="71"/>
                <w:highlight w:val="none"/>
                <w:lang w:val="en-US" w:eastAsia="zh-CN" w:bidi="ar"/>
              </w:rPr>
              <w:t xml:space="preserve">                                     </w:t>
            </w:r>
            <w:r>
              <w:rPr>
                <w:rStyle w:val="72"/>
                <w:highlight w:val="none"/>
                <w:lang w:val="en-US" w:eastAsia="zh-CN" w:bidi="ar"/>
              </w:rPr>
              <w:t>天然密度、含水率</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650.00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直接快剪</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550.00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固结快剪</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液塑限</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580.00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压缩</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550.00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渗透</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500.00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水质分析</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土质分析</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土工试验技术工作费(第四项合计)</w:t>
            </w:r>
          </w:p>
        </w:tc>
        <w:tc>
          <w:tcPr>
            <w:tcW w:w="56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元</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该项报系数，结算时按照第四项合计费用*系数结算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波速测试                                      ≤20m深度        </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七</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取水样</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钻孔放样、测量（含观测水位等）</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组日</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九</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0" name="Line_122"/>
                  <wp:cNvGraphicFramePr/>
                  <a:graphic xmlns:a="http://schemas.openxmlformats.org/drawingml/2006/main">
                    <a:graphicData uri="http://schemas.openxmlformats.org/drawingml/2006/picture">
                      <pic:pic xmlns:pic="http://schemas.openxmlformats.org/drawingml/2006/picture">
                        <pic:nvPicPr>
                          <pic:cNvPr id="10" name="Line_122"/>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1" name="Line_124"/>
                  <wp:cNvGraphicFramePr/>
                  <a:graphic xmlns:a="http://schemas.openxmlformats.org/drawingml/2006/main">
                    <a:graphicData uri="http://schemas.openxmlformats.org/drawingml/2006/picture">
                      <pic:pic xmlns:pic="http://schemas.openxmlformats.org/drawingml/2006/picture">
                        <pic:nvPicPr>
                          <pic:cNvPr id="11" name="Line_124"/>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2" name="Line_128"/>
                  <wp:cNvGraphicFramePr/>
                  <a:graphic xmlns:a="http://schemas.openxmlformats.org/drawingml/2006/main">
                    <a:graphicData uri="http://schemas.openxmlformats.org/drawingml/2006/picture">
                      <pic:pic xmlns:pic="http://schemas.openxmlformats.org/drawingml/2006/picture">
                        <pic:nvPicPr>
                          <pic:cNvPr id="12" name="Line_128"/>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3" name="Line_156"/>
                  <wp:cNvGraphicFramePr/>
                  <a:graphic xmlns:a="http://schemas.openxmlformats.org/drawingml/2006/main">
                    <a:graphicData uri="http://schemas.openxmlformats.org/drawingml/2006/picture">
                      <pic:pic xmlns:pic="http://schemas.openxmlformats.org/drawingml/2006/picture">
                        <pic:nvPicPr>
                          <pic:cNvPr id="13" name="Line_156"/>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4" name="Line_176"/>
                  <wp:cNvGraphicFramePr/>
                  <a:graphic xmlns:a="http://schemas.openxmlformats.org/drawingml/2006/main">
                    <a:graphicData uri="http://schemas.openxmlformats.org/drawingml/2006/picture">
                      <pic:pic xmlns:pic="http://schemas.openxmlformats.org/drawingml/2006/picture">
                        <pic:nvPicPr>
                          <pic:cNvPr id="14" name="Line_176"/>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5" name="Line_164"/>
                  <wp:cNvGraphicFramePr/>
                  <a:graphic xmlns:a="http://schemas.openxmlformats.org/drawingml/2006/main">
                    <a:graphicData uri="http://schemas.openxmlformats.org/drawingml/2006/picture">
                      <pic:pic xmlns:pic="http://schemas.openxmlformats.org/drawingml/2006/picture">
                        <pic:nvPicPr>
                          <pic:cNvPr id="15" name="Line_164"/>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6" name="Line_163"/>
                  <wp:cNvGraphicFramePr/>
                  <a:graphic xmlns:a="http://schemas.openxmlformats.org/drawingml/2006/main">
                    <a:graphicData uri="http://schemas.openxmlformats.org/drawingml/2006/picture">
                      <pic:pic xmlns:pic="http://schemas.openxmlformats.org/drawingml/2006/picture">
                        <pic:nvPicPr>
                          <pic:cNvPr id="16" name="Line_163"/>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7" name="Line_162"/>
                  <wp:cNvGraphicFramePr/>
                  <a:graphic xmlns:a="http://schemas.openxmlformats.org/drawingml/2006/main">
                    <a:graphicData uri="http://schemas.openxmlformats.org/drawingml/2006/picture">
                      <pic:pic xmlns:pic="http://schemas.openxmlformats.org/drawingml/2006/picture">
                        <pic:nvPicPr>
                          <pic:cNvPr id="17" name="Line_162"/>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8" name="Line_161"/>
                  <wp:cNvGraphicFramePr/>
                  <a:graphic xmlns:a="http://schemas.openxmlformats.org/drawingml/2006/main">
                    <a:graphicData uri="http://schemas.openxmlformats.org/drawingml/2006/picture">
                      <pic:pic xmlns:pic="http://schemas.openxmlformats.org/drawingml/2006/picture">
                        <pic:nvPicPr>
                          <pic:cNvPr id="18" name="Line_161"/>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9" name="Line_160"/>
                  <wp:cNvGraphicFramePr/>
                  <a:graphic xmlns:a="http://schemas.openxmlformats.org/drawingml/2006/main">
                    <a:graphicData uri="http://schemas.openxmlformats.org/drawingml/2006/picture">
                      <pic:pic xmlns:pic="http://schemas.openxmlformats.org/drawingml/2006/picture">
                        <pic:nvPicPr>
                          <pic:cNvPr id="19" name="Line_160"/>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20" name="Line_159"/>
                  <wp:cNvGraphicFramePr/>
                  <a:graphic xmlns:a="http://schemas.openxmlformats.org/drawingml/2006/main">
                    <a:graphicData uri="http://schemas.openxmlformats.org/drawingml/2006/picture">
                      <pic:pic xmlns:pic="http://schemas.openxmlformats.org/drawingml/2006/picture">
                        <pic:nvPicPr>
                          <pic:cNvPr id="20" name="Line_159"/>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21" name="Line_158"/>
                  <wp:cNvGraphicFramePr/>
                  <a:graphic xmlns:a="http://schemas.openxmlformats.org/drawingml/2006/main">
                    <a:graphicData uri="http://schemas.openxmlformats.org/drawingml/2006/picture">
                      <pic:pic xmlns:pic="http://schemas.openxmlformats.org/drawingml/2006/picture">
                        <pic:nvPicPr>
                          <pic:cNvPr id="21" name="Line_158"/>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22" name="Line_155"/>
                  <wp:cNvGraphicFramePr/>
                  <a:graphic xmlns:a="http://schemas.openxmlformats.org/drawingml/2006/main">
                    <a:graphicData uri="http://schemas.openxmlformats.org/drawingml/2006/picture">
                      <pic:pic xmlns:pic="http://schemas.openxmlformats.org/drawingml/2006/picture">
                        <pic:nvPicPr>
                          <pic:cNvPr id="22" name="Line_155"/>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23" name="Line_157"/>
                  <wp:cNvGraphicFramePr/>
                  <a:graphic xmlns:a="http://schemas.openxmlformats.org/drawingml/2006/main">
                    <a:graphicData uri="http://schemas.openxmlformats.org/drawingml/2006/picture">
                      <pic:pic xmlns:pic="http://schemas.openxmlformats.org/drawingml/2006/picture">
                        <pic:nvPicPr>
                          <pic:cNvPr id="23" name="Line_157"/>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24" name="Line_134"/>
                  <wp:cNvGraphicFramePr/>
                  <a:graphic xmlns:a="http://schemas.openxmlformats.org/drawingml/2006/main">
                    <a:graphicData uri="http://schemas.openxmlformats.org/drawingml/2006/picture">
                      <pic:pic xmlns:pic="http://schemas.openxmlformats.org/drawingml/2006/picture">
                        <pic:nvPicPr>
                          <pic:cNvPr id="24" name="Line_134"/>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1" name="Line_133"/>
                  <wp:cNvGraphicFramePr/>
                  <a:graphic xmlns:a="http://schemas.openxmlformats.org/drawingml/2006/main">
                    <a:graphicData uri="http://schemas.openxmlformats.org/drawingml/2006/picture">
                      <pic:pic xmlns:pic="http://schemas.openxmlformats.org/drawingml/2006/picture">
                        <pic:nvPicPr>
                          <pic:cNvPr id="1" name="Line_133"/>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3" name="Line_132"/>
                  <wp:cNvGraphicFramePr/>
                  <a:graphic xmlns:a="http://schemas.openxmlformats.org/drawingml/2006/main">
                    <a:graphicData uri="http://schemas.openxmlformats.org/drawingml/2006/picture">
                      <pic:pic xmlns:pic="http://schemas.openxmlformats.org/drawingml/2006/picture">
                        <pic:nvPicPr>
                          <pic:cNvPr id="3" name="Line_132"/>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5" name="Line_131"/>
                  <wp:cNvGraphicFramePr/>
                  <a:graphic xmlns:a="http://schemas.openxmlformats.org/drawingml/2006/main">
                    <a:graphicData uri="http://schemas.openxmlformats.org/drawingml/2006/picture">
                      <pic:pic xmlns:pic="http://schemas.openxmlformats.org/drawingml/2006/picture">
                        <pic:nvPicPr>
                          <pic:cNvPr id="5" name="Line_131"/>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4" name="Line_130"/>
                  <wp:cNvGraphicFramePr/>
                  <a:graphic xmlns:a="http://schemas.openxmlformats.org/drawingml/2006/main">
                    <a:graphicData uri="http://schemas.openxmlformats.org/drawingml/2006/picture">
                      <pic:pic xmlns:pic="http://schemas.openxmlformats.org/drawingml/2006/picture">
                        <pic:nvPicPr>
                          <pic:cNvPr id="4" name="Line_130"/>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6" name="Line_127"/>
                  <wp:cNvGraphicFramePr/>
                  <a:graphic xmlns:a="http://schemas.openxmlformats.org/drawingml/2006/main">
                    <a:graphicData uri="http://schemas.openxmlformats.org/drawingml/2006/picture">
                      <pic:pic xmlns:pic="http://schemas.openxmlformats.org/drawingml/2006/picture">
                        <pic:nvPicPr>
                          <pic:cNvPr id="6" name="Line_127"/>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7" name="Line_129"/>
                  <wp:cNvGraphicFramePr/>
                  <a:graphic xmlns:a="http://schemas.openxmlformats.org/drawingml/2006/main">
                    <a:graphicData uri="http://schemas.openxmlformats.org/drawingml/2006/picture">
                      <pic:pic xmlns:pic="http://schemas.openxmlformats.org/drawingml/2006/picture">
                        <pic:nvPicPr>
                          <pic:cNvPr id="7" name="Line_129"/>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9" name="Line_126"/>
                  <wp:cNvGraphicFramePr/>
                  <a:graphic xmlns:a="http://schemas.openxmlformats.org/drawingml/2006/main">
                    <a:graphicData uri="http://schemas.openxmlformats.org/drawingml/2006/picture">
                      <pic:pic xmlns:pic="http://schemas.openxmlformats.org/drawingml/2006/picture">
                        <pic:nvPicPr>
                          <pic:cNvPr id="9" name="Line_126"/>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8" name="Line_123"/>
                  <wp:cNvGraphicFramePr/>
                  <a:graphic xmlns:a="http://schemas.openxmlformats.org/drawingml/2006/main">
                    <a:graphicData uri="http://schemas.openxmlformats.org/drawingml/2006/picture">
                      <pic:pic xmlns:pic="http://schemas.openxmlformats.org/drawingml/2006/picture">
                        <pic:nvPicPr>
                          <pic:cNvPr id="8" name="Line_123"/>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90" cy="0"/>
                  <wp:effectExtent l="0" t="0" r="0" b="0"/>
                  <wp:wrapNone/>
                  <wp:docPr id="2" name="Line_125"/>
                  <wp:cNvGraphicFramePr/>
                  <a:graphic xmlns:a="http://schemas.openxmlformats.org/drawingml/2006/main">
                    <a:graphicData uri="http://schemas.openxmlformats.org/drawingml/2006/picture">
                      <pic:pic xmlns:pic="http://schemas.openxmlformats.org/drawingml/2006/picture">
                        <pic:nvPicPr>
                          <pic:cNvPr id="2" name="Line_125"/>
                          <pic:cNvPicPr/>
                        </pic:nvPicPr>
                        <pic:blipFill>
                          <a:blip r:embed="rId9"/>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lang w:val="en-US" w:eastAsia="zh-CN" w:bidi="ar"/>
              </w:rPr>
              <w:t>技术成果费</w:t>
            </w:r>
          </w:p>
        </w:tc>
        <w:tc>
          <w:tcPr>
            <w:tcW w:w="56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元</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该项报系数，结算时按照第一-四、第五项合计费用*系数结算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十</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进出场费用</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进出场费用总价包干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0.00 </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bl>
    <w:p>
      <w:pPr>
        <w:spacing w:line="360" w:lineRule="auto"/>
        <w:ind w:firstLine="420" w:firstLineChars="200"/>
        <w:rPr>
          <w:rFonts w:asciiTheme="minorEastAsia" w:hAnsiTheme="minorEastAsia" w:eastAsiaTheme="minorEastAsia"/>
          <w:szCs w:val="21"/>
          <w:highlight w:val="none"/>
        </w:rPr>
      </w:pPr>
    </w:p>
    <w:p>
      <w:pPr>
        <w:adjustRightInd w:val="0"/>
        <w:snapToGrid w:val="0"/>
        <w:spacing w:line="440" w:lineRule="exact"/>
        <w:ind w:firstLine="420" w:firstLineChars="200"/>
        <w:contextualSpacing/>
        <w:rPr>
          <w:rFonts w:hint="eastAsia" w:asciiTheme="minorEastAsia" w:hAnsiTheme="minorEastAsia" w:eastAsiaTheme="minorEastAsia"/>
          <w:szCs w:val="21"/>
          <w:highlight w:val="none"/>
        </w:rPr>
      </w:pPr>
    </w:p>
    <w:p>
      <w:pPr>
        <w:adjustRightInd w:val="0"/>
        <w:snapToGrid w:val="0"/>
        <w:spacing w:line="440" w:lineRule="exact"/>
        <w:ind w:firstLine="420" w:firstLineChars="200"/>
        <w:contextualSpacing/>
        <w:rPr>
          <w:rFonts w:hint="eastAsia" w:asciiTheme="minorEastAsia" w:hAnsiTheme="minorEastAsia" w:eastAsiaTheme="minorEastAsia"/>
          <w:szCs w:val="21"/>
          <w:highlight w:val="none"/>
        </w:rPr>
      </w:pPr>
    </w:p>
    <w:p>
      <w:pPr>
        <w:adjustRightInd w:val="0"/>
        <w:snapToGrid w:val="0"/>
        <w:spacing w:line="440" w:lineRule="exact"/>
        <w:ind w:firstLine="420" w:firstLineChars="200"/>
        <w:contextualSpacing/>
        <w:rPr>
          <w:rFonts w:hint="eastAsia" w:asciiTheme="minorEastAsia" w:hAnsiTheme="minorEastAsia" w:eastAsiaTheme="minorEastAsia"/>
          <w:szCs w:val="21"/>
          <w:highlight w:val="none"/>
        </w:rPr>
      </w:pPr>
    </w:p>
    <w:p>
      <w:pPr>
        <w:adjustRightInd w:val="0"/>
        <w:snapToGrid w:val="0"/>
        <w:spacing w:line="440" w:lineRule="exact"/>
        <w:ind w:firstLine="420" w:firstLineChars="200"/>
        <w:contextualSpacing/>
        <w:rPr>
          <w:rFonts w:hint="eastAsia" w:asciiTheme="minorEastAsia" w:hAnsiTheme="minorEastAsia" w:eastAsiaTheme="minorEastAsia"/>
          <w:szCs w:val="21"/>
          <w:highlight w:val="none"/>
        </w:rPr>
      </w:pPr>
    </w:p>
    <w:p>
      <w:pPr>
        <w:pStyle w:val="2"/>
        <w:rPr>
          <w:rFonts w:hint="eastAsia" w:asciiTheme="minorEastAsia" w:hAnsiTheme="minorEastAsia" w:eastAsiaTheme="minorEastAsia"/>
          <w:szCs w:val="21"/>
          <w:highlight w:val="none"/>
        </w:rPr>
      </w:pPr>
    </w:p>
    <w:p>
      <w:pPr>
        <w:pStyle w:val="3"/>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各分项工程量（暂定）：</w:t>
      </w:r>
    </w:p>
    <w:p>
      <w:pPr>
        <w:pStyle w:val="3"/>
        <w:rPr>
          <w:rFonts w:hint="default" w:asciiTheme="minorEastAsia" w:hAnsiTheme="minorEastAsia" w:eastAsiaTheme="minorEastAsia"/>
          <w:szCs w:val="21"/>
          <w:highlight w:val="none"/>
          <w:lang w:val="en-US" w:eastAsia="zh-CN"/>
        </w:rPr>
      </w:pPr>
    </w:p>
    <w:tbl>
      <w:tblPr>
        <w:tblStyle w:val="33"/>
        <w:tblW w:w="123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5"/>
        <w:gridCol w:w="2475"/>
        <w:gridCol w:w="2475"/>
        <w:gridCol w:w="2475"/>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建筑物部位</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机钻（个）</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机钻进尺（米）</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静探（个）</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静探进尺（米）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盐阜路节点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净业庵节点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营城园口袋公园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大东门节点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沈复寓所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大涤草堂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台地园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漆器二厂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漆器二厂周边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珍园口袋公园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1350</w:t>
            </w:r>
          </w:p>
        </w:tc>
      </w:tr>
    </w:tbl>
    <w:p>
      <w:pPr>
        <w:adjustRightInd w:val="0"/>
        <w:snapToGrid w:val="0"/>
        <w:spacing w:line="440" w:lineRule="exact"/>
        <w:ind w:firstLine="0" w:firstLineChars="0"/>
        <w:contextualSpacing/>
        <w:rPr>
          <w:rFonts w:hint="eastAsia"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人：</w:t>
      </w:r>
      <w:r>
        <w:rPr>
          <w:rFonts w:hint="eastAsia" w:asciiTheme="minorEastAsia" w:hAnsiTheme="minorEastAsia" w:eastAsiaTheme="minorEastAsia"/>
          <w:szCs w:val="21"/>
          <w:highlight w:val="none"/>
          <w:u w:val="single"/>
        </w:rPr>
        <w:t xml:space="preserve">                     (盖单位公章)                    </w:t>
      </w:r>
    </w:p>
    <w:p>
      <w:pPr>
        <w:adjustRightInd w:val="0"/>
        <w:snapToGrid w:val="0"/>
        <w:spacing w:line="440" w:lineRule="exact"/>
        <w:ind w:firstLine="420" w:firstLineChars="200"/>
        <w:contextualSpacing/>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地址：</w:t>
      </w:r>
      <w:r>
        <w:rPr>
          <w:rFonts w:hint="eastAsia" w:cs="宋体" w:asciiTheme="minorEastAsia" w:hAnsiTheme="minorEastAsia" w:eastAsiaTheme="minorEastAsia"/>
          <w:szCs w:val="21"/>
          <w:highlight w:val="none"/>
        </w:rPr>
        <w:t>邮编</w:t>
      </w:r>
      <w:r>
        <w:rPr>
          <w:rFonts w:hint="eastAsia" w:asciiTheme="minorEastAsia" w:hAnsiTheme="minorEastAsia" w:eastAsiaTheme="minorEastAsia"/>
          <w:szCs w:val="21"/>
          <w:highlight w:val="none"/>
        </w:rPr>
        <w:t>：</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电话</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传</w:t>
      </w:r>
      <w:r>
        <w:rPr>
          <w:rFonts w:hint="eastAsia" w:asciiTheme="minorEastAsia" w:hAnsiTheme="minorEastAsia" w:eastAsiaTheme="minorEastAsia"/>
          <w:szCs w:val="21"/>
          <w:highlight w:val="none"/>
        </w:rPr>
        <w:t>真：</w:t>
      </w:r>
    </w:p>
    <w:p>
      <w:pPr>
        <w:adjustRightInd w:val="0"/>
        <w:snapToGrid w:val="0"/>
        <w:spacing w:line="440" w:lineRule="exact"/>
        <w:ind w:firstLine="420"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w:t>
      </w:r>
      <w:r>
        <w:rPr>
          <w:rFonts w:hint="eastAsia" w:asciiTheme="minorEastAsia" w:hAnsiTheme="minorEastAsia" w:eastAsiaTheme="minorEastAsia"/>
          <w:szCs w:val="21"/>
          <w:highlight w:val="none"/>
          <w:u w:val="single"/>
        </w:rPr>
        <w:t xml:space="preserve">    (签字或盖章)</w:t>
      </w:r>
      <w:r>
        <w:rPr>
          <w:rFonts w:hint="eastAsia" w:asciiTheme="minorEastAsia" w:hAnsiTheme="minorEastAsia" w:eastAsiaTheme="minorEastAsia"/>
          <w:szCs w:val="21"/>
          <w:highlight w:val="none"/>
        </w:rPr>
        <w:t>或授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委托人：</w:t>
      </w:r>
      <w:r>
        <w:rPr>
          <w:rFonts w:hint="eastAsia" w:asciiTheme="minorEastAsia" w:hAnsiTheme="minorEastAsia" w:eastAsiaTheme="minorEastAsia"/>
          <w:szCs w:val="21"/>
          <w:highlight w:val="none"/>
          <w:u w:val="single"/>
        </w:rPr>
        <w:t xml:space="preserve">          (签字)   </w:t>
      </w:r>
    </w:p>
    <w:p>
      <w:pPr>
        <w:adjustRightInd w:val="0"/>
        <w:snapToGrid w:val="0"/>
        <w:spacing w:line="440" w:lineRule="exact"/>
        <w:ind w:firstLine="420" w:firstLineChars="200"/>
        <w:contextualSpacing/>
        <w:rPr>
          <w:rFonts w:hint="eastAsia" w:asciiTheme="minorEastAsia" w:hAnsiTheme="minorEastAsia" w:eastAsiaTheme="minorEastAsia"/>
          <w:szCs w:val="21"/>
          <w:highlight w:val="none"/>
        </w:rPr>
        <w:sectPr>
          <w:pgSz w:w="16838" w:h="11906" w:orient="landscape"/>
          <w:pgMar w:top="1417" w:right="1417" w:bottom="1417" w:left="1417" w:header="850" w:footer="992" w:gutter="283"/>
          <w:cols w:space="0" w:num="1"/>
          <w:rtlGutter w:val="0"/>
          <w:docGrid w:type="linesAndChars" w:linePitch="312" w:charSpace="0"/>
        </w:sectPr>
      </w:pPr>
      <w:r>
        <w:rPr>
          <w:rFonts w:hint="eastAsia" w:asciiTheme="minorEastAsia" w:hAnsiTheme="minorEastAsia" w:eastAsiaTheme="minorEastAsia"/>
          <w:szCs w:val="21"/>
          <w:highlight w:val="none"/>
        </w:rPr>
        <w:t>日期：年月日</w:t>
      </w:r>
    </w:p>
    <w:p>
      <w:pPr>
        <w:pStyle w:val="49"/>
        <w:outlineLvl w:val="9"/>
        <w:rPr>
          <w:rFonts w:asciiTheme="minorEastAsia" w:hAnsiTheme="minorEastAsia" w:eastAsiaTheme="minorEastAsia"/>
          <w:highlight w:val="none"/>
        </w:rPr>
      </w:pPr>
      <w:bookmarkStart w:id="225" w:name="_Toc277937927"/>
      <w:bookmarkStart w:id="226" w:name="_Toc310965985"/>
      <w:bookmarkStart w:id="227" w:name="_Toc316986047"/>
      <w:bookmarkStart w:id="228" w:name="_Toc310966104"/>
      <w:bookmarkStart w:id="229" w:name="_Toc2182"/>
    </w:p>
    <w:p>
      <w:pPr>
        <w:pStyle w:val="49"/>
        <w:outlineLvl w:val="9"/>
        <w:rPr>
          <w:rFonts w:asciiTheme="minorEastAsia" w:hAnsiTheme="minorEastAsia" w:eastAsiaTheme="minorEastAsia"/>
          <w:highlight w:val="none"/>
        </w:rPr>
      </w:pPr>
      <w:r>
        <w:rPr>
          <w:rFonts w:hint="eastAsia" w:asciiTheme="minorEastAsia" w:hAnsiTheme="minorEastAsia" w:eastAsiaTheme="minorEastAsia"/>
          <w:highlight w:val="none"/>
        </w:rPr>
        <w:t>三、法定代表人资格证明</w:t>
      </w:r>
      <w:bookmarkEnd w:id="225"/>
      <w:r>
        <w:rPr>
          <w:rFonts w:hint="eastAsia" w:asciiTheme="minorEastAsia" w:hAnsiTheme="minorEastAsia" w:eastAsiaTheme="minorEastAsia"/>
          <w:highlight w:val="none"/>
        </w:rPr>
        <w:t>书</w:t>
      </w:r>
      <w:bookmarkEnd w:id="226"/>
      <w:bookmarkEnd w:id="227"/>
      <w:bookmarkEnd w:id="228"/>
      <w:bookmarkEnd w:id="229"/>
    </w:p>
    <w:p>
      <w:pPr>
        <w:spacing w:line="360" w:lineRule="auto"/>
        <w:rPr>
          <w:rFonts w:cs="宋体" w:asciiTheme="minorEastAsia" w:hAnsiTheme="minorEastAsia" w:eastAsiaTheme="minorEastAsia"/>
          <w:szCs w:val="21"/>
          <w:highlight w:val="none"/>
        </w:rPr>
      </w:pP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单</w:t>
      </w:r>
      <w:r>
        <w:rPr>
          <w:rFonts w:hint="eastAsia" w:asciiTheme="minorEastAsia" w:hAnsiTheme="minorEastAsia" w:eastAsiaTheme="minorEastAsia"/>
          <w:szCs w:val="21"/>
          <w:highlight w:val="none"/>
        </w:rPr>
        <w:t>位名称：</w:t>
      </w: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地址：</w:t>
      </w:r>
    </w:p>
    <w:p>
      <w:pPr>
        <w:adjustRightInd w:val="0"/>
        <w:snapToGrid w:val="0"/>
        <w:spacing w:line="440" w:lineRule="exact"/>
        <w:ind w:firstLine="428" w:firstLineChars="200"/>
        <w:contextualSpacing/>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p>
    <w:p>
      <w:pPr>
        <w:adjustRightInd w:val="0"/>
        <w:snapToGrid w:val="0"/>
        <w:spacing w:line="440" w:lineRule="exact"/>
        <w:ind w:firstLine="428" w:firstLineChars="200"/>
        <w:contextualSpacing/>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性</w:t>
      </w:r>
      <w:r>
        <w:rPr>
          <w:rFonts w:hint="eastAsia" w:cs="宋体" w:asciiTheme="minorEastAsia" w:hAnsiTheme="minorEastAsia" w:eastAsiaTheme="minorEastAsia"/>
          <w:szCs w:val="21"/>
          <w:highlight w:val="none"/>
        </w:rPr>
        <w:t>别</w:t>
      </w:r>
      <w:r>
        <w:rPr>
          <w:rFonts w:hint="eastAsia" w:asciiTheme="minorEastAsia" w:hAnsiTheme="minorEastAsia" w:eastAsiaTheme="minorEastAsia"/>
          <w:szCs w:val="21"/>
          <w:highlight w:val="none"/>
        </w:rPr>
        <w:t>：</w:t>
      </w:r>
    </w:p>
    <w:p>
      <w:pPr>
        <w:adjustRightInd w:val="0"/>
        <w:snapToGrid w:val="0"/>
        <w:spacing w:line="440" w:lineRule="exact"/>
        <w:ind w:firstLine="428" w:firstLineChars="200"/>
        <w:contextualSpacing/>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rPr>
        <w:t>龄</w:t>
      </w:r>
      <w:r>
        <w:rPr>
          <w:rFonts w:hint="eastAsia" w:asciiTheme="minorEastAsia" w:hAnsiTheme="minorEastAsia" w:eastAsiaTheme="minorEastAsia"/>
          <w:szCs w:val="21"/>
          <w:highlight w:val="none"/>
        </w:rPr>
        <w:t>：</w:t>
      </w: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职务</w:t>
      </w:r>
      <w:r>
        <w:rPr>
          <w:rFonts w:hint="eastAsia" w:asciiTheme="minorEastAsia" w:hAnsiTheme="minorEastAsia" w:eastAsiaTheme="minorEastAsia"/>
          <w:szCs w:val="21"/>
          <w:highlight w:val="none"/>
        </w:rPr>
        <w:t>：</w:t>
      </w: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系</w:t>
      </w:r>
      <w:r>
        <w:rPr>
          <w:rFonts w:hint="eastAsia" w:asciiTheme="minorEastAsia" w:hAnsiTheme="minorEastAsia" w:eastAsiaTheme="minorEastAsia"/>
          <w:i/>
          <w:szCs w:val="21"/>
          <w:highlight w:val="none"/>
        </w:rPr>
        <w:t>(投标人单位名称)</w:t>
      </w:r>
      <w:r>
        <w:rPr>
          <w:rFonts w:hint="eastAsia" w:asciiTheme="minorEastAsia" w:hAnsiTheme="minorEastAsia" w:eastAsiaTheme="minorEastAsia"/>
          <w:szCs w:val="21"/>
          <w:highlight w:val="none"/>
        </w:rPr>
        <w:t>的法定代表人。</w:t>
      </w:r>
      <w:r>
        <w:rPr>
          <w:rFonts w:hint="eastAsia" w:cs="宋体" w:asciiTheme="minorEastAsia" w:hAnsiTheme="minorEastAsia" w:eastAsiaTheme="minorEastAsia"/>
          <w:szCs w:val="21"/>
          <w:highlight w:val="none"/>
        </w:rPr>
        <w:t>为勘察</w:t>
      </w:r>
      <w:r>
        <w:rPr>
          <w:rFonts w:hint="eastAsia" w:asciiTheme="minorEastAsia" w:hAnsiTheme="minorEastAsia" w:eastAsiaTheme="minorEastAsia"/>
          <w:i/>
          <w:szCs w:val="21"/>
          <w:highlight w:val="none"/>
        </w:rPr>
        <w:t>(招标</w:t>
      </w:r>
      <w:r>
        <w:rPr>
          <w:rFonts w:hint="eastAsia" w:cs="宋体" w:asciiTheme="minorEastAsia" w:hAnsiTheme="minorEastAsia" w:eastAsiaTheme="minorEastAsia"/>
          <w:i/>
          <w:szCs w:val="21"/>
          <w:highlight w:val="none"/>
        </w:rPr>
        <w:t>项</w:t>
      </w:r>
      <w:r>
        <w:rPr>
          <w:rFonts w:hint="eastAsia" w:asciiTheme="minorEastAsia" w:hAnsiTheme="minorEastAsia" w:eastAsiaTheme="minorEastAsia"/>
          <w:i/>
          <w:szCs w:val="21"/>
          <w:highlight w:val="none"/>
        </w:rPr>
        <w:t>目名称)</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签</w:t>
      </w:r>
      <w:r>
        <w:rPr>
          <w:rFonts w:hint="eastAsia" w:asciiTheme="minorEastAsia" w:hAnsiTheme="minorEastAsia" w:eastAsiaTheme="minorEastAsia"/>
          <w:szCs w:val="21"/>
          <w:highlight w:val="none"/>
        </w:rPr>
        <w:t>署上述投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文件、</w:t>
      </w:r>
      <w:r>
        <w:rPr>
          <w:rFonts w:hint="eastAsia" w:cs="宋体" w:asciiTheme="minorEastAsia" w:hAnsiTheme="minorEastAsia" w:eastAsiaTheme="minorEastAsia"/>
          <w:szCs w:val="21"/>
          <w:highlight w:val="none"/>
        </w:rPr>
        <w:t>进</w:t>
      </w:r>
      <w:r>
        <w:rPr>
          <w:rFonts w:hint="eastAsia" w:asciiTheme="minorEastAsia" w:hAnsiTheme="minorEastAsia" w:eastAsiaTheme="minorEastAsia"/>
          <w:szCs w:val="21"/>
          <w:highlight w:val="none"/>
        </w:rPr>
        <w:t>行合同</w:t>
      </w:r>
      <w:r>
        <w:rPr>
          <w:rFonts w:hint="eastAsia" w:cs="宋体" w:asciiTheme="minorEastAsia" w:hAnsiTheme="minorEastAsia" w:eastAsiaTheme="minorEastAsia"/>
          <w:szCs w:val="21"/>
          <w:highlight w:val="none"/>
        </w:rPr>
        <w:t>谈</w:t>
      </w:r>
      <w:r>
        <w:rPr>
          <w:rFonts w:hint="eastAsia" w:asciiTheme="minorEastAsia" w:hAnsiTheme="minorEastAsia" w:eastAsiaTheme="minorEastAsia"/>
          <w:szCs w:val="21"/>
          <w:highlight w:val="none"/>
        </w:rPr>
        <w:t>判、</w:t>
      </w:r>
      <w:r>
        <w:rPr>
          <w:rFonts w:hint="eastAsia" w:cs="宋体" w:asciiTheme="minorEastAsia" w:hAnsiTheme="minorEastAsia" w:eastAsiaTheme="minorEastAsia"/>
          <w:szCs w:val="21"/>
          <w:highlight w:val="none"/>
        </w:rPr>
        <w:t>签</w:t>
      </w:r>
      <w:r>
        <w:rPr>
          <w:rFonts w:hint="eastAsia" w:asciiTheme="minorEastAsia" w:hAnsiTheme="minorEastAsia" w:eastAsiaTheme="minorEastAsia"/>
          <w:szCs w:val="21"/>
          <w:highlight w:val="none"/>
        </w:rPr>
        <w:t>署合同和</w:t>
      </w:r>
      <w:r>
        <w:rPr>
          <w:rFonts w:hint="eastAsia" w:cs="宋体" w:asciiTheme="minorEastAsia" w:hAnsiTheme="minorEastAsia" w:eastAsiaTheme="minorEastAsia"/>
          <w:szCs w:val="21"/>
          <w:highlight w:val="none"/>
        </w:rPr>
        <w:t>处</w:t>
      </w:r>
      <w:r>
        <w:rPr>
          <w:rFonts w:hint="eastAsia" w:asciiTheme="minorEastAsia" w:hAnsiTheme="minorEastAsia" w:eastAsiaTheme="minorEastAsia"/>
          <w:szCs w:val="21"/>
          <w:highlight w:val="none"/>
        </w:rPr>
        <w:t>理与之有</w:t>
      </w:r>
      <w:r>
        <w:rPr>
          <w:rFonts w:hint="eastAsia" w:cs="宋体" w:asciiTheme="minorEastAsia" w:hAnsiTheme="minorEastAsia" w:eastAsiaTheme="minorEastAsia"/>
          <w:szCs w:val="21"/>
          <w:highlight w:val="none"/>
        </w:rPr>
        <w:t>关</w:t>
      </w:r>
      <w:r>
        <w:rPr>
          <w:rFonts w:hint="eastAsia" w:asciiTheme="minorEastAsia" w:hAnsiTheme="minorEastAsia" w:eastAsiaTheme="minorEastAsia"/>
          <w:szCs w:val="21"/>
          <w:highlight w:val="none"/>
        </w:rPr>
        <w:t>的一切事</w:t>
      </w:r>
      <w:r>
        <w:rPr>
          <w:rFonts w:hint="eastAsia" w:cs="宋体" w:asciiTheme="minorEastAsia" w:hAnsiTheme="minorEastAsia" w:eastAsiaTheme="minorEastAsia"/>
          <w:szCs w:val="21"/>
          <w:highlight w:val="none"/>
        </w:rPr>
        <w:t>务</w:t>
      </w:r>
      <w:r>
        <w:rPr>
          <w:rFonts w:hint="eastAsia" w:asciiTheme="minorEastAsia" w:hAnsiTheme="minorEastAsia" w:eastAsiaTheme="minorEastAsia"/>
          <w:szCs w:val="21"/>
          <w:highlight w:val="none"/>
        </w:rPr>
        <w:t>。</w:t>
      </w: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w:t>
      </w:r>
      <w:r>
        <w:rPr>
          <w:rFonts w:hint="eastAsia" w:cs="宋体" w:asciiTheme="minorEastAsia" w:hAnsiTheme="minorEastAsia" w:eastAsiaTheme="minorEastAsia"/>
          <w:szCs w:val="21"/>
          <w:highlight w:val="none"/>
        </w:rPr>
        <w:t>证</w:t>
      </w:r>
      <w:r>
        <w:rPr>
          <w:rFonts w:hint="eastAsia" w:asciiTheme="minorEastAsia" w:hAnsiTheme="minorEastAsia" w:eastAsiaTheme="minorEastAsia"/>
          <w:szCs w:val="21"/>
          <w:highlight w:val="none"/>
        </w:rPr>
        <w:t>明。</w:t>
      </w:r>
    </w:p>
    <w:p>
      <w:pPr>
        <w:spacing w:line="360" w:lineRule="auto"/>
        <w:ind w:firstLine="428" w:firstLineChars="200"/>
        <w:rPr>
          <w:rFonts w:asciiTheme="minorEastAsia" w:hAnsiTheme="minorEastAsia" w:eastAsiaTheme="minorEastAsia"/>
          <w:szCs w:val="21"/>
          <w:highlight w:val="none"/>
        </w:rPr>
      </w:pPr>
    </w:p>
    <w:p>
      <w:pPr>
        <w:spacing w:line="360" w:lineRule="auto"/>
        <w:ind w:firstLine="428"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人：</w:t>
      </w:r>
      <w:r>
        <w:rPr>
          <w:rFonts w:hint="eastAsia" w:asciiTheme="minorEastAsia" w:hAnsiTheme="minorEastAsia" w:eastAsiaTheme="minorEastAsia"/>
          <w:szCs w:val="21"/>
          <w:highlight w:val="none"/>
          <w:u w:val="single"/>
        </w:rPr>
        <w:t xml:space="preserve">                     (盖单位公章)                    </w:t>
      </w:r>
    </w:p>
    <w:p>
      <w:pPr>
        <w:spacing w:line="360" w:lineRule="auto"/>
        <w:ind w:firstLine="428"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日期：年月日</w:t>
      </w: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pStyle w:val="49"/>
        <w:outlineLvl w:val="9"/>
        <w:rPr>
          <w:rFonts w:asciiTheme="minorEastAsia" w:hAnsiTheme="minorEastAsia" w:eastAsiaTheme="minorEastAsia"/>
          <w:highlight w:val="none"/>
        </w:rPr>
      </w:pPr>
      <w:r>
        <w:rPr>
          <w:rFonts w:asciiTheme="minorEastAsia" w:hAnsiTheme="minorEastAsia" w:eastAsiaTheme="minorEastAsia"/>
          <w:highlight w:val="none"/>
        </w:rPr>
        <w:br w:type="page"/>
      </w:r>
      <w:bookmarkStart w:id="230" w:name="_Toc316986048"/>
      <w:bookmarkStart w:id="231" w:name="_Toc310965986"/>
      <w:bookmarkStart w:id="232" w:name="_Toc8924"/>
      <w:bookmarkStart w:id="233" w:name="_Toc310966105"/>
      <w:r>
        <w:rPr>
          <w:rFonts w:hint="eastAsia" w:asciiTheme="minorEastAsia" w:hAnsiTheme="minorEastAsia" w:eastAsiaTheme="minorEastAsia"/>
          <w:highlight w:val="none"/>
        </w:rPr>
        <w:t>四、授权委托书</w:t>
      </w:r>
      <w:bookmarkEnd w:id="230"/>
      <w:bookmarkEnd w:id="231"/>
      <w:bookmarkEnd w:id="232"/>
      <w:bookmarkEnd w:id="233"/>
    </w:p>
    <w:p>
      <w:pPr>
        <w:adjustRightInd w:val="0"/>
        <w:snapToGrid w:val="0"/>
        <w:spacing w:line="440" w:lineRule="exact"/>
        <w:contextualSpacing/>
        <w:rPr>
          <w:rFonts w:asciiTheme="minorEastAsia" w:hAnsiTheme="minorEastAsia" w:eastAsiaTheme="minorEastAsia"/>
          <w:szCs w:val="21"/>
          <w:highlight w:val="none"/>
        </w:rPr>
      </w:pPr>
    </w:p>
    <w:p>
      <w:pPr>
        <w:adjustRightInd w:val="0"/>
        <w:snapToGrid w:val="0"/>
        <w:spacing w:line="44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致：(招</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人)</w:t>
      </w: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本授</w:t>
      </w:r>
      <w:r>
        <w:rPr>
          <w:rFonts w:hint="eastAsia" w:cs="宋体" w:asciiTheme="minorEastAsia" w:hAnsiTheme="minorEastAsia" w:eastAsiaTheme="minorEastAsia"/>
          <w:szCs w:val="21"/>
          <w:highlight w:val="none"/>
        </w:rPr>
        <w:t>权书</w:t>
      </w:r>
      <w:r>
        <w:rPr>
          <w:rFonts w:hint="eastAsia" w:asciiTheme="minorEastAsia" w:hAnsiTheme="minorEastAsia" w:eastAsiaTheme="minorEastAsia"/>
          <w:szCs w:val="21"/>
          <w:highlight w:val="none"/>
        </w:rPr>
        <w:t>宣告，在下面</w:t>
      </w:r>
      <w:r>
        <w:rPr>
          <w:rFonts w:hint="eastAsia" w:cs="宋体" w:asciiTheme="minorEastAsia" w:hAnsiTheme="minorEastAsia" w:eastAsiaTheme="minorEastAsia"/>
          <w:szCs w:val="21"/>
          <w:highlight w:val="none"/>
        </w:rPr>
        <w:t>签</w:t>
      </w:r>
      <w:r>
        <w:rPr>
          <w:rFonts w:hint="eastAsia" w:asciiTheme="minorEastAsia" w:hAnsiTheme="minorEastAsia" w:eastAsiaTheme="minorEastAsia"/>
          <w:szCs w:val="21"/>
          <w:highlight w:val="none"/>
        </w:rPr>
        <w:t>字的</w:t>
      </w:r>
      <w:r>
        <w:rPr>
          <w:rFonts w:hint="eastAsia" w:asciiTheme="minorEastAsia" w:hAnsiTheme="minorEastAsia" w:eastAsiaTheme="minorEastAsia"/>
          <w:i/>
          <w:szCs w:val="21"/>
          <w:highlight w:val="none"/>
        </w:rPr>
        <w:t>(法定代表人姓名)</w:t>
      </w:r>
      <w:r>
        <w:rPr>
          <w:rFonts w:hint="eastAsia" w:asciiTheme="minorEastAsia" w:hAnsiTheme="minorEastAsia" w:eastAsiaTheme="minorEastAsia"/>
          <w:szCs w:val="21"/>
          <w:highlight w:val="none"/>
        </w:rPr>
        <w:t>以法定代表人身份代表本</w:t>
      </w:r>
      <w:r>
        <w:rPr>
          <w:rFonts w:hint="eastAsia" w:cs="宋体" w:asciiTheme="minorEastAsia" w:hAnsiTheme="minorEastAsia" w:eastAsiaTheme="minorEastAsia"/>
          <w:szCs w:val="21"/>
          <w:highlight w:val="none"/>
        </w:rPr>
        <w:t>单</w:t>
      </w:r>
      <w:r>
        <w:rPr>
          <w:rFonts w:hint="eastAsia" w:asciiTheme="minorEastAsia" w:hAnsiTheme="minorEastAsia" w:eastAsiaTheme="minorEastAsia"/>
          <w:szCs w:val="21"/>
          <w:highlight w:val="none"/>
        </w:rPr>
        <w:t>位授</w:t>
      </w:r>
      <w:r>
        <w:rPr>
          <w:rFonts w:hint="eastAsia" w:cs="宋体" w:asciiTheme="minorEastAsia" w:hAnsiTheme="minorEastAsia" w:eastAsiaTheme="minorEastAsia"/>
          <w:szCs w:val="21"/>
          <w:highlight w:val="none"/>
        </w:rPr>
        <w:t>权；</w:t>
      </w:r>
      <w:r>
        <w:rPr>
          <w:rFonts w:hint="eastAsia" w:cs="宋体" w:asciiTheme="minorEastAsia" w:hAnsiTheme="minorEastAsia" w:eastAsiaTheme="minorEastAsia"/>
          <w:i/>
          <w:szCs w:val="21"/>
          <w:highlight w:val="none"/>
        </w:rPr>
        <w:t>(授权委托人姓名)</w:t>
      </w:r>
      <w:r>
        <w:rPr>
          <w:rFonts w:hint="eastAsia" w:cs="宋体" w:asciiTheme="minorEastAsia" w:hAnsiTheme="minorEastAsia" w:eastAsiaTheme="minorEastAsia"/>
          <w:szCs w:val="21"/>
          <w:highlight w:val="none"/>
        </w:rPr>
        <w:t>，其身份证号码为，作为</w:t>
      </w:r>
      <w:r>
        <w:rPr>
          <w:rFonts w:hint="eastAsia" w:asciiTheme="minorEastAsia" w:hAnsiTheme="minorEastAsia" w:eastAsiaTheme="minorEastAsia"/>
          <w:szCs w:val="21"/>
          <w:highlight w:val="none"/>
        </w:rPr>
        <w:t>本</w:t>
      </w:r>
      <w:r>
        <w:rPr>
          <w:rFonts w:hint="eastAsia" w:cs="宋体" w:asciiTheme="minorEastAsia" w:hAnsiTheme="minorEastAsia" w:eastAsiaTheme="minorEastAsia"/>
          <w:szCs w:val="21"/>
          <w:highlight w:val="none"/>
        </w:rPr>
        <w:t>单</w:t>
      </w:r>
      <w:r>
        <w:rPr>
          <w:rFonts w:hint="eastAsia" w:asciiTheme="minorEastAsia" w:hAnsiTheme="minorEastAsia" w:eastAsiaTheme="minorEastAsia"/>
          <w:szCs w:val="21"/>
          <w:highlight w:val="none"/>
        </w:rPr>
        <w:t>位的合法授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代表，授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其在</w:t>
      </w:r>
      <w:r>
        <w:rPr>
          <w:rFonts w:hint="eastAsia" w:asciiTheme="minorEastAsia" w:hAnsiTheme="minorEastAsia" w:eastAsiaTheme="minorEastAsia"/>
          <w:i/>
          <w:szCs w:val="21"/>
          <w:highlight w:val="none"/>
        </w:rPr>
        <w:t>(招标</w:t>
      </w:r>
      <w:r>
        <w:rPr>
          <w:rFonts w:hint="eastAsia" w:cs="宋体" w:asciiTheme="minorEastAsia" w:hAnsiTheme="minorEastAsia" w:eastAsiaTheme="minorEastAsia"/>
          <w:i/>
          <w:szCs w:val="21"/>
          <w:highlight w:val="none"/>
        </w:rPr>
        <w:t>项</w:t>
      </w:r>
      <w:r>
        <w:rPr>
          <w:rFonts w:hint="eastAsia" w:asciiTheme="minorEastAsia" w:hAnsiTheme="minorEastAsia" w:eastAsiaTheme="minorEastAsia"/>
          <w:i/>
          <w:szCs w:val="21"/>
          <w:highlight w:val="none"/>
        </w:rPr>
        <w:t>目名称)</w:t>
      </w:r>
      <w:r>
        <w:rPr>
          <w:rFonts w:hint="eastAsia" w:cs="宋体" w:asciiTheme="minorEastAsia" w:hAnsiTheme="minorEastAsia" w:eastAsiaTheme="minorEastAsia"/>
          <w:szCs w:val="21"/>
          <w:highlight w:val="none"/>
        </w:rPr>
        <w:t>勘察</w:t>
      </w:r>
      <w:r>
        <w:rPr>
          <w:rFonts w:hint="eastAsia" w:asciiTheme="minorEastAsia" w:hAnsiTheme="minorEastAsia" w:eastAsiaTheme="minorEastAsia"/>
          <w:szCs w:val="21"/>
          <w:highlight w:val="none"/>
        </w:rPr>
        <w:t>招</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活</w:t>
      </w:r>
      <w:r>
        <w:rPr>
          <w:rFonts w:hint="eastAsia" w:cs="宋体" w:asciiTheme="minorEastAsia" w:hAnsiTheme="minorEastAsia" w:eastAsiaTheme="minorEastAsia"/>
          <w:szCs w:val="21"/>
          <w:highlight w:val="none"/>
        </w:rPr>
        <w:t>动</w:t>
      </w:r>
      <w:r>
        <w:rPr>
          <w:rFonts w:hint="eastAsia" w:asciiTheme="minorEastAsia" w:hAnsiTheme="minorEastAsia" w:eastAsiaTheme="minorEastAsia"/>
          <w:szCs w:val="21"/>
          <w:highlight w:val="none"/>
        </w:rPr>
        <w:t>中，以本</w:t>
      </w:r>
      <w:r>
        <w:rPr>
          <w:rFonts w:hint="eastAsia" w:cs="宋体" w:asciiTheme="minorEastAsia" w:hAnsiTheme="minorEastAsia" w:eastAsiaTheme="minorEastAsia"/>
          <w:szCs w:val="21"/>
          <w:highlight w:val="none"/>
        </w:rPr>
        <w:t>单</w:t>
      </w:r>
      <w:r>
        <w:rPr>
          <w:rFonts w:hint="eastAsia" w:asciiTheme="minorEastAsia" w:hAnsiTheme="minorEastAsia" w:eastAsiaTheme="minorEastAsia"/>
          <w:szCs w:val="21"/>
          <w:highlight w:val="none"/>
        </w:rPr>
        <w:t>位的名</w:t>
      </w:r>
      <w:r>
        <w:rPr>
          <w:rFonts w:hint="eastAsia" w:cs="宋体" w:asciiTheme="minorEastAsia" w:hAnsiTheme="minorEastAsia" w:eastAsiaTheme="minorEastAsia"/>
          <w:szCs w:val="21"/>
          <w:highlight w:val="none"/>
        </w:rPr>
        <w:t>义</w:t>
      </w:r>
      <w:r>
        <w:rPr>
          <w:rFonts w:hint="eastAsia" w:asciiTheme="minorEastAsia" w:hAnsiTheme="minorEastAsia" w:eastAsiaTheme="minorEastAsia"/>
          <w:szCs w:val="21"/>
          <w:highlight w:val="none"/>
        </w:rPr>
        <w:t>，并代表本人与你</w:t>
      </w:r>
      <w:r>
        <w:rPr>
          <w:rFonts w:hint="eastAsia" w:cs="宋体" w:asciiTheme="minorEastAsia" w:hAnsiTheme="minorEastAsia" w:eastAsiaTheme="minorEastAsia"/>
          <w:szCs w:val="21"/>
          <w:highlight w:val="none"/>
        </w:rPr>
        <w:t>们进</w:t>
      </w:r>
      <w:r>
        <w:rPr>
          <w:rFonts w:hint="eastAsia" w:asciiTheme="minorEastAsia" w:hAnsiTheme="minorEastAsia" w:eastAsiaTheme="minorEastAsia"/>
          <w:szCs w:val="21"/>
          <w:highlight w:val="none"/>
        </w:rPr>
        <w:t>行磋商、</w:t>
      </w:r>
      <w:r>
        <w:rPr>
          <w:rFonts w:hint="eastAsia" w:cs="宋体" w:asciiTheme="minorEastAsia" w:hAnsiTheme="minorEastAsia" w:eastAsiaTheme="minorEastAsia"/>
          <w:szCs w:val="21"/>
          <w:highlight w:val="none"/>
        </w:rPr>
        <w:t>签</w:t>
      </w:r>
      <w:r>
        <w:rPr>
          <w:rFonts w:hint="eastAsia" w:asciiTheme="minorEastAsia" w:hAnsiTheme="minorEastAsia" w:eastAsiaTheme="minorEastAsia"/>
          <w:szCs w:val="21"/>
          <w:highlight w:val="none"/>
        </w:rPr>
        <w:t>署文件和</w:t>
      </w:r>
      <w:r>
        <w:rPr>
          <w:rFonts w:hint="eastAsia" w:cs="宋体" w:asciiTheme="minorEastAsia" w:hAnsiTheme="minorEastAsia" w:eastAsiaTheme="minorEastAsia"/>
          <w:szCs w:val="21"/>
          <w:highlight w:val="none"/>
        </w:rPr>
        <w:t>处</w:t>
      </w:r>
      <w:r>
        <w:rPr>
          <w:rFonts w:hint="eastAsia" w:asciiTheme="minorEastAsia" w:hAnsiTheme="minorEastAsia" w:eastAsiaTheme="minorEastAsia"/>
          <w:szCs w:val="21"/>
          <w:highlight w:val="none"/>
        </w:rPr>
        <w:t>理一切与此事有</w:t>
      </w:r>
      <w:r>
        <w:rPr>
          <w:rFonts w:hint="eastAsia" w:cs="宋体" w:asciiTheme="minorEastAsia" w:hAnsiTheme="minorEastAsia" w:eastAsiaTheme="minorEastAsia"/>
          <w:szCs w:val="21"/>
          <w:highlight w:val="none"/>
        </w:rPr>
        <w:t>关</w:t>
      </w:r>
      <w:r>
        <w:rPr>
          <w:rFonts w:hint="eastAsia" w:asciiTheme="minorEastAsia" w:hAnsiTheme="minorEastAsia" w:eastAsiaTheme="minorEastAsia"/>
          <w:szCs w:val="21"/>
          <w:highlight w:val="none"/>
        </w:rPr>
        <w:t>的事</w:t>
      </w:r>
      <w:r>
        <w:rPr>
          <w:rFonts w:hint="eastAsia" w:cs="宋体" w:asciiTheme="minorEastAsia" w:hAnsiTheme="minorEastAsia" w:eastAsiaTheme="minorEastAsia"/>
          <w:szCs w:val="21"/>
          <w:highlight w:val="none"/>
        </w:rPr>
        <w:t>务</w:t>
      </w:r>
      <w:r>
        <w:rPr>
          <w:rFonts w:hint="eastAsia" w:asciiTheme="minorEastAsia" w:hAnsiTheme="minorEastAsia" w:eastAsiaTheme="minorEastAsia"/>
          <w:szCs w:val="21"/>
          <w:highlight w:val="none"/>
        </w:rPr>
        <w:t>。授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代表的一切行</w:t>
      </w:r>
      <w:r>
        <w:rPr>
          <w:rFonts w:hint="eastAsia" w:cs="宋体" w:asciiTheme="minorEastAsia" w:hAnsiTheme="minorEastAsia" w:eastAsiaTheme="minorEastAsia"/>
          <w:szCs w:val="21"/>
          <w:highlight w:val="none"/>
        </w:rPr>
        <w:t>为</w:t>
      </w:r>
      <w:r>
        <w:rPr>
          <w:rFonts w:hint="eastAsia" w:asciiTheme="minorEastAsia" w:hAnsiTheme="minorEastAsia" w:eastAsiaTheme="minorEastAsia"/>
          <w:szCs w:val="21"/>
          <w:highlight w:val="none"/>
        </w:rPr>
        <w:t>均代表本</w:t>
      </w:r>
      <w:r>
        <w:rPr>
          <w:rFonts w:hint="eastAsia" w:cs="宋体" w:asciiTheme="minorEastAsia" w:hAnsiTheme="minorEastAsia" w:eastAsiaTheme="minorEastAsia"/>
          <w:szCs w:val="21"/>
          <w:highlight w:val="none"/>
        </w:rPr>
        <w:t>单</w:t>
      </w:r>
      <w:r>
        <w:rPr>
          <w:rFonts w:hint="eastAsia" w:asciiTheme="minorEastAsia" w:hAnsiTheme="minorEastAsia" w:eastAsiaTheme="minorEastAsia"/>
          <w:szCs w:val="21"/>
          <w:highlight w:val="none"/>
        </w:rPr>
        <w:t>位，与本人的行</w:t>
      </w:r>
      <w:r>
        <w:rPr>
          <w:rFonts w:hint="eastAsia" w:cs="宋体" w:asciiTheme="minorEastAsia" w:hAnsiTheme="minorEastAsia" w:eastAsiaTheme="minorEastAsia"/>
          <w:szCs w:val="21"/>
          <w:highlight w:val="none"/>
        </w:rPr>
        <w:t>为</w:t>
      </w:r>
      <w:r>
        <w:rPr>
          <w:rFonts w:hint="eastAsia" w:asciiTheme="minorEastAsia" w:hAnsiTheme="minorEastAsia" w:eastAsiaTheme="minorEastAsia"/>
          <w:szCs w:val="21"/>
          <w:highlight w:val="none"/>
        </w:rPr>
        <w:t>具有同等法律效力。本</w:t>
      </w:r>
      <w:r>
        <w:rPr>
          <w:rFonts w:hint="eastAsia" w:cs="宋体" w:asciiTheme="minorEastAsia" w:hAnsiTheme="minorEastAsia" w:eastAsiaTheme="minorEastAsia"/>
          <w:szCs w:val="21"/>
          <w:highlight w:val="none"/>
        </w:rPr>
        <w:t>单</w:t>
      </w:r>
      <w:r>
        <w:rPr>
          <w:rFonts w:hint="eastAsia" w:asciiTheme="minorEastAsia" w:hAnsiTheme="minorEastAsia" w:eastAsiaTheme="minorEastAsia"/>
          <w:szCs w:val="21"/>
          <w:highlight w:val="none"/>
        </w:rPr>
        <w:t>位将承担授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代表行</w:t>
      </w:r>
      <w:r>
        <w:rPr>
          <w:rFonts w:hint="eastAsia" w:cs="宋体" w:asciiTheme="minorEastAsia" w:hAnsiTheme="minorEastAsia" w:eastAsiaTheme="minorEastAsia"/>
          <w:szCs w:val="21"/>
          <w:highlight w:val="none"/>
        </w:rPr>
        <w:t>为</w:t>
      </w:r>
      <w:r>
        <w:rPr>
          <w:rFonts w:hint="eastAsia" w:asciiTheme="minorEastAsia" w:hAnsiTheme="minorEastAsia" w:eastAsiaTheme="minorEastAsia"/>
          <w:szCs w:val="21"/>
          <w:highlight w:val="none"/>
        </w:rPr>
        <w:t>的全部法律</w:t>
      </w:r>
      <w:r>
        <w:rPr>
          <w:rFonts w:hint="eastAsia" w:cs="宋体" w:asciiTheme="minorEastAsia" w:hAnsiTheme="minorEastAsia" w:eastAsiaTheme="minorEastAsia"/>
          <w:szCs w:val="21"/>
          <w:highlight w:val="none"/>
        </w:rPr>
        <w:t>责</w:t>
      </w:r>
      <w:r>
        <w:rPr>
          <w:rFonts w:hint="eastAsia" w:asciiTheme="minorEastAsia" w:hAnsiTheme="minorEastAsia" w:eastAsiaTheme="minorEastAsia"/>
          <w:szCs w:val="21"/>
          <w:highlight w:val="none"/>
        </w:rPr>
        <w:t>任和后果。</w:t>
      </w:r>
    </w:p>
    <w:p>
      <w:pPr>
        <w:adjustRightInd w:val="0"/>
        <w:snapToGrid w:val="0"/>
        <w:spacing w:line="44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本授权委托书期限自年月日起至年月日止。</w:t>
      </w:r>
    </w:p>
    <w:p>
      <w:pPr>
        <w:adjustRightInd w:val="0"/>
        <w:snapToGrid w:val="0"/>
        <w:spacing w:line="44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代表无</w:t>
      </w:r>
      <w:r>
        <w:rPr>
          <w:rFonts w:hint="eastAsia" w:cs="宋体" w:asciiTheme="minorEastAsia" w:hAnsiTheme="minorEastAsia" w:eastAsiaTheme="minorEastAsia"/>
          <w:szCs w:val="21"/>
          <w:highlight w:val="none"/>
        </w:rPr>
        <w:t>权转让</w:t>
      </w:r>
      <w:r>
        <w:rPr>
          <w:rFonts w:hint="eastAsia" w:asciiTheme="minorEastAsia" w:hAnsiTheme="minorEastAsia" w:eastAsiaTheme="minorEastAsia"/>
          <w:szCs w:val="21"/>
          <w:highlight w:val="none"/>
        </w:rPr>
        <w:t>委托</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，特此委托。</w:t>
      </w:r>
    </w:p>
    <w:p>
      <w:pPr>
        <w:adjustRightInd w:val="0"/>
        <w:snapToGrid w:val="0"/>
        <w:spacing w:line="440" w:lineRule="exact"/>
        <w:contextualSpacing/>
        <w:rPr>
          <w:rFonts w:asciiTheme="minorEastAsia" w:hAnsiTheme="minorEastAsia" w:eastAsiaTheme="minorEastAsia"/>
          <w:szCs w:val="21"/>
          <w:highlight w:val="none"/>
        </w:rPr>
      </w:pP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人：</w:t>
      </w:r>
      <w:r>
        <w:rPr>
          <w:rFonts w:hint="eastAsia" w:asciiTheme="minorEastAsia" w:hAnsiTheme="minorEastAsia" w:eastAsiaTheme="minorEastAsia"/>
          <w:szCs w:val="21"/>
          <w:highlight w:val="none"/>
          <w:u w:val="single"/>
        </w:rPr>
        <w:t xml:space="preserve">                     (盖单位公章)                    </w:t>
      </w: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w:t>
      </w:r>
      <w:r>
        <w:rPr>
          <w:rFonts w:hint="eastAsia" w:asciiTheme="minorEastAsia" w:hAnsiTheme="minorEastAsia" w:eastAsiaTheme="minorEastAsia"/>
          <w:szCs w:val="21"/>
          <w:highlight w:val="none"/>
          <w:u w:val="single"/>
        </w:rPr>
        <w:t xml:space="preserve">        (签字或盖章)    </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职务</w:t>
      </w:r>
      <w:r>
        <w:rPr>
          <w:rFonts w:hint="eastAsia" w:asciiTheme="minorEastAsia" w:hAnsiTheme="minorEastAsia" w:eastAsiaTheme="minorEastAsia"/>
          <w:szCs w:val="21"/>
          <w:highlight w:val="none"/>
        </w:rPr>
        <w:t>：</w:t>
      </w: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委托人：</w:t>
      </w:r>
      <w:r>
        <w:rPr>
          <w:rFonts w:hint="eastAsia" w:asciiTheme="minorEastAsia" w:hAnsiTheme="minorEastAsia" w:eastAsiaTheme="minorEastAsia"/>
          <w:szCs w:val="21"/>
          <w:highlight w:val="none"/>
          <w:u w:val="single"/>
        </w:rPr>
        <w:t xml:space="preserve">        (签字)          </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职务</w:t>
      </w:r>
      <w:r>
        <w:rPr>
          <w:rFonts w:hint="eastAsia" w:asciiTheme="minorEastAsia" w:hAnsiTheme="minorEastAsia" w:eastAsiaTheme="minorEastAsia"/>
          <w:szCs w:val="21"/>
          <w:highlight w:val="none"/>
        </w:rPr>
        <w:t>：</w:t>
      </w:r>
    </w:p>
    <w:p>
      <w:pPr>
        <w:adjustRightInd w:val="0"/>
        <w:snapToGrid w:val="0"/>
        <w:spacing w:line="440" w:lineRule="exact"/>
        <w:ind w:firstLine="428" w:firstLineChars="200"/>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日期：年月日</w:t>
      </w:r>
    </w:p>
    <w:p>
      <w:pPr>
        <w:spacing w:line="360" w:lineRule="auto"/>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p>
    <w:p>
      <w:pPr>
        <w:pStyle w:val="10"/>
        <w:tabs>
          <w:tab w:val="left" w:pos="1000"/>
        </w:tabs>
        <w:spacing w:line="360" w:lineRule="auto"/>
        <w:rPr>
          <w:rFonts w:asciiTheme="minorEastAsia" w:hAnsiTheme="minorEastAsia" w:eastAsiaTheme="minorEastAsia"/>
          <w:szCs w:val="21"/>
          <w:highlight w:val="none"/>
        </w:rPr>
        <w:sectPr>
          <w:pgSz w:w="11906" w:h="16838"/>
          <w:pgMar w:top="1417" w:right="1417" w:bottom="1417" w:left="1417" w:header="850" w:footer="992" w:gutter="283"/>
          <w:cols w:space="0" w:num="1"/>
          <w:rtlGutter w:val="0"/>
          <w:docGrid w:type="linesAndChars" w:linePitch="312" w:charSpace="894"/>
        </w:sectPr>
      </w:pPr>
    </w:p>
    <w:p>
      <w:pPr>
        <w:pStyle w:val="49"/>
        <w:outlineLvl w:val="9"/>
        <w:rPr>
          <w:rFonts w:asciiTheme="minorEastAsia" w:hAnsiTheme="minorEastAsia" w:eastAsiaTheme="minorEastAsia"/>
          <w:highlight w:val="none"/>
        </w:rPr>
      </w:pPr>
      <w:bookmarkStart w:id="234" w:name="_Toc13813"/>
      <w:bookmarkStart w:id="235" w:name="_Toc316986050"/>
      <w:bookmarkStart w:id="236" w:name="_Toc310966107"/>
      <w:bookmarkStart w:id="237" w:name="_Toc310965988"/>
      <w:r>
        <w:rPr>
          <w:rFonts w:hint="eastAsia" w:asciiTheme="minorEastAsia" w:hAnsiTheme="minorEastAsia" w:eastAsiaTheme="minorEastAsia"/>
          <w:highlight w:val="none"/>
        </w:rPr>
        <w:t>五、企业业绩</w:t>
      </w:r>
      <w:bookmarkEnd w:id="234"/>
      <w:bookmarkEnd w:id="235"/>
      <w:bookmarkEnd w:id="236"/>
      <w:bookmarkEnd w:id="237"/>
    </w:p>
    <w:p>
      <w:pPr>
        <w:spacing w:line="360" w:lineRule="auto"/>
        <w:ind w:firstLine="428" w:firstLineChars="20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说明：</w:t>
      </w:r>
    </w:p>
    <w:p>
      <w:pPr>
        <w:spacing w:line="360" w:lineRule="auto"/>
        <w:ind w:firstLine="428"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b/>
          <w:szCs w:val="21"/>
          <w:highlight w:val="none"/>
          <w:u w:val="double"/>
        </w:rPr>
        <w:t>采用综合评估法评标的，投标人应根据综合评估法的评分标准要求提供能够恰当证明投标人可以得分的资料，原件备查</w:t>
      </w:r>
      <w:r>
        <w:rPr>
          <w:rFonts w:hint="eastAsia" w:asciiTheme="minorEastAsia" w:hAnsiTheme="minorEastAsia" w:eastAsiaTheme="minorEastAsia"/>
          <w:b/>
          <w:szCs w:val="21"/>
          <w:highlight w:val="none"/>
        </w:rPr>
        <w:t>。</w:t>
      </w:r>
    </w:p>
    <w:p>
      <w:pPr>
        <w:pStyle w:val="49"/>
        <w:outlineLvl w:val="9"/>
        <w:rPr>
          <w:rFonts w:asciiTheme="minorEastAsia" w:hAnsiTheme="minorEastAsia" w:eastAsiaTheme="minorEastAsia"/>
          <w:highlight w:val="none"/>
        </w:rPr>
      </w:pPr>
      <w:bookmarkStart w:id="238" w:name="_Toc310966108"/>
      <w:bookmarkStart w:id="239" w:name="_Toc310965989"/>
      <w:bookmarkStart w:id="240" w:name="_Toc15486"/>
      <w:r>
        <w:rPr>
          <w:rFonts w:hint="eastAsia" w:asciiTheme="minorEastAsia" w:hAnsiTheme="minorEastAsia" w:eastAsiaTheme="minorEastAsia"/>
          <w:highlight w:val="none"/>
        </w:rPr>
        <w:t>投标人近年来完成与该项目类似工程情况表</w:t>
      </w:r>
      <w:bookmarkEnd w:id="238"/>
      <w:bookmarkEnd w:id="239"/>
      <w:bookmarkEnd w:id="240"/>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建设单位</w:t>
            </w:r>
          </w:p>
        </w:tc>
        <w:tc>
          <w:tcPr>
            <w:tcW w:w="6345" w:type="dxa"/>
            <w:vAlign w:val="center"/>
          </w:tcPr>
          <w:p>
            <w:pPr>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工程名称</w:t>
            </w:r>
          </w:p>
        </w:tc>
        <w:tc>
          <w:tcPr>
            <w:tcW w:w="6345" w:type="dxa"/>
            <w:vAlign w:val="center"/>
          </w:tcPr>
          <w:p>
            <w:pPr>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建设规模</w:t>
            </w:r>
          </w:p>
          <w:p>
            <w:pPr>
              <w:jc w:val="center"/>
              <w:rPr>
                <w:rFonts w:asciiTheme="minorEastAsia" w:hAnsiTheme="minorEastAsia" w:eastAsiaTheme="minorEastAsia"/>
                <w:szCs w:val="21"/>
                <w:highlight w:val="none"/>
              </w:rPr>
            </w:pPr>
          </w:p>
        </w:tc>
        <w:tc>
          <w:tcPr>
            <w:tcW w:w="6345" w:type="dxa"/>
            <w:vAlign w:val="center"/>
          </w:tcPr>
          <w:p>
            <w:pPr>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完成日期</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(年/月/日)</w:t>
            </w:r>
          </w:p>
        </w:tc>
        <w:tc>
          <w:tcPr>
            <w:tcW w:w="6345" w:type="dxa"/>
            <w:vAlign w:val="center"/>
          </w:tcPr>
          <w:p>
            <w:pPr>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6345" w:type="dxa"/>
            <w:vAlign w:val="center"/>
          </w:tcPr>
          <w:p>
            <w:pPr>
              <w:jc w:val="center"/>
              <w:rPr>
                <w:rFonts w:asciiTheme="minorEastAsia" w:hAnsiTheme="minorEastAsia" w:eastAsiaTheme="minorEastAsia"/>
                <w:szCs w:val="21"/>
                <w:highlight w:val="none"/>
              </w:rPr>
            </w:pPr>
          </w:p>
        </w:tc>
      </w:tr>
    </w:tbl>
    <w:p>
      <w:pPr>
        <w:spacing w:line="360" w:lineRule="auto"/>
        <w:ind w:firstLine="428"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w:t>
      </w:r>
      <w:r>
        <w:rPr>
          <w:rFonts w:hint="eastAsia" w:cs="宋体" w:asciiTheme="minorEastAsia" w:hAnsiTheme="minorEastAsia" w:eastAsiaTheme="minorEastAsia"/>
          <w:szCs w:val="21"/>
          <w:highlight w:val="none"/>
        </w:rPr>
        <w:t>标</w:t>
      </w:r>
      <w:r>
        <w:rPr>
          <w:rFonts w:hint="eastAsia" w:asciiTheme="minorEastAsia" w:hAnsiTheme="minorEastAsia" w:eastAsiaTheme="minorEastAsia"/>
          <w:szCs w:val="21"/>
          <w:highlight w:val="none"/>
        </w:rPr>
        <w:t>人：</w:t>
      </w:r>
      <w:r>
        <w:rPr>
          <w:rFonts w:hint="eastAsia" w:asciiTheme="minorEastAsia" w:hAnsiTheme="minorEastAsia" w:eastAsiaTheme="minorEastAsia"/>
          <w:szCs w:val="21"/>
          <w:highlight w:val="none"/>
          <w:u w:val="single"/>
        </w:rPr>
        <w:t xml:space="preserve">                     (盖单位公章)                    </w:t>
      </w:r>
    </w:p>
    <w:p>
      <w:pPr>
        <w:spacing w:line="360" w:lineRule="auto"/>
        <w:ind w:firstLine="428"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w:t>
      </w:r>
      <w:r>
        <w:rPr>
          <w:rFonts w:hint="eastAsia" w:asciiTheme="minorEastAsia" w:hAnsiTheme="minorEastAsia" w:eastAsiaTheme="minorEastAsia"/>
          <w:szCs w:val="21"/>
          <w:highlight w:val="none"/>
          <w:u w:val="single"/>
        </w:rPr>
        <w:t xml:space="preserve">    (签字或盖章)</w:t>
      </w:r>
      <w:r>
        <w:rPr>
          <w:rFonts w:hint="eastAsia" w:asciiTheme="minorEastAsia" w:hAnsiTheme="minorEastAsia" w:eastAsiaTheme="minorEastAsia"/>
          <w:szCs w:val="21"/>
          <w:highlight w:val="none"/>
        </w:rPr>
        <w:t>或授</w:t>
      </w:r>
      <w:r>
        <w:rPr>
          <w:rFonts w:hint="eastAsia" w:cs="宋体" w:asciiTheme="minorEastAsia" w:hAnsiTheme="minorEastAsia" w:eastAsiaTheme="minorEastAsia"/>
          <w:szCs w:val="21"/>
          <w:highlight w:val="none"/>
        </w:rPr>
        <w:t>权</w:t>
      </w:r>
      <w:r>
        <w:rPr>
          <w:rFonts w:hint="eastAsia" w:asciiTheme="minorEastAsia" w:hAnsiTheme="minorEastAsia" w:eastAsiaTheme="minorEastAsia"/>
          <w:szCs w:val="21"/>
          <w:highlight w:val="none"/>
        </w:rPr>
        <w:t>委托人：</w:t>
      </w:r>
      <w:r>
        <w:rPr>
          <w:rFonts w:hint="eastAsia" w:asciiTheme="minorEastAsia" w:hAnsiTheme="minorEastAsia" w:eastAsiaTheme="minorEastAsia"/>
          <w:szCs w:val="21"/>
          <w:highlight w:val="none"/>
          <w:u w:val="single"/>
        </w:rPr>
        <w:t xml:space="preserve">          (签字)   </w:t>
      </w:r>
    </w:p>
    <w:p>
      <w:pPr>
        <w:spacing w:line="360" w:lineRule="auto"/>
        <w:ind w:firstLine="428"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日期：年月日</w:t>
      </w:r>
    </w:p>
    <w:p>
      <w:pPr>
        <w:ind w:left="826" w:hanging="838" w:hangingChars="392"/>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注：</w:t>
      </w:r>
    </w:p>
    <w:p>
      <w:pPr>
        <w:ind w:firstLine="418" w:firstLineChars="196"/>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1、投</w:t>
      </w:r>
      <w:r>
        <w:rPr>
          <w:rFonts w:hint="eastAsia" w:cs="宋体" w:asciiTheme="minorEastAsia" w:hAnsiTheme="minorEastAsia" w:eastAsiaTheme="minorEastAsia"/>
          <w:b/>
          <w:szCs w:val="21"/>
          <w:highlight w:val="none"/>
        </w:rPr>
        <w:t>标</w:t>
      </w:r>
      <w:r>
        <w:rPr>
          <w:rFonts w:hint="eastAsia" w:asciiTheme="minorEastAsia" w:hAnsiTheme="minorEastAsia" w:eastAsiaTheme="minorEastAsia"/>
          <w:b/>
          <w:szCs w:val="21"/>
          <w:highlight w:val="none"/>
        </w:rPr>
        <w:t>人</w:t>
      </w:r>
      <w:r>
        <w:rPr>
          <w:rFonts w:hint="eastAsia" w:cs="宋体" w:asciiTheme="minorEastAsia" w:hAnsiTheme="minorEastAsia" w:eastAsiaTheme="minorEastAsia"/>
          <w:b/>
          <w:szCs w:val="21"/>
          <w:highlight w:val="none"/>
        </w:rPr>
        <w:t>应</w:t>
      </w:r>
      <w:r>
        <w:rPr>
          <w:rFonts w:hint="eastAsia" w:asciiTheme="minorEastAsia" w:hAnsiTheme="minorEastAsia" w:eastAsiaTheme="minorEastAsia"/>
          <w:b/>
          <w:szCs w:val="21"/>
          <w:highlight w:val="none"/>
        </w:rPr>
        <w:t>随此表附上相</w:t>
      </w:r>
      <w:r>
        <w:rPr>
          <w:rFonts w:hint="eastAsia" w:cs="宋体" w:asciiTheme="minorEastAsia" w:hAnsiTheme="minorEastAsia" w:eastAsiaTheme="minorEastAsia"/>
          <w:b/>
          <w:szCs w:val="21"/>
          <w:highlight w:val="none"/>
        </w:rPr>
        <w:t>关</w:t>
      </w:r>
      <w:r>
        <w:rPr>
          <w:rFonts w:hint="eastAsia" w:asciiTheme="minorEastAsia" w:hAnsiTheme="minorEastAsia" w:eastAsiaTheme="minorEastAsia"/>
          <w:b/>
          <w:szCs w:val="21"/>
          <w:highlight w:val="none"/>
        </w:rPr>
        <w:t>的</w:t>
      </w:r>
      <w:r>
        <w:rPr>
          <w:rFonts w:hint="eastAsia" w:cs="宋体" w:asciiTheme="minorEastAsia" w:hAnsiTheme="minorEastAsia" w:eastAsiaTheme="minorEastAsia"/>
          <w:b/>
          <w:szCs w:val="21"/>
          <w:highlight w:val="none"/>
        </w:rPr>
        <w:t>业绩证</w:t>
      </w:r>
      <w:r>
        <w:rPr>
          <w:rFonts w:hint="eastAsia" w:asciiTheme="minorEastAsia" w:hAnsiTheme="minorEastAsia" w:eastAsiaTheme="minorEastAsia"/>
          <w:b/>
          <w:szCs w:val="21"/>
          <w:highlight w:val="none"/>
        </w:rPr>
        <w:t>明，原件备查。</w:t>
      </w:r>
    </w:p>
    <w:p>
      <w:pPr>
        <w:ind w:firstLine="418" w:firstLineChars="196"/>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2、如有多个已完成</w:t>
      </w:r>
      <w:r>
        <w:rPr>
          <w:rFonts w:hint="eastAsia" w:cs="宋体" w:asciiTheme="minorEastAsia" w:hAnsiTheme="minorEastAsia" w:eastAsiaTheme="minorEastAsia"/>
          <w:b/>
          <w:szCs w:val="21"/>
          <w:highlight w:val="none"/>
        </w:rPr>
        <w:t>项</w:t>
      </w:r>
      <w:r>
        <w:rPr>
          <w:rFonts w:hint="eastAsia" w:asciiTheme="minorEastAsia" w:hAnsiTheme="minorEastAsia" w:eastAsiaTheme="minorEastAsia"/>
          <w:b/>
          <w:szCs w:val="21"/>
          <w:highlight w:val="none"/>
        </w:rPr>
        <w:t>目，</w:t>
      </w:r>
      <w:r>
        <w:rPr>
          <w:rFonts w:hint="eastAsia" w:cs="宋体" w:asciiTheme="minorEastAsia" w:hAnsiTheme="minorEastAsia" w:eastAsiaTheme="minorEastAsia"/>
          <w:b/>
          <w:szCs w:val="21"/>
          <w:highlight w:val="none"/>
        </w:rPr>
        <w:t>每</w:t>
      </w:r>
      <w:r>
        <w:rPr>
          <w:rFonts w:hint="eastAsia" w:asciiTheme="minorEastAsia" w:hAnsiTheme="minorEastAsia" w:eastAsiaTheme="minorEastAsia"/>
          <w:b/>
          <w:szCs w:val="21"/>
          <w:highlight w:val="none"/>
        </w:rPr>
        <w:t>个</w:t>
      </w:r>
      <w:r>
        <w:rPr>
          <w:rFonts w:hint="eastAsia" w:cs="宋体" w:asciiTheme="minorEastAsia" w:hAnsiTheme="minorEastAsia" w:eastAsiaTheme="minorEastAsia"/>
          <w:b/>
          <w:szCs w:val="21"/>
          <w:highlight w:val="none"/>
        </w:rPr>
        <w:t>项</w:t>
      </w:r>
      <w:r>
        <w:rPr>
          <w:rFonts w:hint="eastAsia" w:asciiTheme="minorEastAsia" w:hAnsiTheme="minorEastAsia" w:eastAsiaTheme="minorEastAsia"/>
          <w:b/>
          <w:szCs w:val="21"/>
          <w:highlight w:val="none"/>
        </w:rPr>
        <w:t>目填一</w:t>
      </w:r>
      <w:r>
        <w:rPr>
          <w:rFonts w:hint="eastAsia" w:cs="宋体" w:asciiTheme="minorEastAsia" w:hAnsiTheme="minorEastAsia" w:eastAsiaTheme="minorEastAsia"/>
          <w:b/>
          <w:szCs w:val="21"/>
          <w:highlight w:val="none"/>
        </w:rPr>
        <w:t>张</w:t>
      </w:r>
      <w:r>
        <w:rPr>
          <w:rFonts w:hint="eastAsia" w:asciiTheme="minorEastAsia" w:hAnsiTheme="minorEastAsia" w:eastAsiaTheme="minorEastAsia"/>
          <w:b/>
          <w:szCs w:val="21"/>
          <w:highlight w:val="none"/>
        </w:rPr>
        <w:t>此表，附后。</w:t>
      </w:r>
    </w:p>
    <w:p>
      <w:pPr>
        <w:rPr>
          <w:rFonts w:asciiTheme="minorEastAsia" w:hAnsiTheme="minorEastAsia" w:eastAsiaTheme="minorEastAsia"/>
          <w:szCs w:val="21"/>
          <w:highlight w:val="none"/>
        </w:rPr>
      </w:pPr>
    </w:p>
    <w:bookmarkEnd w:id="241"/>
    <w:sectPr>
      <w:footerReference r:id="rId7" w:type="first"/>
      <w:footerReference r:id="rId6" w:type="default"/>
      <w:pgSz w:w="11906" w:h="16838"/>
      <w:pgMar w:top="1417" w:right="1417" w:bottom="1417" w:left="1417" w:header="850" w:footer="992" w:gutter="283"/>
      <w:cols w:space="0" w:num="1"/>
      <w:rtlGutter w:val="0"/>
      <w:docGrid w:type="linesAndChars" w:linePitch="312" w:charSpace="8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48586042"/>
                          </w:sdtPr>
                          <w:sdtContent>
                            <w:p>
                              <w:pPr>
                                <w:pStyle w:val="21"/>
                                <w:jc w:val="center"/>
                              </w:pPr>
                              <w:r>
                                <w:fldChar w:fldCharType="begin"/>
                              </w:r>
                              <w:r>
                                <w:instrText xml:space="preserve">PAGE   \* MERGEFORMAT</w:instrText>
                              </w:r>
                              <w:r>
                                <w:fldChar w:fldCharType="separate"/>
                              </w:r>
                              <w:r>
                                <w:rPr>
                                  <w:lang w:val="zh-CN"/>
                                </w:rPr>
                                <w:t>54</w:t>
                              </w:r>
                              <w:r>
                                <w:rPr>
                                  <w:lang w:val="zh-CN"/>
                                </w:rPr>
                                <w:fldChar w:fldCharType="end"/>
                              </w:r>
                            </w:p>
                          </w:sdtContent>
                        </w:sdt>
                        <w:p>
                          <w:pPr>
                            <w:pStyle w:val="10"/>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TkPc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VrShy3OPHL92+XH78uP7+S&#10;Z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UVOQ9yQEAAJoDAAAOAAAAAAAAAAEAIAAAAB4BAABkcnMvZTJvRG9j&#10;LnhtbFBLBQYAAAAABgAGAFkBAABZBQAAAAA=&#10;">
              <v:fill on="f" focussize="0,0"/>
              <v:stroke on="f"/>
              <v:imagedata o:title=""/>
              <o:lock v:ext="edit" aspectratio="f"/>
              <v:textbox inset="0mm,0mm,0mm,0mm" style="mso-fit-shape-to-text:t;">
                <w:txbxContent>
                  <w:sdt>
                    <w:sdtPr>
                      <w:id w:val="-1648586042"/>
                    </w:sdtPr>
                    <w:sdtContent>
                      <w:p>
                        <w:pPr>
                          <w:pStyle w:val="21"/>
                          <w:jc w:val="center"/>
                        </w:pPr>
                        <w:r>
                          <w:fldChar w:fldCharType="begin"/>
                        </w:r>
                        <w:r>
                          <w:instrText xml:space="preserve">PAGE   \* MERGEFORMAT</w:instrText>
                        </w:r>
                        <w:r>
                          <w:fldChar w:fldCharType="separate"/>
                        </w:r>
                        <w:r>
                          <w:rPr>
                            <w:lang w:val="zh-CN"/>
                          </w:rPr>
                          <w:t>54</w:t>
                        </w:r>
                        <w:r>
                          <w:rPr>
                            <w:lang w:val="zh-CN"/>
                          </w:rPr>
                          <w:fldChar w:fldCharType="end"/>
                        </w:r>
                      </w:p>
                    </w:sdtContent>
                  </w:sdt>
                  <w:p>
                    <w:pPr>
                      <w:pStyle w:val="10"/>
                    </w:pPr>
                  </w:p>
                </w:txbxContent>
              </v:textbox>
            </v:shape>
          </w:pict>
        </mc:Fallback>
      </mc:AlternateContent>
    </w:r>
  </w:p>
  <w:p>
    <w:pPr>
      <w:pStyle w:val="21"/>
      <w:rPr>
        <w:rFonts w:ascii="宋体" w:hAnsi="宋体"/>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JmKUskBAACa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Xb2mxHGLE798/3b58evy8yt5&#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0mYpSyQEAAJo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89ZcoBAACa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rdUGKZwYmfv387//h1/vmV&#10;VKk/vYca0549Jsbh3g24NbMf0JlkDzKY9EVBBOPY3dOlu2KIhKdHq2q1KjHEMTZfEL94ee4DxPfC&#10;GZKMhgYcX+4qOz5CHFPnlFTNugeldR6htn85EDN5isR95JisOOyGSdDOtSfU0+PkG2px0SnRHyw2&#10;Ni3JbITZ2M3GwQe175DaM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P89ZcoBAACaAwAADgAAAAAAAAABACAAAAAeAQAAZHJzL2Uyb0Rv&#10;Yy54bWxQSwUGAAAAAAYABgBZAQAAWg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napToGrid w:val="0"/>
      <w:spacing w:line="360" w:lineRule="auto"/>
      <w:rPr>
        <w:sz w:val="21"/>
        <w:szCs w:val="21"/>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4D3B8"/>
    <w:multiLevelType w:val="singleLevel"/>
    <w:tmpl w:val="C0A4D3B8"/>
    <w:lvl w:ilvl="0" w:tentative="0">
      <w:start w:val="7"/>
      <w:numFmt w:val="decimal"/>
      <w:suff w:val="space"/>
      <w:lvlText w:val="%1."/>
      <w:lvlJc w:val="left"/>
    </w:lvl>
  </w:abstractNum>
  <w:abstractNum w:abstractNumId="1">
    <w:nsid w:val="C959152A"/>
    <w:multiLevelType w:val="singleLevel"/>
    <w:tmpl w:val="C959152A"/>
    <w:lvl w:ilvl="0" w:tentative="0">
      <w:start w:val="1"/>
      <w:numFmt w:val="bullet"/>
      <w:pStyle w:val="42"/>
      <w:lvlText w:val=""/>
      <w:lvlJc w:val="left"/>
      <w:pPr>
        <w:tabs>
          <w:tab w:val="left" w:pos="780"/>
        </w:tabs>
        <w:ind w:left="780" w:hanging="360"/>
      </w:pPr>
      <w:rPr>
        <w:rFonts w:ascii="Wingdings" w:hAnsi="Wingdings"/>
      </w:rPr>
    </w:lvl>
  </w:abstractNum>
  <w:abstractNum w:abstractNumId="2">
    <w:nsid w:val="331D1002"/>
    <w:multiLevelType w:val="multilevel"/>
    <w:tmpl w:val="331D10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NzEyMGNhYjgyZThiZjNhOGQxMWE3NGY1YWI1ZDgifQ=="/>
  </w:docVars>
  <w:rsids>
    <w:rsidRoot w:val="001103BA"/>
    <w:rsid w:val="0001447E"/>
    <w:rsid w:val="0001706D"/>
    <w:rsid w:val="0003342F"/>
    <w:rsid w:val="000335BF"/>
    <w:rsid w:val="000335DD"/>
    <w:rsid w:val="00040E90"/>
    <w:rsid w:val="00041D51"/>
    <w:rsid w:val="00041F33"/>
    <w:rsid w:val="00042C20"/>
    <w:rsid w:val="00043A04"/>
    <w:rsid w:val="00053DF9"/>
    <w:rsid w:val="000555D0"/>
    <w:rsid w:val="000568CA"/>
    <w:rsid w:val="000620B7"/>
    <w:rsid w:val="0006487E"/>
    <w:rsid w:val="00071412"/>
    <w:rsid w:val="00074C8C"/>
    <w:rsid w:val="0007616B"/>
    <w:rsid w:val="000766C3"/>
    <w:rsid w:val="00077AAE"/>
    <w:rsid w:val="000839F2"/>
    <w:rsid w:val="000931A7"/>
    <w:rsid w:val="000979CD"/>
    <w:rsid w:val="000A7992"/>
    <w:rsid w:val="000A7DFE"/>
    <w:rsid w:val="000B03CC"/>
    <w:rsid w:val="000B266E"/>
    <w:rsid w:val="000E0572"/>
    <w:rsid w:val="000E35C6"/>
    <w:rsid w:val="000F23D7"/>
    <w:rsid w:val="00100D23"/>
    <w:rsid w:val="00100FB3"/>
    <w:rsid w:val="001023C2"/>
    <w:rsid w:val="0010325D"/>
    <w:rsid w:val="001103BA"/>
    <w:rsid w:val="0012141B"/>
    <w:rsid w:val="0012430F"/>
    <w:rsid w:val="00126C06"/>
    <w:rsid w:val="00141FBA"/>
    <w:rsid w:val="0015711F"/>
    <w:rsid w:val="001654CF"/>
    <w:rsid w:val="00174205"/>
    <w:rsid w:val="00177714"/>
    <w:rsid w:val="00182498"/>
    <w:rsid w:val="00192194"/>
    <w:rsid w:val="00196822"/>
    <w:rsid w:val="001A2F7F"/>
    <w:rsid w:val="001A75A8"/>
    <w:rsid w:val="001B58F8"/>
    <w:rsid w:val="001C3EBB"/>
    <w:rsid w:val="001C5D04"/>
    <w:rsid w:val="001C795C"/>
    <w:rsid w:val="001D23DC"/>
    <w:rsid w:val="001D3B07"/>
    <w:rsid w:val="001D3C9C"/>
    <w:rsid w:val="001D58BA"/>
    <w:rsid w:val="001D6555"/>
    <w:rsid w:val="001E6C3C"/>
    <w:rsid w:val="001F7ADF"/>
    <w:rsid w:val="00211B28"/>
    <w:rsid w:val="002216DF"/>
    <w:rsid w:val="00235ADF"/>
    <w:rsid w:val="00236BB6"/>
    <w:rsid w:val="00242640"/>
    <w:rsid w:val="0024697B"/>
    <w:rsid w:val="0025028D"/>
    <w:rsid w:val="00255191"/>
    <w:rsid w:val="00257EC5"/>
    <w:rsid w:val="00260122"/>
    <w:rsid w:val="00261A77"/>
    <w:rsid w:val="00264FF7"/>
    <w:rsid w:val="00265EAE"/>
    <w:rsid w:val="00266B51"/>
    <w:rsid w:val="002678AE"/>
    <w:rsid w:val="00272462"/>
    <w:rsid w:val="002818F1"/>
    <w:rsid w:val="002836E2"/>
    <w:rsid w:val="002917AD"/>
    <w:rsid w:val="002939B8"/>
    <w:rsid w:val="002B5406"/>
    <w:rsid w:val="002E37FA"/>
    <w:rsid w:val="002E5049"/>
    <w:rsid w:val="00305908"/>
    <w:rsid w:val="00320F6E"/>
    <w:rsid w:val="00322B6C"/>
    <w:rsid w:val="00337CE9"/>
    <w:rsid w:val="00340D71"/>
    <w:rsid w:val="00352E90"/>
    <w:rsid w:val="00353D66"/>
    <w:rsid w:val="003675BB"/>
    <w:rsid w:val="0038333D"/>
    <w:rsid w:val="003916AA"/>
    <w:rsid w:val="00394026"/>
    <w:rsid w:val="003A3502"/>
    <w:rsid w:val="003B1B50"/>
    <w:rsid w:val="003B4434"/>
    <w:rsid w:val="003C503F"/>
    <w:rsid w:val="003C5CD6"/>
    <w:rsid w:val="003C6227"/>
    <w:rsid w:val="003C64FD"/>
    <w:rsid w:val="003F4EFD"/>
    <w:rsid w:val="00421AC5"/>
    <w:rsid w:val="004227E3"/>
    <w:rsid w:val="00435AC7"/>
    <w:rsid w:val="00435E9B"/>
    <w:rsid w:val="0043615C"/>
    <w:rsid w:val="00436FA8"/>
    <w:rsid w:val="004412B1"/>
    <w:rsid w:val="00450325"/>
    <w:rsid w:val="00453F40"/>
    <w:rsid w:val="00463377"/>
    <w:rsid w:val="004644E3"/>
    <w:rsid w:val="0047008B"/>
    <w:rsid w:val="00473A65"/>
    <w:rsid w:val="00480346"/>
    <w:rsid w:val="00483F7F"/>
    <w:rsid w:val="00486710"/>
    <w:rsid w:val="0049664F"/>
    <w:rsid w:val="00496E51"/>
    <w:rsid w:val="004A043D"/>
    <w:rsid w:val="004B2798"/>
    <w:rsid w:val="004B3343"/>
    <w:rsid w:val="004B5A09"/>
    <w:rsid w:val="004C32D6"/>
    <w:rsid w:val="004C4E94"/>
    <w:rsid w:val="004D3B23"/>
    <w:rsid w:val="004D72B5"/>
    <w:rsid w:val="004D7460"/>
    <w:rsid w:val="004E15CD"/>
    <w:rsid w:val="004E3C69"/>
    <w:rsid w:val="004E7BE5"/>
    <w:rsid w:val="004F27D3"/>
    <w:rsid w:val="004F2EE3"/>
    <w:rsid w:val="004F6D23"/>
    <w:rsid w:val="00500A96"/>
    <w:rsid w:val="00504E8E"/>
    <w:rsid w:val="00510013"/>
    <w:rsid w:val="00523A0B"/>
    <w:rsid w:val="00524A07"/>
    <w:rsid w:val="005311A9"/>
    <w:rsid w:val="00532B24"/>
    <w:rsid w:val="00536597"/>
    <w:rsid w:val="0055031E"/>
    <w:rsid w:val="00557125"/>
    <w:rsid w:val="00567071"/>
    <w:rsid w:val="00570804"/>
    <w:rsid w:val="00571833"/>
    <w:rsid w:val="00572987"/>
    <w:rsid w:val="00573505"/>
    <w:rsid w:val="00576920"/>
    <w:rsid w:val="005807A7"/>
    <w:rsid w:val="0058390D"/>
    <w:rsid w:val="00584A6E"/>
    <w:rsid w:val="00590614"/>
    <w:rsid w:val="005910FB"/>
    <w:rsid w:val="00595993"/>
    <w:rsid w:val="005972C5"/>
    <w:rsid w:val="005A0D58"/>
    <w:rsid w:val="005A39F5"/>
    <w:rsid w:val="005A431B"/>
    <w:rsid w:val="005A528B"/>
    <w:rsid w:val="005A6221"/>
    <w:rsid w:val="005A6A80"/>
    <w:rsid w:val="005B38CE"/>
    <w:rsid w:val="005C2536"/>
    <w:rsid w:val="005C4EB1"/>
    <w:rsid w:val="005D0FD4"/>
    <w:rsid w:val="005D5370"/>
    <w:rsid w:val="005D5972"/>
    <w:rsid w:val="005D5D4F"/>
    <w:rsid w:val="005D6637"/>
    <w:rsid w:val="005D72F9"/>
    <w:rsid w:val="005E0B89"/>
    <w:rsid w:val="005E1249"/>
    <w:rsid w:val="005E1CD2"/>
    <w:rsid w:val="005E5AAD"/>
    <w:rsid w:val="005E6261"/>
    <w:rsid w:val="005E6AE6"/>
    <w:rsid w:val="005F55CE"/>
    <w:rsid w:val="005F7E45"/>
    <w:rsid w:val="00606290"/>
    <w:rsid w:val="00610503"/>
    <w:rsid w:val="006110C2"/>
    <w:rsid w:val="006155A7"/>
    <w:rsid w:val="00621ED8"/>
    <w:rsid w:val="006404B9"/>
    <w:rsid w:val="006409C8"/>
    <w:rsid w:val="00642CBF"/>
    <w:rsid w:val="00655E2A"/>
    <w:rsid w:val="00662C96"/>
    <w:rsid w:val="0066383C"/>
    <w:rsid w:val="00666247"/>
    <w:rsid w:val="006758EF"/>
    <w:rsid w:val="006A038A"/>
    <w:rsid w:val="006A05F1"/>
    <w:rsid w:val="006A1A2E"/>
    <w:rsid w:val="006A3E82"/>
    <w:rsid w:val="006A4BD6"/>
    <w:rsid w:val="006B5ADA"/>
    <w:rsid w:val="006C1C8A"/>
    <w:rsid w:val="006D0C5A"/>
    <w:rsid w:val="006D15A9"/>
    <w:rsid w:val="006E0806"/>
    <w:rsid w:val="006E49D9"/>
    <w:rsid w:val="006F4E42"/>
    <w:rsid w:val="00700243"/>
    <w:rsid w:val="00710883"/>
    <w:rsid w:val="00714E72"/>
    <w:rsid w:val="00715B5E"/>
    <w:rsid w:val="0071708A"/>
    <w:rsid w:val="00723833"/>
    <w:rsid w:val="007246B4"/>
    <w:rsid w:val="00736EB1"/>
    <w:rsid w:val="00740EA4"/>
    <w:rsid w:val="00741079"/>
    <w:rsid w:val="007426D2"/>
    <w:rsid w:val="0074745A"/>
    <w:rsid w:val="00752DA3"/>
    <w:rsid w:val="00754088"/>
    <w:rsid w:val="00754C1C"/>
    <w:rsid w:val="00756462"/>
    <w:rsid w:val="0075782C"/>
    <w:rsid w:val="00761FC6"/>
    <w:rsid w:val="00774B9E"/>
    <w:rsid w:val="00774DC4"/>
    <w:rsid w:val="00777E8B"/>
    <w:rsid w:val="007809C2"/>
    <w:rsid w:val="00780B2D"/>
    <w:rsid w:val="0078201F"/>
    <w:rsid w:val="00782577"/>
    <w:rsid w:val="00790577"/>
    <w:rsid w:val="00790BF2"/>
    <w:rsid w:val="00791153"/>
    <w:rsid w:val="00791700"/>
    <w:rsid w:val="00791C50"/>
    <w:rsid w:val="007937CE"/>
    <w:rsid w:val="00795832"/>
    <w:rsid w:val="007A17A0"/>
    <w:rsid w:val="007A4587"/>
    <w:rsid w:val="007A6F52"/>
    <w:rsid w:val="007B19C9"/>
    <w:rsid w:val="007B2A52"/>
    <w:rsid w:val="007B6F92"/>
    <w:rsid w:val="007C2EB0"/>
    <w:rsid w:val="007C4A76"/>
    <w:rsid w:val="007C6B2D"/>
    <w:rsid w:val="007D586E"/>
    <w:rsid w:val="007D780D"/>
    <w:rsid w:val="007E3DE9"/>
    <w:rsid w:val="007E4FBB"/>
    <w:rsid w:val="007F1826"/>
    <w:rsid w:val="007F27ED"/>
    <w:rsid w:val="007F5D8A"/>
    <w:rsid w:val="007F67E1"/>
    <w:rsid w:val="00801FA0"/>
    <w:rsid w:val="008042A5"/>
    <w:rsid w:val="00805403"/>
    <w:rsid w:val="008065C2"/>
    <w:rsid w:val="00826939"/>
    <w:rsid w:val="0085679E"/>
    <w:rsid w:val="00865AF4"/>
    <w:rsid w:val="0088053B"/>
    <w:rsid w:val="00881DE7"/>
    <w:rsid w:val="0088381D"/>
    <w:rsid w:val="008850E0"/>
    <w:rsid w:val="00886530"/>
    <w:rsid w:val="00886A66"/>
    <w:rsid w:val="0089238A"/>
    <w:rsid w:val="00894170"/>
    <w:rsid w:val="00894AC5"/>
    <w:rsid w:val="0089790C"/>
    <w:rsid w:val="008C3F4C"/>
    <w:rsid w:val="008C5D86"/>
    <w:rsid w:val="008C6B42"/>
    <w:rsid w:val="008D4D2D"/>
    <w:rsid w:val="008D601A"/>
    <w:rsid w:val="008D7211"/>
    <w:rsid w:val="008E04F1"/>
    <w:rsid w:val="008E0CE4"/>
    <w:rsid w:val="008E1396"/>
    <w:rsid w:val="008E21A7"/>
    <w:rsid w:val="008E29DA"/>
    <w:rsid w:val="008E4C7F"/>
    <w:rsid w:val="008F043F"/>
    <w:rsid w:val="009001D6"/>
    <w:rsid w:val="009159D6"/>
    <w:rsid w:val="00916D73"/>
    <w:rsid w:val="009228C4"/>
    <w:rsid w:val="009228EB"/>
    <w:rsid w:val="0092377B"/>
    <w:rsid w:val="00936857"/>
    <w:rsid w:val="0094329B"/>
    <w:rsid w:val="00951360"/>
    <w:rsid w:val="00951747"/>
    <w:rsid w:val="009621B2"/>
    <w:rsid w:val="0096411B"/>
    <w:rsid w:val="0096536C"/>
    <w:rsid w:val="009662F6"/>
    <w:rsid w:val="009700B1"/>
    <w:rsid w:val="009736D3"/>
    <w:rsid w:val="0097759D"/>
    <w:rsid w:val="00991110"/>
    <w:rsid w:val="009954FF"/>
    <w:rsid w:val="0099724D"/>
    <w:rsid w:val="009A1461"/>
    <w:rsid w:val="009A6009"/>
    <w:rsid w:val="009B30C7"/>
    <w:rsid w:val="009B4A0D"/>
    <w:rsid w:val="009B67DF"/>
    <w:rsid w:val="009C00D2"/>
    <w:rsid w:val="009C08E2"/>
    <w:rsid w:val="009C3DDA"/>
    <w:rsid w:val="009C46CF"/>
    <w:rsid w:val="009D10DE"/>
    <w:rsid w:val="009D42C7"/>
    <w:rsid w:val="009D54AD"/>
    <w:rsid w:val="009D6A6E"/>
    <w:rsid w:val="009D6A86"/>
    <w:rsid w:val="009E067B"/>
    <w:rsid w:val="009E62FD"/>
    <w:rsid w:val="009F18BF"/>
    <w:rsid w:val="009F2CB4"/>
    <w:rsid w:val="009F37D0"/>
    <w:rsid w:val="009F3A1C"/>
    <w:rsid w:val="009F3EFC"/>
    <w:rsid w:val="00A11A79"/>
    <w:rsid w:val="00A14573"/>
    <w:rsid w:val="00A2719A"/>
    <w:rsid w:val="00A32134"/>
    <w:rsid w:val="00A32735"/>
    <w:rsid w:val="00A37023"/>
    <w:rsid w:val="00A404B8"/>
    <w:rsid w:val="00A4418B"/>
    <w:rsid w:val="00A458C0"/>
    <w:rsid w:val="00A521B8"/>
    <w:rsid w:val="00A52907"/>
    <w:rsid w:val="00A52BD0"/>
    <w:rsid w:val="00A567AD"/>
    <w:rsid w:val="00A60800"/>
    <w:rsid w:val="00A62C6D"/>
    <w:rsid w:val="00A64F20"/>
    <w:rsid w:val="00A77D3C"/>
    <w:rsid w:val="00A80346"/>
    <w:rsid w:val="00A81532"/>
    <w:rsid w:val="00A841B8"/>
    <w:rsid w:val="00A85893"/>
    <w:rsid w:val="00A9027F"/>
    <w:rsid w:val="00A91AE8"/>
    <w:rsid w:val="00A92C18"/>
    <w:rsid w:val="00A96290"/>
    <w:rsid w:val="00A96CCA"/>
    <w:rsid w:val="00AA17A8"/>
    <w:rsid w:val="00AA4DD2"/>
    <w:rsid w:val="00AB5DFA"/>
    <w:rsid w:val="00AC1777"/>
    <w:rsid w:val="00AC1EB6"/>
    <w:rsid w:val="00AD029A"/>
    <w:rsid w:val="00AD7553"/>
    <w:rsid w:val="00AE1C88"/>
    <w:rsid w:val="00AF1AD8"/>
    <w:rsid w:val="00AF4C94"/>
    <w:rsid w:val="00AF6B3A"/>
    <w:rsid w:val="00B0407E"/>
    <w:rsid w:val="00B14789"/>
    <w:rsid w:val="00B16E0C"/>
    <w:rsid w:val="00B2054C"/>
    <w:rsid w:val="00B20954"/>
    <w:rsid w:val="00B36FD3"/>
    <w:rsid w:val="00B44CA2"/>
    <w:rsid w:val="00B557D9"/>
    <w:rsid w:val="00B61D64"/>
    <w:rsid w:val="00B62D1F"/>
    <w:rsid w:val="00B65E64"/>
    <w:rsid w:val="00B6602B"/>
    <w:rsid w:val="00B71E0C"/>
    <w:rsid w:val="00B75528"/>
    <w:rsid w:val="00B775C0"/>
    <w:rsid w:val="00B77717"/>
    <w:rsid w:val="00B80ADA"/>
    <w:rsid w:val="00B83D41"/>
    <w:rsid w:val="00B85C00"/>
    <w:rsid w:val="00B93618"/>
    <w:rsid w:val="00B9377B"/>
    <w:rsid w:val="00B961C5"/>
    <w:rsid w:val="00B96223"/>
    <w:rsid w:val="00BA2E6B"/>
    <w:rsid w:val="00BA46EC"/>
    <w:rsid w:val="00BA60DF"/>
    <w:rsid w:val="00BC5BAF"/>
    <w:rsid w:val="00BD0FCC"/>
    <w:rsid w:val="00BD6DAF"/>
    <w:rsid w:val="00BE317D"/>
    <w:rsid w:val="00BF3E4A"/>
    <w:rsid w:val="00C014B0"/>
    <w:rsid w:val="00C0394B"/>
    <w:rsid w:val="00C05202"/>
    <w:rsid w:val="00C05824"/>
    <w:rsid w:val="00C12102"/>
    <w:rsid w:val="00C17B17"/>
    <w:rsid w:val="00C24B08"/>
    <w:rsid w:val="00C25890"/>
    <w:rsid w:val="00C375CE"/>
    <w:rsid w:val="00C40B2C"/>
    <w:rsid w:val="00C44148"/>
    <w:rsid w:val="00C45BA8"/>
    <w:rsid w:val="00C460E1"/>
    <w:rsid w:val="00C47832"/>
    <w:rsid w:val="00C532FC"/>
    <w:rsid w:val="00C537E2"/>
    <w:rsid w:val="00C53E47"/>
    <w:rsid w:val="00C6023A"/>
    <w:rsid w:val="00C640D8"/>
    <w:rsid w:val="00C71EFB"/>
    <w:rsid w:val="00C748D6"/>
    <w:rsid w:val="00C75A19"/>
    <w:rsid w:val="00C7637C"/>
    <w:rsid w:val="00C80745"/>
    <w:rsid w:val="00C81EF7"/>
    <w:rsid w:val="00C8359E"/>
    <w:rsid w:val="00C91122"/>
    <w:rsid w:val="00C916AB"/>
    <w:rsid w:val="00C92403"/>
    <w:rsid w:val="00C94608"/>
    <w:rsid w:val="00C9480C"/>
    <w:rsid w:val="00CA19C6"/>
    <w:rsid w:val="00CA5E89"/>
    <w:rsid w:val="00CB05D7"/>
    <w:rsid w:val="00CB2FBE"/>
    <w:rsid w:val="00CB3585"/>
    <w:rsid w:val="00CC57E5"/>
    <w:rsid w:val="00CC7486"/>
    <w:rsid w:val="00CC7C24"/>
    <w:rsid w:val="00CE09ED"/>
    <w:rsid w:val="00CE54D2"/>
    <w:rsid w:val="00CF3C20"/>
    <w:rsid w:val="00CF4BD5"/>
    <w:rsid w:val="00CF6692"/>
    <w:rsid w:val="00D014AB"/>
    <w:rsid w:val="00D01924"/>
    <w:rsid w:val="00D04155"/>
    <w:rsid w:val="00D05D24"/>
    <w:rsid w:val="00D07FE9"/>
    <w:rsid w:val="00D15600"/>
    <w:rsid w:val="00D23523"/>
    <w:rsid w:val="00D24D82"/>
    <w:rsid w:val="00D27A4C"/>
    <w:rsid w:val="00D46851"/>
    <w:rsid w:val="00D50EFA"/>
    <w:rsid w:val="00D52002"/>
    <w:rsid w:val="00D53CC9"/>
    <w:rsid w:val="00D631D5"/>
    <w:rsid w:val="00D6520E"/>
    <w:rsid w:val="00D7334C"/>
    <w:rsid w:val="00D83EA1"/>
    <w:rsid w:val="00D83F51"/>
    <w:rsid w:val="00D84501"/>
    <w:rsid w:val="00D85D0C"/>
    <w:rsid w:val="00D8771E"/>
    <w:rsid w:val="00D90BB6"/>
    <w:rsid w:val="00D92431"/>
    <w:rsid w:val="00D95258"/>
    <w:rsid w:val="00DA0CC3"/>
    <w:rsid w:val="00DA176D"/>
    <w:rsid w:val="00DA2B6F"/>
    <w:rsid w:val="00DA68C7"/>
    <w:rsid w:val="00DB493E"/>
    <w:rsid w:val="00DB7415"/>
    <w:rsid w:val="00DC0F8F"/>
    <w:rsid w:val="00DC3CCE"/>
    <w:rsid w:val="00DC6B6A"/>
    <w:rsid w:val="00DE2ECC"/>
    <w:rsid w:val="00DF0B36"/>
    <w:rsid w:val="00E04187"/>
    <w:rsid w:val="00E131EA"/>
    <w:rsid w:val="00E159B6"/>
    <w:rsid w:val="00E177EB"/>
    <w:rsid w:val="00E216DF"/>
    <w:rsid w:val="00E2241E"/>
    <w:rsid w:val="00E229EA"/>
    <w:rsid w:val="00E24936"/>
    <w:rsid w:val="00E277D1"/>
    <w:rsid w:val="00E308B7"/>
    <w:rsid w:val="00E32981"/>
    <w:rsid w:val="00E3324E"/>
    <w:rsid w:val="00E3521E"/>
    <w:rsid w:val="00E357EB"/>
    <w:rsid w:val="00E35F4D"/>
    <w:rsid w:val="00E3697B"/>
    <w:rsid w:val="00E41C92"/>
    <w:rsid w:val="00E42012"/>
    <w:rsid w:val="00E462A8"/>
    <w:rsid w:val="00E46F27"/>
    <w:rsid w:val="00E5099A"/>
    <w:rsid w:val="00E50DEC"/>
    <w:rsid w:val="00E558F1"/>
    <w:rsid w:val="00E55A28"/>
    <w:rsid w:val="00E57C85"/>
    <w:rsid w:val="00E619CD"/>
    <w:rsid w:val="00E706A9"/>
    <w:rsid w:val="00E7132C"/>
    <w:rsid w:val="00E75410"/>
    <w:rsid w:val="00E814EE"/>
    <w:rsid w:val="00E828E1"/>
    <w:rsid w:val="00E8361E"/>
    <w:rsid w:val="00E85D89"/>
    <w:rsid w:val="00E91D0B"/>
    <w:rsid w:val="00E96299"/>
    <w:rsid w:val="00E96770"/>
    <w:rsid w:val="00E97B10"/>
    <w:rsid w:val="00EA0160"/>
    <w:rsid w:val="00EA38F7"/>
    <w:rsid w:val="00EA6851"/>
    <w:rsid w:val="00EA74C4"/>
    <w:rsid w:val="00EB02BF"/>
    <w:rsid w:val="00EB07F9"/>
    <w:rsid w:val="00EC1A86"/>
    <w:rsid w:val="00EC1B71"/>
    <w:rsid w:val="00EC6139"/>
    <w:rsid w:val="00ED47D5"/>
    <w:rsid w:val="00EE33D4"/>
    <w:rsid w:val="00EF04D5"/>
    <w:rsid w:val="00EF0EF2"/>
    <w:rsid w:val="00EF1298"/>
    <w:rsid w:val="00F02A8F"/>
    <w:rsid w:val="00F11D4B"/>
    <w:rsid w:val="00F11EB7"/>
    <w:rsid w:val="00F2061A"/>
    <w:rsid w:val="00F259F7"/>
    <w:rsid w:val="00F30D71"/>
    <w:rsid w:val="00F32BF6"/>
    <w:rsid w:val="00F338EA"/>
    <w:rsid w:val="00F37BF0"/>
    <w:rsid w:val="00F4111D"/>
    <w:rsid w:val="00F41CCC"/>
    <w:rsid w:val="00F46E4B"/>
    <w:rsid w:val="00F50165"/>
    <w:rsid w:val="00F51E1E"/>
    <w:rsid w:val="00F65F0C"/>
    <w:rsid w:val="00F669A8"/>
    <w:rsid w:val="00F66E87"/>
    <w:rsid w:val="00F70E7C"/>
    <w:rsid w:val="00F7339A"/>
    <w:rsid w:val="00F73B52"/>
    <w:rsid w:val="00F82FF1"/>
    <w:rsid w:val="00F9134F"/>
    <w:rsid w:val="00FA0D65"/>
    <w:rsid w:val="00FA17DD"/>
    <w:rsid w:val="00FA2ADC"/>
    <w:rsid w:val="00FA4F24"/>
    <w:rsid w:val="00FA5192"/>
    <w:rsid w:val="00FB0578"/>
    <w:rsid w:val="00FB2611"/>
    <w:rsid w:val="00FC122E"/>
    <w:rsid w:val="00FC2C71"/>
    <w:rsid w:val="00FC35CE"/>
    <w:rsid w:val="00FC7C33"/>
    <w:rsid w:val="00FD28F0"/>
    <w:rsid w:val="00FD6FB9"/>
    <w:rsid w:val="00FE0C7F"/>
    <w:rsid w:val="00FF381F"/>
    <w:rsid w:val="00FF54B4"/>
    <w:rsid w:val="00FF6FAF"/>
    <w:rsid w:val="02245AB5"/>
    <w:rsid w:val="037242FA"/>
    <w:rsid w:val="043E5CA1"/>
    <w:rsid w:val="058E0707"/>
    <w:rsid w:val="0633318A"/>
    <w:rsid w:val="069F1E8F"/>
    <w:rsid w:val="07CF790F"/>
    <w:rsid w:val="0899498F"/>
    <w:rsid w:val="08A12171"/>
    <w:rsid w:val="0A486323"/>
    <w:rsid w:val="0AA276D3"/>
    <w:rsid w:val="0AD7246E"/>
    <w:rsid w:val="0B892D7C"/>
    <w:rsid w:val="0C426382"/>
    <w:rsid w:val="0DB24190"/>
    <w:rsid w:val="0E837ECC"/>
    <w:rsid w:val="0F724739"/>
    <w:rsid w:val="0F8648F6"/>
    <w:rsid w:val="0FBA7D8F"/>
    <w:rsid w:val="10581FBC"/>
    <w:rsid w:val="10B62239"/>
    <w:rsid w:val="11BC68FF"/>
    <w:rsid w:val="12036B16"/>
    <w:rsid w:val="127C4BEF"/>
    <w:rsid w:val="12C25B35"/>
    <w:rsid w:val="131F0E02"/>
    <w:rsid w:val="14215AD3"/>
    <w:rsid w:val="154F44C3"/>
    <w:rsid w:val="16E6490E"/>
    <w:rsid w:val="171862DF"/>
    <w:rsid w:val="17D927AE"/>
    <w:rsid w:val="196E2406"/>
    <w:rsid w:val="1A791F72"/>
    <w:rsid w:val="1BEC0440"/>
    <w:rsid w:val="1C701C82"/>
    <w:rsid w:val="1EB34F18"/>
    <w:rsid w:val="1ED43D8D"/>
    <w:rsid w:val="1F3159A9"/>
    <w:rsid w:val="1FC3402A"/>
    <w:rsid w:val="20231B0D"/>
    <w:rsid w:val="20605562"/>
    <w:rsid w:val="21BF1BB7"/>
    <w:rsid w:val="22037C26"/>
    <w:rsid w:val="2316746F"/>
    <w:rsid w:val="233746B6"/>
    <w:rsid w:val="233D561A"/>
    <w:rsid w:val="234D0A64"/>
    <w:rsid w:val="244038DB"/>
    <w:rsid w:val="256C0CC0"/>
    <w:rsid w:val="271E09F9"/>
    <w:rsid w:val="273301EA"/>
    <w:rsid w:val="29F404A9"/>
    <w:rsid w:val="2A09304B"/>
    <w:rsid w:val="2A9B0F6A"/>
    <w:rsid w:val="2AB14EFC"/>
    <w:rsid w:val="2AB26A3B"/>
    <w:rsid w:val="2AF17350"/>
    <w:rsid w:val="2BC64071"/>
    <w:rsid w:val="2D992603"/>
    <w:rsid w:val="2E25237A"/>
    <w:rsid w:val="2F6A44C2"/>
    <w:rsid w:val="2F8B054A"/>
    <w:rsid w:val="2F9527C5"/>
    <w:rsid w:val="338E3623"/>
    <w:rsid w:val="345F1E34"/>
    <w:rsid w:val="35DC6822"/>
    <w:rsid w:val="360715B4"/>
    <w:rsid w:val="362313EC"/>
    <w:rsid w:val="362E3CF7"/>
    <w:rsid w:val="37D22203"/>
    <w:rsid w:val="3A887EF3"/>
    <w:rsid w:val="3AC727C9"/>
    <w:rsid w:val="3BC87E3A"/>
    <w:rsid w:val="3D440331"/>
    <w:rsid w:val="3DC136E2"/>
    <w:rsid w:val="3E441C0D"/>
    <w:rsid w:val="3EA20AAF"/>
    <w:rsid w:val="40751581"/>
    <w:rsid w:val="40AC4F59"/>
    <w:rsid w:val="43066524"/>
    <w:rsid w:val="43C23C97"/>
    <w:rsid w:val="443E1340"/>
    <w:rsid w:val="44801049"/>
    <w:rsid w:val="45344A89"/>
    <w:rsid w:val="45425830"/>
    <w:rsid w:val="473418A4"/>
    <w:rsid w:val="475816E4"/>
    <w:rsid w:val="48F213EE"/>
    <w:rsid w:val="49390EDC"/>
    <w:rsid w:val="49CE3C08"/>
    <w:rsid w:val="49D54656"/>
    <w:rsid w:val="4A382FEF"/>
    <w:rsid w:val="4A675960"/>
    <w:rsid w:val="4A8677E5"/>
    <w:rsid w:val="4BA47EF6"/>
    <w:rsid w:val="4C085611"/>
    <w:rsid w:val="4DC16AAA"/>
    <w:rsid w:val="4DC83E5C"/>
    <w:rsid w:val="4DFC150C"/>
    <w:rsid w:val="4E3942F7"/>
    <w:rsid w:val="4E952E05"/>
    <w:rsid w:val="4EC618D0"/>
    <w:rsid w:val="503A7A28"/>
    <w:rsid w:val="505B54E6"/>
    <w:rsid w:val="5151508A"/>
    <w:rsid w:val="52B650D2"/>
    <w:rsid w:val="5589156A"/>
    <w:rsid w:val="56AC0F84"/>
    <w:rsid w:val="57664784"/>
    <w:rsid w:val="57763FDA"/>
    <w:rsid w:val="582232DD"/>
    <w:rsid w:val="585F79EF"/>
    <w:rsid w:val="5943175D"/>
    <w:rsid w:val="59753E7F"/>
    <w:rsid w:val="5BBB558D"/>
    <w:rsid w:val="5C1703A7"/>
    <w:rsid w:val="5C3A68FC"/>
    <w:rsid w:val="5DA84E56"/>
    <w:rsid w:val="5EC05B97"/>
    <w:rsid w:val="60A712C5"/>
    <w:rsid w:val="613C71BD"/>
    <w:rsid w:val="61C052B6"/>
    <w:rsid w:val="631E091F"/>
    <w:rsid w:val="64CF20F6"/>
    <w:rsid w:val="67101595"/>
    <w:rsid w:val="67476D91"/>
    <w:rsid w:val="674F37E9"/>
    <w:rsid w:val="67EF40A3"/>
    <w:rsid w:val="68272895"/>
    <w:rsid w:val="6D6249F8"/>
    <w:rsid w:val="6DC54653"/>
    <w:rsid w:val="6F92269E"/>
    <w:rsid w:val="6FAB550E"/>
    <w:rsid w:val="70FE4D22"/>
    <w:rsid w:val="722A29F2"/>
    <w:rsid w:val="74B46409"/>
    <w:rsid w:val="75190E69"/>
    <w:rsid w:val="75D95C5D"/>
    <w:rsid w:val="75E918DF"/>
    <w:rsid w:val="762F1CF6"/>
    <w:rsid w:val="76852F5D"/>
    <w:rsid w:val="768C00BC"/>
    <w:rsid w:val="77091498"/>
    <w:rsid w:val="772536BE"/>
    <w:rsid w:val="783C147A"/>
    <w:rsid w:val="78D934B9"/>
    <w:rsid w:val="790E48F8"/>
    <w:rsid w:val="79E57FEE"/>
    <w:rsid w:val="7BA17D69"/>
    <w:rsid w:val="7C60221E"/>
    <w:rsid w:val="7C723023"/>
    <w:rsid w:val="7FC9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link w:val="54"/>
    <w:semiHidden/>
    <w:unhideWhenUsed/>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55"/>
    <w:semiHidden/>
    <w:unhideWhenUsed/>
    <w:qFormat/>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6"/>
    <w:qFormat/>
    <w:uiPriority w:val="0"/>
    <w:pPr>
      <w:spacing w:after="120"/>
    </w:pPr>
  </w:style>
  <w:style w:type="paragraph" w:styleId="3">
    <w:name w:val="Body Text 2"/>
    <w:basedOn w:val="1"/>
    <w:qFormat/>
    <w:uiPriority w:val="0"/>
    <w:pPr>
      <w:tabs>
        <w:tab w:val="left" w:pos="0"/>
        <w:tab w:val="left" w:pos="993"/>
        <w:tab w:val="left" w:pos="1134"/>
      </w:tabs>
      <w:spacing w:line="240" w:lineRule="exact"/>
    </w:pPr>
    <w:rPr>
      <w:rFonts w:ascii="楷体_GB2312" w:eastAsia="楷体_GB2312"/>
      <w:sz w:val="18"/>
    </w:rPr>
  </w:style>
  <w:style w:type="paragraph" w:styleId="9">
    <w:name w:val="toc 7"/>
    <w:basedOn w:val="1"/>
    <w:next w:val="1"/>
    <w:semiHidden/>
    <w:qFormat/>
    <w:uiPriority w:val="0"/>
    <w:pPr>
      <w:ind w:left="2520" w:leftChars="1200"/>
    </w:pPr>
  </w:style>
  <w:style w:type="paragraph" w:styleId="10">
    <w:name w:val="Normal Indent"/>
    <w:basedOn w:val="1"/>
    <w:qFormat/>
    <w:uiPriority w:val="0"/>
    <w:pPr>
      <w:adjustRightInd w:val="0"/>
      <w:spacing w:line="360" w:lineRule="atLeast"/>
      <w:ind w:firstLine="420"/>
      <w:textAlignment w:val="baseline"/>
    </w:pPr>
    <w:rPr>
      <w:szCs w:val="20"/>
    </w:rPr>
  </w:style>
  <w:style w:type="paragraph" w:styleId="11">
    <w:name w:val="annotation text"/>
    <w:basedOn w:val="1"/>
    <w:link w:val="65"/>
    <w:qFormat/>
    <w:uiPriority w:val="0"/>
    <w:pPr>
      <w:jc w:val="left"/>
    </w:pPr>
  </w:style>
  <w:style w:type="paragraph" w:styleId="12">
    <w:name w:val="Body Text Indent"/>
    <w:basedOn w:val="1"/>
    <w:qFormat/>
    <w:uiPriority w:val="0"/>
    <w:pPr>
      <w:ind w:firstLine="420" w:firstLineChars="200"/>
    </w:pPr>
    <w:rPr>
      <w:color w:val="FF0000"/>
    </w:rPr>
  </w:style>
  <w:style w:type="paragraph" w:styleId="13">
    <w:name w:val="index 4"/>
    <w:basedOn w:val="1"/>
    <w:next w:val="1"/>
    <w:unhideWhenUsed/>
    <w:qFormat/>
    <w:uiPriority w:val="99"/>
    <w:pPr>
      <w:ind w:left="600" w:leftChars="600"/>
    </w:pPr>
  </w:style>
  <w:style w:type="paragraph" w:styleId="14">
    <w:name w:val="toc 5"/>
    <w:basedOn w:val="1"/>
    <w:next w:val="1"/>
    <w:semiHidden/>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qFormat/>
    <w:uiPriority w:val="0"/>
    <w:rPr>
      <w:rFonts w:ascii="宋体" w:hAnsi="Courier New" w:cs="Courier New"/>
      <w:szCs w:val="21"/>
    </w:rPr>
  </w:style>
  <w:style w:type="paragraph" w:styleId="17">
    <w:name w:val="toc 8"/>
    <w:basedOn w:val="1"/>
    <w:next w:val="1"/>
    <w:semiHidden/>
    <w:qFormat/>
    <w:uiPriority w:val="0"/>
    <w:pPr>
      <w:ind w:left="2940" w:leftChars="1400"/>
    </w:pPr>
  </w:style>
  <w:style w:type="paragraph" w:styleId="18">
    <w:name w:val="Date"/>
    <w:basedOn w:val="1"/>
    <w:next w:val="1"/>
    <w:link w:val="47"/>
    <w:qFormat/>
    <w:uiPriority w:val="0"/>
    <w:pPr>
      <w:adjustRightInd w:val="0"/>
      <w:spacing w:line="360" w:lineRule="atLeast"/>
      <w:textAlignment w:val="baseline"/>
    </w:pPr>
    <w:rPr>
      <w:rFonts w:ascii="黑体" w:eastAsia="黑体"/>
      <w:sz w:val="32"/>
      <w:szCs w:val="20"/>
    </w:rPr>
  </w:style>
  <w:style w:type="paragraph" w:styleId="19">
    <w:name w:val="Body Text Indent 2"/>
    <w:basedOn w:val="1"/>
    <w:qFormat/>
    <w:uiPriority w:val="0"/>
    <w:pPr>
      <w:spacing w:line="440" w:lineRule="exact"/>
      <w:ind w:firstLine="555"/>
    </w:pPr>
    <w:rPr>
      <w:rFonts w:ascii="楷体_GB2312" w:eastAsia="楷体_GB2312"/>
      <w:sz w:val="24"/>
    </w:rPr>
  </w:style>
  <w:style w:type="paragraph" w:styleId="20">
    <w:name w:val="Balloon Text"/>
    <w:basedOn w:val="1"/>
    <w:link w:val="46"/>
    <w:qFormat/>
    <w:uiPriority w:val="0"/>
    <w:rPr>
      <w:sz w:val="18"/>
      <w:szCs w:val="18"/>
    </w:rPr>
  </w:style>
  <w:style w:type="paragraph" w:styleId="21">
    <w:name w:val="footer"/>
    <w:basedOn w:val="1"/>
    <w:link w:val="50"/>
    <w:qFormat/>
    <w:uiPriority w:val="99"/>
    <w:pPr>
      <w:tabs>
        <w:tab w:val="center" w:pos="4153"/>
        <w:tab w:val="right" w:pos="8306"/>
      </w:tabs>
      <w:snapToGrid w:val="0"/>
      <w:jc w:val="left"/>
    </w:pPr>
    <w:rPr>
      <w:sz w:val="18"/>
      <w:szCs w:val="18"/>
    </w:rPr>
  </w:style>
  <w:style w:type="paragraph" w:styleId="22">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364"/>
      </w:tabs>
      <w:adjustRightInd w:val="0"/>
      <w:snapToGrid w:val="0"/>
      <w:spacing w:line="440" w:lineRule="exact"/>
      <w:ind w:right="456" w:rightChars="217" w:firstLine="420" w:firstLineChars="150"/>
      <w:contextualSpacing/>
    </w:pPr>
    <w:rPr>
      <w:rFonts w:asciiTheme="minorEastAsia" w:hAnsiTheme="minorEastAsia" w:eastAsiaTheme="minorEastAsia"/>
      <w:color w:val="000000" w:themeColor="text1"/>
      <w:sz w:val="28"/>
      <w:szCs w:val="28"/>
      <w14:textFill>
        <w14:solidFill>
          <w14:schemeClr w14:val="tx1"/>
        </w14:solidFill>
      </w14:textFill>
    </w:rPr>
  </w:style>
  <w:style w:type="paragraph" w:styleId="24">
    <w:name w:val="toc 4"/>
    <w:basedOn w:val="1"/>
    <w:next w:val="1"/>
    <w:semiHidden/>
    <w:qFormat/>
    <w:uiPriority w:val="0"/>
    <w:pPr>
      <w:ind w:left="1260" w:leftChars="600"/>
    </w:pPr>
  </w:style>
  <w:style w:type="paragraph" w:styleId="25">
    <w:name w:val="toc 6"/>
    <w:basedOn w:val="1"/>
    <w:next w:val="1"/>
    <w:semiHidden/>
    <w:qFormat/>
    <w:uiPriority w:val="0"/>
    <w:pPr>
      <w:ind w:left="2100" w:leftChars="1000"/>
    </w:pPr>
  </w:style>
  <w:style w:type="paragraph" w:styleId="26">
    <w:name w:val="Body Text Indent 3"/>
    <w:basedOn w:val="1"/>
    <w:qFormat/>
    <w:uiPriority w:val="0"/>
    <w:pPr>
      <w:spacing w:line="500" w:lineRule="exact"/>
      <w:ind w:firstLine="540" w:firstLineChars="225"/>
    </w:pPr>
    <w:rPr>
      <w:rFonts w:ascii="楷体_GB2312" w:hAnsi="宋体" w:eastAsia="楷体_GB2312"/>
      <w:sz w:val="24"/>
    </w:rPr>
  </w:style>
  <w:style w:type="paragraph" w:styleId="27">
    <w:name w:val="toc 2"/>
    <w:basedOn w:val="1"/>
    <w:next w:val="1"/>
    <w:qFormat/>
    <w:uiPriority w:val="39"/>
    <w:pPr>
      <w:ind w:left="420" w:leftChars="200"/>
    </w:pPr>
  </w:style>
  <w:style w:type="paragraph" w:styleId="28">
    <w:name w:val="toc 9"/>
    <w:basedOn w:val="1"/>
    <w:next w:val="1"/>
    <w:semiHidden/>
    <w:qFormat/>
    <w:uiPriority w:val="0"/>
    <w:pPr>
      <w:ind w:left="3360" w:leftChars="1600"/>
    </w:p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link w:val="43"/>
    <w:qFormat/>
    <w:uiPriority w:val="0"/>
    <w:pPr>
      <w:snapToGrid w:val="0"/>
      <w:spacing w:before="120" w:after="120"/>
      <w:outlineLvl w:val="0"/>
    </w:pPr>
    <w:rPr>
      <w:rFonts w:ascii="宋体" w:hAnsi="Arial" w:eastAsia="黑体"/>
      <w:b/>
      <w:bCs/>
      <w:szCs w:val="21"/>
    </w:rPr>
  </w:style>
  <w:style w:type="paragraph" w:styleId="31">
    <w:name w:val="annotation subject"/>
    <w:basedOn w:val="11"/>
    <w:next w:val="11"/>
    <w:link w:val="66"/>
    <w:qFormat/>
    <w:uiPriority w:val="0"/>
    <w:rPr>
      <w:b/>
      <w:bCs/>
    </w:rPr>
  </w:style>
  <w:style w:type="paragraph" w:styleId="32">
    <w:name w:val="Body Text First Indent 2"/>
    <w:basedOn w:val="12"/>
    <w:qFormat/>
    <w:uiPriority w:val="0"/>
    <w:pPr>
      <w:spacing w:line="336" w:lineRule="auto"/>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99"/>
    <w:rPr>
      <w:rFonts w:cs="Times New Roman"/>
      <w:b/>
    </w:rPr>
  </w:style>
  <w:style w:type="character" w:styleId="37">
    <w:name w:val="page number"/>
    <w:basedOn w:val="35"/>
    <w:qFormat/>
    <w:uiPriority w:val="0"/>
  </w:style>
  <w:style w:type="character" w:styleId="38">
    <w:name w:val="FollowedHyperlink"/>
    <w:basedOn w:val="35"/>
    <w:qFormat/>
    <w:uiPriority w:val="0"/>
    <w:rPr>
      <w:color w:val="444444"/>
      <w:u w:val="none"/>
    </w:rPr>
  </w:style>
  <w:style w:type="character" w:styleId="39">
    <w:name w:val="Emphasis"/>
    <w:basedOn w:val="35"/>
    <w:qFormat/>
    <w:uiPriority w:val="0"/>
    <w:rPr>
      <w:i/>
    </w:rPr>
  </w:style>
  <w:style w:type="character" w:styleId="40">
    <w:name w:val="Hyperlink"/>
    <w:basedOn w:val="35"/>
    <w:qFormat/>
    <w:uiPriority w:val="0"/>
    <w:rPr>
      <w:color w:val="444444"/>
      <w:u w:val="none"/>
    </w:rPr>
  </w:style>
  <w:style w:type="character" w:styleId="41">
    <w:name w:val="annotation reference"/>
    <w:qFormat/>
    <w:uiPriority w:val="0"/>
    <w:rPr>
      <w:sz w:val="21"/>
      <w:szCs w:val="21"/>
    </w:rPr>
  </w:style>
  <w:style w:type="paragraph" w:customStyle="1" w:styleId="42">
    <w:name w:val="ListBullet2"/>
    <w:basedOn w:val="1"/>
    <w:qFormat/>
    <w:uiPriority w:val="0"/>
    <w:pPr>
      <w:numPr>
        <w:ilvl w:val="0"/>
        <w:numId w:val="1"/>
      </w:numPr>
      <w:tabs>
        <w:tab w:val="decimal" w:pos="780"/>
      </w:tabs>
    </w:pPr>
  </w:style>
  <w:style w:type="character" w:customStyle="1" w:styleId="43">
    <w:name w:val="标题 Char"/>
    <w:link w:val="30"/>
    <w:qFormat/>
    <w:uiPriority w:val="0"/>
    <w:rPr>
      <w:rFonts w:ascii="宋体" w:hAnsi="Arial" w:eastAsia="黑体" w:cs="Arial"/>
      <w:b/>
      <w:bCs/>
      <w:kern w:val="2"/>
      <w:sz w:val="21"/>
      <w:szCs w:val="21"/>
    </w:rPr>
  </w:style>
  <w:style w:type="character" w:customStyle="1" w:styleId="44">
    <w:name w:val="标题 Char1"/>
    <w:qFormat/>
    <w:uiPriority w:val="0"/>
    <w:rPr>
      <w:rFonts w:ascii="Cambria" w:hAnsi="Cambria" w:cs="Times New Roman"/>
      <w:b/>
      <w:bCs/>
      <w:kern w:val="2"/>
      <w:sz w:val="32"/>
      <w:szCs w:val="32"/>
    </w:rPr>
  </w:style>
  <w:style w:type="paragraph" w:styleId="45">
    <w:name w:val="List Paragraph"/>
    <w:basedOn w:val="1"/>
    <w:qFormat/>
    <w:uiPriority w:val="0"/>
    <w:pPr>
      <w:ind w:firstLine="420" w:firstLineChars="200"/>
    </w:pPr>
  </w:style>
  <w:style w:type="character" w:customStyle="1" w:styleId="46">
    <w:name w:val="批注框文本 Char"/>
    <w:link w:val="20"/>
    <w:qFormat/>
    <w:uiPriority w:val="0"/>
    <w:rPr>
      <w:kern w:val="2"/>
      <w:sz w:val="18"/>
      <w:szCs w:val="18"/>
    </w:rPr>
  </w:style>
  <w:style w:type="character" w:customStyle="1" w:styleId="47">
    <w:name w:val="日期 Char"/>
    <w:link w:val="18"/>
    <w:qFormat/>
    <w:uiPriority w:val="0"/>
    <w:rPr>
      <w:rFonts w:ascii="黑体" w:eastAsia="黑体"/>
      <w:kern w:val="2"/>
      <w:sz w:val="32"/>
    </w:rPr>
  </w:style>
  <w:style w:type="paragraph" w:customStyle="1" w:styleId="48">
    <w:name w:val="TOC 标题1"/>
    <w:basedOn w:val="4"/>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
    <w:name w:val="样式 标题 1 + 宋体 居中 段前: 48 磅 段后: 12 磅 行距: 1.5 倍行距"/>
    <w:basedOn w:val="4"/>
    <w:qFormat/>
    <w:uiPriority w:val="0"/>
    <w:pPr>
      <w:keepNext w:val="0"/>
      <w:keepLines w:val="0"/>
      <w:adjustRightInd w:val="0"/>
      <w:spacing w:before="0" w:after="0" w:line="360" w:lineRule="auto"/>
      <w:jc w:val="center"/>
      <w:textAlignment w:val="baseline"/>
    </w:pPr>
    <w:rPr>
      <w:rFonts w:ascii="宋体" w:hAnsi="宋体" w:eastAsia="黑体" w:cs="宋体"/>
      <w:kern w:val="2"/>
      <w:sz w:val="32"/>
      <w:szCs w:val="32"/>
      <w:lang w:val="zh-CN"/>
    </w:rPr>
  </w:style>
  <w:style w:type="character" w:customStyle="1" w:styleId="50">
    <w:name w:val="页脚 Char"/>
    <w:link w:val="21"/>
    <w:qFormat/>
    <w:uiPriority w:val="99"/>
    <w:rPr>
      <w:kern w:val="2"/>
      <w:sz w:val="18"/>
      <w:szCs w:val="18"/>
    </w:rPr>
  </w:style>
  <w:style w:type="paragraph" w:customStyle="1" w:styleId="51">
    <w:name w:val="Char"/>
    <w:basedOn w:val="1"/>
    <w:qFormat/>
    <w:uiPriority w:val="0"/>
  </w:style>
  <w:style w:type="paragraph" w:customStyle="1" w:styleId="52">
    <w:name w:val="Char1"/>
    <w:basedOn w:val="1"/>
    <w:qFormat/>
    <w:uiPriority w:val="99"/>
  </w:style>
  <w:style w:type="paragraph" w:customStyle="1" w:styleId="53">
    <w:name w:val="Table Paragraph"/>
    <w:basedOn w:val="1"/>
    <w:qFormat/>
    <w:uiPriority w:val="1"/>
    <w:pPr>
      <w:autoSpaceDE w:val="0"/>
      <w:autoSpaceDN w:val="0"/>
      <w:spacing w:before="107"/>
      <w:jc w:val="left"/>
    </w:pPr>
    <w:rPr>
      <w:rFonts w:ascii="宋体" w:hAnsi="宋体" w:cs="宋体"/>
      <w:kern w:val="0"/>
      <w:sz w:val="22"/>
      <w:szCs w:val="22"/>
      <w:lang w:val="zh-CN" w:bidi="zh-CN"/>
    </w:rPr>
  </w:style>
  <w:style w:type="character" w:customStyle="1" w:styleId="54">
    <w:name w:val="标题 4 Char"/>
    <w:link w:val="7"/>
    <w:semiHidden/>
    <w:qFormat/>
    <w:uiPriority w:val="0"/>
    <w:rPr>
      <w:rFonts w:ascii="Cambria" w:hAnsi="Cambria" w:eastAsia="宋体" w:cs="Times New Roman"/>
      <w:b/>
      <w:bCs/>
      <w:kern w:val="2"/>
      <w:sz w:val="28"/>
      <w:szCs w:val="28"/>
    </w:rPr>
  </w:style>
  <w:style w:type="character" w:customStyle="1" w:styleId="55">
    <w:name w:val="标题 5 Char"/>
    <w:link w:val="8"/>
    <w:semiHidden/>
    <w:qFormat/>
    <w:uiPriority w:val="0"/>
    <w:rPr>
      <w:b/>
      <w:bCs/>
      <w:kern w:val="2"/>
      <w:sz w:val="28"/>
      <w:szCs w:val="28"/>
    </w:rPr>
  </w:style>
  <w:style w:type="character" w:customStyle="1" w:styleId="56">
    <w:name w:val="正文文本 Char"/>
    <w:link w:val="2"/>
    <w:qFormat/>
    <w:uiPriority w:val="0"/>
    <w:rPr>
      <w:kern w:val="2"/>
      <w:sz w:val="21"/>
      <w:szCs w:val="24"/>
    </w:rPr>
  </w:style>
  <w:style w:type="character" w:customStyle="1" w:styleId="57">
    <w:name w:val="无间隔 Char"/>
    <w:basedOn w:val="35"/>
    <w:link w:val="58"/>
    <w:qFormat/>
    <w:uiPriority w:val="0"/>
    <w:rPr>
      <w:sz w:val="22"/>
      <w:lang w:eastAsia="en-US" w:bidi="en-US"/>
    </w:rPr>
  </w:style>
  <w:style w:type="paragraph" w:styleId="58">
    <w:name w:val="No Spacing"/>
    <w:basedOn w:val="1"/>
    <w:link w:val="57"/>
    <w:qFormat/>
    <w:uiPriority w:val="0"/>
    <w:pPr>
      <w:widowControl/>
      <w:jc w:val="left"/>
    </w:pPr>
    <w:rPr>
      <w:kern w:val="0"/>
      <w:sz w:val="22"/>
      <w:szCs w:val="20"/>
      <w:lang w:eastAsia="en-US" w:bidi="en-US"/>
    </w:rPr>
  </w:style>
  <w:style w:type="character" w:customStyle="1" w:styleId="59">
    <w:name w:val="页眉 Char"/>
    <w:basedOn w:val="35"/>
    <w:link w:val="22"/>
    <w:qFormat/>
    <w:locked/>
    <w:uiPriority w:val="99"/>
    <w:rPr>
      <w:kern w:val="2"/>
      <w:sz w:val="18"/>
      <w:szCs w:val="18"/>
    </w:rPr>
  </w:style>
  <w:style w:type="character" w:customStyle="1" w:styleId="60">
    <w:name w:val="Blockquote Char Char"/>
    <w:link w:val="61"/>
    <w:qFormat/>
    <w:uiPriority w:val="0"/>
    <w:rPr>
      <w:sz w:val="24"/>
    </w:rPr>
  </w:style>
  <w:style w:type="paragraph" w:customStyle="1" w:styleId="61">
    <w:name w:val="Blockquote"/>
    <w:basedOn w:val="1"/>
    <w:link w:val="60"/>
    <w:qFormat/>
    <w:uiPriority w:val="0"/>
    <w:pPr>
      <w:autoSpaceDE w:val="0"/>
      <w:autoSpaceDN w:val="0"/>
      <w:adjustRightInd w:val="0"/>
      <w:spacing w:before="100" w:after="100"/>
      <w:ind w:left="360" w:right="360"/>
      <w:jc w:val="left"/>
    </w:pPr>
    <w:rPr>
      <w:kern w:val="0"/>
      <w:sz w:val="24"/>
      <w:szCs w:val="20"/>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Normal_0_0"/>
    <w:qFormat/>
    <w:uiPriority w:val="0"/>
    <w:pPr>
      <w:widowControl w:val="0"/>
      <w:jc w:val="both"/>
    </w:pPr>
    <w:rPr>
      <w:rFonts w:ascii="等线" w:hAnsi="等线" w:eastAsia="等线" w:cs="Times New Roman"/>
      <w:kern w:val="2"/>
      <w:sz w:val="21"/>
      <w:szCs w:val="22"/>
      <w:lang w:val="en-US" w:eastAsia="zh-CN" w:bidi="ar-SA"/>
    </w:rPr>
  </w:style>
  <w:style w:type="character" w:customStyle="1" w:styleId="64">
    <w:name w:val="页码1"/>
    <w:basedOn w:val="35"/>
    <w:qFormat/>
    <w:uiPriority w:val="99"/>
    <w:rPr>
      <w:rFonts w:cs="Times New Roman"/>
    </w:rPr>
  </w:style>
  <w:style w:type="character" w:customStyle="1" w:styleId="65">
    <w:name w:val="批注文字 Char"/>
    <w:basedOn w:val="35"/>
    <w:link w:val="11"/>
    <w:qFormat/>
    <w:uiPriority w:val="0"/>
    <w:rPr>
      <w:kern w:val="2"/>
      <w:sz w:val="21"/>
      <w:szCs w:val="24"/>
    </w:rPr>
  </w:style>
  <w:style w:type="character" w:customStyle="1" w:styleId="66">
    <w:name w:val="批注主题 Char"/>
    <w:basedOn w:val="65"/>
    <w:link w:val="31"/>
    <w:qFormat/>
    <w:uiPriority w:val="0"/>
    <w:rPr>
      <w:b/>
      <w:bCs/>
      <w:kern w:val="2"/>
      <w:sz w:val="21"/>
      <w:szCs w:val="24"/>
    </w:rPr>
  </w:style>
  <w:style w:type="paragraph" w:customStyle="1" w:styleId="67">
    <w:name w:val="UserStyle_0"/>
    <w:basedOn w:val="1"/>
    <w:qFormat/>
    <w:uiPriority w:val="0"/>
    <w:pPr>
      <w:ind w:firstLine="420" w:firstLineChars="200"/>
    </w:pPr>
  </w:style>
  <w:style w:type="character" w:customStyle="1" w:styleId="68">
    <w:name w:val="NormalCharacter"/>
    <w:qFormat/>
    <w:uiPriority w:val="0"/>
  </w:style>
  <w:style w:type="character" w:customStyle="1" w:styleId="69">
    <w:name w:val="font81"/>
    <w:basedOn w:val="35"/>
    <w:qFormat/>
    <w:uiPriority w:val="0"/>
    <w:rPr>
      <w:rFonts w:hint="eastAsia" w:ascii="宋体" w:hAnsi="宋体" w:eastAsia="宋体" w:cs="宋体"/>
      <w:color w:val="000000"/>
      <w:sz w:val="22"/>
      <w:szCs w:val="22"/>
      <w:u w:val="none"/>
    </w:rPr>
  </w:style>
  <w:style w:type="character" w:customStyle="1" w:styleId="70">
    <w:name w:val="font61"/>
    <w:basedOn w:val="35"/>
    <w:qFormat/>
    <w:uiPriority w:val="0"/>
    <w:rPr>
      <w:rFonts w:hint="default" w:ascii="Times New Roman" w:hAnsi="Times New Roman" w:cs="Times New Roman"/>
      <w:color w:val="000000"/>
      <w:sz w:val="22"/>
      <w:szCs w:val="22"/>
      <w:u w:val="none"/>
    </w:rPr>
  </w:style>
  <w:style w:type="character" w:customStyle="1" w:styleId="71">
    <w:name w:val="font91"/>
    <w:basedOn w:val="35"/>
    <w:qFormat/>
    <w:uiPriority w:val="0"/>
    <w:rPr>
      <w:rFonts w:hint="eastAsia" w:ascii="宋体" w:hAnsi="宋体" w:eastAsia="宋体" w:cs="宋体"/>
      <w:color w:val="000000"/>
      <w:sz w:val="24"/>
      <w:szCs w:val="24"/>
      <w:u w:val="none"/>
    </w:rPr>
  </w:style>
  <w:style w:type="character" w:customStyle="1" w:styleId="72">
    <w:name w:val="font2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C2BF1-B33B-4323-8E53-6511F6D90B14}">
  <ds:schemaRefs/>
</ds:datastoreItem>
</file>

<file path=docProps/app.xml><?xml version="1.0" encoding="utf-8"?>
<Properties xmlns="http://schemas.openxmlformats.org/officeDocument/2006/extended-properties" xmlns:vt="http://schemas.openxmlformats.org/officeDocument/2006/docPropsVTypes">
  <Template>Normal.dotm</Template>
  <Company>by</Company>
  <Pages>44</Pages>
  <Words>23273</Words>
  <Characters>24886</Characters>
  <Lines>265</Lines>
  <Paragraphs>74</Paragraphs>
  <TotalTime>101</TotalTime>
  <ScaleCrop>false</ScaleCrop>
  <LinksUpToDate>false</LinksUpToDate>
  <CharactersWithSpaces>26764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2022-08-31T07:20:00Z</dcterms:created>
  <dc:creator>wufeng</dc:creator>
  <cp:lastModifiedBy>陈刚</cp:lastModifiedBy>
  <cp:lastPrinted>2023-10-25T03:15:00Z</cp:lastPrinted>
  <dcterms:modified xsi:type="dcterms:W3CDTF">2023-10-25T09:49:14Z</dcterms:modified>
  <dc:title>******新校区建设施工图设计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804351179E80450F862F98C230977AE8_13</vt:lpwstr>
  </property>
</Properties>
</file>