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spacing w:line="360" w:lineRule="auto"/>
        <w:ind w:firstLine="0" w:firstLineChars="0"/>
        <w:jc w:val="center"/>
        <w:rPr>
          <w:rFonts w:ascii="黑体" w:hAnsi="黑体" w:eastAsia="黑体"/>
          <w:kern w:val="10"/>
          <w:sz w:val="36"/>
          <w:szCs w:val="36"/>
        </w:rPr>
      </w:pPr>
      <w:r>
        <w:rPr>
          <w:rFonts w:hint="eastAsia" w:ascii="黑体" w:hAnsi="黑体" w:eastAsia="黑体"/>
          <w:kern w:val="10"/>
          <w:sz w:val="36"/>
          <w:szCs w:val="36"/>
        </w:rPr>
        <w:t>扬州市洁源排水有限公司</w:t>
      </w:r>
    </w:p>
    <w:p>
      <w:pPr>
        <w:spacing w:line="360" w:lineRule="auto"/>
        <w:ind w:firstLine="0" w:firstLineChars="0"/>
        <w:jc w:val="center"/>
        <w:rPr>
          <w:rFonts w:ascii="黑体" w:hAnsi="黑体" w:eastAsia="黑体"/>
          <w:kern w:val="10"/>
          <w:sz w:val="36"/>
          <w:szCs w:val="36"/>
        </w:rPr>
      </w:pPr>
      <w:r>
        <w:rPr>
          <w:rFonts w:hint="eastAsia" w:ascii="黑体" w:hAnsi="黑体" w:eastAsia="黑体"/>
          <w:kern w:val="10"/>
          <w:sz w:val="36"/>
          <w:szCs w:val="36"/>
        </w:rPr>
        <w:t>北山</w:t>
      </w:r>
      <w:r>
        <w:rPr>
          <w:rFonts w:hint="eastAsia" w:ascii="黑体" w:hAnsi="黑体" w:eastAsia="黑体"/>
          <w:color w:val="auto"/>
          <w:kern w:val="10"/>
          <w:sz w:val="36"/>
          <w:szCs w:val="36"/>
          <w:lang w:eastAsia="zh-CN"/>
        </w:rPr>
        <w:t>污水处理</w:t>
      </w:r>
      <w:r>
        <w:rPr>
          <w:rFonts w:hint="eastAsia" w:ascii="黑体" w:hAnsi="黑体" w:eastAsia="黑体"/>
          <w:color w:val="auto"/>
          <w:kern w:val="10"/>
          <w:sz w:val="36"/>
          <w:szCs w:val="36"/>
        </w:rPr>
        <w:t>厂化</w:t>
      </w:r>
      <w:r>
        <w:rPr>
          <w:rFonts w:hint="eastAsia" w:ascii="黑体" w:hAnsi="黑体" w:eastAsia="黑体"/>
          <w:kern w:val="10"/>
          <w:sz w:val="36"/>
          <w:szCs w:val="36"/>
        </w:rPr>
        <w:t>验室设备及耗材采购项目</w:t>
      </w:r>
    </w:p>
    <w:p>
      <w:r>
        <w:rPr>
          <w:rFonts w:hint="eastAsia"/>
        </w:rPr>
        <w:t>.</w:t>
      </w:r>
    </w:p>
    <w:p>
      <w:pPr>
        <w:pStyle w:val="35"/>
        <w:ind w:firstLine="482"/>
      </w:pPr>
    </w:p>
    <w:p/>
    <w:p/>
    <w:p/>
    <w:p/>
    <w:p>
      <w:pPr>
        <w:spacing w:line="360" w:lineRule="auto"/>
        <w:ind w:left="560" w:firstLine="0" w:firstLineChars="0"/>
        <w:jc w:val="center"/>
        <w:rPr>
          <w:rFonts w:ascii="黑体" w:hAnsi="黑体" w:eastAsia="黑体"/>
          <w:b/>
          <w:spacing w:val="160"/>
          <w:kern w:val="36"/>
          <w:sz w:val="56"/>
          <w:szCs w:val="56"/>
        </w:rPr>
      </w:pPr>
      <w:r>
        <w:rPr>
          <w:rFonts w:hint="eastAsia" w:ascii="黑体" w:hAnsi="黑体" w:eastAsia="黑体"/>
          <w:b/>
          <w:spacing w:val="160"/>
          <w:kern w:val="36"/>
          <w:sz w:val="56"/>
          <w:szCs w:val="56"/>
        </w:rPr>
        <w:t>招标文件</w:t>
      </w:r>
    </w:p>
    <w:p/>
    <w:p/>
    <w:p/>
    <w:p/>
    <w:p/>
    <w:p/>
    <w:p/>
    <w:p/>
    <w:p/>
    <w:p/>
    <w:p>
      <w:pPr>
        <w:spacing w:line="360" w:lineRule="auto"/>
        <w:ind w:firstLine="1600" w:firstLineChars="500"/>
        <w:jc w:val="left"/>
        <w:rPr>
          <w:rFonts w:ascii="黑体" w:hAnsi="黑体" w:eastAsia="黑体"/>
          <w:kern w:val="10"/>
          <w:sz w:val="32"/>
          <w:szCs w:val="32"/>
        </w:rPr>
      </w:pPr>
      <w:r>
        <w:rPr>
          <w:rFonts w:hint="eastAsia" w:ascii="黑体" w:hAnsi="黑体" w:eastAsia="黑体"/>
          <w:kern w:val="10"/>
          <w:sz w:val="32"/>
          <w:szCs w:val="32"/>
        </w:rPr>
        <w:t xml:space="preserve">招标人：扬州市洁源排水有限公司 </w:t>
      </w:r>
      <w:r>
        <w:rPr>
          <w:rFonts w:hint="eastAsia" w:ascii="黑体" w:hAnsi="黑体" w:eastAsia="黑体"/>
          <w:kern w:val="10"/>
          <w:sz w:val="32"/>
          <w:szCs w:val="32"/>
        </w:rPr>
        <w:tab/>
      </w:r>
    </w:p>
    <w:p>
      <w:pPr>
        <w:spacing w:line="360" w:lineRule="auto"/>
        <w:ind w:firstLine="1600" w:firstLineChars="500"/>
        <w:jc w:val="left"/>
        <w:rPr>
          <w:rFonts w:ascii="黑体" w:hAnsi="黑体" w:eastAsia="黑体"/>
          <w:kern w:val="10"/>
          <w:sz w:val="32"/>
          <w:szCs w:val="32"/>
        </w:rPr>
      </w:pPr>
      <w:r>
        <w:rPr>
          <w:rFonts w:hint="eastAsia" w:ascii="黑体" w:hAnsi="黑体" w:eastAsia="黑体"/>
          <w:kern w:val="10"/>
          <w:sz w:val="32"/>
          <w:szCs w:val="32"/>
        </w:rPr>
        <w:t>招标代理单位：扬州市嘉诚造价咨询有限公司</w:t>
      </w:r>
    </w:p>
    <w:p/>
    <w:p>
      <w:pPr>
        <w:spacing w:line="360" w:lineRule="auto"/>
        <w:ind w:firstLine="560"/>
        <w:jc w:val="center"/>
        <w:rPr>
          <w:kern w:val="10"/>
          <w:sz w:val="28"/>
        </w:rPr>
      </w:pPr>
      <w:r>
        <w:rPr>
          <w:rFonts w:hint="eastAsia" w:ascii="宋体" w:hAnsi="宋体"/>
          <w:b/>
          <w:bCs/>
          <w:snapToGrid w:val="0"/>
          <w:sz w:val="30"/>
        </w:rPr>
        <w:t>202</w:t>
      </w:r>
      <w:r>
        <w:rPr>
          <w:rFonts w:hint="eastAsia" w:ascii="宋体" w:hAnsi="宋体"/>
          <w:b/>
          <w:bCs/>
          <w:snapToGrid w:val="0"/>
          <w:sz w:val="30"/>
          <w:lang w:val="en-US" w:eastAsia="zh-CN"/>
        </w:rPr>
        <w:t>1</w:t>
      </w:r>
      <w:r>
        <w:rPr>
          <w:rFonts w:hint="eastAsia" w:ascii="宋体" w:hAnsi="宋体"/>
          <w:b/>
          <w:bCs/>
          <w:snapToGrid w:val="0"/>
          <w:sz w:val="30"/>
        </w:rPr>
        <w:t>年</w:t>
      </w:r>
      <w:r>
        <w:rPr>
          <w:rFonts w:hint="eastAsia" w:ascii="宋体" w:hAnsi="宋体"/>
          <w:b/>
          <w:bCs/>
          <w:snapToGrid w:val="0"/>
          <w:sz w:val="30"/>
          <w:u w:val="single"/>
        </w:rPr>
        <w:t xml:space="preserve"> </w:t>
      </w:r>
      <w:r>
        <w:rPr>
          <w:rFonts w:hint="eastAsia" w:ascii="宋体" w:hAnsi="宋体"/>
          <w:b/>
          <w:bCs/>
          <w:snapToGrid w:val="0"/>
          <w:sz w:val="30"/>
          <w:u w:val="single"/>
          <w:lang w:val="en-US" w:eastAsia="zh-CN"/>
        </w:rPr>
        <w:t>11</w:t>
      </w:r>
      <w:r>
        <w:rPr>
          <w:rFonts w:hint="eastAsia" w:ascii="宋体" w:hAnsi="宋体"/>
          <w:b/>
          <w:bCs/>
          <w:snapToGrid w:val="0"/>
          <w:sz w:val="30"/>
          <w:u w:val="single"/>
        </w:rPr>
        <w:t xml:space="preserve"> </w:t>
      </w:r>
      <w:r>
        <w:rPr>
          <w:rFonts w:hint="eastAsia" w:ascii="宋体" w:hAnsi="宋体"/>
          <w:b/>
          <w:bCs/>
          <w:snapToGrid w:val="0"/>
          <w:sz w:val="30"/>
        </w:rPr>
        <w:t>月</w:t>
      </w:r>
      <w:r>
        <w:rPr>
          <w:rFonts w:hint="eastAsia" w:ascii="宋体" w:hAnsi="宋体"/>
          <w:b/>
          <w:bCs/>
          <w:snapToGrid w:val="0"/>
          <w:sz w:val="30"/>
          <w:u w:val="single"/>
        </w:rPr>
        <w:t xml:space="preserve"> </w:t>
      </w:r>
      <w:r>
        <w:rPr>
          <w:rFonts w:hint="eastAsia" w:ascii="宋体" w:hAnsi="宋体"/>
          <w:b/>
          <w:bCs/>
          <w:snapToGrid w:val="0"/>
          <w:sz w:val="30"/>
          <w:u w:val="single"/>
          <w:lang w:val="en-US" w:eastAsia="zh-CN"/>
        </w:rPr>
        <w:t>5</w:t>
      </w:r>
      <w:r>
        <w:rPr>
          <w:rFonts w:hint="eastAsia" w:ascii="宋体" w:hAnsi="宋体"/>
          <w:b/>
          <w:bCs/>
          <w:snapToGrid w:val="0"/>
          <w:sz w:val="30"/>
          <w:u w:val="single"/>
        </w:rPr>
        <w:t xml:space="preserve"> </w:t>
      </w:r>
      <w:r>
        <w:rPr>
          <w:rFonts w:hint="eastAsia" w:ascii="宋体" w:hAnsi="宋体"/>
          <w:b/>
          <w:bCs/>
          <w:snapToGrid w:val="0"/>
          <w:sz w:val="30"/>
        </w:rPr>
        <w:t>日</w:t>
      </w:r>
    </w:p>
    <w:p>
      <w:p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lowerRoman"/>
          <w:cols w:space="425" w:num="1"/>
          <w:docGrid w:type="lines" w:linePitch="312" w:charSpace="0"/>
        </w:sectPr>
      </w:pPr>
    </w:p>
    <w:p>
      <w:pPr>
        <w:jc w:val="center"/>
      </w:pPr>
      <w:r>
        <w:t>目录</w:t>
      </w:r>
    </w:p>
    <w:p/>
    <w:p>
      <w:pPr>
        <w:pStyle w:val="21"/>
        <w:tabs>
          <w:tab w:val="right" w:leader="dot" w:pos="8306"/>
        </w:tabs>
      </w:pPr>
      <w:r>
        <w:fldChar w:fldCharType="begin"/>
      </w:r>
      <w:r>
        <w:instrText xml:space="preserve"> TOC \o "1-5" \h \z \u </w:instrText>
      </w:r>
      <w:r>
        <w:fldChar w:fldCharType="separate"/>
      </w:r>
    </w:p>
    <w:p>
      <w:pPr>
        <w:pStyle w:val="24"/>
        <w:tabs>
          <w:tab w:val="right" w:leader="dot" w:pos="8306"/>
        </w:tabs>
        <w:spacing w:line="360" w:lineRule="auto"/>
      </w:pPr>
      <w:r>
        <w:fldChar w:fldCharType="begin"/>
      </w:r>
      <w:r>
        <w:instrText xml:space="preserve"> HYPERLINK \l "_Toc10787" </w:instrText>
      </w:r>
      <w:r>
        <w:fldChar w:fldCharType="separate"/>
      </w:r>
      <w:r>
        <w:rPr>
          <w:rFonts w:hint="eastAsia"/>
        </w:rPr>
        <w:t>第一章招标公告</w:t>
      </w:r>
      <w:r>
        <w:tab/>
      </w:r>
      <w:r>
        <w:fldChar w:fldCharType="begin"/>
      </w:r>
      <w:r>
        <w:instrText xml:space="preserve"> PAGEREF _Toc10787 </w:instrText>
      </w:r>
      <w:r>
        <w:fldChar w:fldCharType="separate"/>
      </w:r>
      <w:r>
        <w:t>2</w:t>
      </w:r>
      <w:r>
        <w:fldChar w:fldCharType="end"/>
      </w:r>
      <w:r>
        <w:fldChar w:fldCharType="end"/>
      </w:r>
    </w:p>
    <w:p/>
    <w:p>
      <w:pPr>
        <w:pStyle w:val="24"/>
        <w:tabs>
          <w:tab w:val="right" w:leader="dot" w:pos="8306"/>
        </w:tabs>
      </w:pPr>
      <w:r>
        <w:fldChar w:fldCharType="begin"/>
      </w:r>
      <w:r>
        <w:instrText xml:space="preserve"> HYPERLINK \l "_Toc21678" </w:instrText>
      </w:r>
      <w:r>
        <w:fldChar w:fldCharType="separate"/>
      </w:r>
      <w:r>
        <w:rPr>
          <w:rFonts w:hint="eastAsia"/>
        </w:rPr>
        <w:t>第二章投标人须知</w:t>
      </w:r>
      <w:r>
        <w:tab/>
      </w:r>
      <w:r>
        <w:fldChar w:fldCharType="begin"/>
      </w:r>
      <w:r>
        <w:instrText xml:space="preserve"> PAGEREF _Toc21678 </w:instrText>
      </w:r>
      <w:r>
        <w:fldChar w:fldCharType="separate"/>
      </w:r>
      <w:r>
        <w:t>5</w:t>
      </w:r>
      <w:r>
        <w:fldChar w:fldCharType="end"/>
      </w:r>
      <w:r>
        <w:fldChar w:fldCharType="end"/>
      </w:r>
    </w:p>
    <w:p/>
    <w:p>
      <w:pPr>
        <w:pStyle w:val="24"/>
        <w:tabs>
          <w:tab w:val="right" w:leader="dot" w:pos="8306"/>
        </w:tabs>
      </w:pPr>
      <w:r>
        <w:fldChar w:fldCharType="begin"/>
      </w:r>
      <w:r>
        <w:instrText xml:space="preserve"> HYPERLINK \l "_Toc30766" </w:instrText>
      </w:r>
      <w:r>
        <w:fldChar w:fldCharType="separate"/>
      </w:r>
      <w:r>
        <w:rPr>
          <w:rFonts w:hint="eastAsia"/>
        </w:rPr>
        <w:t>第三章评标办法（综合评估法）</w:t>
      </w:r>
      <w:r>
        <w:tab/>
      </w:r>
      <w:r>
        <w:fldChar w:fldCharType="begin"/>
      </w:r>
      <w:r>
        <w:instrText xml:space="preserve"> PAGEREF _Toc30766 </w:instrText>
      </w:r>
      <w:r>
        <w:fldChar w:fldCharType="separate"/>
      </w:r>
      <w:r>
        <w:t>23</w:t>
      </w:r>
      <w:r>
        <w:fldChar w:fldCharType="end"/>
      </w:r>
      <w:r>
        <w:fldChar w:fldCharType="end"/>
      </w:r>
    </w:p>
    <w:p/>
    <w:p>
      <w:pPr>
        <w:pStyle w:val="24"/>
        <w:tabs>
          <w:tab w:val="right" w:leader="dot" w:pos="8306"/>
        </w:tabs>
      </w:pPr>
      <w:r>
        <w:fldChar w:fldCharType="begin"/>
      </w:r>
      <w:r>
        <w:instrText xml:space="preserve"> HYPERLINK \l "_Toc8683" </w:instrText>
      </w:r>
      <w:r>
        <w:fldChar w:fldCharType="separate"/>
      </w:r>
      <w:r>
        <w:rPr>
          <w:rFonts w:hint="eastAsia"/>
        </w:rPr>
        <w:t>第四章合同条款及格式</w:t>
      </w:r>
      <w:r>
        <w:tab/>
      </w:r>
      <w:r>
        <w:fldChar w:fldCharType="begin"/>
      </w:r>
      <w:r>
        <w:instrText xml:space="preserve"> PAGEREF _Toc8683 </w:instrText>
      </w:r>
      <w:r>
        <w:fldChar w:fldCharType="separate"/>
      </w:r>
      <w:r>
        <w:t>30</w:t>
      </w:r>
      <w:r>
        <w:fldChar w:fldCharType="end"/>
      </w:r>
      <w:r>
        <w:fldChar w:fldCharType="end"/>
      </w:r>
    </w:p>
    <w:p/>
    <w:p>
      <w:pPr>
        <w:pStyle w:val="24"/>
        <w:tabs>
          <w:tab w:val="right" w:leader="dot" w:pos="8306"/>
        </w:tabs>
      </w:pPr>
      <w:r>
        <w:fldChar w:fldCharType="begin"/>
      </w:r>
      <w:r>
        <w:instrText xml:space="preserve"> HYPERLINK \l "_Toc5143" </w:instrText>
      </w:r>
      <w:r>
        <w:fldChar w:fldCharType="separate"/>
      </w:r>
      <w:r>
        <w:rPr>
          <w:rFonts w:hint="eastAsia"/>
        </w:rPr>
        <w:t>第五章供货要求</w:t>
      </w:r>
      <w:r>
        <w:tab/>
      </w:r>
      <w:r>
        <w:fldChar w:fldCharType="begin"/>
      </w:r>
      <w:r>
        <w:instrText xml:space="preserve"> PAGEREF _Toc5143 </w:instrText>
      </w:r>
      <w:r>
        <w:fldChar w:fldCharType="separate"/>
      </w:r>
      <w:r>
        <w:t>37</w:t>
      </w:r>
      <w:r>
        <w:fldChar w:fldCharType="end"/>
      </w:r>
      <w:r>
        <w:fldChar w:fldCharType="end"/>
      </w:r>
    </w:p>
    <w:p/>
    <w:p>
      <w:pPr>
        <w:pStyle w:val="24"/>
        <w:tabs>
          <w:tab w:val="right" w:leader="dot" w:pos="8306"/>
        </w:tabs>
      </w:pPr>
      <w:r>
        <w:fldChar w:fldCharType="begin"/>
      </w:r>
      <w:r>
        <w:instrText xml:space="preserve"> HYPERLINK \l "_Toc14166" </w:instrText>
      </w:r>
      <w:r>
        <w:fldChar w:fldCharType="separate"/>
      </w:r>
      <w:r>
        <w:rPr>
          <w:rFonts w:hint="eastAsia"/>
        </w:rPr>
        <w:t>第六章投标文件格式</w:t>
      </w:r>
      <w:r>
        <w:tab/>
      </w:r>
      <w:r>
        <w:fldChar w:fldCharType="begin"/>
      </w:r>
      <w:r>
        <w:instrText xml:space="preserve"> PAGEREF _Toc14166 </w:instrText>
      </w:r>
      <w:r>
        <w:fldChar w:fldCharType="separate"/>
      </w:r>
      <w:r>
        <w:t>70</w:t>
      </w:r>
      <w:r>
        <w:fldChar w:fldCharType="end"/>
      </w:r>
      <w:r>
        <w:fldChar w:fldCharType="end"/>
      </w:r>
    </w:p>
    <w:p>
      <w:pPr>
        <w:ind w:firstLine="0" w:firstLineChars="0"/>
        <w:sectPr>
          <w:footerReference r:id="rId11" w:type="default"/>
          <w:pgSz w:w="11906" w:h="16838"/>
          <w:pgMar w:top="1440" w:right="1800" w:bottom="1440" w:left="1800" w:header="851" w:footer="992" w:gutter="0"/>
          <w:pgNumType w:fmt="lowerRoman" w:start="1"/>
          <w:cols w:space="425" w:num="1"/>
          <w:docGrid w:type="lines" w:linePitch="312" w:charSpace="0"/>
        </w:sectPr>
      </w:pPr>
      <w:r>
        <w:fldChar w:fldCharType="end"/>
      </w:r>
    </w:p>
    <w:p>
      <w:pPr>
        <w:pStyle w:val="4"/>
      </w:pPr>
      <w:bookmarkStart w:id="0" w:name="_Toc10787"/>
      <w:r>
        <w:rPr>
          <w:rFonts w:hint="eastAsia"/>
        </w:rPr>
        <w:t>第一章招标公告</w:t>
      </w:r>
      <w:bookmarkEnd w:id="0"/>
    </w:p>
    <w:p>
      <w:pPr>
        <w:snapToGrid w:val="0"/>
        <w:spacing w:line="360" w:lineRule="auto"/>
        <w:contextualSpacing/>
        <w:rPr>
          <w:sz w:val="24"/>
          <w:szCs w:val="24"/>
        </w:rPr>
      </w:pPr>
      <w:r>
        <w:rPr>
          <w:rFonts w:hint="eastAsia" w:ascii="宋体" w:hAnsi="宋体"/>
          <w:sz w:val="24"/>
          <w:szCs w:val="24"/>
          <w:u w:val="single"/>
          <w:lang w:val="zh-CN"/>
        </w:rPr>
        <w:t>扬州市嘉诚造价咨询有限公司</w:t>
      </w:r>
      <w:r>
        <w:rPr>
          <w:rFonts w:hint="eastAsia" w:ascii="宋体" w:hAnsi="宋体"/>
          <w:sz w:val="24"/>
          <w:szCs w:val="24"/>
          <w:lang w:val="zh-CN"/>
        </w:rPr>
        <w:t>（以下简称“招标代理”）受</w:t>
      </w:r>
      <w:r>
        <w:rPr>
          <w:rFonts w:hint="eastAsia" w:ascii="宋体" w:hAnsi="宋体"/>
          <w:sz w:val="24"/>
          <w:szCs w:val="24"/>
          <w:u w:val="single"/>
          <w:lang w:val="zh-CN"/>
        </w:rPr>
        <w:t>扬州市洁源排水有限公司</w:t>
      </w:r>
      <w:r>
        <w:rPr>
          <w:rFonts w:hint="eastAsia" w:ascii="宋体" w:hAnsi="宋体"/>
          <w:sz w:val="24"/>
          <w:szCs w:val="24"/>
          <w:lang w:val="zh-CN"/>
        </w:rPr>
        <w:t>（以下简称“招标人”）的委托，就</w:t>
      </w:r>
      <w:r>
        <w:rPr>
          <w:rFonts w:hint="eastAsia"/>
          <w:sz w:val="24"/>
          <w:szCs w:val="24"/>
          <w:u w:val="single"/>
        </w:rPr>
        <w:t>扬州市洁源排水有限公司</w:t>
      </w:r>
      <w:r>
        <w:rPr>
          <w:rFonts w:hint="eastAsia"/>
          <w:sz w:val="24"/>
          <w:szCs w:val="24"/>
          <w:u w:val="single"/>
          <w:lang w:eastAsia="zh-CN"/>
        </w:rPr>
        <w:t>北山污水处理厂</w:t>
      </w:r>
      <w:r>
        <w:rPr>
          <w:rFonts w:hint="eastAsia"/>
          <w:sz w:val="24"/>
          <w:szCs w:val="24"/>
          <w:u w:val="single"/>
        </w:rPr>
        <w:t>化验室设备及耗材采购项目</w:t>
      </w:r>
      <w:r>
        <w:rPr>
          <w:rFonts w:hint="eastAsia" w:ascii="宋体" w:hAnsi="宋体"/>
          <w:sz w:val="24"/>
          <w:szCs w:val="24"/>
          <w:lang w:val="zh-CN"/>
        </w:rPr>
        <w:t>进行招标，现采用公开招标方式，符合资格条件的投标人均可参与投标。现公告如下：</w:t>
      </w:r>
    </w:p>
    <w:p>
      <w:pPr>
        <w:pStyle w:val="6"/>
        <w:rPr>
          <w:rFonts w:hint="eastAsia"/>
        </w:rPr>
      </w:pPr>
      <w:r>
        <w:rPr>
          <w:rFonts w:hint="eastAsia"/>
          <w:lang w:eastAsia="zh-CN"/>
        </w:rPr>
        <w:t>一、</w:t>
      </w:r>
      <w:r>
        <w:rPr>
          <w:rFonts w:hint="eastAsia"/>
        </w:rPr>
        <w:t>招标条件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pPr>
      <w:r>
        <w:rPr>
          <w:rFonts w:hint="eastAsia"/>
        </w:rPr>
        <w:t xml:space="preserve">  </w:t>
      </w:r>
      <w:r>
        <w:rPr>
          <w:rFonts w:hint="eastAsia"/>
          <w:sz w:val="24"/>
          <w:szCs w:val="24"/>
        </w:rPr>
        <w:t>本</w:t>
      </w:r>
      <w:r>
        <w:rPr>
          <w:rFonts w:hint="eastAsia"/>
          <w:sz w:val="24"/>
          <w:szCs w:val="24"/>
          <w:u w:val="single"/>
        </w:rPr>
        <w:t>扬州市洁源排水有限公司</w:t>
      </w:r>
      <w:r>
        <w:rPr>
          <w:rFonts w:hint="eastAsia"/>
          <w:sz w:val="24"/>
          <w:szCs w:val="24"/>
          <w:u w:val="single"/>
          <w:lang w:eastAsia="zh-CN"/>
        </w:rPr>
        <w:t>北山污水处理厂</w:t>
      </w:r>
      <w:r>
        <w:rPr>
          <w:rFonts w:hint="eastAsia"/>
          <w:sz w:val="24"/>
          <w:szCs w:val="24"/>
          <w:u w:val="single"/>
        </w:rPr>
        <w:t>化验室设备及耗材采购项目</w:t>
      </w:r>
      <w:r>
        <w:rPr>
          <w:rFonts w:hint="eastAsia"/>
          <w:sz w:val="24"/>
          <w:szCs w:val="24"/>
        </w:rPr>
        <w:t>项目资金来源为</w:t>
      </w:r>
      <w:r>
        <w:rPr>
          <w:rFonts w:hint="eastAsia"/>
          <w:sz w:val="24"/>
          <w:szCs w:val="24"/>
          <w:u w:val="single"/>
        </w:rPr>
        <w:t xml:space="preserve"> 自筹 </w:t>
      </w:r>
      <w:r>
        <w:rPr>
          <w:rFonts w:hint="eastAsia"/>
          <w:sz w:val="24"/>
          <w:szCs w:val="24"/>
        </w:rPr>
        <w:t>，招标人为</w:t>
      </w:r>
      <w:r>
        <w:rPr>
          <w:rFonts w:hint="eastAsia"/>
          <w:sz w:val="24"/>
          <w:szCs w:val="24"/>
          <w:u w:val="single"/>
        </w:rPr>
        <w:t xml:space="preserve"> 扬州市洁源排水有限公司 </w:t>
      </w:r>
      <w:r>
        <w:rPr>
          <w:rFonts w:hint="eastAsia"/>
          <w:sz w:val="24"/>
          <w:szCs w:val="24"/>
        </w:rPr>
        <w:t>。本项目已具备招标条件，现招标方式为</w:t>
      </w:r>
      <w:r>
        <w:rPr>
          <w:rFonts w:hint="eastAsia"/>
          <w:sz w:val="24"/>
          <w:szCs w:val="24"/>
          <w:u w:val="single"/>
        </w:rPr>
        <w:t xml:space="preserve"> 公开招标 </w:t>
      </w:r>
      <w:r>
        <w:rPr>
          <w:rFonts w:hint="eastAsia"/>
          <w:sz w:val="24"/>
          <w:szCs w:val="24"/>
        </w:rPr>
        <w:t>。</w:t>
      </w:r>
    </w:p>
    <w:p>
      <w:pPr>
        <w:pStyle w:val="6"/>
      </w:pPr>
      <w:r>
        <w:rPr>
          <w:rFonts w:hint="eastAsia"/>
        </w:rPr>
        <w:t>二、项目概况和招标范围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olor w:val="FF0000"/>
          <w:sz w:val="24"/>
          <w:szCs w:val="24"/>
          <w:lang w:val="en-US" w:eastAsia="zh-CN"/>
        </w:rPr>
      </w:pPr>
      <w:r>
        <w:rPr>
          <w:rFonts w:hint="eastAsia"/>
          <w:sz w:val="24"/>
          <w:szCs w:val="24"/>
        </w:rPr>
        <w:t>规模：</w:t>
      </w:r>
      <w:r>
        <w:rPr>
          <w:rFonts w:hint="eastAsia"/>
          <w:color w:val="FF0000"/>
          <w:sz w:val="24"/>
          <w:szCs w:val="24"/>
          <w:u w:val="single"/>
        </w:rPr>
        <w:t>4</w:t>
      </w:r>
      <w:r>
        <w:rPr>
          <w:rFonts w:hint="eastAsia"/>
          <w:color w:val="FF0000"/>
          <w:sz w:val="24"/>
          <w:szCs w:val="24"/>
          <w:u w:val="single"/>
          <w:lang w:val="en-US" w:eastAsia="zh-CN"/>
        </w:rPr>
        <w:t>2</w:t>
      </w:r>
      <w:r>
        <w:rPr>
          <w:rFonts w:hint="eastAsia"/>
          <w:color w:val="FF0000"/>
          <w:sz w:val="24"/>
          <w:szCs w:val="24"/>
          <w:u w:val="single"/>
        </w:rPr>
        <w:t>万元</w:t>
      </w:r>
      <w:r>
        <w:rPr>
          <w:rFonts w:hint="eastAsia"/>
          <w:color w:val="FF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招标范围：本招标项目划分为</w:t>
      </w:r>
      <w:r>
        <w:rPr>
          <w:rFonts w:hint="eastAsia"/>
          <w:sz w:val="24"/>
          <w:szCs w:val="24"/>
          <w:u w:val="single"/>
        </w:rPr>
        <w:t xml:space="preserve"> 1 </w:t>
      </w:r>
      <w:r>
        <w:rPr>
          <w:rFonts w:hint="eastAsia"/>
          <w:sz w:val="24"/>
          <w:szCs w:val="24"/>
        </w:rPr>
        <w:t>个标段。</w:t>
      </w:r>
    </w:p>
    <w:p>
      <w:pPr>
        <w:pStyle w:val="6"/>
        <w:numPr>
          <w:ilvl w:val="0"/>
          <w:numId w:val="2"/>
        </w:numPr>
      </w:pPr>
      <w:r>
        <w:rPr>
          <w:rFonts w:hint="eastAsia"/>
        </w:rPr>
        <w:t>投标人资格要求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lang w:eastAsia="zh-CN"/>
        </w:rPr>
        <w:t>（一）</w:t>
      </w:r>
      <w:r>
        <w:rPr>
          <w:rFonts w:hint="eastAsia"/>
          <w:sz w:val="24"/>
          <w:szCs w:val="24"/>
        </w:rPr>
        <w:t>在中华人民共和国境内注册，具有独立法人资格（提供营业执照复印件加盖投标单位公章）；</w:t>
      </w:r>
    </w:p>
    <w:p>
      <w:pPr>
        <w:keepNext w:val="0"/>
        <w:keepLines w:val="0"/>
        <w:pageBreakBefore w:val="0"/>
        <w:widowControl w:val="0"/>
        <w:kinsoku/>
        <w:wordWrap/>
        <w:overflowPunct/>
        <w:topLinePunct w:val="0"/>
        <w:autoSpaceDE/>
        <w:autoSpaceDN/>
        <w:bidi w:val="0"/>
        <w:adjustRightInd/>
        <w:snapToGrid/>
        <w:spacing w:line="360" w:lineRule="auto"/>
        <w:ind w:left="199" w:leftChars="95" w:firstLine="240" w:firstLineChars="100"/>
        <w:textAlignment w:val="auto"/>
        <w:rPr>
          <w:sz w:val="24"/>
          <w:szCs w:val="24"/>
        </w:rPr>
      </w:pPr>
      <w:r>
        <w:rPr>
          <w:rFonts w:hint="eastAsia"/>
          <w:sz w:val="24"/>
          <w:szCs w:val="24"/>
        </w:rPr>
        <w:t>（二）投标人企业财务和经营状况良好，具备履行合同能力，近三年内无不良经营行为（</w:t>
      </w:r>
      <w:r>
        <w:rPr>
          <w:rFonts w:hint="eastAsia"/>
          <w:b/>
          <w:bCs/>
          <w:sz w:val="24"/>
          <w:szCs w:val="24"/>
        </w:rPr>
        <w:t>提供承诺书原件</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199" w:leftChars="95" w:firstLine="240" w:firstLineChars="100"/>
        <w:textAlignment w:val="auto"/>
        <w:rPr>
          <w:sz w:val="24"/>
          <w:szCs w:val="24"/>
        </w:rPr>
      </w:pPr>
      <w:r>
        <w:rPr>
          <w:rFonts w:hint="eastAsia"/>
          <w:sz w:val="24"/>
          <w:szCs w:val="24"/>
        </w:rPr>
        <w:t>（三）本次招标</w:t>
      </w:r>
      <w:r>
        <w:rPr>
          <w:rFonts w:hint="eastAsia"/>
          <w:b/>
          <w:bCs/>
          <w:sz w:val="24"/>
          <w:szCs w:val="24"/>
        </w:rPr>
        <w:t>不接受联合体投标</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420" w:firstLine="0" w:firstLineChars="0"/>
        <w:textAlignment w:val="auto"/>
        <w:rPr>
          <w:sz w:val="24"/>
          <w:szCs w:val="24"/>
        </w:rPr>
      </w:pPr>
      <w:r>
        <w:rPr>
          <w:rFonts w:hint="eastAsia"/>
          <w:sz w:val="24"/>
          <w:szCs w:val="24"/>
        </w:rPr>
        <w:t>（四）拒绝下述供应商参加本次采购活动：</w:t>
      </w:r>
    </w:p>
    <w:p>
      <w:pPr>
        <w:keepNext w:val="0"/>
        <w:keepLines w:val="0"/>
        <w:pageBreakBefore w:val="0"/>
        <w:widowControl w:val="0"/>
        <w:kinsoku/>
        <w:wordWrap/>
        <w:overflowPunct/>
        <w:topLinePunct w:val="0"/>
        <w:autoSpaceDE/>
        <w:autoSpaceDN/>
        <w:bidi w:val="0"/>
        <w:adjustRightInd/>
        <w:snapToGrid/>
        <w:spacing w:line="360" w:lineRule="auto"/>
        <w:ind w:left="420" w:firstLine="0" w:firstLineChars="0"/>
        <w:textAlignment w:val="auto"/>
        <w:rPr>
          <w:sz w:val="24"/>
          <w:szCs w:val="24"/>
        </w:rPr>
      </w:pPr>
      <w:r>
        <w:rPr>
          <w:rFonts w:hint="eastAsia"/>
          <w:sz w:val="24"/>
          <w:szCs w:val="24"/>
        </w:rPr>
        <w:t>（1）供应商单位负责人为同一人或者存在直接控股、管理关系的不同供应商，不得参加同一合同项下的政府采购活动。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left="420" w:firstLine="0" w:firstLineChars="0"/>
        <w:textAlignment w:val="auto"/>
        <w:rPr>
          <w:sz w:val="24"/>
          <w:szCs w:val="24"/>
        </w:rPr>
      </w:pPr>
      <w:r>
        <w:rPr>
          <w:rFonts w:hint="eastAsia"/>
          <w:sz w:val="24"/>
          <w:szCs w:val="24"/>
        </w:rPr>
        <w:t>（2）凡为采购项目提供整体设计、规范编制或者项目管理、监理、检测等服务的供应商，不得再参加该项目的其他采购活动。</w:t>
      </w:r>
    </w:p>
    <w:p>
      <w:pPr>
        <w:keepNext w:val="0"/>
        <w:keepLines w:val="0"/>
        <w:pageBreakBefore w:val="0"/>
        <w:widowControl w:val="0"/>
        <w:kinsoku/>
        <w:wordWrap/>
        <w:overflowPunct/>
        <w:topLinePunct w:val="0"/>
        <w:autoSpaceDE/>
        <w:autoSpaceDN/>
        <w:bidi w:val="0"/>
        <w:adjustRightInd/>
        <w:snapToGrid/>
        <w:spacing w:line="360" w:lineRule="auto"/>
        <w:ind w:left="420" w:firstLine="0" w:firstLineChars="0"/>
        <w:textAlignment w:val="auto"/>
        <w:rPr>
          <w:sz w:val="24"/>
          <w:szCs w:val="24"/>
        </w:rPr>
      </w:pPr>
      <w:r>
        <w:rPr>
          <w:rFonts w:hint="eastAsia"/>
          <w:sz w:val="24"/>
          <w:szCs w:val="24"/>
        </w:rPr>
        <w:t>（3）供应商被“信用中国”网站（www.creditchina.gov.cn）、“中国政府采购网"(www.ccgp.gov.cn)列入失信被执行人、重大税收违法案件当事人名单、政府采购严重违法失信行为记录名单。</w:t>
      </w:r>
    </w:p>
    <w:p>
      <w:pPr>
        <w:snapToGrid w:val="0"/>
        <w:spacing w:line="360" w:lineRule="auto"/>
        <w:ind w:firstLine="422"/>
        <w:contextualSpacing/>
        <w:rPr>
          <w:rFonts w:hint="eastAsia" w:ascii="宋体" w:hAnsi="宋体"/>
          <w:b/>
          <w:sz w:val="24"/>
          <w:szCs w:val="24"/>
        </w:rPr>
      </w:pPr>
      <w:r>
        <w:rPr>
          <w:rFonts w:hint="eastAsia" w:ascii="宋体" w:hAnsi="宋体"/>
          <w:b/>
          <w:sz w:val="24"/>
          <w:szCs w:val="24"/>
        </w:rPr>
        <w:t>四、公告期限</w:t>
      </w:r>
      <w:bookmarkStart w:id="1" w:name="_Toc35393792"/>
      <w:bookmarkStart w:id="2" w:name="_Toc28359081"/>
      <w:bookmarkStart w:id="3" w:name="_Toc35393623"/>
      <w:bookmarkStart w:id="4" w:name="_Toc28359004"/>
    </w:p>
    <w:p>
      <w:pPr>
        <w:snapToGrid w:val="0"/>
        <w:spacing w:line="360" w:lineRule="auto"/>
        <w:ind w:firstLine="422"/>
        <w:contextualSpacing/>
        <w:rPr>
          <w:rFonts w:hint="eastAsia" w:ascii="宋体" w:hAnsi="宋体" w:eastAsia="宋体" w:cs="宋体"/>
          <w:color w:val="auto"/>
          <w:kern w:val="0"/>
          <w:sz w:val="24"/>
          <w:szCs w:val="24"/>
        </w:rPr>
      </w:pPr>
      <w:r>
        <w:rPr>
          <w:rFonts w:hint="eastAsia" w:ascii="宋体" w:hAnsi="宋体" w:eastAsia="宋体" w:cs="宋体"/>
          <w:color w:val="000000"/>
          <w:kern w:val="0"/>
          <w:sz w:val="24"/>
          <w:szCs w:val="24"/>
        </w:rPr>
        <w:t>自招标公告/文件</w:t>
      </w:r>
      <w:r>
        <w:rPr>
          <w:rFonts w:hint="eastAsia" w:ascii="宋体" w:hAnsi="宋体" w:eastAsia="宋体" w:cs="宋体"/>
          <w:color w:val="auto"/>
          <w:kern w:val="0"/>
          <w:sz w:val="24"/>
          <w:szCs w:val="24"/>
        </w:rPr>
        <w:t>在</w:t>
      </w:r>
      <w:r>
        <w:rPr>
          <w:rFonts w:hint="eastAsia" w:ascii="宋体" w:hAnsi="宋体" w:eastAsia="宋体" w:cs="宋体"/>
          <w:color w:val="auto"/>
          <w:sz w:val="24"/>
          <w:szCs w:val="24"/>
          <w:u w:val="single"/>
        </w:rPr>
        <w:t>扬州市城建国有资产控股(集团）有限责任公司网站</w:t>
      </w:r>
      <w:r>
        <w:rPr>
          <w:rFonts w:hint="eastAsia" w:ascii="宋体" w:hAnsi="宋体" w:eastAsia="宋体" w:cs="宋体"/>
          <w:color w:val="auto"/>
          <w:kern w:val="0"/>
          <w:sz w:val="24"/>
          <w:szCs w:val="24"/>
        </w:rPr>
        <w:t>发布之日起5</w:t>
      </w:r>
      <w:r>
        <w:rPr>
          <w:rFonts w:hint="eastAsia" w:ascii="宋体" w:hAnsi="宋体" w:eastAsia="宋体" w:cs="宋体"/>
          <w:color w:val="auto"/>
          <w:kern w:val="0"/>
          <w:sz w:val="24"/>
          <w:szCs w:val="24"/>
          <w:lang w:eastAsia="zh-CN"/>
        </w:rPr>
        <w:t>个工作</w:t>
      </w:r>
      <w:r>
        <w:rPr>
          <w:rFonts w:hint="eastAsia" w:ascii="宋体" w:hAnsi="宋体" w:eastAsia="宋体" w:cs="宋体"/>
          <w:color w:val="auto"/>
          <w:kern w:val="0"/>
          <w:sz w:val="24"/>
          <w:szCs w:val="24"/>
        </w:rPr>
        <w:t>日。</w:t>
      </w:r>
    </w:p>
    <w:p>
      <w:pPr>
        <w:snapToGrid w:val="0"/>
        <w:spacing w:line="360" w:lineRule="auto"/>
        <w:ind w:firstLine="422"/>
        <w:contextualSpacing/>
        <w:rPr>
          <w:rFonts w:hint="eastAsia" w:ascii="宋体" w:hAnsi="宋体"/>
          <w:b/>
          <w:color w:val="auto"/>
          <w:sz w:val="24"/>
          <w:szCs w:val="24"/>
        </w:rPr>
      </w:pPr>
      <w:r>
        <w:rPr>
          <w:rFonts w:hint="eastAsia" w:ascii="宋体" w:hAnsi="宋体"/>
          <w:b/>
          <w:color w:val="auto"/>
          <w:sz w:val="24"/>
          <w:szCs w:val="24"/>
        </w:rPr>
        <w:t>五、获取招标文件</w:t>
      </w:r>
      <w:bookmarkEnd w:id="1"/>
      <w:bookmarkEnd w:id="2"/>
      <w:bookmarkEnd w:id="3"/>
      <w:bookmarkEnd w:id="4"/>
    </w:p>
    <w:p>
      <w:pPr>
        <w:adjustRightInd w:val="0"/>
        <w:snapToGrid w:val="0"/>
        <w:spacing w:line="360" w:lineRule="auto"/>
        <w:rPr>
          <w:rFonts w:ascii="宋体" w:hAnsi="宋体"/>
          <w:iCs/>
          <w:color w:val="auto"/>
          <w:sz w:val="24"/>
          <w:szCs w:val="24"/>
          <w:u w:val="single"/>
        </w:rPr>
      </w:pPr>
      <w:r>
        <w:rPr>
          <w:rFonts w:hint="eastAsia" w:ascii="宋体" w:hAnsi="宋体"/>
          <w:iCs/>
          <w:color w:val="auto"/>
          <w:sz w:val="24"/>
          <w:szCs w:val="24"/>
        </w:rPr>
        <w:t>获取时间：</w:t>
      </w:r>
      <w:r>
        <w:rPr>
          <w:rFonts w:hint="eastAsia" w:ascii="宋体" w:hAnsi="宋体"/>
          <w:iCs/>
          <w:color w:val="auto"/>
          <w:sz w:val="24"/>
          <w:szCs w:val="24"/>
          <w:u w:val="single"/>
        </w:rPr>
        <w:t>2021年1</w:t>
      </w:r>
      <w:r>
        <w:rPr>
          <w:rFonts w:hint="eastAsia" w:ascii="宋体" w:hAnsi="宋体"/>
          <w:iCs/>
          <w:color w:val="auto"/>
          <w:sz w:val="24"/>
          <w:szCs w:val="24"/>
          <w:u w:val="single"/>
          <w:lang w:val="en-US" w:eastAsia="zh-CN"/>
        </w:rPr>
        <w:t>1</w:t>
      </w:r>
      <w:r>
        <w:rPr>
          <w:rFonts w:hint="eastAsia" w:ascii="宋体" w:hAnsi="宋体"/>
          <w:iCs/>
          <w:color w:val="auto"/>
          <w:sz w:val="24"/>
          <w:szCs w:val="24"/>
          <w:u w:val="single"/>
        </w:rPr>
        <w:t>月</w:t>
      </w:r>
      <w:r>
        <w:rPr>
          <w:rFonts w:hint="eastAsia" w:ascii="宋体" w:hAnsi="宋体"/>
          <w:iCs/>
          <w:color w:val="auto"/>
          <w:sz w:val="24"/>
          <w:szCs w:val="24"/>
          <w:u w:val="single"/>
          <w:lang w:val="en-US" w:eastAsia="zh-CN"/>
        </w:rPr>
        <w:t>5</w:t>
      </w:r>
      <w:r>
        <w:rPr>
          <w:rFonts w:hint="eastAsia" w:ascii="宋体" w:hAnsi="宋体"/>
          <w:iCs/>
          <w:color w:val="auto"/>
          <w:sz w:val="24"/>
          <w:szCs w:val="24"/>
          <w:u w:val="single"/>
        </w:rPr>
        <w:t>日至2021年1</w:t>
      </w:r>
      <w:r>
        <w:rPr>
          <w:rFonts w:hint="eastAsia" w:ascii="宋体" w:hAnsi="宋体"/>
          <w:iCs/>
          <w:color w:val="auto"/>
          <w:sz w:val="24"/>
          <w:szCs w:val="24"/>
          <w:u w:val="single"/>
          <w:lang w:val="en-US" w:eastAsia="zh-CN"/>
        </w:rPr>
        <w:t>1</w:t>
      </w:r>
      <w:r>
        <w:rPr>
          <w:rFonts w:hint="eastAsia" w:ascii="宋体" w:hAnsi="宋体"/>
          <w:iCs/>
          <w:color w:val="auto"/>
          <w:sz w:val="24"/>
          <w:szCs w:val="24"/>
          <w:u w:val="single"/>
        </w:rPr>
        <w:t>月</w:t>
      </w:r>
      <w:r>
        <w:rPr>
          <w:rFonts w:hint="eastAsia" w:ascii="宋体" w:hAnsi="宋体"/>
          <w:iCs/>
          <w:color w:val="auto"/>
          <w:sz w:val="24"/>
          <w:szCs w:val="24"/>
          <w:u w:val="single"/>
          <w:lang w:val="en-US" w:eastAsia="zh-CN"/>
        </w:rPr>
        <w:t>11</w:t>
      </w:r>
      <w:r>
        <w:rPr>
          <w:rFonts w:hint="eastAsia" w:ascii="宋体" w:hAnsi="宋体"/>
          <w:iCs/>
          <w:color w:val="auto"/>
          <w:sz w:val="24"/>
          <w:szCs w:val="24"/>
          <w:u w:val="single"/>
        </w:rPr>
        <w:t>日</w:t>
      </w:r>
    </w:p>
    <w:p>
      <w:pPr>
        <w:adjustRightInd w:val="0"/>
        <w:snapToGrid w:val="0"/>
        <w:spacing w:line="360" w:lineRule="auto"/>
        <w:rPr>
          <w:rFonts w:hint="eastAsia" w:ascii="宋体" w:hAnsi="宋体" w:eastAsia="宋体"/>
          <w:color w:val="FF0000"/>
          <w:sz w:val="24"/>
          <w:szCs w:val="24"/>
          <w:u w:val="single"/>
          <w:lang w:eastAsia="zh-CN"/>
        </w:rPr>
      </w:pPr>
      <w:r>
        <w:rPr>
          <w:rFonts w:hint="eastAsia" w:ascii="宋体" w:hAnsi="宋体"/>
          <w:iCs/>
          <w:color w:val="auto"/>
          <w:sz w:val="24"/>
          <w:szCs w:val="24"/>
        </w:rPr>
        <w:t>获取方式：</w:t>
      </w:r>
      <w:r>
        <w:rPr>
          <w:rFonts w:hint="eastAsia" w:ascii="宋体" w:hAnsi="宋体" w:eastAsia="宋体" w:cs="宋体"/>
          <w:color w:val="auto"/>
          <w:sz w:val="24"/>
          <w:szCs w:val="24"/>
          <w:u w:val="single"/>
        </w:rPr>
        <w:t>扬州市城建国有资产控股(集团）有限责任公司网站</w:t>
      </w:r>
      <w:r>
        <w:rPr>
          <w:rFonts w:hint="eastAsia" w:ascii="宋体" w:hAnsi="宋体"/>
          <w:color w:val="auto"/>
          <w:sz w:val="24"/>
          <w:szCs w:val="24"/>
          <w:u w:val="single"/>
        </w:rPr>
        <w:t>自行下载</w:t>
      </w:r>
      <w:r>
        <w:rPr>
          <w:rFonts w:hint="eastAsia" w:ascii="宋体" w:hAnsi="宋体"/>
          <w:sz w:val="24"/>
          <w:szCs w:val="24"/>
          <w:u w:val="single"/>
        </w:rPr>
        <w:t>。</w:t>
      </w:r>
    </w:p>
    <w:p>
      <w:pPr>
        <w:spacing w:line="360" w:lineRule="auto"/>
        <w:ind w:firstLine="422"/>
        <w:rPr>
          <w:rFonts w:ascii="宋体" w:hAnsi="宋体"/>
          <w:b/>
          <w:bCs/>
          <w:iCs/>
          <w:sz w:val="24"/>
          <w:szCs w:val="24"/>
        </w:rPr>
      </w:pPr>
      <w:r>
        <w:rPr>
          <w:rFonts w:hint="eastAsia" w:ascii="宋体" w:hAnsi="宋体"/>
          <w:b/>
          <w:bCs/>
          <w:iCs/>
          <w:sz w:val="24"/>
          <w:szCs w:val="24"/>
        </w:rPr>
        <w:t>注：投标人获取招标文件后，需按《投标单位参加投标确认函》的要求报名确认。</w:t>
      </w:r>
    </w:p>
    <w:p>
      <w:pPr>
        <w:snapToGrid w:val="0"/>
        <w:spacing w:line="360" w:lineRule="auto"/>
        <w:ind w:firstLine="422"/>
        <w:contextualSpacing/>
        <w:rPr>
          <w:rFonts w:hint="eastAsia" w:ascii="宋体" w:hAnsi="宋体" w:eastAsia="宋体"/>
          <w:b/>
          <w:sz w:val="24"/>
          <w:szCs w:val="24"/>
          <w:lang w:eastAsia="zh-CN"/>
        </w:rPr>
      </w:pPr>
      <w:bookmarkStart w:id="5" w:name="_Toc28359082"/>
      <w:bookmarkStart w:id="6" w:name="_Toc28359005"/>
      <w:bookmarkStart w:id="7" w:name="_Toc35393624"/>
      <w:bookmarkStart w:id="8" w:name="_Toc35393793"/>
      <w:r>
        <w:rPr>
          <w:rFonts w:hint="eastAsia" w:ascii="宋体" w:hAnsi="宋体"/>
          <w:b/>
          <w:sz w:val="24"/>
          <w:szCs w:val="24"/>
        </w:rPr>
        <w:t>六、提交投标文件</w:t>
      </w:r>
      <w:bookmarkEnd w:id="5"/>
      <w:bookmarkEnd w:id="6"/>
      <w:r>
        <w:rPr>
          <w:rFonts w:hint="eastAsia" w:ascii="宋体" w:hAnsi="宋体"/>
          <w:b/>
          <w:sz w:val="24"/>
          <w:szCs w:val="24"/>
        </w:rPr>
        <w:t>截止时间和</w:t>
      </w:r>
      <w:bookmarkEnd w:id="7"/>
      <w:bookmarkEnd w:id="8"/>
      <w:r>
        <w:rPr>
          <w:rFonts w:hint="eastAsia" w:ascii="宋体" w:hAnsi="宋体"/>
          <w:b/>
          <w:sz w:val="24"/>
          <w:szCs w:val="24"/>
          <w:lang w:eastAsia="zh-CN"/>
        </w:rPr>
        <w:t>开标时间</w:t>
      </w:r>
    </w:p>
    <w:p>
      <w:pPr>
        <w:pageBreakBefore w:val="0"/>
        <w:widowControl/>
        <w:shd w:val="clear" w:color="auto" w:fill="FFFFFF"/>
        <w:kinsoku/>
        <w:wordWrap/>
        <w:overflowPunct/>
        <w:topLinePunct w:val="0"/>
        <w:autoSpaceDE/>
        <w:autoSpaceDN/>
        <w:bidi w:val="0"/>
        <w:spacing w:line="360" w:lineRule="auto"/>
        <w:textAlignment w:val="auto"/>
        <w:rPr>
          <w:rFonts w:hint="eastAsia" w:ascii="宋体" w:hAnsi="宋体" w:eastAsia="宋体" w:cs="宋体"/>
          <w:color w:val="333333"/>
          <w:kern w:val="0"/>
          <w:sz w:val="24"/>
          <w:szCs w:val="24"/>
        </w:rPr>
      </w:pPr>
      <w:r>
        <w:rPr>
          <w:rFonts w:hint="eastAsia" w:ascii="宋体" w:hAnsi="宋体" w:cs="宋体"/>
          <w:color w:val="333333"/>
          <w:kern w:val="0"/>
          <w:sz w:val="24"/>
          <w:szCs w:val="24"/>
          <w:lang w:val="en-US" w:eastAsia="zh-CN"/>
        </w:rPr>
        <w:t>1.</w:t>
      </w:r>
      <w:r>
        <w:rPr>
          <w:rFonts w:hint="eastAsia" w:ascii="宋体" w:hAnsi="宋体" w:eastAsia="宋体" w:cs="宋体"/>
          <w:color w:val="333333"/>
          <w:kern w:val="0"/>
          <w:sz w:val="24"/>
          <w:szCs w:val="24"/>
        </w:rPr>
        <w:t>投标文件接收截止时间：</w:t>
      </w:r>
      <w:r>
        <w:rPr>
          <w:rFonts w:hint="eastAsia" w:ascii="宋体" w:hAnsi="宋体" w:eastAsia="宋体" w:cs="宋体"/>
          <w:color w:val="333333"/>
          <w:spacing w:val="-20"/>
          <w:kern w:val="0"/>
          <w:sz w:val="24"/>
          <w:szCs w:val="24"/>
          <w:u w:val="single"/>
        </w:rPr>
        <w:t>202</w:t>
      </w:r>
      <w:r>
        <w:rPr>
          <w:rFonts w:hint="eastAsia" w:ascii="宋体" w:hAnsi="宋体" w:eastAsia="宋体" w:cs="宋体"/>
          <w:color w:val="333333"/>
          <w:spacing w:val="-20"/>
          <w:kern w:val="0"/>
          <w:sz w:val="24"/>
          <w:szCs w:val="24"/>
          <w:u w:val="single"/>
          <w:lang w:val="en-US" w:eastAsia="zh-CN"/>
        </w:rPr>
        <w:t>1</w:t>
      </w:r>
      <w:r>
        <w:rPr>
          <w:rFonts w:hint="eastAsia" w:ascii="宋体" w:hAnsi="宋体" w:eastAsia="宋体" w:cs="宋体"/>
          <w:color w:val="333333"/>
          <w:kern w:val="0"/>
          <w:sz w:val="24"/>
          <w:szCs w:val="24"/>
        </w:rPr>
        <w:t>年</w:t>
      </w:r>
      <w:r>
        <w:rPr>
          <w:rFonts w:hint="eastAsia" w:ascii="宋体" w:hAnsi="宋体" w:eastAsia="宋体" w:cs="宋体"/>
          <w:color w:val="333333"/>
          <w:kern w:val="0"/>
          <w:sz w:val="24"/>
          <w:szCs w:val="24"/>
          <w:u w:val="single"/>
        </w:rPr>
        <w:t xml:space="preserve"> </w:t>
      </w:r>
      <w:r>
        <w:rPr>
          <w:rFonts w:hint="eastAsia" w:ascii="宋体" w:hAnsi="宋体" w:eastAsia="宋体" w:cs="宋体"/>
          <w:color w:val="333333"/>
          <w:kern w:val="0"/>
          <w:sz w:val="24"/>
          <w:szCs w:val="24"/>
          <w:u w:val="single"/>
          <w:lang w:val="en-US" w:eastAsia="zh-CN"/>
        </w:rPr>
        <w:t>11</w:t>
      </w:r>
      <w:r>
        <w:rPr>
          <w:rFonts w:hint="eastAsia" w:ascii="宋体" w:hAnsi="宋体" w:eastAsia="宋体" w:cs="宋体"/>
          <w:color w:val="333333"/>
          <w:kern w:val="0"/>
          <w:sz w:val="24"/>
          <w:szCs w:val="24"/>
          <w:u w:val="single"/>
        </w:rPr>
        <w:t xml:space="preserve"> </w:t>
      </w:r>
      <w:r>
        <w:rPr>
          <w:rFonts w:hint="eastAsia" w:ascii="宋体" w:hAnsi="宋体" w:eastAsia="宋体" w:cs="宋体"/>
          <w:color w:val="333333"/>
          <w:kern w:val="0"/>
          <w:sz w:val="24"/>
          <w:szCs w:val="24"/>
        </w:rPr>
        <w:t>月</w:t>
      </w:r>
      <w:r>
        <w:rPr>
          <w:rFonts w:hint="eastAsia" w:ascii="宋体" w:hAnsi="宋体" w:eastAsia="宋体" w:cs="宋体"/>
          <w:color w:val="333333"/>
          <w:kern w:val="0"/>
          <w:sz w:val="24"/>
          <w:szCs w:val="24"/>
          <w:u w:val="single"/>
        </w:rPr>
        <w:t xml:space="preserve"> </w:t>
      </w:r>
      <w:r>
        <w:rPr>
          <w:rFonts w:hint="eastAsia" w:ascii="宋体" w:hAnsi="宋体" w:eastAsia="宋体" w:cs="宋体"/>
          <w:color w:val="333333"/>
          <w:kern w:val="0"/>
          <w:sz w:val="24"/>
          <w:szCs w:val="24"/>
          <w:u w:val="single"/>
          <w:lang w:val="en-US" w:eastAsia="zh-CN"/>
        </w:rPr>
        <w:t>15</w:t>
      </w:r>
      <w:r>
        <w:rPr>
          <w:rFonts w:hint="eastAsia" w:ascii="宋体" w:hAnsi="宋体" w:eastAsia="宋体" w:cs="宋体"/>
          <w:color w:val="333333"/>
          <w:kern w:val="0"/>
          <w:sz w:val="24"/>
          <w:szCs w:val="24"/>
          <w:u w:val="single"/>
        </w:rPr>
        <w:t xml:space="preserve"> </w:t>
      </w:r>
      <w:r>
        <w:rPr>
          <w:rFonts w:hint="eastAsia" w:ascii="宋体" w:hAnsi="宋体" w:eastAsia="宋体" w:cs="宋体"/>
          <w:color w:val="333333"/>
          <w:kern w:val="0"/>
          <w:sz w:val="24"/>
          <w:szCs w:val="24"/>
        </w:rPr>
        <w:t>日09 时 30 分</w:t>
      </w:r>
    </w:p>
    <w:p>
      <w:pPr>
        <w:pageBreakBefore w:val="0"/>
        <w:widowControl/>
        <w:shd w:val="clear" w:color="auto" w:fill="FFFFFF"/>
        <w:kinsoku/>
        <w:wordWrap/>
        <w:overflowPunct/>
        <w:topLinePunct w:val="0"/>
        <w:autoSpaceDE/>
        <w:autoSpaceDN/>
        <w:bidi w:val="0"/>
        <w:spacing w:line="360" w:lineRule="auto"/>
        <w:textAlignment w:val="auto"/>
        <w:rPr>
          <w:rFonts w:hint="eastAsia" w:ascii="宋体" w:hAnsi="宋体" w:eastAsia="宋体" w:cs="宋体"/>
          <w:color w:val="333333"/>
          <w:kern w:val="0"/>
          <w:sz w:val="24"/>
          <w:szCs w:val="24"/>
        </w:rPr>
      </w:pPr>
      <w:r>
        <w:rPr>
          <w:rFonts w:hint="eastAsia" w:ascii="宋体" w:hAnsi="宋体" w:cs="宋体"/>
          <w:color w:val="auto"/>
          <w:kern w:val="0"/>
          <w:sz w:val="24"/>
          <w:szCs w:val="24"/>
          <w:lang w:val="en-US" w:eastAsia="zh-CN"/>
        </w:rPr>
        <w:t>2.</w:t>
      </w:r>
      <w:r>
        <w:rPr>
          <w:rFonts w:hint="eastAsia" w:ascii="宋体" w:hAnsi="宋体" w:eastAsia="宋体" w:cs="宋体"/>
          <w:b/>
          <w:bCs/>
          <w:color w:val="FF0000"/>
          <w:kern w:val="0"/>
          <w:sz w:val="24"/>
          <w:szCs w:val="24"/>
        </w:rPr>
        <w:t>投标文件递交方式</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因受疫情影响，</w:t>
      </w:r>
      <w:r>
        <w:rPr>
          <w:rFonts w:hint="eastAsia" w:ascii="宋体" w:hAnsi="宋体" w:eastAsia="宋体" w:cs="宋体"/>
          <w:color w:val="FF0000"/>
          <w:kern w:val="0"/>
          <w:sz w:val="24"/>
          <w:szCs w:val="24"/>
          <w:lang w:val="en-US" w:eastAsia="zh-CN"/>
        </w:rPr>
        <w:t xml:space="preserve"> </w:t>
      </w:r>
      <w:r>
        <w:rPr>
          <w:rFonts w:hint="eastAsia" w:ascii="宋体" w:hAnsi="宋体" w:eastAsia="宋体" w:cs="宋体"/>
          <w:color w:val="auto"/>
          <w:kern w:val="0"/>
          <w:sz w:val="24"/>
          <w:szCs w:val="24"/>
          <w:lang w:eastAsia="zh-CN"/>
        </w:rPr>
        <w:t>采用</w:t>
      </w:r>
      <w:r>
        <w:rPr>
          <w:rFonts w:hint="eastAsia" w:ascii="宋体" w:hAnsi="宋体" w:eastAsia="宋体" w:cs="宋体"/>
          <w:b/>
          <w:bCs/>
          <w:color w:val="FF0000"/>
          <w:kern w:val="0"/>
          <w:sz w:val="24"/>
          <w:szCs w:val="24"/>
          <w:u w:val="single"/>
          <w:lang w:eastAsia="zh-CN"/>
        </w:rPr>
        <w:t>邮寄方式</w:t>
      </w:r>
      <w:r>
        <w:rPr>
          <w:rFonts w:hint="eastAsia" w:ascii="宋体" w:hAnsi="宋体" w:eastAsia="宋体" w:cs="宋体"/>
          <w:color w:val="auto"/>
          <w:kern w:val="0"/>
          <w:sz w:val="24"/>
          <w:szCs w:val="24"/>
          <w:lang w:eastAsia="zh-CN"/>
        </w:rPr>
        <w:t>寄到</w:t>
      </w:r>
      <w:r>
        <w:rPr>
          <w:rFonts w:hint="eastAsia" w:ascii="宋体" w:hAnsi="宋体" w:eastAsia="宋体" w:cs="宋体"/>
          <w:color w:val="auto"/>
          <w:kern w:val="0"/>
          <w:sz w:val="24"/>
          <w:szCs w:val="24"/>
        </w:rPr>
        <w:t>扬州市嘉诚造价咨询有限公司</w:t>
      </w:r>
      <w:r>
        <w:rPr>
          <w:rFonts w:hint="eastAsia" w:ascii="宋体" w:hAnsi="宋体" w:eastAsia="宋体" w:cs="宋体"/>
          <w:color w:val="auto"/>
          <w:kern w:val="0"/>
          <w:sz w:val="24"/>
          <w:szCs w:val="24"/>
          <w:u w:val="none"/>
          <w:lang w:eastAsia="zh-CN"/>
        </w:rPr>
        <w:t>（</w:t>
      </w:r>
      <w:r>
        <w:rPr>
          <w:rFonts w:hint="eastAsia" w:ascii="宋体" w:hAnsi="宋体" w:eastAsia="宋体" w:cs="宋体"/>
          <w:color w:val="auto"/>
          <w:sz w:val="24"/>
          <w:szCs w:val="24"/>
          <w:u w:val="none"/>
        </w:rPr>
        <w:t>扬州市</w:t>
      </w:r>
      <w:r>
        <w:rPr>
          <w:rFonts w:hint="eastAsia" w:ascii="宋体" w:hAnsi="宋体" w:eastAsia="宋体" w:cs="宋体"/>
          <w:color w:val="auto"/>
          <w:kern w:val="0"/>
          <w:sz w:val="24"/>
          <w:szCs w:val="24"/>
          <w:u w:val="none"/>
          <w:lang w:eastAsia="zh-CN"/>
        </w:rPr>
        <w:t>文汇东路</w:t>
      </w:r>
      <w:r>
        <w:rPr>
          <w:rFonts w:hint="eastAsia" w:ascii="宋体" w:hAnsi="宋体" w:eastAsia="宋体" w:cs="宋体"/>
          <w:color w:val="auto"/>
          <w:kern w:val="0"/>
          <w:sz w:val="24"/>
          <w:szCs w:val="24"/>
          <w:u w:val="none"/>
          <w:lang w:val="en-US" w:eastAsia="zh-CN"/>
        </w:rPr>
        <w:t>249号，联系人：聂一杰，联系方式：17751367276</w:t>
      </w:r>
      <w:r>
        <w:rPr>
          <w:rFonts w:hint="eastAsia" w:ascii="宋体" w:hAnsi="宋体" w:eastAsia="宋体" w:cs="宋体"/>
          <w:color w:val="auto"/>
          <w:kern w:val="0"/>
          <w:sz w:val="24"/>
          <w:szCs w:val="24"/>
          <w:u w:val="none"/>
          <w:lang w:eastAsia="zh-CN"/>
        </w:rPr>
        <w:t>）</w:t>
      </w:r>
      <w:r>
        <w:rPr>
          <w:rFonts w:hint="eastAsia" w:ascii="宋体" w:hAnsi="宋体" w:eastAsia="宋体" w:cs="宋体"/>
          <w:color w:val="333333"/>
          <w:kern w:val="0"/>
          <w:sz w:val="24"/>
          <w:szCs w:val="24"/>
        </w:rPr>
        <w:t>。</w:t>
      </w:r>
    </w:p>
    <w:p>
      <w:pPr>
        <w:pageBreakBefore w:val="0"/>
        <w:widowControl/>
        <w:shd w:val="clear" w:color="auto" w:fill="FFFFFF"/>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FF0000"/>
          <w:kern w:val="0"/>
          <w:sz w:val="24"/>
          <w:szCs w:val="24"/>
        </w:rPr>
      </w:pPr>
      <w:r>
        <w:rPr>
          <w:rFonts w:hint="eastAsia" w:ascii="宋体" w:hAnsi="宋体" w:eastAsia="宋体" w:cs="宋体"/>
          <w:b/>
          <w:bCs/>
          <w:color w:val="FF0000"/>
          <w:kern w:val="0"/>
          <w:sz w:val="24"/>
          <w:szCs w:val="24"/>
          <w:lang w:eastAsia="zh-CN"/>
        </w:rPr>
        <w:t>注：</w:t>
      </w:r>
      <w:r>
        <w:rPr>
          <w:rFonts w:hint="eastAsia" w:ascii="宋体" w:hAnsi="宋体" w:cs="宋体"/>
          <w:b/>
          <w:bCs/>
          <w:color w:val="FF0000"/>
          <w:kern w:val="0"/>
          <w:sz w:val="24"/>
          <w:szCs w:val="24"/>
          <w:lang w:val="en-US" w:eastAsia="zh-CN"/>
        </w:rPr>
        <w:t>（1）</w:t>
      </w:r>
      <w:r>
        <w:rPr>
          <w:rFonts w:hint="eastAsia" w:ascii="宋体" w:hAnsi="宋体" w:eastAsia="宋体" w:cs="宋体"/>
          <w:b/>
          <w:bCs/>
          <w:color w:val="FF0000"/>
          <w:kern w:val="0"/>
          <w:sz w:val="24"/>
          <w:szCs w:val="24"/>
          <w:lang w:eastAsia="zh-CN"/>
        </w:rPr>
        <w:t>不接受其他方式送来的投标文件。</w:t>
      </w:r>
      <w:r>
        <w:rPr>
          <w:rFonts w:hint="eastAsia" w:ascii="宋体" w:hAnsi="宋体" w:cs="宋体"/>
          <w:b/>
          <w:bCs/>
          <w:color w:val="FF0000"/>
          <w:kern w:val="0"/>
          <w:sz w:val="24"/>
          <w:szCs w:val="24"/>
          <w:lang w:val="en-US" w:eastAsia="zh-CN"/>
        </w:rPr>
        <w:t>（2）</w:t>
      </w:r>
      <w:r>
        <w:rPr>
          <w:rFonts w:hint="eastAsia" w:ascii="宋体" w:hAnsi="宋体" w:eastAsia="宋体" w:cs="宋体"/>
          <w:b/>
          <w:bCs/>
          <w:color w:val="FF0000"/>
          <w:kern w:val="0"/>
          <w:sz w:val="24"/>
          <w:szCs w:val="24"/>
        </w:rPr>
        <w:t>逾期送达的投标文件，招标人不予受理。</w:t>
      </w:r>
    </w:p>
    <w:p>
      <w:pPr>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ascii="宋体" w:hAnsi="宋体" w:eastAsia="宋体" w:cs="宋体"/>
          <w:color w:val="333333"/>
          <w:kern w:val="0"/>
          <w:sz w:val="24"/>
          <w:szCs w:val="24"/>
          <w:lang w:eastAsia="zh-CN"/>
        </w:rPr>
      </w:pPr>
      <w:r>
        <w:rPr>
          <w:rFonts w:hint="eastAsia" w:ascii="宋体" w:hAnsi="宋体" w:cs="宋体"/>
          <w:color w:val="333333"/>
          <w:kern w:val="0"/>
          <w:sz w:val="24"/>
          <w:szCs w:val="24"/>
          <w:lang w:val="en-US" w:eastAsia="zh-CN"/>
        </w:rPr>
        <w:t>3.</w:t>
      </w:r>
      <w:r>
        <w:rPr>
          <w:rFonts w:hint="eastAsia" w:ascii="宋体" w:hAnsi="宋体" w:eastAsia="宋体" w:cs="宋体"/>
          <w:color w:val="333333"/>
          <w:kern w:val="0"/>
          <w:sz w:val="24"/>
          <w:szCs w:val="24"/>
        </w:rPr>
        <w:t>开标时间：</w:t>
      </w:r>
      <w:r>
        <w:rPr>
          <w:rFonts w:hint="eastAsia" w:ascii="宋体" w:hAnsi="宋体" w:eastAsia="宋体" w:cs="宋体"/>
          <w:color w:val="333333"/>
          <w:spacing w:val="-20"/>
          <w:kern w:val="0"/>
          <w:sz w:val="24"/>
          <w:szCs w:val="24"/>
          <w:u w:val="single"/>
        </w:rPr>
        <w:t>202</w:t>
      </w:r>
      <w:r>
        <w:rPr>
          <w:rFonts w:hint="eastAsia" w:ascii="宋体" w:hAnsi="宋体" w:eastAsia="宋体" w:cs="宋体"/>
          <w:color w:val="333333"/>
          <w:spacing w:val="-20"/>
          <w:kern w:val="0"/>
          <w:sz w:val="24"/>
          <w:szCs w:val="24"/>
          <w:u w:val="single"/>
          <w:lang w:val="en-US" w:eastAsia="zh-CN"/>
        </w:rPr>
        <w:t>1</w:t>
      </w:r>
      <w:r>
        <w:rPr>
          <w:rFonts w:hint="eastAsia" w:ascii="宋体" w:hAnsi="宋体" w:eastAsia="宋体" w:cs="宋体"/>
          <w:color w:val="333333"/>
          <w:kern w:val="0"/>
          <w:sz w:val="24"/>
          <w:szCs w:val="24"/>
        </w:rPr>
        <w:t>年</w:t>
      </w:r>
      <w:r>
        <w:rPr>
          <w:rFonts w:hint="eastAsia" w:ascii="宋体" w:hAnsi="宋体" w:eastAsia="宋体" w:cs="宋体"/>
          <w:color w:val="333333"/>
          <w:kern w:val="0"/>
          <w:sz w:val="24"/>
          <w:szCs w:val="24"/>
          <w:u w:val="single"/>
        </w:rPr>
        <w:t xml:space="preserve"> </w:t>
      </w:r>
      <w:r>
        <w:rPr>
          <w:rFonts w:hint="eastAsia" w:ascii="宋体" w:hAnsi="宋体" w:eastAsia="宋体" w:cs="宋体"/>
          <w:color w:val="333333"/>
          <w:kern w:val="0"/>
          <w:sz w:val="24"/>
          <w:szCs w:val="24"/>
          <w:u w:val="single"/>
          <w:lang w:val="en-US" w:eastAsia="zh-CN"/>
        </w:rPr>
        <w:t>11</w:t>
      </w:r>
      <w:r>
        <w:rPr>
          <w:rFonts w:hint="eastAsia" w:ascii="宋体" w:hAnsi="宋体" w:eastAsia="宋体" w:cs="宋体"/>
          <w:color w:val="333333"/>
          <w:kern w:val="0"/>
          <w:sz w:val="24"/>
          <w:szCs w:val="24"/>
          <w:u w:val="single"/>
        </w:rPr>
        <w:t xml:space="preserve"> </w:t>
      </w:r>
      <w:r>
        <w:rPr>
          <w:rFonts w:hint="eastAsia" w:ascii="宋体" w:hAnsi="宋体" w:eastAsia="宋体" w:cs="宋体"/>
          <w:color w:val="333333"/>
          <w:kern w:val="0"/>
          <w:sz w:val="24"/>
          <w:szCs w:val="24"/>
        </w:rPr>
        <w:t>月</w:t>
      </w:r>
      <w:r>
        <w:rPr>
          <w:rFonts w:hint="eastAsia" w:ascii="宋体" w:hAnsi="宋体" w:eastAsia="宋体" w:cs="宋体"/>
          <w:color w:val="333333"/>
          <w:kern w:val="0"/>
          <w:sz w:val="24"/>
          <w:szCs w:val="24"/>
          <w:u w:val="single"/>
        </w:rPr>
        <w:t xml:space="preserve"> </w:t>
      </w:r>
      <w:r>
        <w:rPr>
          <w:rFonts w:hint="eastAsia" w:ascii="宋体" w:hAnsi="宋体" w:eastAsia="宋体" w:cs="宋体"/>
          <w:color w:val="333333"/>
          <w:kern w:val="0"/>
          <w:sz w:val="24"/>
          <w:szCs w:val="24"/>
          <w:u w:val="single"/>
          <w:lang w:val="en-US" w:eastAsia="zh-CN"/>
        </w:rPr>
        <w:t>15</w:t>
      </w:r>
      <w:r>
        <w:rPr>
          <w:rFonts w:hint="eastAsia" w:ascii="宋体" w:hAnsi="宋体" w:eastAsia="宋体" w:cs="宋体"/>
          <w:color w:val="333333"/>
          <w:kern w:val="0"/>
          <w:sz w:val="24"/>
          <w:szCs w:val="24"/>
          <w:u w:val="single"/>
        </w:rPr>
        <w:t xml:space="preserve"> </w:t>
      </w:r>
      <w:r>
        <w:rPr>
          <w:rFonts w:hint="eastAsia" w:ascii="宋体" w:hAnsi="宋体" w:eastAsia="宋体" w:cs="宋体"/>
          <w:color w:val="333333"/>
          <w:kern w:val="0"/>
          <w:sz w:val="24"/>
          <w:szCs w:val="24"/>
        </w:rPr>
        <w:t>日09 时 30 分</w:t>
      </w:r>
      <w:r>
        <w:rPr>
          <w:rFonts w:hint="eastAsia" w:ascii="宋体" w:hAnsi="宋体" w:eastAsia="宋体" w:cs="宋体"/>
          <w:color w:val="333333"/>
          <w:kern w:val="0"/>
          <w:sz w:val="24"/>
          <w:szCs w:val="24"/>
          <w:lang w:eastAsia="zh-CN"/>
        </w:rPr>
        <w:t>。</w:t>
      </w:r>
    </w:p>
    <w:p>
      <w:pPr>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lang w:eastAsia="zh-CN"/>
        </w:rPr>
        <w:t>因受疫情影响，本次招标采用</w:t>
      </w:r>
      <w:r>
        <w:rPr>
          <w:rFonts w:hint="eastAsia" w:ascii="宋体" w:hAnsi="宋体" w:eastAsia="宋体" w:cs="宋体"/>
          <w:b/>
          <w:bCs/>
          <w:color w:val="FF0000"/>
          <w:kern w:val="0"/>
          <w:sz w:val="24"/>
          <w:szCs w:val="24"/>
          <w:u w:val="single"/>
          <w:lang w:eastAsia="zh-CN"/>
        </w:rPr>
        <w:t>不见面方式</w:t>
      </w:r>
      <w:r>
        <w:rPr>
          <w:rFonts w:hint="eastAsia" w:ascii="宋体" w:hAnsi="宋体" w:eastAsia="宋体" w:cs="宋体"/>
          <w:color w:val="333333"/>
          <w:kern w:val="0"/>
          <w:sz w:val="24"/>
          <w:szCs w:val="24"/>
          <w:lang w:eastAsia="zh-CN"/>
        </w:rPr>
        <w:t>开标，</w:t>
      </w:r>
      <w:r>
        <w:rPr>
          <w:rFonts w:hint="eastAsia" w:ascii="宋体" w:hAnsi="宋体" w:eastAsia="宋体" w:cs="宋体"/>
          <w:color w:val="333333"/>
          <w:kern w:val="0"/>
          <w:sz w:val="24"/>
          <w:szCs w:val="24"/>
          <w:lang w:val="en-US" w:eastAsia="zh-CN"/>
        </w:rPr>
        <w:t>开标会由招标人代表、监督人、招标代理机构及评审人员完成，</w:t>
      </w:r>
      <w:r>
        <w:rPr>
          <w:rFonts w:hint="eastAsia" w:ascii="宋体" w:hAnsi="宋体" w:eastAsia="宋体" w:cs="宋体"/>
          <w:b/>
          <w:bCs/>
          <w:color w:val="333333"/>
          <w:kern w:val="0"/>
          <w:sz w:val="24"/>
          <w:szCs w:val="24"/>
          <w:lang w:val="en-US" w:eastAsia="zh-CN"/>
        </w:rPr>
        <w:t>投标人不参加开标会</w:t>
      </w:r>
      <w:r>
        <w:rPr>
          <w:rFonts w:hint="eastAsia" w:ascii="宋体" w:hAnsi="宋体" w:eastAsia="宋体" w:cs="宋体"/>
          <w:color w:val="333333"/>
          <w:kern w:val="0"/>
          <w:sz w:val="24"/>
          <w:szCs w:val="24"/>
        </w:rPr>
        <w:t>。</w:t>
      </w:r>
    </w:p>
    <w:p>
      <w:pPr>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color w:val="333333"/>
          <w:kern w:val="0"/>
          <w:sz w:val="24"/>
          <w:szCs w:val="24"/>
          <w:lang w:val="en-US" w:eastAsia="zh-CN"/>
        </w:rPr>
        <w:t>4.</w:t>
      </w:r>
      <w:r>
        <w:rPr>
          <w:rFonts w:hint="eastAsia" w:ascii="宋体" w:hAnsi="宋体" w:eastAsia="宋体" w:cs="宋体"/>
          <w:color w:val="333333"/>
          <w:kern w:val="0"/>
          <w:sz w:val="24"/>
          <w:szCs w:val="24"/>
        </w:rPr>
        <w:t>开标地点：扬州市嘉诚造价咨询有限公司（地址：</w:t>
      </w:r>
      <w:r>
        <w:rPr>
          <w:rFonts w:hint="eastAsia" w:ascii="宋体" w:hAnsi="宋体" w:eastAsia="宋体" w:cs="宋体"/>
          <w:color w:val="0000FF"/>
          <w:kern w:val="0"/>
          <w:sz w:val="24"/>
          <w:szCs w:val="24"/>
          <w:lang w:eastAsia="zh-CN"/>
        </w:rPr>
        <w:t>文汇东路</w:t>
      </w:r>
      <w:r>
        <w:rPr>
          <w:rFonts w:hint="eastAsia" w:ascii="宋体" w:hAnsi="宋体" w:eastAsia="宋体" w:cs="宋体"/>
          <w:color w:val="0000FF"/>
          <w:kern w:val="0"/>
          <w:sz w:val="24"/>
          <w:szCs w:val="24"/>
          <w:lang w:val="en-US" w:eastAsia="zh-CN"/>
        </w:rPr>
        <w:t>249号</w:t>
      </w:r>
      <w:r>
        <w:rPr>
          <w:rFonts w:hint="eastAsia" w:ascii="宋体" w:hAnsi="宋体" w:eastAsia="宋体" w:cs="宋体"/>
          <w:color w:val="333333"/>
          <w:kern w:val="0"/>
          <w:sz w:val="24"/>
          <w:szCs w:val="24"/>
        </w:rPr>
        <w:t>）</w:t>
      </w:r>
    </w:p>
    <w:p>
      <w:pPr>
        <w:snapToGrid w:val="0"/>
        <w:spacing w:line="360" w:lineRule="auto"/>
        <w:ind w:firstLine="422"/>
        <w:contextualSpacing/>
        <w:rPr>
          <w:rFonts w:hint="eastAsia" w:ascii="宋体" w:hAnsi="宋体"/>
          <w:b/>
          <w:sz w:val="24"/>
          <w:szCs w:val="24"/>
        </w:rPr>
      </w:pPr>
      <w:r>
        <w:rPr>
          <w:rFonts w:hint="eastAsia" w:ascii="宋体" w:hAnsi="宋体"/>
          <w:b/>
          <w:sz w:val="24"/>
          <w:szCs w:val="24"/>
        </w:rPr>
        <w:t>七、监督部门</w:t>
      </w:r>
    </w:p>
    <w:p>
      <w:pPr>
        <w:pStyle w:val="27"/>
        <w:spacing w:line="360" w:lineRule="auto"/>
        <w:rPr>
          <w:rFonts w:ascii="宋体" w:hAnsi="宋体"/>
          <w:color w:val="333333"/>
          <w:sz w:val="24"/>
          <w:szCs w:val="24"/>
        </w:rPr>
      </w:pPr>
      <w:r>
        <w:rPr>
          <w:rFonts w:hint="eastAsia" w:ascii="宋体" w:hAnsi="宋体"/>
          <w:color w:val="333333"/>
          <w:sz w:val="24"/>
          <w:szCs w:val="24"/>
        </w:rPr>
        <w:t>本招标项目的监督部门为扬州市城建国有资产控股（集团）有限公司纪检监察室。</w:t>
      </w:r>
    </w:p>
    <w:p>
      <w:pPr>
        <w:pStyle w:val="27"/>
        <w:spacing w:line="360" w:lineRule="auto"/>
        <w:rPr>
          <w:rFonts w:ascii="宋体" w:hAnsi="宋体"/>
          <w:sz w:val="24"/>
          <w:szCs w:val="24"/>
          <w:lang w:val="zh-CN"/>
        </w:rPr>
      </w:pPr>
      <w:r>
        <w:rPr>
          <w:rFonts w:hint="eastAsia" w:ascii="宋体" w:hAnsi="宋体"/>
          <w:color w:val="333333"/>
          <w:sz w:val="24"/>
          <w:szCs w:val="24"/>
        </w:rPr>
        <w:t>电话：0514-87111559</w:t>
      </w:r>
    </w:p>
    <w:p>
      <w:pPr>
        <w:snapToGrid w:val="0"/>
        <w:spacing w:line="360" w:lineRule="auto"/>
        <w:ind w:firstLine="422"/>
        <w:contextualSpacing/>
        <w:rPr>
          <w:rFonts w:hint="eastAsia" w:ascii="宋体" w:hAnsi="宋体"/>
          <w:b/>
          <w:sz w:val="24"/>
          <w:szCs w:val="24"/>
        </w:rPr>
      </w:pPr>
      <w:r>
        <w:rPr>
          <w:rFonts w:hint="eastAsia" w:ascii="宋体" w:hAnsi="宋体"/>
          <w:b/>
          <w:sz w:val="24"/>
          <w:szCs w:val="24"/>
        </w:rPr>
        <w:t>八、其他</w:t>
      </w:r>
    </w:p>
    <w:p>
      <w:pPr>
        <w:spacing w:line="360" w:lineRule="auto"/>
        <w:rPr>
          <w:rFonts w:ascii="宋体" w:hAnsi="宋体"/>
          <w:sz w:val="24"/>
          <w:szCs w:val="24"/>
        </w:rPr>
      </w:pPr>
      <w:r>
        <w:rPr>
          <w:rFonts w:hint="eastAsia" w:ascii="宋体" w:hAnsi="宋体"/>
          <w:sz w:val="24"/>
          <w:szCs w:val="24"/>
        </w:rPr>
        <w:t>（一）项目批准单位：</w:t>
      </w:r>
      <w:r>
        <w:rPr>
          <w:rFonts w:hint="eastAsia" w:ascii="宋体" w:hAnsi="宋体"/>
          <w:sz w:val="24"/>
          <w:szCs w:val="24"/>
          <w:u w:val="single"/>
        </w:rPr>
        <w:t>扬州市洁源排水有限公司</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p>
    <w:p>
      <w:pPr>
        <w:spacing w:line="360" w:lineRule="auto"/>
        <w:rPr>
          <w:rFonts w:ascii="宋体" w:hAnsi="宋体"/>
          <w:sz w:val="24"/>
          <w:szCs w:val="24"/>
        </w:rPr>
      </w:pPr>
      <w:r>
        <w:rPr>
          <w:rFonts w:hint="eastAsia" w:ascii="宋体" w:hAnsi="宋体"/>
          <w:sz w:val="24"/>
          <w:szCs w:val="24"/>
        </w:rPr>
        <w:t>项目名称：扬州市洁源排水有限公司</w:t>
      </w:r>
      <w:r>
        <w:rPr>
          <w:rFonts w:hint="eastAsia" w:ascii="宋体" w:hAnsi="宋体"/>
          <w:sz w:val="24"/>
          <w:szCs w:val="24"/>
          <w:lang w:eastAsia="zh-CN"/>
        </w:rPr>
        <w:t>北山污水处理厂</w:t>
      </w:r>
      <w:r>
        <w:rPr>
          <w:rFonts w:hint="eastAsia" w:ascii="宋体" w:hAnsi="宋体"/>
          <w:sz w:val="24"/>
          <w:szCs w:val="24"/>
        </w:rPr>
        <w:t>化验室设备及耗材采购项目</w:t>
      </w:r>
    </w:p>
    <w:p>
      <w:pPr>
        <w:spacing w:line="360" w:lineRule="auto"/>
        <w:rPr>
          <w:rFonts w:hint="eastAsia" w:ascii="宋体" w:hAnsi="宋体" w:eastAsia="宋体"/>
          <w:color w:val="auto"/>
          <w:sz w:val="24"/>
          <w:szCs w:val="24"/>
          <w:lang w:eastAsia="zh-CN"/>
        </w:rPr>
      </w:pPr>
      <w:r>
        <w:rPr>
          <w:rFonts w:hint="eastAsia" w:ascii="宋体" w:hAnsi="宋体"/>
          <w:color w:val="auto"/>
          <w:sz w:val="24"/>
          <w:szCs w:val="24"/>
          <w:highlight w:val="none"/>
        </w:rPr>
        <w:t>项目地点</w:t>
      </w:r>
      <w:r>
        <w:rPr>
          <w:rFonts w:hint="eastAsia" w:ascii="宋体" w:hAnsi="宋体"/>
          <w:color w:val="auto"/>
          <w:sz w:val="24"/>
          <w:szCs w:val="24"/>
        </w:rPr>
        <w:t>：江苏省扬州市</w:t>
      </w:r>
      <w:r>
        <w:rPr>
          <w:rFonts w:hint="eastAsia" w:ascii="宋体" w:hAnsi="宋体"/>
          <w:color w:val="auto"/>
          <w:sz w:val="24"/>
          <w:szCs w:val="24"/>
          <w:lang w:eastAsia="zh-CN"/>
        </w:rPr>
        <w:t>邗江区槐泗镇沈营村（北山污水处理厂）</w:t>
      </w:r>
    </w:p>
    <w:p>
      <w:pPr>
        <w:spacing w:line="360" w:lineRule="auto"/>
        <w:rPr>
          <w:rFonts w:ascii="宋体" w:hAnsi="宋体"/>
          <w:sz w:val="24"/>
          <w:szCs w:val="24"/>
        </w:rPr>
      </w:pPr>
      <w:r>
        <w:rPr>
          <w:rFonts w:hint="eastAsia" w:ascii="宋体" w:hAnsi="宋体"/>
          <w:color w:val="auto"/>
          <w:sz w:val="24"/>
          <w:szCs w:val="24"/>
          <w:highlight w:val="none"/>
        </w:rPr>
        <w:t>交货期：</w:t>
      </w:r>
      <w:r>
        <w:rPr>
          <w:rFonts w:hint="eastAsia" w:ascii="宋体" w:hAnsi="宋体" w:eastAsia="宋体" w:cs="宋体"/>
          <w:color w:val="auto"/>
          <w:sz w:val="24"/>
          <w:szCs w:val="24"/>
        </w:rPr>
        <w:t>合同签订后</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0天内货到招标人指定地点</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免费完成安装</w:t>
      </w:r>
      <w:r>
        <w:rPr>
          <w:rFonts w:hint="eastAsia" w:ascii="宋体" w:hAnsi="宋体" w:cs="宋体"/>
          <w:color w:val="auto"/>
          <w:sz w:val="24"/>
          <w:szCs w:val="24"/>
          <w:lang w:eastAsia="zh-CN"/>
        </w:rPr>
        <w:t>、调试</w:t>
      </w:r>
      <w:r>
        <w:rPr>
          <w:rFonts w:hint="eastAsia" w:ascii="宋体" w:hAnsi="宋体"/>
          <w:color w:val="auto"/>
          <w:sz w:val="24"/>
          <w:szCs w:val="24"/>
          <w:lang w:eastAsia="zh-CN"/>
        </w:rPr>
        <w:t>。</w:t>
      </w:r>
      <w:r>
        <w:rPr>
          <w:rFonts w:hint="eastAsia" w:ascii="宋体" w:hAnsi="宋体"/>
          <w:sz w:val="24"/>
          <w:szCs w:val="24"/>
        </w:rPr>
        <w:t>安装调试期间产生的一切费用（安装、人工、运输搬运、交通、打孔、安全防护设施、打孔后防水恢复等）由中标人负责。</w:t>
      </w:r>
    </w:p>
    <w:p>
      <w:pPr>
        <w:spacing w:line="360" w:lineRule="auto"/>
        <w:rPr>
          <w:rFonts w:ascii="宋体" w:hAnsi="宋体"/>
          <w:sz w:val="24"/>
          <w:szCs w:val="24"/>
        </w:rPr>
      </w:pPr>
      <w:r>
        <w:rPr>
          <w:rFonts w:hint="eastAsia" w:ascii="宋体" w:hAnsi="宋体"/>
          <w:sz w:val="24"/>
          <w:szCs w:val="24"/>
        </w:rPr>
        <w:t>（二）本项目的潜在投标人/投标人须按项目获取招标文件，按要求编制、密封、提交投标文件（含投标保证金）。</w:t>
      </w:r>
    </w:p>
    <w:p>
      <w:pPr>
        <w:spacing w:line="360" w:lineRule="auto"/>
        <w:rPr>
          <w:rFonts w:ascii="宋体" w:hAnsi="宋体"/>
          <w:sz w:val="24"/>
          <w:szCs w:val="24"/>
        </w:rPr>
      </w:pPr>
      <w:r>
        <w:rPr>
          <w:rFonts w:hint="eastAsia" w:ascii="宋体" w:hAnsi="宋体"/>
          <w:sz w:val="24"/>
          <w:szCs w:val="24"/>
        </w:rPr>
        <w:t>（三）逾期送达的、未送达指定地点的或者不按照招标文件要求密封的投标文件，招标人将予以拒收。</w:t>
      </w:r>
    </w:p>
    <w:p>
      <w:pPr>
        <w:snapToGrid w:val="0"/>
        <w:spacing w:line="360" w:lineRule="auto"/>
        <w:ind w:firstLine="422"/>
        <w:contextualSpacing/>
        <w:rPr>
          <w:rFonts w:hint="eastAsia" w:ascii="宋体" w:hAnsi="宋体"/>
          <w:b/>
          <w:sz w:val="24"/>
          <w:szCs w:val="24"/>
        </w:rPr>
      </w:pPr>
      <w:r>
        <w:rPr>
          <w:rFonts w:hint="eastAsia" w:ascii="宋体" w:hAnsi="宋体"/>
          <w:b/>
          <w:sz w:val="24"/>
          <w:szCs w:val="24"/>
        </w:rPr>
        <w:t>九、联系方式</w:t>
      </w:r>
    </w:p>
    <w:p>
      <w:pPr>
        <w:rPr>
          <w:rFonts w:ascii="宋体" w:hAnsi="宋体"/>
          <w:sz w:val="24"/>
          <w:szCs w:val="24"/>
        </w:rPr>
      </w:pPr>
      <w:r>
        <w:rPr>
          <w:rFonts w:hint="eastAsia" w:ascii="宋体" w:hAnsi="宋体"/>
          <w:sz w:val="24"/>
          <w:szCs w:val="24"/>
        </w:rPr>
        <w:t xml:space="preserve">招 标 人：扬州市洁源排水有限公司                       </w:t>
      </w:r>
    </w:p>
    <w:p>
      <w:pPr>
        <w:rPr>
          <w:rFonts w:ascii="宋体" w:hAnsi="宋体"/>
          <w:sz w:val="24"/>
          <w:szCs w:val="24"/>
        </w:rPr>
      </w:pPr>
      <w:r>
        <w:rPr>
          <w:rFonts w:hint="eastAsia" w:ascii="宋体" w:hAnsi="宋体"/>
          <w:sz w:val="24"/>
          <w:szCs w:val="24"/>
        </w:rPr>
        <w:t xml:space="preserve">地    址：/ </w:t>
      </w:r>
    </w:p>
    <w:p>
      <w:pPr>
        <w:rPr>
          <w:rFonts w:hint="eastAsia" w:ascii="宋体" w:hAnsi="宋体" w:eastAsia="宋体"/>
          <w:color w:val="auto"/>
          <w:sz w:val="24"/>
          <w:szCs w:val="24"/>
          <w:lang w:eastAsia="zh-CN"/>
        </w:rPr>
      </w:pPr>
      <w:r>
        <w:rPr>
          <w:rFonts w:hint="eastAsia" w:ascii="宋体" w:hAnsi="宋体"/>
          <w:sz w:val="24"/>
          <w:szCs w:val="24"/>
        </w:rPr>
        <w:t xml:space="preserve">联 系 </w:t>
      </w:r>
      <w:r>
        <w:rPr>
          <w:rFonts w:hint="eastAsia" w:ascii="宋体" w:hAnsi="宋体"/>
          <w:color w:val="auto"/>
          <w:sz w:val="24"/>
          <w:szCs w:val="24"/>
        </w:rPr>
        <w:t>人：徐</w:t>
      </w:r>
      <w:r>
        <w:rPr>
          <w:rFonts w:hint="eastAsia" w:ascii="宋体" w:hAnsi="宋体"/>
          <w:color w:val="auto"/>
          <w:sz w:val="24"/>
          <w:szCs w:val="24"/>
          <w:lang w:eastAsia="zh-CN"/>
        </w:rPr>
        <w:t>工</w:t>
      </w:r>
    </w:p>
    <w:p>
      <w:pPr>
        <w:rPr>
          <w:rFonts w:hint="eastAsia" w:ascii="宋体" w:hAnsi="宋体"/>
          <w:color w:val="auto"/>
          <w:sz w:val="24"/>
          <w:szCs w:val="24"/>
          <w:lang w:val="en-US" w:eastAsia="zh-CN"/>
        </w:rPr>
      </w:pPr>
      <w:r>
        <w:rPr>
          <w:rFonts w:hint="eastAsia" w:ascii="宋体" w:hAnsi="宋体"/>
          <w:color w:val="auto"/>
          <w:sz w:val="24"/>
          <w:szCs w:val="24"/>
        </w:rPr>
        <w:t>电    话</w:t>
      </w:r>
      <w:r>
        <w:rPr>
          <w:rFonts w:hint="eastAsia" w:ascii="宋体" w:hAnsi="宋体"/>
          <w:color w:val="auto"/>
          <w:sz w:val="24"/>
          <w:szCs w:val="24"/>
          <w:lang w:eastAsia="zh-CN"/>
        </w:rPr>
        <w:t>：</w:t>
      </w:r>
      <w:bookmarkStart w:id="166" w:name="_GoBack"/>
      <w:bookmarkEnd w:id="166"/>
      <w:r>
        <w:rPr>
          <w:rFonts w:hint="eastAsia" w:ascii="宋体" w:hAnsi="宋体"/>
          <w:color w:val="auto"/>
          <w:sz w:val="24"/>
          <w:szCs w:val="24"/>
          <w:lang w:val="en-US" w:eastAsia="zh-CN"/>
        </w:rPr>
        <w:t>0514-87826157</w:t>
      </w:r>
    </w:p>
    <w:p>
      <w:pPr>
        <w:rPr>
          <w:rFonts w:hint="eastAsia" w:ascii="宋体" w:hAnsi="宋体"/>
          <w:sz w:val="24"/>
          <w:szCs w:val="24"/>
        </w:rPr>
      </w:pPr>
      <w:r>
        <w:rPr>
          <w:rFonts w:hint="eastAsia" w:ascii="宋体" w:hAnsi="宋体"/>
          <w:sz w:val="24"/>
          <w:szCs w:val="24"/>
        </w:rPr>
        <w:t>电子邮件：/</w:t>
      </w:r>
    </w:p>
    <w:p>
      <w:pPr>
        <w:pStyle w:val="2"/>
      </w:pPr>
    </w:p>
    <w:p>
      <w:pPr>
        <w:rPr>
          <w:rFonts w:ascii="宋体" w:hAnsi="宋体"/>
          <w:sz w:val="24"/>
          <w:szCs w:val="24"/>
        </w:rPr>
      </w:pPr>
      <w:r>
        <w:rPr>
          <w:rFonts w:hint="eastAsia" w:ascii="宋体" w:hAnsi="宋体"/>
          <w:sz w:val="24"/>
          <w:szCs w:val="24"/>
        </w:rPr>
        <w:t>招标代理机构：扬州市嘉诚造价咨询有限公司</w:t>
      </w:r>
    </w:p>
    <w:p>
      <w:pPr>
        <w:rPr>
          <w:rFonts w:ascii="宋体" w:hAnsi="宋体"/>
          <w:sz w:val="24"/>
          <w:szCs w:val="24"/>
        </w:rPr>
      </w:pPr>
      <w:r>
        <w:rPr>
          <w:rFonts w:hint="eastAsia" w:ascii="宋体" w:hAnsi="宋体"/>
          <w:sz w:val="24"/>
          <w:szCs w:val="24"/>
        </w:rPr>
        <w:t>地    址：扬州市史可法路58-21号城建置业办公楼三楼</w:t>
      </w:r>
    </w:p>
    <w:p>
      <w:pPr>
        <w:rPr>
          <w:rFonts w:ascii="宋体" w:hAnsi="宋体"/>
          <w:sz w:val="24"/>
          <w:szCs w:val="24"/>
        </w:rPr>
      </w:pPr>
      <w:r>
        <w:rPr>
          <w:rFonts w:hint="eastAsia" w:ascii="宋体" w:hAnsi="宋体"/>
          <w:sz w:val="24"/>
          <w:szCs w:val="24"/>
        </w:rPr>
        <w:t>联 系 人：聂</w:t>
      </w:r>
      <w:r>
        <w:rPr>
          <w:rFonts w:hint="eastAsia" w:ascii="宋体" w:hAnsi="宋体"/>
          <w:sz w:val="24"/>
          <w:szCs w:val="24"/>
          <w:lang w:eastAsia="zh-CN"/>
        </w:rPr>
        <w:t>工</w:t>
      </w:r>
    </w:p>
    <w:p>
      <w:pPr>
        <w:rPr>
          <w:rFonts w:ascii="宋体" w:hAnsi="宋体"/>
          <w:sz w:val="24"/>
          <w:szCs w:val="24"/>
        </w:rPr>
      </w:pPr>
      <w:r>
        <w:rPr>
          <w:rFonts w:hint="eastAsia" w:ascii="宋体" w:hAnsi="宋体"/>
          <w:sz w:val="24"/>
          <w:szCs w:val="24"/>
        </w:rPr>
        <w:t>电    话：17751367276</w:t>
      </w:r>
    </w:p>
    <w:p>
      <w:pPr>
        <w:rPr>
          <w:rFonts w:ascii="宋体" w:hAnsi="宋体"/>
          <w:sz w:val="24"/>
          <w:szCs w:val="24"/>
        </w:rPr>
      </w:pPr>
      <w:r>
        <w:rPr>
          <w:rFonts w:hint="eastAsia" w:ascii="宋体" w:hAnsi="宋体"/>
          <w:sz w:val="24"/>
          <w:szCs w:val="24"/>
        </w:rPr>
        <w:t>电子邮件：1054684344@qq.com</w:t>
      </w:r>
    </w:p>
    <w:p>
      <w:pPr>
        <w:pStyle w:val="35"/>
        <w:numPr>
          <w:ilvl w:val="0"/>
          <w:numId w:val="0"/>
        </w:numPr>
        <w:ind w:left="480"/>
        <w:rPr>
          <w:rFonts w:ascii="宋体" w:hAnsi="宋体" w:eastAsia="宋体"/>
          <w:sz w:val="24"/>
          <w:szCs w:val="24"/>
        </w:rPr>
      </w:pPr>
      <w:r>
        <w:rPr>
          <w:rFonts w:hint="eastAsia" w:ascii="宋体" w:hAnsi="宋体" w:eastAsia="宋体"/>
          <w:b w:val="0"/>
          <w:sz w:val="24"/>
          <w:szCs w:val="24"/>
        </w:rPr>
        <w:t xml:space="preserve">  对项目本身需求部分的询问、质疑请向采购人提出，询问、质疑由采购人负责答复。</w:t>
      </w:r>
    </w:p>
    <w:p>
      <w:pPr>
        <w:pStyle w:val="4"/>
      </w:pPr>
      <w:bookmarkStart w:id="9" w:name="_Toc21678"/>
    </w:p>
    <w:p>
      <w:pPr>
        <w:pStyle w:val="4"/>
      </w:pPr>
    </w:p>
    <w:p/>
    <w:p>
      <w:pPr>
        <w:pStyle w:val="12"/>
        <w:ind w:firstLine="480"/>
      </w:pPr>
    </w:p>
    <w:p>
      <w:pPr>
        <w:pStyle w:val="12"/>
        <w:ind w:firstLine="480"/>
      </w:pPr>
    </w:p>
    <w:p>
      <w:pPr>
        <w:pStyle w:val="12"/>
        <w:ind w:firstLine="480"/>
      </w:pPr>
    </w:p>
    <w:p>
      <w:pPr>
        <w:pStyle w:val="12"/>
        <w:ind w:firstLine="480"/>
      </w:pPr>
    </w:p>
    <w:p/>
    <w:p/>
    <w:p/>
    <w:p/>
    <w:p/>
    <w:p>
      <w:pPr>
        <w:pStyle w:val="36"/>
      </w:pPr>
    </w:p>
    <w:p>
      <w:pPr>
        <w:pStyle w:val="4"/>
      </w:pPr>
      <w:r>
        <w:rPr>
          <w:rFonts w:hint="eastAsia"/>
        </w:rPr>
        <w:t>第二章投标人须知</w:t>
      </w:r>
      <w:bookmarkEnd w:id="9"/>
    </w:p>
    <w:p>
      <w:pPr>
        <w:pStyle w:val="5"/>
      </w:pPr>
      <w:bookmarkStart w:id="10" w:name="_Toc22407"/>
      <w:r>
        <w:rPr>
          <w:rFonts w:hint="eastAsia"/>
        </w:rPr>
        <w:t>投标人须知前附表</w:t>
      </w:r>
      <w:bookmarkEnd w:id="10"/>
    </w:p>
    <w:tbl>
      <w:tblPr>
        <w:tblStyle w:val="2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3"/>
        <w:gridCol w:w="5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59" w:type="dxa"/>
            <w:vAlign w:val="center"/>
          </w:tcPr>
          <w:p>
            <w:pPr>
              <w:ind w:firstLine="0" w:firstLineChars="0"/>
              <w:jc w:val="center"/>
              <w:rPr>
                <w:b/>
                <w:sz w:val="24"/>
                <w:szCs w:val="24"/>
              </w:rPr>
            </w:pPr>
            <w:r>
              <w:rPr>
                <w:rFonts w:hint="eastAsia"/>
                <w:b/>
                <w:sz w:val="24"/>
                <w:szCs w:val="24"/>
              </w:rPr>
              <w:t>条款号</w:t>
            </w:r>
          </w:p>
        </w:tc>
        <w:tc>
          <w:tcPr>
            <w:tcW w:w="1843" w:type="dxa"/>
            <w:vAlign w:val="center"/>
          </w:tcPr>
          <w:p>
            <w:pPr>
              <w:ind w:firstLine="0" w:firstLineChars="0"/>
              <w:jc w:val="center"/>
              <w:rPr>
                <w:b/>
                <w:sz w:val="24"/>
                <w:szCs w:val="24"/>
              </w:rPr>
            </w:pPr>
            <w:r>
              <w:rPr>
                <w:rFonts w:hint="eastAsia"/>
                <w:b/>
                <w:sz w:val="24"/>
                <w:szCs w:val="24"/>
              </w:rPr>
              <w:t>条款名称</w:t>
            </w:r>
          </w:p>
        </w:tc>
        <w:tc>
          <w:tcPr>
            <w:tcW w:w="5726" w:type="dxa"/>
            <w:vAlign w:val="center"/>
          </w:tcPr>
          <w:p>
            <w:pPr>
              <w:ind w:firstLine="0" w:firstLineChars="0"/>
              <w:jc w:val="center"/>
              <w:rPr>
                <w:b/>
                <w:sz w:val="24"/>
                <w:szCs w:val="24"/>
              </w:rPr>
            </w:pPr>
            <w:r>
              <w:rPr>
                <w:rFonts w:hint="eastAsia"/>
                <w:b/>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1.1.2</w:t>
            </w:r>
          </w:p>
        </w:tc>
        <w:tc>
          <w:tcPr>
            <w:tcW w:w="1843" w:type="dxa"/>
            <w:vAlign w:val="center"/>
          </w:tcPr>
          <w:p>
            <w:pPr>
              <w:ind w:firstLine="0" w:firstLineChars="0"/>
              <w:jc w:val="center"/>
              <w:rPr>
                <w:sz w:val="24"/>
                <w:szCs w:val="24"/>
              </w:rPr>
            </w:pPr>
            <w:r>
              <w:rPr>
                <w:rFonts w:hint="eastAsia"/>
                <w:sz w:val="24"/>
                <w:szCs w:val="24"/>
              </w:rPr>
              <w:t>招标人</w:t>
            </w:r>
          </w:p>
        </w:tc>
        <w:tc>
          <w:tcPr>
            <w:tcW w:w="5726" w:type="dxa"/>
            <w:vAlign w:val="center"/>
          </w:tcPr>
          <w:p>
            <w:pPr>
              <w:ind w:firstLine="0" w:firstLineChars="0"/>
              <w:rPr>
                <w:sz w:val="24"/>
                <w:szCs w:val="24"/>
              </w:rPr>
            </w:pPr>
            <w:r>
              <w:rPr>
                <w:rFonts w:hint="eastAsia"/>
                <w:sz w:val="24"/>
                <w:szCs w:val="24"/>
              </w:rPr>
              <w:t>扬州市洁源排水有限公司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1.1.3</w:t>
            </w:r>
          </w:p>
        </w:tc>
        <w:tc>
          <w:tcPr>
            <w:tcW w:w="1843" w:type="dxa"/>
            <w:vAlign w:val="center"/>
          </w:tcPr>
          <w:p>
            <w:pPr>
              <w:ind w:firstLine="0" w:firstLineChars="0"/>
              <w:jc w:val="center"/>
              <w:rPr>
                <w:sz w:val="24"/>
                <w:szCs w:val="24"/>
              </w:rPr>
            </w:pPr>
            <w:r>
              <w:rPr>
                <w:rFonts w:hint="eastAsia"/>
                <w:sz w:val="24"/>
                <w:szCs w:val="24"/>
              </w:rPr>
              <w:t>招标代理机构</w:t>
            </w:r>
          </w:p>
        </w:tc>
        <w:tc>
          <w:tcPr>
            <w:tcW w:w="5726" w:type="dxa"/>
            <w:vAlign w:val="center"/>
          </w:tcPr>
          <w:p>
            <w:pPr>
              <w:ind w:firstLine="0" w:firstLineChars="0"/>
              <w:rPr>
                <w:sz w:val="24"/>
                <w:szCs w:val="24"/>
              </w:rPr>
            </w:pPr>
            <w:r>
              <w:rPr>
                <w:rFonts w:hint="eastAsia"/>
                <w:sz w:val="24"/>
                <w:szCs w:val="24"/>
              </w:rPr>
              <w:t>扬州市嘉诚造价咨询有限公司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1.1.4</w:t>
            </w:r>
          </w:p>
        </w:tc>
        <w:tc>
          <w:tcPr>
            <w:tcW w:w="1843" w:type="dxa"/>
            <w:vAlign w:val="center"/>
          </w:tcPr>
          <w:p>
            <w:pPr>
              <w:ind w:firstLine="0" w:firstLineChars="0"/>
              <w:jc w:val="center"/>
              <w:rPr>
                <w:sz w:val="24"/>
                <w:szCs w:val="24"/>
              </w:rPr>
            </w:pPr>
            <w:r>
              <w:rPr>
                <w:rFonts w:hint="eastAsia"/>
                <w:sz w:val="24"/>
                <w:szCs w:val="24"/>
              </w:rPr>
              <w:t>招标项目名称</w:t>
            </w:r>
          </w:p>
        </w:tc>
        <w:tc>
          <w:tcPr>
            <w:tcW w:w="5726" w:type="dxa"/>
            <w:vAlign w:val="center"/>
          </w:tcPr>
          <w:p>
            <w:pPr>
              <w:ind w:firstLine="0" w:firstLineChars="0"/>
              <w:rPr>
                <w:sz w:val="24"/>
                <w:szCs w:val="24"/>
              </w:rPr>
            </w:pPr>
            <w:r>
              <w:rPr>
                <w:rFonts w:hint="eastAsia"/>
                <w:sz w:val="24"/>
                <w:szCs w:val="24"/>
              </w:rPr>
              <w:t xml:space="preserve">详见第一章第一条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1.2.1</w:t>
            </w:r>
          </w:p>
        </w:tc>
        <w:tc>
          <w:tcPr>
            <w:tcW w:w="1843" w:type="dxa"/>
            <w:vAlign w:val="center"/>
          </w:tcPr>
          <w:p>
            <w:pPr>
              <w:ind w:firstLine="0" w:firstLineChars="0"/>
              <w:jc w:val="center"/>
              <w:rPr>
                <w:sz w:val="24"/>
                <w:szCs w:val="24"/>
              </w:rPr>
            </w:pPr>
            <w:r>
              <w:rPr>
                <w:rFonts w:hint="eastAsia"/>
                <w:sz w:val="24"/>
                <w:szCs w:val="24"/>
              </w:rPr>
              <w:t>资金来源及比例</w:t>
            </w:r>
          </w:p>
        </w:tc>
        <w:tc>
          <w:tcPr>
            <w:tcW w:w="5726" w:type="dxa"/>
            <w:vAlign w:val="center"/>
          </w:tcPr>
          <w:p>
            <w:pPr>
              <w:ind w:firstLine="0" w:firstLineChars="0"/>
              <w:rPr>
                <w:sz w:val="24"/>
                <w:szCs w:val="24"/>
              </w:rPr>
            </w:pPr>
            <w:r>
              <w:rPr>
                <w:rFonts w:hint="eastAsia"/>
                <w:sz w:val="24"/>
                <w:szCs w:val="24"/>
              </w:rPr>
              <w:t xml:space="preserve">详见第一章第一条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1.2.2</w:t>
            </w:r>
          </w:p>
        </w:tc>
        <w:tc>
          <w:tcPr>
            <w:tcW w:w="1843" w:type="dxa"/>
            <w:vAlign w:val="center"/>
          </w:tcPr>
          <w:p>
            <w:pPr>
              <w:ind w:firstLine="0" w:firstLineChars="0"/>
              <w:jc w:val="center"/>
              <w:rPr>
                <w:sz w:val="24"/>
                <w:szCs w:val="24"/>
              </w:rPr>
            </w:pPr>
            <w:r>
              <w:rPr>
                <w:rFonts w:hint="eastAsia"/>
                <w:sz w:val="24"/>
                <w:szCs w:val="24"/>
              </w:rPr>
              <w:t>资金落实情况</w:t>
            </w:r>
          </w:p>
        </w:tc>
        <w:tc>
          <w:tcPr>
            <w:tcW w:w="5726" w:type="dxa"/>
            <w:vAlign w:val="center"/>
          </w:tcPr>
          <w:p>
            <w:pPr>
              <w:ind w:firstLine="0" w:firstLineChars="0"/>
              <w:rPr>
                <w:sz w:val="24"/>
                <w:szCs w:val="24"/>
              </w:rPr>
            </w:pPr>
            <w:r>
              <w:rPr>
                <w:rFonts w:hint="eastAsia"/>
                <w:sz w:val="24"/>
                <w:szCs w:val="24"/>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1.3.1</w:t>
            </w:r>
          </w:p>
        </w:tc>
        <w:tc>
          <w:tcPr>
            <w:tcW w:w="1843" w:type="dxa"/>
            <w:vAlign w:val="center"/>
          </w:tcPr>
          <w:p>
            <w:pPr>
              <w:ind w:firstLine="0" w:firstLineChars="0"/>
              <w:jc w:val="center"/>
              <w:rPr>
                <w:sz w:val="24"/>
                <w:szCs w:val="24"/>
              </w:rPr>
            </w:pPr>
            <w:r>
              <w:rPr>
                <w:rFonts w:hint="eastAsia"/>
                <w:sz w:val="24"/>
                <w:szCs w:val="24"/>
              </w:rPr>
              <w:t>招标范围</w:t>
            </w:r>
          </w:p>
        </w:tc>
        <w:tc>
          <w:tcPr>
            <w:tcW w:w="5726" w:type="dxa"/>
            <w:vAlign w:val="center"/>
          </w:tcPr>
          <w:p>
            <w:pPr>
              <w:ind w:firstLine="0" w:firstLineChars="0"/>
              <w:rPr>
                <w:sz w:val="24"/>
                <w:szCs w:val="24"/>
              </w:rPr>
            </w:pPr>
            <w:r>
              <w:rPr>
                <w:rFonts w:hint="eastAsia"/>
                <w:sz w:val="24"/>
                <w:szCs w:val="24"/>
              </w:rPr>
              <w:t xml:space="preserve">详见第一章第二条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1.3.2</w:t>
            </w:r>
          </w:p>
        </w:tc>
        <w:tc>
          <w:tcPr>
            <w:tcW w:w="1843" w:type="dxa"/>
            <w:vAlign w:val="center"/>
          </w:tcPr>
          <w:p>
            <w:pPr>
              <w:ind w:firstLine="0" w:firstLineChars="0"/>
              <w:jc w:val="center"/>
              <w:rPr>
                <w:sz w:val="24"/>
                <w:szCs w:val="24"/>
              </w:rPr>
            </w:pPr>
            <w:r>
              <w:rPr>
                <w:rFonts w:hint="eastAsia"/>
                <w:sz w:val="24"/>
                <w:szCs w:val="24"/>
              </w:rPr>
              <w:t>交货期</w:t>
            </w:r>
          </w:p>
        </w:tc>
        <w:tc>
          <w:tcPr>
            <w:tcW w:w="5726" w:type="dxa"/>
            <w:vAlign w:val="center"/>
          </w:tcPr>
          <w:p>
            <w:pPr>
              <w:ind w:firstLine="0" w:firstLineChars="0"/>
              <w:rPr>
                <w:color w:val="auto"/>
                <w:sz w:val="24"/>
                <w:szCs w:val="24"/>
              </w:rPr>
            </w:pPr>
            <w:r>
              <w:rPr>
                <w:rFonts w:hint="eastAsia"/>
                <w:color w:val="auto"/>
                <w:sz w:val="24"/>
                <w:szCs w:val="24"/>
              </w:rPr>
              <w:t xml:space="preserve">交货期：详见第一章第八条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1.3.3</w:t>
            </w:r>
          </w:p>
        </w:tc>
        <w:tc>
          <w:tcPr>
            <w:tcW w:w="1843" w:type="dxa"/>
            <w:vAlign w:val="center"/>
          </w:tcPr>
          <w:p>
            <w:pPr>
              <w:ind w:firstLine="0" w:firstLineChars="0"/>
              <w:jc w:val="center"/>
              <w:rPr>
                <w:sz w:val="24"/>
                <w:szCs w:val="24"/>
              </w:rPr>
            </w:pPr>
            <w:r>
              <w:rPr>
                <w:rFonts w:hint="eastAsia"/>
                <w:sz w:val="24"/>
                <w:szCs w:val="24"/>
              </w:rPr>
              <w:t>交货地点</w:t>
            </w:r>
          </w:p>
        </w:tc>
        <w:tc>
          <w:tcPr>
            <w:tcW w:w="5726" w:type="dxa"/>
            <w:vAlign w:val="center"/>
          </w:tcPr>
          <w:p>
            <w:pPr>
              <w:ind w:firstLine="0" w:firstLineChars="0"/>
              <w:rPr>
                <w:color w:val="auto"/>
                <w:sz w:val="24"/>
                <w:szCs w:val="24"/>
              </w:rPr>
            </w:pPr>
            <w:r>
              <w:rPr>
                <w:rFonts w:hint="eastAsia"/>
                <w:color w:val="auto"/>
                <w:sz w:val="24"/>
                <w:szCs w:val="24"/>
              </w:rPr>
              <w:t xml:space="preserve">详见第一章第八条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1.3.4</w:t>
            </w:r>
          </w:p>
        </w:tc>
        <w:tc>
          <w:tcPr>
            <w:tcW w:w="1843" w:type="dxa"/>
            <w:vAlign w:val="center"/>
          </w:tcPr>
          <w:p>
            <w:pPr>
              <w:ind w:firstLine="0" w:firstLineChars="0"/>
              <w:jc w:val="center"/>
              <w:rPr>
                <w:sz w:val="24"/>
                <w:szCs w:val="24"/>
              </w:rPr>
            </w:pPr>
            <w:r>
              <w:rPr>
                <w:rFonts w:hint="eastAsia"/>
                <w:sz w:val="24"/>
                <w:szCs w:val="24"/>
              </w:rPr>
              <w:t>技术性能指标</w:t>
            </w:r>
          </w:p>
        </w:tc>
        <w:tc>
          <w:tcPr>
            <w:tcW w:w="5726" w:type="dxa"/>
            <w:vAlign w:val="center"/>
          </w:tcPr>
          <w:p>
            <w:pPr>
              <w:ind w:firstLine="0" w:firstLineChars="0"/>
              <w:rPr>
                <w:sz w:val="24"/>
                <w:szCs w:val="24"/>
              </w:rPr>
            </w:pPr>
            <w:r>
              <w:rPr>
                <w:rFonts w:hint="eastAsia"/>
                <w:sz w:val="24"/>
                <w:szCs w:val="24"/>
              </w:rPr>
              <w:t xml:space="preserve">详见第五章第三条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1.4.1</w:t>
            </w:r>
          </w:p>
        </w:tc>
        <w:tc>
          <w:tcPr>
            <w:tcW w:w="1843" w:type="dxa"/>
            <w:vAlign w:val="center"/>
          </w:tcPr>
          <w:p>
            <w:pPr>
              <w:ind w:firstLine="0" w:firstLineChars="0"/>
              <w:jc w:val="center"/>
              <w:rPr>
                <w:sz w:val="24"/>
                <w:szCs w:val="24"/>
              </w:rPr>
            </w:pPr>
            <w:r>
              <w:rPr>
                <w:rFonts w:hint="eastAsia"/>
                <w:sz w:val="24"/>
                <w:szCs w:val="24"/>
              </w:rPr>
              <w:t>投标人资质条件、能力、信誉</w:t>
            </w:r>
          </w:p>
        </w:tc>
        <w:tc>
          <w:tcPr>
            <w:tcW w:w="5726" w:type="dxa"/>
            <w:vAlign w:val="center"/>
          </w:tcPr>
          <w:p>
            <w:pPr>
              <w:ind w:firstLine="0" w:firstLineChars="0"/>
              <w:rPr>
                <w:sz w:val="24"/>
                <w:szCs w:val="24"/>
              </w:rPr>
            </w:pPr>
            <w:r>
              <w:rPr>
                <w:rFonts w:hint="eastAsia"/>
                <w:sz w:val="24"/>
                <w:szCs w:val="24"/>
              </w:rPr>
              <w:t xml:space="preserve">详见第一章第三条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1.4.2</w:t>
            </w:r>
          </w:p>
        </w:tc>
        <w:tc>
          <w:tcPr>
            <w:tcW w:w="1843" w:type="dxa"/>
            <w:vAlign w:val="center"/>
          </w:tcPr>
          <w:p>
            <w:pPr>
              <w:ind w:firstLine="0" w:firstLineChars="0"/>
              <w:jc w:val="center"/>
              <w:rPr>
                <w:sz w:val="24"/>
                <w:szCs w:val="24"/>
              </w:rPr>
            </w:pPr>
            <w:r>
              <w:rPr>
                <w:rFonts w:hint="eastAsia"/>
                <w:sz w:val="24"/>
                <w:szCs w:val="24"/>
              </w:rPr>
              <w:t>是否接受联合体投标</w:t>
            </w:r>
          </w:p>
        </w:tc>
        <w:tc>
          <w:tcPr>
            <w:tcW w:w="5726" w:type="dxa"/>
            <w:vAlign w:val="center"/>
          </w:tcPr>
          <w:p>
            <w:pPr>
              <w:ind w:firstLine="0" w:firstLineChars="0"/>
              <w:rPr>
                <w:sz w:val="24"/>
                <w:szCs w:val="24"/>
              </w:rPr>
            </w:pPr>
            <w:r>
              <w:rPr>
                <w:rFonts w:hint="eastAsia"/>
                <w:sz w:val="24"/>
                <w:szCs w:val="24"/>
              </w:rPr>
              <w:t xml:space="preserve">详见第一章第三条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1.4.3</w:t>
            </w:r>
          </w:p>
        </w:tc>
        <w:tc>
          <w:tcPr>
            <w:tcW w:w="1843" w:type="dxa"/>
            <w:vAlign w:val="center"/>
          </w:tcPr>
          <w:p>
            <w:pPr>
              <w:ind w:firstLine="0" w:firstLineChars="0"/>
              <w:jc w:val="center"/>
              <w:rPr>
                <w:sz w:val="24"/>
                <w:szCs w:val="24"/>
              </w:rPr>
            </w:pPr>
            <w:r>
              <w:rPr>
                <w:rFonts w:hint="eastAsia"/>
                <w:sz w:val="24"/>
                <w:szCs w:val="24"/>
              </w:rPr>
              <w:t>投标人不得存在的其他情形</w:t>
            </w:r>
          </w:p>
        </w:tc>
        <w:tc>
          <w:tcPr>
            <w:tcW w:w="5726" w:type="dxa"/>
            <w:vAlign w:val="center"/>
          </w:tcPr>
          <w:p>
            <w:pPr>
              <w:ind w:firstLine="0" w:firstLineChars="0"/>
              <w:rPr>
                <w:sz w:val="24"/>
                <w:szCs w:val="24"/>
              </w:rPr>
            </w:pPr>
            <w:r>
              <w:rPr>
                <w:rFonts w:hint="eastAsia"/>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1.9.1</w:t>
            </w:r>
          </w:p>
        </w:tc>
        <w:tc>
          <w:tcPr>
            <w:tcW w:w="1843" w:type="dxa"/>
            <w:vAlign w:val="center"/>
          </w:tcPr>
          <w:p>
            <w:pPr>
              <w:ind w:firstLine="0" w:firstLineChars="0"/>
              <w:jc w:val="center"/>
              <w:rPr>
                <w:sz w:val="24"/>
                <w:szCs w:val="24"/>
              </w:rPr>
            </w:pPr>
            <w:r>
              <w:rPr>
                <w:rFonts w:hint="eastAsia"/>
                <w:sz w:val="24"/>
                <w:szCs w:val="24"/>
              </w:rPr>
              <w:t>投标预备会</w:t>
            </w:r>
          </w:p>
        </w:tc>
        <w:tc>
          <w:tcPr>
            <w:tcW w:w="5726" w:type="dxa"/>
            <w:vAlign w:val="center"/>
          </w:tcPr>
          <w:p>
            <w:pPr>
              <w:ind w:firstLine="0" w:firstLineChars="0"/>
              <w:rPr>
                <w:sz w:val="24"/>
                <w:szCs w:val="24"/>
              </w:rPr>
            </w:pPr>
            <w:r>
              <w:rPr>
                <w:rFonts w:hint="eastAsia"/>
                <w:sz w:val="24"/>
                <w:szCs w:val="24"/>
              </w:rPr>
              <w:sym w:font="Wingdings 2" w:char="0052"/>
            </w:r>
            <w:r>
              <w:rPr>
                <w:rFonts w:hint="eastAsia"/>
                <w:sz w:val="24"/>
                <w:szCs w:val="24"/>
              </w:rPr>
              <w:t>不召开</w:t>
            </w:r>
          </w:p>
          <w:p>
            <w:pPr>
              <w:ind w:firstLine="0" w:firstLineChars="0"/>
              <w:rPr>
                <w:sz w:val="24"/>
                <w:szCs w:val="24"/>
              </w:rPr>
            </w:pPr>
            <w:r>
              <w:rPr>
                <w:rFonts w:hint="eastAsia"/>
                <w:sz w:val="24"/>
                <w:szCs w:val="24"/>
              </w:rPr>
              <w:t>□召开，召开时间：</w:t>
            </w:r>
          </w:p>
          <w:p>
            <w:pPr>
              <w:ind w:firstLine="0" w:firstLineChars="0"/>
              <w:rPr>
                <w:sz w:val="24"/>
                <w:szCs w:val="24"/>
              </w:rPr>
            </w:pPr>
            <w:r>
              <w:rPr>
                <w:rFonts w:hint="eastAsia"/>
                <w:sz w:val="24"/>
                <w:szCs w:val="24"/>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1.9.2</w:t>
            </w:r>
          </w:p>
        </w:tc>
        <w:tc>
          <w:tcPr>
            <w:tcW w:w="1843" w:type="dxa"/>
            <w:vAlign w:val="center"/>
          </w:tcPr>
          <w:p>
            <w:pPr>
              <w:ind w:firstLine="0" w:firstLineChars="0"/>
              <w:jc w:val="center"/>
              <w:rPr>
                <w:sz w:val="24"/>
                <w:szCs w:val="24"/>
              </w:rPr>
            </w:pPr>
            <w:r>
              <w:rPr>
                <w:rFonts w:hint="eastAsia"/>
                <w:sz w:val="24"/>
                <w:szCs w:val="24"/>
              </w:rPr>
              <w:t>投标人在投标预备会前提出问题</w:t>
            </w:r>
          </w:p>
        </w:tc>
        <w:tc>
          <w:tcPr>
            <w:tcW w:w="5726" w:type="dxa"/>
            <w:vAlign w:val="center"/>
          </w:tcPr>
          <w:p>
            <w:pPr>
              <w:ind w:firstLine="0" w:firstLineChars="0"/>
              <w:rPr>
                <w:sz w:val="24"/>
                <w:szCs w:val="24"/>
              </w:rPr>
            </w:pPr>
            <w:r>
              <w:rPr>
                <w:rFonts w:hint="eastAsia"/>
                <w:sz w:val="24"/>
                <w:szCs w:val="24"/>
              </w:rPr>
              <w:t>时间：/</w:t>
            </w:r>
          </w:p>
          <w:p>
            <w:pPr>
              <w:ind w:firstLine="0" w:firstLineChars="0"/>
              <w:rPr>
                <w:sz w:val="24"/>
                <w:szCs w:val="24"/>
              </w:rPr>
            </w:pPr>
            <w:r>
              <w:rPr>
                <w:rFonts w:hint="eastAsia"/>
                <w:sz w:val="24"/>
                <w:szCs w:val="24"/>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1.10.1</w:t>
            </w:r>
          </w:p>
        </w:tc>
        <w:tc>
          <w:tcPr>
            <w:tcW w:w="1843" w:type="dxa"/>
            <w:vAlign w:val="center"/>
          </w:tcPr>
          <w:p>
            <w:pPr>
              <w:ind w:firstLine="0" w:firstLineChars="0"/>
              <w:jc w:val="center"/>
              <w:rPr>
                <w:sz w:val="24"/>
                <w:szCs w:val="24"/>
              </w:rPr>
            </w:pPr>
            <w:r>
              <w:rPr>
                <w:rFonts w:hint="eastAsia"/>
                <w:sz w:val="24"/>
                <w:szCs w:val="24"/>
              </w:rPr>
              <w:t>分包</w:t>
            </w:r>
          </w:p>
        </w:tc>
        <w:tc>
          <w:tcPr>
            <w:tcW w:w="5726" w:type="dxa"/>
            <w:vAlign w:val="center"/>
          </w:tcPr>
          <w:p>
            <w:pPr>
              <w:ind w:firstLine="0" w:firstLineChars="0"/>
              <w:rPr>
                <w:sz w:val="24"/>
                <w:szCs w:val="24"/>
              </w:rPr>
            </w:pPr>
            <w:r>
              <w:rPr>
                <w:rFonts w:hint="eastAsia"/>
                <w:sz w:val="24"/>
                <w:szCs w:val="24"/>
              </w:rPr>
              <w:sym w:font="Wingdings 2" w:char="0052"/>
            </w:r>
            <w:r>
              <w:rPr>
                <w:rFonts w:hint="eastAsia"/>
                <w:sz w:val="24"/>
                <w:szCs w:val="24"/>
              </w:rPr>
              <w:t>不允许</w:t>
            </w:r>
          </w:p>
          <w:p>
            <w:pPr>
              <w:ind w:firstLine="0" w:firstLineChars="0"/>
              <w:rPr>
                <w:sz w:val="24"/>
                <w:szCs w:val="24"/>
              </w:rPr>
            </w:pPr>
            <w:r>
              <w:rPr>
                <w:rFonts w:hint="eastAsia"/>
                <w:sz w:val="24"/>
                <w:szCs w:val="24"/>
              </w:rPr>
              <w:t>□允许，分包内容要求：</w:t>
            </w:r>
          </w:p>
          <w:p>
            <w:pPr>
              <w:ind w:firstLine="0" w:firstLineChars="0"/>
              <w:rPr>
                <w:sz w:val="24"/>
                <w:szCs w:val="24"/>
              </w:rPr>
            </w:pPr>
            <w:r>
              <w:rPr>
                <w:rFonts w:hint="eastAsia"/>
                <w:sz w:val="24"/>
                <w:szCs w:val="24"/>
              </w:rPr>
              <w:t>分包金额要求：</w:t>
            </w:r>
          </w:p>
          <w:p>
            <w:pPr>
              <w:ind w:firstLine="0" w:firstLineChars="0"/>
              <w:rPr>
                <w:sz w:val="24"/>
                <w:szCs w:val="24"/>
              </w:rPr>
            </w:pPr>
            <w:r>
              <w:rPr>
                <w:rFonts w:hint="eastAsia"/>
                <w:sz w:val="24"/>
                <w:szCs w:val="24"/>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1.11.1</w:t>
            </w:r>
          </w:p>
        </w:tc>
        <w:tc>
          <w:tcPr>
            <w:tcW w:w="1843" w:type="dxa"/>
            <w:vAlign w:val="center"/>
          </w:tcPr>
          <w:p>
            <w:pPr>
              <w:ind w:firstLine="0" w:firstLineChars="0"/>
              <w:jc w:val="center"/>
              <w:rPr>
                <w:b/>
                <w:bCs/>
                <w:sz w:val="24"/>
                <w:szCs w:val="24"/>
              </w:rPr>
            </w:pPr>
            <w:r>
              <w:rPr>
                <w:rFonts w:hint="eastAsia"/>
                <w:b/>
                <w:bCs/>
                <w:sz w:val="24"/>
                <w:szCs w:val="24"/>
              </w:rPr>
              <w:t>实质性要求和条件</w:t>
            </w:r>
          </w:p>
        </w:tc>
        <w:tc>
          <w:tcPr>
            <w:tcW w:w="5726" w:type="dxa"/>
            <w:vAlign w:val="center"/>
          </w:tcPr>
          <w:p>
            <w:pPr>
              <w:ind w:firstLine="0" w:firstLineChars="0"/>
              <w:rPr>
                <w:b/>
                <w:bCs/>
                <w:sz w:val="24"/>
                <w:szCs w:val="24"/>
              </w:rPr>
            </w:pPr>
            <w:r>
              <w:rPr>
                <w:rFonts w:hint="eastAsia"/>
                <w:b/>
                <w:bCs/>
                <w:sz w:val="24"/>
                <w:szCs w:val="24"/>
              </w:rPr>
              <w:t>招标文件中标识“</w:t>
            </w:r>
            <w:r>
              <w:rPr>
                <w:rFonts w:hint="eastAsia" w:ascii="宋体" w:hAnsi="宋体"/>
                <w:color w:val="000000" w:themeColor="text1"/>
                <w:sz w:val="24"/>
                <w:szCs w:val="24"/>
                <w14:textFill>
                  <w14:solidFill>
                    <w14:schemeClr w14:val="tx1"/>
                  </w14:solidFill>
                </w14:textFill>
              </w:rPr>
              <w:t>★</w:t>
            </w:r>
            <w:r>
              <w:rPr>
                <w:rFonts w:hint="eastAsia"/>
                <w:b/>
                <w:bCs/>
                <w:sz w:val="24"/>
                <w:szCs w:val="24"/>
              </w:rPr>
              <w:t>”的条款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1.11.3</w:t>
            </w:r>
          </w:p>
        </w:tc>
        <w:tc>
          <w:tcPr>
            <w:tcW w:w="1843" w:type="dxa"/>
            <w:vAlign w:val="center"/>
          </w:tcPr>
          <w:p>
            <w:pPr>
              <w:ind w:firstLine="0" w:firstLineChars="0"/>
              <w:jc w:val="center"/>
              <w:rPr>
                <w:sz w:val="24"/>
                <w:szCs w:val="24"/>
              </w:rPr>
            </w:pPr>
            <w:r>
              <w:rPr>
                <w:rFonts w:hint="eastAsia"/>
                <w:sz w:val="24"/>
                <w:szCs w:val="24"/>
              </w:rPr>
              <w:t>其他可以被接受的技术支持资料</w:t>
            </w:r>
          </w:p>
        </w:tc>
        <w:tc>
          <w:tcPr>
            <w:tcW w:w="5726" w:type="dxa"/>
            <w:vAlign w:val="center"/>
          </w:tcPr>
          <w:p>
            <w:pPr>
              <w:ind w:firstLine="0" w:firstLineChars="0"/>
              <w:rPr>
                <w:sz w:val="24"/>
                <w:szCs w:val="24"/>
              </w:rPr>
            </w:pPr>
            <w:r>
              <w:rPr>
                <w:rFonts w:hint="eastAsia"/>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1.11.4</w:t>
            </w:r>
          </w:p>
        </w:tc>
        <w:tc>
          <w:tcPr>
            <w:tcW w:w="1843" w:type="dxa"/>
            <w:vAlign w:val="center"/>
          </w:tcPr>
          <w:p>
            <w:pPr>
              <w:ind w:firstLine="0" w:firstLineChars="0"/>
              <w:jc w:val="center"/>
              <w:rPr>
                <w:sz w:val="24"/>
                <w:szCs w:val="24"/>
              </w:rPr>
            </w:pPr>
            <w:r>
              <w:rPr>
                <w:rFonts w:hint="eastAsia"/>
                <w:sz w:val="24"/>
                <w:szCs w:val="24"/>
              </w:rPr>
              <w:t>偏差</w:t>
            </w:r>
          </w:p>
        </w:tc>
        <w:tc>
          <w:tcPr>
            <w:tcW w:w="5726" w:type="dxa"/>
            <w:vAlign w:val="center"/>
          </w:tcPr>
          <w:p>
            <w:pPr>
              <w:ind w:firstLine="0" w:firstLineChars="0"/>
              <w:rPr>
                <w:sz w:val="24"/>
                <w:szCs w:val="24"/>
              </w:rPr>
            </w:pPr>
            <w:r>
              <w:rPr>
                <w:rFonts w:hint="eastAsia"/>
                <w:sz w:val="24"/>
                <w:szCs w:val="24"/>
              </w:rPr>
              <w:t>□不允许</w:t>
            </w:r>
          </w:p>
          <w:p>
            <w:pPr>
              <w:ind w:firstLine="0" w:firstLineChars="0"/>
              <w:rPr>
                <w:sz w:val="24"/>
                <w:szCs w:val="24"/>
              </w:rPr>
            </w:pPr>
            <w:r>
              <w:rPr>
                <w:rFonts w:hint="eastAsia"/>
                <w:sz w:val="24"/>
                <w:szCs w:val="24"/>
              </w:rPr>
              <w:sym w:font="Wingdings 2" w:char="0052"/>
            </w:r>
            <w:r>
              <w:rPr>
                <w:rFonts w:hint="eastAsia"/>
                <w:sz w:val="24"/>
                <w:szCs w:val="24"/>
              </w:rPr>
              <w:t>允许，偏差范围：无限制</w:t>
            </w:r>
          </w:p>
          <w:p>
            <w:pPr>
              <w:ind w:firstLine="0" w:firstLineChars="0"/>
              <w:rPr>
                <w:sz w:val="24"/>
                <w:szCs w:val="24"/>
              </w:rPr>
            </w:pPr>
            <w:r>
              <w:rPr>
                <w:rFonts w:hint="eastAsia"/>
                <w:sz w:val="24"/>
                <w:szCs w:val="24"/>
              </w:rPr>
              <w:t>最高项数：无限制</w:t>
            </w:r>
          </w:p>
          <w:p>
            <w:pPr>
              <w:ind w:firstLine="0" w:firstLineChars="0"/>
              <w:rPr>
                <w:sz w:val="24"/>
                <w:szCs w:val="24"/>
              </w:rPr>
            </w:pPr>
            <w:r>
              <w:rPr>
                <w:rFonts w:hint="eastAsia"/>
                <w:b/>
                <w:bCs/>
                <w:sz w:val="24"/>
                <w:szCs w:val="24"/>
              </w:rPr>
              <w:t>实质性要求和条件不允许偏差，非实质性要求和条件允许偏差，对非实质性要求和条件的偏差范围、最高项数无规定。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2.1</w:t>
            </w:r>
          </w:p>
        </w:tc>
        <w:tc>
          <w:tcPr>
            <w:tcW w:w="1843" w:type="dxa"/>
            <w:vAlign w:val="center"/>
          </w:tcPr>
          <w:p>
            <w:pPr>
              <w:ind w:firstLine="0" w:firstLineChars="0"/>
              <w:jc w:val="center"/>
              <w:rPr>
                <w:sz w:val="24"/>
                <w:szCs w:val="24"/>
              </w:rPr>
            </w:pPr>
            <w:r>
              <w:rPr>
                <w:rFonts w:hint="eastAsia"/>
                <w:sz w:val="24"/>
                <w:szCs w:val="24"/>
              </w:rPr>
              <w:t>构成招标文件的其他资料</w:t>
            </w:r>
          </w:p>
        </w:tc>
        <w:tc>
          <w:tcPr>
            <w:tcW w:w="5726" w:type="dxa"/>
            <w:vAlign w:val="center"/>
          </w:tcPr>
          <w:p>
            <w:pPr>
              <w:ind w:firstLine="0" w:firstLineChars="0"/>
              <w:rPr>
                <w:sz w:val="24"/>
                <w:szCs w:val="24"/>
              </w:rPr>
            </w:pPr>
            <w:r>
              <w:rPr>
                <w:rFonts w:hint="eastAsia"/>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2.2.1</w:t>
            </w:r>
          </w:p>
        </w:tc>
        <w:tc>
          <w:tcPr>
            <w:tcW w:w="1843" w:type="dxa"/>
            <w:vAlign w:val="center"/>
          </w:tcPr>
          <w:p>
            <w:pPr>
              <w:ind w:firstLine="0" w:firstLineChars="0"/>
              <w:jc w:val="center"/>
              <w:rPr>
                <w:sz w:val="24"/>
                <w:szCs w:val="24"/>
              </w:rPr>
            </w:pPr>
            <w:r>
              <w:rPr>
                <w:rFonts w:hint="eastAsia"/>
                <w:sz w:val="24"/>
                <w:szCs w:val="24"/>
              </w:rPr>
              <w:t>投标人要求澄清招标文件</w:t>
            </w:r>
          </w:p>
        </w:tc>
        <w:tc>
          <w:tcPr>
            <w:tcW w:w="5726" w:type="dxa"/>
            <w:vAlign w:val="center"/>
          </w:tcPr>
          <w:p>
            <w:pPr>
              <w:ind w:firstLine="0" w:firstLineChars="0"/>
              <w:rPr>
                <w:sz w:val="24"/>
                <w:szCs w:val="24"/>
              </w:rPr>
            </w:pPr>
            <w:r>
              <w:rPr>
                <w:rFonts w:hint="eastAsia"/>
                <w:sz w:val="24"/>
                <w:szCs w:val="24"/>
              </w:rPr>
              <w:t>时间：投标截止时间前10日</w:t>
            </w:r>
          </w:p>
          <w:p>
            <w:pPr>
              <w:ind w:firstLine="0" w:firstLineChars="0"/>
              <w:rPr>
                <w:sz w:val="24"/>
                <w:szCs w:val="24"/>
              </w:rPr>
            </w:pPr>
            <w:r>
              <w:rPr>
                <w:rFonts w:hint="eastAsia"/>
                <w:sz w:val="24"/>
                <w:szCs w:val="24"/>
              </w:rPr>
              <w:t>形式：电子邮件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2.2.2</w:t>
            </w:r>
          </w:p>
        </w:tc>
        <w:tc>
          <w:tcPr>
            <w:tcW w:w="1843" w:type="dxa"/>
            <w:vAlign w:val="center"/>
          </w:tcPr>
          <w:p>
            <w:pPr>
              <w:ind w:firstLine="0" w:firstLineChars="0"/>
              <w:jc w:val="center"/>
              <w:rPr>
                <w:sz w:val="24"/>
                <w:szCs w:val="24"/>
              </w:rPr>
            </w:pPr>
            <w:r>
              <w:rPr>
                <w:rFonts w:hint="eastAsia"/>
                <w:sz w:val="24"/>
                <w:szCs w:val="24"/>
              </w:rPr>
              <w:t>招标文件澄清发出的形式</w:t>
            </w:r>
          </w:p>
        </w:tc>
        <w:tc>
          <w:tcPr>
            <w:tcW w:w="5726" w:type="dxa"/>
            <w:vAlign w:val="center"/>
          </w:tcPr>
          <w:p>
            <w:pPr>
              <w:ind w:firstLine="0" w:firstLineChars="0"/>
              <w:rPr>
                <w:rFonts w:hint="eastAsia" w:eastAsia="宋体"/>
                <w:sz w:val="24"/>
                <w:szCs w:val="24"/>
                <w:lang w:eastAsia="zh-CN"/>
              </w:rPr>
            </w:pPr>
            <w:r>
              <w:rPr>
                <w:rFonts w:hint="eastAsia"/>
                <w:sz w:val="24"/>
                <w:szCs w:val="24"/>
              </w:rPr>
              <w:t>通过</w:t>
            </w:r>
            <w:r>
              <w:rPr>
                <w:rFonts w:hint="eastAsia" w:ascii="宋体" w:hAnsi="宋体" w:eastAsia="宋体" w:cs="宋体"/>
                <w:color w:val="FF0000"/>
                <w:sz w:val="24"/>
                <w:szCs w:val="24"/>
                <w:u w:val="single"/>
              </w:rPr>
              <w:t>扬州市城建国有资产控股(集团）有限责任公司网站</w:t>
            </w:r>
            <w:r>
              <w:rPr>
                <w:rFonts w:hint="eastAsia"/>
                <w:sz w:val="24"/>
                <w:szCs w:val="24"/>
              </w:rPr>
              <w:t>发出，</w:t>
            </w:r>
            <w:r>
              <w:rPr>
                <w:rFonts w:hint="eastAsia"/>
                <w:color w:val="FF0000"/>
                <w:sz w:val="24"/>
                <w:szCs w:val="24"/>
              </w:rPr>
              <w:t>请投标人自行下载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2.3.1</w:t>
            </w:r>
          </w:p>
        </w:tc>
        <w:tc>
          <w:tcPr>
            <w:tcW w:w="1843" w:type="dxa"/>
            <w:vAlign w:val="center"/>
          </w:tcPr>
          <w:p>
            <w:pPr>
              <w:ind w:firstLine="0" w:firstLineChars="0"/>
              <w:jc w:val="center"/>
              <w:rPr>
                <w:sz w:val="24"/>
                <w:szCs w:val="24"/>
              </w:rPr>
            </w:pPr>
            <w:r>
              <w:rPr>
                <w:rFonts w:hint="eastAsia"/>
                <w:sz w:val="24"/>
                <w:szCs w:val="24"/>
              </w:rPr>
              <w:t>招标文件修改发出的形式</w:t>
            </w:r>
          </w:p>
        </w:tc>
        <w:tc>
          <w:tcPr>
            <w:tcW w:w="5726" w:type="dxa"/>
            <w:vAlign w:val="center"/>
          </w:tcPr>
          <w:p>
            <w:pPr>
              <w:ind w:firstLine="0" w:firstLineChars="0"/>
              <w:rPr>
                <w:rFonts w:hint="eastAsia" w:eastAsia="宋体"/>
                <w:sz w:val="24"/>
                <w:szCs w:val="24"/>
                <w:lang w:eastAsia="zh-CN"/>
              </w:rPr>
            </w:pPr>
            <w:r>
              <w:rPr>
                <w:rFonts w:hint="eastAsia"/>
                <w:sz w:val="24"/>
                <w:szCs w:val="24"/>
              </w:rPr>
              <w:t>通过</w:t>
            </w:r>
            <w:r>
              <w:rPr>
                <w:rFonts w:hint="eastAsia" w:ascii="宋体" w:hAnsi="宋体" w:eastAsia="宋体" w:cs="宋体"/>
                <w:color w:val="FF0000"/>
                <w:sz w:val="24"/>
                <w:szCs w:val="24"/>
                <w:u w:val="single"/>
              </w:rPr>
              <w:t>扬州市城建国有资产控股(集团）有限责任公司网站</w:t>
            </w:r>
            <w:r>
              <w:rPr>
                <w:rFonts w:hint="eastAsia"/>
                <w:sz w:val="24"/>
                <w:szCs w:val="24"/>
              </w:rPr>
              <w:t>发出，</w:t>
            </w:r>
            <w:r>
              <w:rPr>
                <w:rFonts w:hint="eastAsia"/>
                <w:color w:val="FF0000"/>
                <w:sz w:val="24"/>
                <w:szCs w:val="24"/>
              </w:rPr>
              <w:t>请投标人自行下载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3.1.1</w:t>
            </w:r>
          </w:p>
        </w:tc>
        <w:tc>
          <w:tcPr>
            <w:tcW w:w="1843" w:type="dxa"/>
            <w:vAlign w:val="center"/>
          </w:tcPr>
          <w:p>
            <w:pPr>
              <w:ind w:firstLine="0" w:firstLineChars="0"/>
              <w:jc w:val="center"/>
              <w:rPr>
                <w:sz w:val="24"/>
                <w:szCs w:val="24"/>
              </w:rPr>
            </w:pPr>
            <w:r>
              <w:rPr>
                <w:rFonts w:hint="eastAsia"/>
                <w:sz w:val="24"/>
                <w:szCs w:val="24"/>
              </w:rPr>
              <w:t>构成投标文件的其他资料</w:t>
            </w:r>
          </w:p>
        </w:tc>
        <w:tc>
          <w:tcPr>
            <w:tcW w:w="5726" w:type="dxa"/>
            <w:vAlign w:val="center"/>
          </w:tcPr>
          <w:p>
            <w:pPr>
              <w:ind w:firstLine="0" w:firstLineChars="0"/>
              <w:rPr>
                <w:sz w:val="24"/>
                <w:szCs w:val="24"/>
              </w:rPr>
            </w:pPr>
            <w:r>
              <w:rPr>
                <w:rFonts w:hint="eastAsia"/>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3.2.1</w:t>
            </w:r>
          </w:p>
        </w:tc>
        <w:tc>
          <w:tcPr>
            <w:tcW w:w="1843" w:type="dxa"/>
            <w:vAlign w:val="center"/>
          </w:tcPr>
          <w:p>
            <w:pPr>
              <w:ind w:firstLine="0" w:firstLineChars="0"/>
              <w:jc w:val="center"/>
              <w:rPr>
                <w:sz w:val="24"/>
                <w:szCs w:val="24"/>
              </w:rPr>
            </w:pPr>
            <w:r>
              <w:rPr>
                <w:rFonts w:hint="eastAsia"/>
                <w:sz w:val="24"/>
                <w:szCs w:val="24"/>
              </w:rPr>
              <w:t>增值税税金的计算方法</w:t>
            </w:r>
          </w:p>
        </w:tc>
        <w:tc>
          <w:tcPr>
            <w:tcW w:w="5726" w:type="dxa"/>
            <w:vAlign w:val="center"/>
          </w:tcPr>
          <w:p>
            <w:pPr>
              <w:ind w:firstLine="0" w:firstLineChars="0"/>
              <w:rPr>
                <w:sz w:val="24"/>
                <w:szCs w:val="24"/>
              </w:rPr>
            </w:pPr>
            <w:r>
              <w:rPr>
                <w:rFonts w:hint="eastAsia"/>
                <w:sz w:val="24"/>
                <w:szCs w:val="24"/>
              </w:rPr>
              <w:t>按国家法律及相关规定计算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3.2.4</w:t>
            </w:r>
          </w:p>
        </w:tc>
        <w:tc>
          <w:tcPr>
            <w:tcW w:w="1843" w:type="dxa"/>
            <w:vAlign w:val="center"/>
          </w:tcPr>
          <w:p>
            <w:pPr>
              <w:ind w:firstLine="0" w:firstLineChars="0"/>
              <w:jc w:val="center"/>
              <w:rPr>
                <w:sz w:val="24"/>
                <w:szCs w:val="24"/>
              </w:rPr>
            </w:pPr>
            <w:r>
              <w:rPr>
                <w:rFonts w:hint="eastAsia"/>
                <w:sz w:val="24"/>
                <w:szCs w:val="24"/>
              </w:rPr>
              <w:t>最高投标限价</w:t>
            </w:r>
          </w:p>
        </w:tc>
        <w:tc>
          <w:tcPr>
            <w:tcW w:w="5726" w:type="dxa"/>
            <w:vAlign w:val="center"/>
          </w:tcPr>
          <w:p>
            <w:pPr>
              <w:ind w:firstLine="0" w:firstLineChars="0"/>
              <w:rPr>
                <w:sz w:val="24"/>
                <w:szCs w:val="24"/>
              </w:rPr>
            </w:pPr>
            <w:r>
              <w:rPr>
                <w:rFonts w:hint="eastAsia"/>
                <w:sz w:val="24"/>
                <w:szCs w:val="24"/>
              </w:rPr>
              <w:sym w:font="Wingdings 2" w:char="00A3"/>
            </w:r>
            <w:r>
              <w:rPr>
                <w:rFonts w:hint="eastAsia"/>
                <w:sz w:val="24"/>
                <w:szCs w:val="24"/>
              </w:rPr>
              <w:t>无</w:t>
            </w:r>
          </w:p>
          <w:p>
            <w:pPr>
              <w:ind w:firstLine="0" w:firstLineChars="0"/>
              <w:rPr>
                <w:rFonts w:hint="default" w:eastAsia="宋体"/>
                <w:sz w:val="24"/>
                <w:szCs w:val="24"/>
                <w:lang w:val="en-US" w:eastAsia="zh-CN"/>
              </w:rPr>
            </w:pPr>
            <w:r>
              <w:rPr>
                <w:rFonts w:hint="eastAsia"/>
                <w:sz w:val="24"/>
                <w:szCs w:val="24"/>
              </w:rPr>
              <w:sym w:font="Wingdings 2" w:char="0052"/>
            </w:r>
            <w:r>
              <w:rPr>
                <w:rFonts w:hint="eastAsia"/>
                <w:sz w:val="24"/>
                <w:szCs w:val="24"/>
              </w:rPr>
              <w:t>有，最高投标限价：</w:t>
            </w:r>
            <w:r>
              <w:rPr>
                <w:rFonts w:hint="eastAsia"/>
                <w:color w:val="FF0000"/>
                <w:sz w:val="24"/>
                <w:szCs w:val="24"/>
              </w:rPr>
              <w:t>4</w:t>
            </w:r>
            <w:r>
              <w:rPr>
                <w:rFonts w:hint="eastAsia"/>
                <w:color w:val="FF0000"/>
                <w:sz w:val="24"/>
                <w:szCs w:val="24"/>
                <w:lang w:val="en-US" w:eastAsia="zh-CN"/>
              </w:rPr>
              <w:t>2</w:t>
            </w:r>
            <w:r>
              <w:rPr>
                <w:rFonts w:hint="eastAsia"/>
                <w:color w:val="FF000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3.2.5</w:t>
            </w:r>
          </w:p>
        </w:tc>
        <w:tc>
          <w:tcPr>
            <w:tcW w:w="1843" w:type="dxa"/>
            <w:vAlign w:val="center"/>
          </w:tcPr>
          <w:p>
            <w:pPr>
              <w:ind w:firstLine="0" w:firstLineChars="0"/>
              <w:jc w:val="center"/>
              <w:rPr>
                <w:sz w:val="24"/>
                <w:szCs w:val="24"/>
              </w:rPr>
            </w:pPr>
            <w:r>
              <w:rPr>
                <w:rFonts w:hint="eastAsia"/>
                <w:sz w:val="24"/>
                <w:szCs w:val="24"/>
              </w:rPr>
              <w:t>投标报价的其他要求</w:t>
            </w:r>
          </w:p>
        </w:tc>
        <w:tc>
          <w:tcPr>
            <w:tcW w:w="5726" w:type="dxa"/>
            <w:vAlign w:val="center"/>
          </w:tcPr>
          <w:p>
            <w:pPr>
              <w:ind w:firstLine="0" w:firstLineChars="0"/>
              <w:rPr>
                <w:sz w:val="24"/>
                <w:szCs w:val="24"/>
              </w:rPr>
            </w:pPr>
            <w:r>
              <w:rPr>
                <w:rFonts w:hint="eastAsia"/>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3.3.1</w:t>
            </w:r>
          </w:p>
        </w:tc>
        <w:tc>
          <w:tcPr>
            <w:tcW w:w="1843" w:type="dxa"/>
            <w:vAlign w:val="center"/>
          </w:tcPr>
          <w:p>
            <w:pPr>
              <w:ind w:firstLine="0" w:firstLineChars="0"/>
              <w:jc w:val="center"/>
              <w:rPr>
                <w:sz w:val="24"/>
                <w:szCs w:val="24"/>
              </w:rPr>
            </w:pPr>
            <w:r>
              <w:rPr>
                <w:rFonts w:hint="eastAsia"/>
                <w:sz w:val="24"/>
                <w:szCs w:val="24"/>
              </w:rPr>
              <w:t>投标有效期</w:t>
            </w:r>
          </w:p>
        </w:tc>
        <w:tc>
          <w:tcPr>
            <w:tcW w:w="5726" w:type="dxa"/>
            <w:vAlign w:val="center"/>
          </w:tcPr>
          <w:p>
            <w:pPr>
              <w:ind w:firstLine="0" w:firstLineChars="0"/>
              <w:rPr>
                <w:sz w:val="24"/>
                <w:szCs w:val="24"/>
              </w:rPr>
            </w:pPr>
            <w:r>
              <w:rPr>
                <w:rFonts w:hint="eastAsia"/>
                <w:sz w:val="24"/>
                <w:szCs w:val="24"/>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3.4.1</w:t>
            </w:r>
          </w:p>
        </w:tc>
        <w:tc>
          <w:tcPr>
            <w:tcW w:w="1843" w:type="dxa"/>
            <w:vAlign w:val="center"/>
          </w:tcPr>
          <w:p>
            <w:pPr>
              <w:ind w:firstLine="0" w:firstLineChars="0"/>
              <w:jc w:val="center"/>
              <w:rPr>
                <w:sz w:val="24"/>
                <w:szCs w:val="24"/>
              </w:rPr>
            </w:pPr>
            <w:r>
              <w:rPr>
                <w:rFonts w:hint="eastAsia"/>
                <w:sz w:val="24"/>
                <w:szCs w:val="24"/>
              </w:rPr>
              <w:t>投标保证金</w:t>
            </w:r>
          </w:p>
        </w:tc>
        <w:tc>
          <w:tcPr>
            <w:tcW w:w="5726" w:type="dxa"/>
            <w:vAlign w:val="center"/>
          </w:tcPr>
          <w:p>
            <w:pPr>
              <w:ind w:firstLine="0" w:firstLineChars="0"/>
              <w:rPr>
                <w:sz w:val="24"/>
                <w:szCs w:val="24"/>
              </w:rPr>
            </w:pPr>
            <w:r>
              <w:rPr>
                <w:rFonts w:hint="eastAsia"/>
                <w:sz w:val="24"/>
                <w:szCs w:val="24"/>
              </w:rPr>
              <w:t>是否要求投标人递交投标保证金：</w:t>
            </w:r>
          </w:p>
          <w:p>
            <w:pPr>
              <w:ind w:firstLine="0" w:firstLineChars="0"/>
              <w:rPr>
                <w:sz w:val="24"/>
                <w:szCs w:val="24"/>
                <w:highlight w:val="yellow"/>
              </w:rPr>
            </w:pPr>
            <w:r>
              <w:rPr>
                <w:rFonts w:hint="eastAsia"/>
                <w:sz w:val="24"/>
                <w:szCs w:val="24"/>
              </w:rPr>
              <w:sym w:font="Wingdings 2" w:char="0052"/>
            </w:r>
            <w:r>
              <w:rPr>
                <w:rFonts w:hint="eastAsia"/>
                <w:sz w:val="24"/>
                <w:szCs w:val="24"/>
              </w:rPr>
              <w:t>要求，投标保证金的形式：</w:t>
            </w:r>
            <w:r>
              <w:rPr>
                <w:rFonts w:hint="eastAsia" w:ascii="宋体" w:hAnsi="宋体"/>
                <w:sz w:val="24"/>
                <w:szCs w:val="24"/>
              </w:rPr>
              <w:t>以个人名义缴纳的保证金无效，投标保证金采用</w:t>
            </w:r>
            <w:r>
              <w:rPr>
                <w:rFonts w:hint="eastAsia" w:ascii="宋体" w:hAnsi="宋体"/>
                <w:b/>
                <w:bCs/>
                <w:sz w:val="24"/>
                <w:szCs w:val="24"/>
              </w:rPr>
              <w:t>本票或者汇票或支票</w:t>
            </w:r>
            <w:r>
              <w:rPr>
                <w:rFonts w:hint="eastAsia" w:ascii="宋体" w:hAnsi="宋体"/>
                <w:sz w:val="24"/>
                <w:szCs w:val="24"/>
              </w:rPr>
              <w:t>方式，并注明投标项目名称及编号。开标时缴纳。未缴纳保证金的，不予接受投标。未中标单位的投标保证金开标当场退还。</w:t>
            </w:r>
          </w:p>
          <w:p>
            <w:pPr>
              <w:ind w:firstLine="0" w:firstLineChars="0"/>
              <w:rPr>
                <w:b/>
                <w:bCs/>
                <w:sz w:val="24"/>
                <w:szCs w:val="24"/>
              </w:rPr>
            </w:pPr>
            <w:r>
              <w:rPr>
                <w:rFonts w:hint="eastAsia"/>
                <w:b/>
                <w:bCs/>
                <w:sz w:val="24"/>
                <w:szCs w:val="24"/>
              </w:rPr>
              <w:t>投标保证金的金额：8000元</w:t>
            </w:r>
          </w:p>
          <w:p>
            <w:pPr>
              <w:ind w:firstLine="0" w:firstLineChars="0"/>
              <w:rPr>
                <w:sz w:val="24"/>
                <w:szCs w:val="24"/>
              </w:rPr>
            </w:pPr>
            <w:r>
              <w:rPr>
                <w:rFonts w:hint="eastAsia"/>
                <w:sz w:val="24"/>
                <w:szCs w:val="24"/>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3.4.4</w:t>
            </w:r>
          </w:p>
        </w:tc>
        <w:tc>
          <w:tcPr>
            <w:tcW w:w="1843" w:type="dxa"/>
            <w:vAlign w:val="center"/>
          </w:tcPr>
          <w:p>
            <w:pPr>
              <w:ind w:firstLine="0" w:firstLineChars="0"/>
              <w:jc w:val="center"/>
              <w:rPr>
                <w:sz w:val="24"/>
                <w:szCs w:val="24"/>
              </w:rPr>
            </w:pPr>
            <w:r>
              <w:rPr>
                <w:rFonts w:hint="eastAsia"/>
                <w:sz w:val="24"/>
                <w:szCs w:val="24"/>
              </w:rPr>
              <w:t>其他可以不予退还投标保证金的情形</w:t>
            </w:r>
          </w:p>
        </w:tc>
        <w:tc>
          <w:tcPr>
            <w:tcW w:w="5726" w:type="dxa"/>
            <w:vAlign w:val="center"/>
          </w:tcPr>
          <w:p>
            <w:pPr>
              <w:ind w:firstLine="0" w:firstLineChars="0"/>
              <w:rPr>
                <w:sz w:val="24"/>
                <w:szCs w:val="24"/>
              </w:rPr>
            </w:pPr>
            <w:r>
              <w:rPr>
                <w:rFonts w:hint="eastAsia"/>
                <w:sz w:val="24"/>
                <w:szCs w:val="24"/>
              </w:rPr>
              <w:t>无其他情形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3.5</w:t>
            </w:r>
          </w:p>
        </w:tc>
        <w:tc>
          <w:tcPr>
            <w:tcW w:w="1843" w:type="dxa"/>
            <w:vAlign w:val="center"/>
          </w:tcPr>
          <w:p>
            <w:pPr>
              <w:ind w:firstLine="0" w:firstLineChars="0"/>
              <w:jc w:val="center"/>
              <w:rPr>
                <w:sz w:val="24"/>
                <w:szCs w:val="24"/>
              </w:rPr>
            </w:pPr>
            <w:r>
              <w:rPr>
                <w:rFonts w:hint="eastAsia"/>
                <w:sz w:val="24"/>
                <w:szCs w:val="24"/>
              </w:rPr>
              <w:t>资格审查</w:t>
            </w:r>
          </w:p>
        </w:tc>
        <w:tc>
          <w:tcPr>
            <w:tcW w:w="5726" w:type="dxa"/>
            <w:vAlign w:val="center"/>
          </w:tcPr>
          <w:p>
            <w:pPr>
              <w:spacing w:line="360" w:lineRule="auto"/>
              <w:ind w:firstLine="0" w:firstLineChars="0"/>
              <w:rPr>
                <w:sz w:val="24"/>
                <w:szCs w:val="24"/>
              </w:rPr>
            </w:pPr>
            <w:r>
              <w:rPr>
                <w:rFonts w:hint="eastAsia"/>
                <w:sz w:val="24"/>
                <w:szCs w:val="24"/>
              </w:rPr>
              <w:t>本次招标实行</w:t>
            </w:r>
            <w:r>
              <w:rPr>
                <w:rFonts w:hint="eastAsia"/>
                <w:b/>
                <w:bCs/>
                <w:sz w:val="24"/>
                <w:szCs w:val="24"/>
              </w:rPr>
              <w:t>资格后审</w:t>
            </w:r>
            <w:r>
              <w:rPr>
                <w:rFonts w:hint="eastAsia"/>
                <w:sz w:val="24"/>
                <w:szCs w:val="24"/>
              </w:rPr>
              <w:t>，资格审查不合格的投标人投标文件将按否决投标处理。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3.5</w:t>
            </w:r>
            <w:r>
              <w:rPr>
                <w:rFonts w:hint="eastAsia"/>
                <w:sz w:val="24"/>
                <w:szCs w:val="24"/>
              </w:rPr>
              <w:t>.1</w:t>
            </w:r>
          </w:p>
        </w:tc>
        <w:tc>
          <w:tcPr>
            <w:tcW w:w="1843" w:type="dxa"/>
            <w:vAlign w:val="center"/>
          </w:tcPr>
          <w:p>
            <w:pPr>
              <w:ind w:firstLine="0" w:firstLineChars="0"/>
              <w:jc w:val="center"/>
              <w:rPr>
                <w:sz w:val="24"/>
                <w:szCs w:val="24"/>
              </w:rPr>
            </w:pPr>
            <w:r>
              <w:rPr>
                <w:rFonts w:hint="eastAsia"/>
                <w:sz w:val="24"/>
                <w:szCs w:val="24"/>
              </w:rPr>
              <w:t>资格审查资料的特殊要求</w:t>
            </w:r>
          </w:p>
        </w:tc>
        <w:tc>
          <w:tcPr>
            <w:tcW w:w="5726" w:type="dxa"/>
            <w:vAlign w:val="center"/>
          </w:tcPr>
          <w:p>
            <w:pPr>
              <w:ind w:firstLine="0" w:firstLineChars="0"/>
              <w:rPr>
                <w:sz w:val="24"/>
                <w:szCs w:val="24"/>
              </w:rPr>
            </w:pPr>
            <w:r>
              <w:rPr>
                <w:rFonts w:hint="eastAsia"/>
                <w:sz w:val="24"/>
                <w:szCs w:val="24"/>
              </w:rPr>
              <w:t>□无</w:t>
            </w:r>
          </w:p>
          <w:p>
            <w:pPr>
              <w:ind w:firstLine="0" w:firstLineChars="0"/>
              <w:rPr>
                <w:sz w:val="24"/>
                <w:szCs w:val="24"/>
              </w:rPr>
            </w:pPr>
            <w:r>
              <w:rPr>
                <w:rFonts w:hint="eastAsia"/>
                <w:sz w:val="24"/>
                <w:szCs w:val="24"/>
              </w:rPr>
              <w:sym w:font="Wingdings 2" w:char="0052"/>
            </w:r>
            <w:r>
              <w:rPr>
                <w:rFonts w:hint="eastAsia"/>
                <w:sz w:val="24"/>
                <w:szCs w:val="24"/>
              </w:rPr>
              <w:t>有，具体要求：详见第一章第三条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3.6.1</w:t>
            </w:r>
          </w:p>
        </w:tc>
        <w:tc>
          <w:tcPr>
            <w:tcW w:w="1843" w:type="dxa"/>
            <w:vAlign w:val="center"/>
          </w:tcPr>
          <w:p>
            <w:pPr>
              <w:ind w:firstLine="0" w:firstLineChars="0"/>
              <w:jc w:val="center"/>
              <w:rPr>
                <w:sz w:val="24"/>
                <w:szCs w:val="24"/>
              </w:rPr>
            </w:pPr>
            <w:r>
              <w:rPr>
                <w:rFonts w:hint="eastAsia"/>
                <w:sz w:val="24"/>
                <w:szCs w:val="24"/>
              </w:rPr>
              <w:t>是否允许递交备选投标方案</w:t>
            </w:r>
          </w:p>
        </w:tc>
        <w:tc>
          <w:tcPr>
            <w:tcW w:w="5726" w:type="dxa"/>
            <w:vAlign w:val="center"/>
          </w:tcPr>
          <w:p>
            <w:pPr>
              <w:ind w:firstLine="0" w:firstLineChars="0"/>
              <w:rPr>
                <w:sz w:val="24"/>
                <w:szCs w:val="24"/>
              </w:rPr>
            </w:pPr>
            <w:r>
              <w:rPr>
                <w:rFonts w:hint="eastAsia"/>
                <w:sz w:val="24"/>
                <w:szCs w:val="24"/>
              </w:rPr>
              <w:sym w:font="Wingdings 2" w:char="0052"/>
            </w:r>
            <w:r>
              <w:rPr>
                <w:rFonts w:hint="eastAsia"/>
                <w:sz w:val="24"/>
                <w:szCs w:val="24"/>
              </w:rPr>
              <w:t>不允许</w:t>
            </w:r>
          </w:p>
          <w:p>
            <w:pPr>
              <w:ind w:firstLine="0" w:firstLineChars="0"/>
              <w:rPr>
                <w:sz w:val="24"/>
                <w:szCs w:val="24"/>
              </w:rPr>
            </w:pPr>
            <w:r>
              <w:rPr>
                <w:rFonts w:hint="eastAsia"/>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3.7.3A（2）</w:t>
            </w:r>
          </w:p>
        </w:tc>
        <w:tc>
          <w:tcPr>
            <w:tcW w:w="1843" w:type="dxa"/>
            <w:vAlign w:val="center"/>
          </w:tcPr>
          <w:p>
            <w:pPr>
              <w:ind w:firstLine="0" w:firstLineChars="0"/>
              <w:jc w:val="center"/>
              <w:rPr>
                <w:sz w:val="24"/>
                <w:szCs w:val="24"/>
              </w:rPr>
            </w:pPr>
            <w:r>
              <w:rPr>
                <w:rFonts w:hint="eastAsia"/>
                <w:sz w:val="24"/>
                <w:szCs w:val="24"/>
              </w:rPr>
              <w:t>投标文件份数及其他要求</w:t>
            </w:r>
          </w:p>
        </w:tc>
        <w:tc>
          <w:tcPr>
            <w:tcW w:w="5726" w:type="dxa"/>
            <w:vAlign w:val="center"/>
          </w:tcPr>
          <w:p>
            <w:pPr>
              <w:ind w:firstLine="0" w:firstLineChars="0"/>
              <w:rPr>
                <w:color w:val="FF0000"/>
                <w:sz w:val="24"/>
                <w:szCs w:val="24"/>
              </w:rPr>
            </w:pPr>
            <w:r>
              <w:rPr>
                <w:rFonts w:hint="eastAsia"/>
                <w:sz w:val="24"/>
                <w:szCs w:val="24"/>
              </w:rPr>
              <w:t>投标文件</w:t>
            </w:r>
            <w:r>
              <w:rPr>
                <w:rFonts w:hint="eastAsia"/>
                <w:b/>
                <w:bCs/>
                <w:sz w:val="24"/>
                <w:szCs w:val="24"/>
              </w:rPr>
              <w:t>份数</w:t>
            </w:r>
            <w:r>
              <w:rPr>
                <w:rFonts w:hint="eastAsia"/>
                <w:sz w:val="24"/>
                <w:szCs w:val="24"/>
              </w:rPr>
              <w:t>：</w:t>
            </w:r>
            <w:r>
              <w:rPr>
                <w:rFonts w:hint="eastAsia"/>
                <w:color w:val="FF0000"/>
                <w:sz w:val="24"/>
                <w:szCs w:val="24"/>
              </w:rPr>
              <w:t>正本壹份，副本贰份；</w:t>
            </w:r>
          </w:p>
          <w:p>
            <w:pPr>
              <w:ind w:firstLine="0" w:firstLineChars="0"/>
              <w:rPr>
                <w:sz w:val="24"/>
                <w:szCs w:val="24"/>
              </w:rPr>
            </w:pPr>
            <w:r>
              <w:rPr>
                <w:rFonts w:hint="eastAsia"/>
                <w:sz w:val="24"/>
                <w:szCs w:val="24"/>
              </w:rPr>
              <w:t>是否要求提交电子版文件：否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3.7.3A</w:t>
            </w:r>
            <w:r>
              <w:rPr>
                <w:rFonts w:hint="eastAsia"/>
                <w:sz w:val="24"/>
                <w:szCs w:val="24"/>
              </w:rPr>
              <w:t>（</w:t>
            </w:r>
            <w:r>
              <w:rPr>
                <w:sz w:val="24"/>
                <w:szCs w:val="24"/>
              </w:rPr>
              <w:t>3</w:t>
            </w:r>
            <w:r>
              <w:rPr>
                <w:rFonts w:hint="eastAsia"/>
                <w:sz w:val="24"/>
                <w:szCs w:val="24"/>
              </w:rPr>
              <w:t>）</w:t>
            </w:r>
          </w:p>
        </w:tc>
        <w:tc>
          <w:tcPr>
            <w:tcW w:w="1843" w:type="dxa"/>
            <w:vAlign w:val="center"/>
          </w:tcPr>
          <w:p>
            <w:pPr>
              <w:ind w:firstLine="0" w:firstLineChars="0"/>
              <w:jc w:val="center"/>
              <w:rPr>
                <w:sz w:val="24"/>
                <w:szCs w:val="24"/>
              </w:rPr>
            </w:pPr>
            <w:r>
              <w:rPr>
                <w:rFonts w:hint="eastAsia"/>
                <w:sz w:val="24"/>
                <w:szCs w:val="24"/>
              </w:rPr>
              <w:t>投标文件是否需分册装订</w:t>
            </w:r>
          </w:p>
        </w:tc>
        <w:tc>
          <w:tcPr>
            <w:tcW w:w="5726" w:type="dxa"/>
            <w:vAlign w:val="center"/>
          </w:tcPr>
          <w:p>
            <w:pPr>
              <w:ind w:firstLine="0" w:firstLineChars="0"/>
              <w:rPr>
                <w:sz w:val="24"/>
                <w:szCs w:val="24"/>
              </w:rPr>
            </w:pPr>
            <w:r>
              <w:rPr>
                <w:rFonts w:hint="eastAsia"/>
                <w:sz w:val="24"/>
                <w:szCs w:val="24"/>
              </w:rPr>
              <w:t>□不需要</w:t>
            </w:r>
          </w:p>
          <w:p>
            <w:pPr>
              <w:ind w:firstLine="0" w:firstLineChars="0"/>
              <w:rPr>
                <w:sz w:val="24"/>
                <w:szCs w:val="24"/>
              </w:rPr>
            </w:pPr>
            <w:r>
              <w:rPr>
                <w:rFonts w:hint="eastAsia"/>
                <w:sz w:val="24"/>
                <w:szCs w:val="24"/>
              </w:rPr>
              <w:sym w:font="Wingdings 2" w:char="0052"/>
            </w:r>
            <w:r>
              <w:rPr>
                <w:rFonts w:hint="eastAsia"/>
                <w:sz w:val="24"/>
                <w:szCs w:val="24"/>
              </w:rPr>
              <w:t>需要，分册装订要求：（投标报价部分、技术商务部分）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4.1.2</w:t>
            </w:r>
          </w:p>
        </w:tc>
        <w:tc>
          <w:tcPr>
            <w:tcW w:w="1843" w:type="dxa"/>
            <w:vAlign w:val="center"/>
          </w:tcPr>
          <w:p>
            <w:pPr>
              <w:ind w:firstLine="0" w:firstLineChars="0"/>
              <w:jc w:val="center"/>
              <w:rPr>
                <w:sz w:val="24"/>
                <w:szCs w:val="24"/>
              </w:rPr>
            </w:pPr>
            <w:r>
              <w:rPr>
                <w:rFonts w:hint="eastAsia"/>
                <w:sz w:val="24"/>
                <w:szCs w:val="24"/>
              </w:rPr>
              <w:t>封套上应载明的信息</w:t>
            </w:r>
          </w:p>
        </w:tc>
        <w:tc>
          <w:tcPr>
            <w:tcW w:w="5726" w:type="dxa"/>
            <w:vAlign w:val="center"/>
          </w:tcPr>
          <w:p>
            <w:pPr>
              <w:ind w:firstLine="0" w:firstLineChars="0"/>
              <w:rPr>
                <w:sz w:val="24"/>
                <w:szCs w:val="24"/>
              </w:rPr>
            </w:pPr>
            <w:r>
              <w:rPr>
                <w:rFonts w:hint="eastAsia"/>
                <w:sz w:val="24"/>
                <w:szCs w:val="24"/>
              </w:rPr>
              <w:t>投标单位名称：</w:t>
            </w:r>
          </w:p>
          <w:p>
            <w:pPr>
              <w:ind w:firstLine="0" w:firstLineChars="0"/>
              <w:rPr>
                <w:sz w:val="24"/>
                <w:szCs w:val="24"/>
              </w:rPr>
            </w:pPr>
            <w:r>
              <w:rPr>
                <w:rFonts w:hint="eastAsia"/>
                <w:sz w:val="24"/>
                <w:szCs w:val="24"/>
              </w:rPr>
              <w:t>投标单位地址：</w:t>
            </w:r>
          </w:p>
          <w:p>
            <w:pPr>
              <w:ind w:firstLine="0" w:firstLineChars="0"/>
              <w:rPr>
                <w:sz w:val="24"/>
                <w:szCs w:val="24"/>
              </w:rPr>
            </w:pPr>
            <w:r>
              <w:rPr>
                <w:rFonts w:hint="eastAsia"/>
                <w:sz w:val="24"/>
                <w:szCs w:val="24"/>
              </w:rPr>
              <w:t>（项目名称）（设备名称）采购招标项目投标文件</w:t>
            </w:r>
          </w:p>
          <w:p>
            <w:pPr>
              <w:ind w:firstLine="0" w:firstLineChars="0"/>
              <w:rPr>
                <w:sz w:val="24"/>
                <w:szCs w:val="24"/>
              </w:rPr>
            </w:pPr>
            <w:r>
              <w:rPr>
                <w:rFonts w:hint="eastAsia"/>
                <w:sz w:val="24"/>
                <w:szCs w:val="24"/>
              </w:rPr>
              <w:t>招标编号：（如有）</w:t>
            </w:r>
          </w:p>
          <w:p>
            <w:pPr>
              <w:ind w:firstLine="0" w:firstLineChars="0"/>
              <w:rPr>
                <w:sz w:val="24"/>
                <w:szCs w:val="24"/>
              </w:rPr>
            </w:pPr>
            <w:r>
              <w:rPr>
                <w:rFonts w:hint="eastAsia"/>
                <w:sz w:val="24"/>
                <w:szCs w:val="24"/>
              </w:rPr>
              <w:t>标段名称：（如有）</w:t>
            </w:r>
          </w:p>
          <w:p>
            <w:pPr>
              <w:ind w:firstLine="0" w:firstLineChars="0"/>
              <w:rPr>
                <w:sz w:val="24"/>
                <w:szCs w:val="24"/>
              </w:rPr>
            </w:pPr>
            <w:r>
              <w:rPr>
                <w:rFonts w:hint="eastAsia"/>
                <w:sz w:val="24"/>
                <w:szCs w:val="24"/>
              </w:rPr>
              <w:t>标段编号：（如有）</w:t>
            </w:r>
          </w:p>
          <w:p>
            <w:pPr>
              <w:ind w:firstLine="0" w:firstLineChars="0"/>
              <w:rPr>
                <w:sz w:val="24"/>
                <w:szCs w:val="24"/>
              </w:rPr>
            </w:pPr>
            <w:r>
              <w:rPr>
                <w:rFonts w:hint="eastAsia"/>
                <w:sz w:val="24"/>
                <w:szCs w:val="24"/>
              </w:rPr>
              <w:t xml:space="preserve">在 </w:t>
            </w:r>
            <w:r>
              <w:rPr>
                <w:rFonts w:hint="eastAsia"/>
                <w:sz w:val="24"/>
                <w:szCs w:val="24"/>
              </w:rPr>
              <w:tab/>
            </w:r>
            <w:r>
              <w:rPr>
                <w:rFonts w:hint="eastAsia"/>
                <w:sz w:val="24"/>
                <w:szCs w:val="24"/>
              </w:rPr>
              <w:t xml:space="preserve">年 </w:t>
            </w:r>
            <w:r>
              <w:rPr>
                <w:rFonts w:hint="eastAsia"/>
                <w:sz w:val="24"/>
                <w:szCs w:val="24"/>
              </w:rPr>
              <w:tab/>
            </w:r>
            <w:r>
              <w:rPr>
                <w:rFonts w:hint="eastAsia"/>
                <w:sz w:val="24"/>
                <w:szCs w:val="24"/>
              </w:rPr>
              <w:t xml:space="preserve">月 </w:t>
            </w:r>
            <w:r>
              <w:rPr>
                <w:rFonts w:hint="eastAsia"/>
                <w:sz w:val="24"/>
                <w:szCs w:val="24"/>
              </w:rPr>
              <w:tab/>
            </w:r>
            <w:r>
              <w:rPr>
                <w:rFonts w:hint="eastAsia"/>
                <w:sz w:val="24"/>
                <w:szCs w:val="24"/>
              </w:rPr>
              <w:t xml:space="preserve">日 </w:t>
            </w:r>
            <w:r>
              <w:rPr>
                <w:rFonts w:hint="eastAsia"/>
                <w:sz w:val="24"/>
                <w:szCs w:val="24"/>
              </w:rPr>
              <w:tab/>
            </w:r>
            <w:r>
              <w:rPr>
                <w:rFonts w:hint="eastAsia"/>
                <w:sz w:val="24"/>
                <w:szCs w:val="24"/>
              </w:rPr>
              <w:t>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4.2.1</w:t>
            </w:r>
          </w:p>
        </w:tc>
        <w:tc>
          <w:tcPr>
            <w:tcW w:w="1843" w:type="dxa"/>
            <w:vAlign w:val="center"/>
          </w:tcPr>
          <w:p>
            <w:pPr>
              <w:ind w:firstLine="0" w:firstLineChars="0"/>
              <w:jc w:val="center"/>
              <w:rPr>
                <w:sz w:val="24"/>
                <w:szCs w:val="24"/>
              </w:rPr>
            </w:pPr>
            <w:r>
              <w:rPr>
                <w:rFonts w:hint="eastAsia"/>
                <w:sz w:val="24"/>
                <w:szCs w:val="24"/>
              </w:rPr>
              <w:t>投标截止时间</w:t>
            </w:r>
          </w:p>
        </w:tc>
        <w:tc>
          <w:tcPr>
            <w:tcW w:w="5726" w:type="dxa"/>
            <w:vAlign w:val="center"/>
          </w:tcPr>
          <w:p>
            <w:pPr>
              <w:ind w:firstLine="0" w:firstLineChars="0"/>
              <w:rPr>
                <w:sz w:val="24"/>
                <w:szCs w:val="24"/>
              </w:rPr>
            </w:pPr>
            <w:r>
              <w:rPr>
                <w:rFonts w:hint="eastAsia"/>
                <w:sz w:val="24"/>
                <w:szCs w:val="24"/>
              </w:rPr>
              <w:t xml:space="preserve">详见第一章第六条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4.2.2（A）</w:t>
            </w:r>
          </w:p>
        </w:tc>
        <w:tc>
          <w:tcPr>
            <w:tcW w:w="1843" w:type="dxa"/>
            <w:vAlign w:val="center"/>
          </w:tcPr>
          <w:p>
            <w:pPr>
              <w:ind w:firstLine="0" w:firstLineChars="0"/>
              <w:jc w:val="center"/>
              <w:rPr>
                <w:sz w:val="24"/>
                <w:szCs w:val="24"/>
              </w:rPr>
            </w:pPr>
            <w:r>
              <w:rPr>
                <w:rFonts w:hint="eastAsia"/>
                <w:sz w:val="24"/>
                <w:szCs w:val="24"/>
              </w:rPr>
              <w:t>递交投标文件地点</w:t>
            </w:r>
          </w:p>
        </w:tc>
        <w:tc>
          <w:tcPr>
            <w:tcW w:w="5726" w:type="dxa"/>
            <w:vAlign w:val="center"/>
          </w:tcPr>
          <w:p>
            <w:pPr>
              <w:ind w:firstLine="0" w:firstLineChars="0"/>
              <w:rPr>
                <w:sz w:val="24"/>
                <w:szCs w:val="24"/>
              </w:rPr>
            </w:pPr>
            <w:r>
              <w:rPr>
                <w:rFonts w:hint="eastAsia"/>
                <w:sz w:val="24"/>
                <w:szCs w:val="24"/>
              </w:rPr>
              <w:t xml:space="preserve">详见第一章第六条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4.2.3</w:t>
            </w:r>
          </w:p>
        </w:tc>
        <w:tc>
          <w:tcPr>
            <w:tcW w:w="1843" w:type="dxa"/>
            <w:vAlign w:val="center"/>
          </w:tcPr>
          <w:p>
            <w:pPr>
              <w:ind w:firstLine="0" w:firstLineChars="0"/>
              <w:jc w:val="center"/>
              <w:rPr>
                <w:sz w:val="24"/>
                <w:szCs w:val="24"/>
              </w:rPr>
            </w:pPr>
            <w:r>
              <w:rPr>
                <w:rFonts w:hint="eastAsia"/>
                <w:sz w:val="24"/>
                <w:szCs w:val="24"/>
              </w:rPr>
              <w:t>投标文件是否退还</w:t>
            </w:r>
          </w:p>
        </w:tc>
        <w:tc>
          <w:tcPr>
            <w:tcW w:w="5726" w:type="dxa"/>
            <w:vAlign w:val="center"/>
          </w:tcPr>
          <w:p>
            <w:pPr>
              <w:ind w:firstLine="0" w:firstLineChars="0"/>
              <w:rPr>
                <w:sz w:val="24"/>
                <w:szCs w:val="24"/>
              </w:rPr>
            </w:pPr>
            <w:r>
              <w:rPr>
                <w:rFonts w:hint="eastAsia"/>
                <w:sz w:val="24"/>
                <w:szCs w:val="24"/>
              </w:rPr>
              <w:sym w:font="Wingdings 2" w:char="0052"/>
            </w:r>
            <w:r>
              <w:rPr>
                <w:rFonts w:hint="eastAsia"/>
                <w:sz w:val="24"/>
                <w:szCs w:val="24"/>
              </w:rPr>
              <w:t>否</w:t>
            </w:r>
          </w:p>
          <w:p>
            <w:pPr>
              <w:ind w:firstLine="0" w:firstLineChars="0"/>
              <w:rPr>
                <w:sz w:val="24"/>
                <w:szCs w:val="24"/>
              </w:rPr>
            </w:pPr>
            <w:r>
              <w:rPr>
                <w:rFonts w:hint="eastAsia"/>
                <w:sz w:val="24"/>
                <w:szCs w:val="24"/>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5.1（A）</w:t>
            </w:r>
          </w:p>
        </w:tc>
        <w:tc>
          <w:tcPr>
            <w:tcW w:w="1843" w:type="dxa"/>
            <w:vAlign w:val="center"/>
          </w:tcPr>
          <w:p>
            <w:pPr>
              <w:ind w:firstLine="0" w:firstLineChars="0"/>
              <w:jc w:val="center"/>
              <w:rPr>
                <w:sz w:val="24"/>
                <w:szCs w:val="24"/>
              </w:rPr>
            </w:pPr>
            <w:r>
              <w:rPr>
                <w:rFonts w:hint="eastAsia"/>
                <w:sz w:val="24"/>
                <w:szCs w:val="24"/>
              </w:rPr>
              <w:t>开标时间和地点</w:t>
            </w:r>
          </w:p>
        </w:tc>
        <w:tc>
          <w:tcPr>
            <w:tcW w:w="5726" w:type="dxa"/>
            <w:vAlign w:val="center"/>
          </w:tcPr>
          <w:p>
            <w:pPr>
              <w:ind w:firstLine="0" w:firstLineChars="0"/>
              <w:rPr>
                <w:sz w:val="24"/>
                <w:szCs w:val="24"/>
              </w:rPr>
            </w:pPr>
            <w:r>
              <w:rPr>
                <w:rFonts w:hint="eastAsia"/>
                <w:sz w:val="24"/>
                <w:szCs w:val="24"/>
              </w:rPr>
              <w:t xml:space="preserve">开标时间：详见第一章第六条  </w:t>
            </w:r>
          </w:p>
          <w:p>
            <w:pPr>
              <w:ind w:firstLine="0" w:firstLineChars="0"/>
              <w:rPr>
                <w:sz w:val="24"/>
                <w:szCs w:val="24"/>
              </w:rPr>
            </w:pPr>
            <w:r>
              <w:rPr>
                <w:rFonts w:hint="eastAsia"/>
                <w:sz w:val="24"/>
                <w:szCs w:val="24"/>
              </w:rPr>
              <w:t xml:space="preserve">开标地点：详见第一章第六条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rFonts w:hint="eastAsia"/>
                <w:sz w:val="24"/>
                <w:szCs w:val="24"/>
              </w:rPr>
              <w:t>5.2（4）（A）</w:t>
            </w:r>
          </w:p>
        </w:tc>
        <w:tc>
          <w:tcPr>
            <w:tcW w:w="1843" w:type="dxa"/>
            <w:vAlign w:val="center"/>
          </w:tcPr>
          <w:p>
            <w:pPr>
              <w:ind w:firstLine="0" w:firstLineChars="0"/>
              <w:jc w:val="center"/>
              <w:rPr>
                <w:sz w:val="24"/>
                <w:szCs w:val="24"/>
              </w:rPr>
            </w:pPr>
            <w:r>
              <w:rPr>
                <w:rFonts w:hint="eastAsia"/>
                <w:sz w:val="24"/>
                <w:szCs w:val="24"/>
              </w:rPr>
              <w:t>开标程序</w:t>
            </w:r>
          </w:p>
        </w:tc>
        <w:tc>
          <w:tcPr>
            <w:tcW w:w="5726" w:type="dxa"/>
            <w:vAlign w:val="center"/>
          </w:tcPr>
          <w:p>
            <w:pPr>
              <w:ind w:firstLine="0" w:firstLineChars="0"/>
              <w:rPr>
                <w:sz w:val="24"/>
                <w:szCs w:val="24"/>
              </w:rPr>
            </w:pPr>
            <w:r>
              <w:rPr>
                <w:rFonts w:hint="eastAsia"/>
                <w:sz w:val="24"/>
                <w:szCs w:val="24"/>
              </w:rPr>
              <w:t>开标顺序：递交投标文件的正序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6.1.1</w:t>
            </w:r>
          </w:p>
        </w:tc>
        <w:tc>
          <w:tcPr>
            <w:tcW w:w="1843" w:type="dxa"/>
            <w:vAlign w:val="center"/>
          </w:tcPr>
          <w:p>
            <w:pPr>
              <w:ind w:firstLine="0" w:firstLineChars="0"/>
              <w:jc w:val="center"/>
              <w:rPr>
                <w:sz w:val="24"/>
                <w:szCs w:val="24"/>
              </w:rPr>
            </w:pPr>
            <w:r>
              <w:rPr>
                <w:rFonts w:hint="eastAsia"/>
                <w:b/>
                <w:bCs/>
                <w:sz w:val="24"/>
                <w:szCs w:val="24"/>
              </w:rPr>
              <w:t>评标委员会的组建</w:t>
            </w:r>
          </w:p>
        </w:tc>
        <w:tc>
          <w:tcPr>
            <w:tcW w:w="5726" w:type="dxa"/>
            <w:vAlign w:val="center"/>
          </w:tcPr>
          <w:p>
            <w:pPr>
              <w:ind w:firstLine="0" w:firstLineChars="0"/>
              <w:rPr>
                <w:sz w:val="24"/>
                <w:szCs w:val="24"/>
              </w:rPr>
            </w:pPr>
            <w:r>
              <w:rPr>
                <w:rFonts w:hint="eastAsia"/>
                <w:sz w:val="24"/>
                <w:szCs w:val="24"/>
              </w:rPr>
              <w:t>评标委员会构成：依法组建评标委员会，评标委员会由招标人代表1人，以及有关技术、经济等方面的4位外部专家一共5人组成。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6.3.2</w:t>
            </w:r>
          </w:p>
        </w:tc>
        <w:tc>
          <w:tcPr>
            <w:tcW w:w="1843" w:type="dxa"/>
            <w:vAlign w:val="center"/>
          </w:tcPr>
          <w:p>
            <w:pPr>
              <w:ind w:firstLine="0" w:firstLineChars="0"/>
              <w:jc w:val="center"/>
              <w:rPr>
                <w:sz w:val="24"/>
                <w:szCs w:val="24"/>
              </w:rPr>
            </w:pPr>
            <w:r>
              <w:rPr>
                <w:rFonts w:hint="eastAsia"/>
                <w:sz w:val="24"/>
                <w:szCs w:val="24"/>
              </w:rPr>
              <w:t>评标委员会推荐中标候选人的人数</w:t>
            </w:r>
          </w:p>
        </w:tc>
        <w:tc>
          <w:tcPr>
            <w:tcW w:w="5726" w:type="dxa"/>
            <w:vAlign w:val="center"/>
          </w:tcPr>
          <w:p>
            <w:pPr>
              <w:ind w:firstLine="0" w:firstLineChars="0"/>
              <w:rPr>
                <w:sz w:val="24"/>
                <w:szCs w:val="24"/>
              </w:rPr>
            </w:pPr>
            <w:r>
              <w:rPr>
                <w:rFonts w:hint="eastAsia"/>
                <w:sz w:val="24"/>
                <w:szCs w:val="24"/>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7.1</w:t>
            </w:r>
          </w:p>
        </w:tc>
        <w:tc>
          <w:tcPr>
            <w:tcW w:w="1843" w:type="dxa"/>
            <w:vAlign w:val="center"/>
          </w:tcPr>
          <w:p>
            <w:pPr>
              <w:ind w:firstLine="0" w:firstLineChars="0"/>
              <w:jc w:val="center"/>
              <w:rPr>
                <w:sz w:val="24"/>
                <w:szCs w:val="24"/>
              </w:rPr>
            </w:pPr>
            <w:r>
              <w:rPr>
                <w:rFonts w:hint="eastAsia"/>
                <w:sz w:val="24"/>
                <w:szCs w:val="24"/>
              </w:rPr>
              <w:t>中标候选人公示媒介及期限</w:t>
            </w:r>
          </w:p>
        </w:tc>
        <w:tc>
          <w:tcPr>
            <w:tcW w:w="5726" w:type="dxa"/>
            <w:vAlign w:val="center"/>
          </w:tcPr>
          <w:p>
            <w:pPr>
              <w:ind w:firstLine="0" w:firstLineChars="0"/>
              <w:rPr>
                <w:sz w:val="24"/>
                <w:szCs w:val="24"/>
              </w:rPr>
            </w:pPr>
            <w:r>
              <w:rPr>
                <w:rFonts w:hint="eastAsia"/>
                <w:sz w:val="24"/>
                <w:szCs w:val="24"/>
              </w:rPr>
              <w:t>公示媒介：扬州市洁源排水有限公司网站</w:t>
            </w:r>
          </w:p>
          <w:p>
            <w:pPr>
              <w:ind w:firstLine="0" w:firstLineChars="0"/>
              <w:rPr>
                <w:sz w:val="24"/>
                <w:szCs w:val="24"/>
              </w:rPr>
            </w:pPr>
            <w:r>
              <w:rPr>
                <w:rFonts w:hint="eastAsia"/>
                <w:sz w:val="24"/>
                <w:szCs w:val="24"/>
              </w:rPr>
              <w:t>公示期限：1个工作日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7.4</w:t>
            </w:r>
          </w:p>
        </w:tc>
        <w:tc>
          <w:tcPr>
            <w:tcW w:w="1843" w:type="dxa"/>
            <w:vAlign w:val="center"/>
          </w:tcPr>
          <w:p>
            <w:pPr>
              <w:ind w:firstLine="0" w:firstLineChars="0"/>
              <w:jc w:val="center"/>
              <w:rPr>
                <w:sz w:val="24"/>
                <w:szCs w:val="24"/>
              </w:rPr>
            </w:pPr>
            <w:r>
              <w:rPr>
                <w:rFonts w:hint="eastAsia"/>
                <w:sz w:val="24"/>
                <w:szCs w:val="24"/>
              </w:rPr>
              <w:t>是否授权评标委员会确定中标人</w:t>
            </w:r>
          </w:p>
        </w:tc>
        <w:tc>
          <w:tcPr>
            <w:tcW w:w="5726" w:type="dxa"/>
            <w:vAlign w:val="center"/>
          </w:tcPr>
          <w:p>
            <w:pPr>
              <w:ind w:firstLine="0" w:firstLineChars="0"/>
              <w:rPr>
                <w:sz w:val="24"/>
                <w:szCs w:val="24"/>
              </w:rPr>
            </w:pPr>
            <w:r>
              <w:rPr>
                <w:rFonts w:hint="eastAsia"/>
                <w:sz w:val="24"/>
                <w:szCs w:val="24"/>
              </w:rPr>
              <w:sym w:font="Wingdings 2" w:char="00A3"/>
            </w:r>
            <w:r>
              <w:rPr>
                <w:rFonts w:hint="eastAsia"/>
                <w:sz w:val="24"/>
                <w:szCs w:val="24"/>
              </w:rPr>
              <w:t>是</w:t>
            </w:r>
          </w:p>
          <w:p>
            <w:pPr>
              <w:ind w:firstLine="0" w:firstLineChars="0"/>
              <w:rPr>
                <w:sz w:val="24"/>
                <w:szCs w:val="24"/>
              </w:rPr>
            </w:pPr>
            <w:r>
              <w:rPr>
                <w:rFonts w:hint="eastAsia"/>
                <w:sz w:val="24"/>
                <w:szCs w:val="24"/>
              </w:rPr>
              <w:sym w:font="Wingdings 2" w:char="0052"/>
            </w:r>
            <w:r>
              <w:rPr>
                <w:rFonts w:hint="eastAsia"/>
                <w:sz w:val="24"/>
                <w:szCs w:val="24"/>
              </w:rPr>
              <w:t>否，招标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rFonts w:hint="eastAsia" w:eastAsia="宋体"/>
                <w:sz w:val="24"/>
                <w:szCs w:val="24"/>
                <w:lang w:eastAsia="zh-CN"/>
              </w:rPr>
            </w:pPr>
            <w:r>
              <w:rPr>
                <w:sz w:val="24"/>
                <w:szCs w:val="24"/>
              </w:rPr>
              <w:t>7.</w:t>
            </w:r>
            <w:r>
              <w:rPr>
                <w:rFonts w:hint="eastAsia"/>
                <w:sz w:val="24"/>
                <w:szCs w:val="24"/>
                <w:lang w:val="en-US" w:eastAsia="zh-CN"/>
              </w:rPr>
              <w:t>5</w:t>
            </w:r>
          </w:p>
        </w:tc>
        <w:tc>
          <w:tcPr>
            <w:tcW w:w="1843" w:type="dxa"/>
            <w:vAlign w:val="center"/>
          </w:tcPr>
          <w:p>
            <w:pPr>
              <w:ind w:firstLine="0" w:firstLineChars="0"/>
              <w:jc w:val="center"/>
              <w:rPr>
                <w:sz w:val="24"/>
                <w:szCs w:val="24"/>
              </w:rPr>
            </w:pPr>
            <w:r>
              <w:rPr>
                <w:rFonts w:hint="eastAsia"/>
                <w:sz w:val="24"/>
                <w:szCs w:val="24"/>
              </w:rPr>
              <w:t>履约保证金</w:t>
            </w:r>
          </w:p>
        </w:tc>
        <w:tc>
          <w:tcPr>
            <w:tcW w:w="5726" w:type="dxa"/>
            <w:vAlign w:val="center"/>
          </w:tcPr>
          <w:p>
            <w:pPr>
              <w:ind w:firstLine="0" w:firstLineChars="0"/>
              <w:rPr>
                <w:sz w:val="24"/>
                <w:szCs w:val="24"/>
              </w:rPr>
            </w:pPr>
            <w:r>
              <w:rPr>
                <w:rFonts w:hint="eastAsia"/>
                <w:sz w:val="24"/>
                <w:szCs w:val="24"/>
              </w:rPr>
              <w:t>是否要求中标人提交履约保证金：</w:t>
            </w:r>
          </w:p>
          <w:p>
            <w:pPr>
              <w:ind w:firstLine="0" w:firstLineChars="0"/>
              <w:rPr>
                <w:rFonts w:hint="default" w:eastAsia="宋体"/>
                <w:sz w:val="24"/>
                <w:szCs w:val="24"/>
                <w:lang w:val="en-US" w:eastAsia="zh-CN"/>
              </w:rPr>
            </w:pPr>
            <w:r>
              <w:rPr>
                <w:rFonts w:hint="eastAsia"/>
                <w:b/>
                <w:bCs/>
                <w:color w:val="FF0000"/>
                <w:sz w:val="24"/>
                <w:szCs w:val="24"/>
              </w:rPr>
              <w:sym w:font="Wingdings 2" w:char="0052"/>
            </w:r>
            <w:r>
              <w:rPr>
                <w:rFonts w:hint="eastAsia"/>
                <w:b/>
                <w:bCs/>
                <w:color w:val="FF0000"/>
                <w:sz w:val="24"/>
                <w:szCs w:val="24"/>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rPr>
                <w:sz w:val="24"/>
                <w:szCs w:val="24"/>
              </w:rPr>
            </w:pPr>
            <w:r>
              <w:rPr>
                <w:sz w:val="24"/>
                <w:szCs w:val="24"/>
              </w:rPr>
              <w:t>9</w:t>
            </w:r>
          </w:p>
        </w:tc>
        <w:tc>
          <w:tcPr>
            <w:tcW w:w="1843" w:type="dxa"/>
            <w:vAlign w:val="center"/>
          </w:tcPr>
          <w:p>
            <w:pPr>
              <w:ind w:firstLine="0" w:firstLineChars="0"/>
              <w:jc w:val="center"/>
              <w:rPr>
                <w:sz w:val="24"/>
                <w:szCs w:val="24"/>
              </w:rPr>
            </w:pPr>
            <w:r>
              <w:rPr>
                <w:rFonts w:hint="eastAsia"/>
                <w:sz w:val="24"/>
                <w:szCs w:val="24"/>
              </w:rPr>
              <w:t>是否采用电子招标投标</w:t>
            </w:r>
          </w:p>
        </w:tc>
        <w:tc>
          <w:tcPr>
            <w:tcW w:w="5726" w:type="dxa"/>
            <w:vAlign w:val="center"/>
          </w:tcPr>
          <w:p>
            <w:pPr>
              <w:ind w:firstLine="0" w:firstLineChars="0"/>
              <w:rPr>
                <w:sz w:val="24"/>
                <w:szCs w:val="24"/>
              </w:rPr>
            </w:pPr>
            <w:r>
              <w:rPr>
                <w:rFonts w:hint="eastAsia"/>
                <w:sz w:val="24"/>
                <w:szCs w:val="24"/>
              </w:rPr>
              <w:t>□否</w:t>
            </w:r>
          </w:p>
          <w:p>
            <w:pPr>
              <w:ind w:firstLine="0" w:firstLineChars="0"/>
              <w:rPr>
                <w:sz w:val="24"/>
                <w:szCs w:val="24"/>
              </w:rPr>
            </w:pPr>
            <w:r>
              <w:rPr>
                <w:rFonts w:hint="eastAsia"/>
                <w:sz w:val="24"/>
                <w:szCs w:val="24"/>
              </w:rPr>
              <w:sym w:font="Wingdings 2" w:char="0052"/>
            </w:r>
            <w:r>
              <w:rPr>
                <w:rFonts w:hint="eastAsia"/>
                <w:sz w:val="24"/>
                <w:szCs w:val="24"/>
              </w:rPr>
              <w:t>是，具体要求：部分流程采用电子招标投标，详见第一章第四条、第二章第</w:t>
            </w:r>
            <w:r>
              <w:rPr>
                <w:sz w:val="24"/>
                <w:szCs w:val="24"/>
              </w:rPr>
              <w:t>2.2.2</w:t>
            </w:r>
            <w:r>
              <w:rPr>
                <w:rFonts w:hint="eastAsia"/>
                <w:sz w:val="24"/>
                <w:szCs w:val="24"/>
              </w:rPr>
              <w:t>项、第</w:t>
            </w:r>
            <w:r>
              <w:rPr>
                <w:sz w:val="24"/>
                <w:szCs w:val="24"/>
              </w:rPr>
              <w:t>2.3.1</w:t>
            </w:r>
            <w:r>
              <w:rPr>
                <w:rFonts w:hint="eastAsia"/>
                <w:sz w:val="24"/>
                <w:szCs w:val="24"/>
              </w:rPr>
              <w:t>项、第</w:t>
            </w:r>
            <w:r>
              <w:rPr>
                <w:sz w:val="24"/>
                <w:szCs w:val="24"/>
              </w:rPr>
              <w:t>3.4.1</w:t>
            </w:r>
            <w:r>
              <w:rPr>
                <w:rFonts w:hint="eastAsia"/>
                <w:sz w:val="24"/>
                <w:szCs w:val="24"/>
              </w:rPr>
              <w:t>项、第</w:t>
            </w:r>
            <w:r>
              <w:rPr>
                <w:sz w:val="24"/>
                <w:szCs w:val="24"/>
              </w:rPr>
              <w:t>3.7.3</w:t>
            </w:r>
            <w:r>
              <w:rPr>
                <w:rFonts w:hint="eastAsia"/>
                <w:sz w:val="24"/>
                <w:szCs w:val="24"/>
              </w:rPr>
              <w:t>（</w:t>
            </w:r>
            <w:r>
              <w:rPr>
                <w:sz w:val="24"/>
                <w:szCs w:val="24"/>
              </w:rPr>
              <w:t>2</w:t>
            </w:r>
            <w:r>
              <w:rPr>
                <w:rFonts w:hint="eastAsia"/>
                <w:sz w:val="24"/>
                <w:szCs w:val="24"/>
              </w:rPr>
              <w:t>）目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9" w:type="dxa"/>
            <w:vMerge w:val="restart"/>
            <w:vAlign w:val="center"/>
          </w:tcPr>
          <w:p>
            <w:pPr>
              <w:ind w:firstLine="0" w:firstLineChars="0"/>
              <w:jc w:val="center"/>
              <w:rPr>
                <w:sz w:val="24"/>
                <w:szCs w:val="24"/>
              </w:rPr>
            </w:pPr>
            <w:r>
              <w:rPr>
                <w:sz w:val="24"/>
                <w:szCs w:val="24"/>
              </w:rPr>
              <w:t>10</w:t>
            </w:r>
          </w:p>
        </w:tc>
        <w:tc>
          <w:tcPr>
            <w:tcW w:w="1843" w:type="dxa"/>
            <w:vMerge w:val="restart"/>
            <w:vAlign w:val="center"/>
          </w:tcPr>
          <w:p>
            <w:pPr>
              <w:ind w:firstLine="0" w:firstLineChars="0"/>
              <w:jc w:val="center"/>
              <w:rPr>
                <w:sz w:val="24"/>
                <w:szCs w:val="24"/>
              </w:rPr>
            </w:pPr>
            <w:r>
              <w:rPr>
                <w:rFonts w:hint="eastAsia"/>
                <w:sz w:val="24"/>
                <w:szCs w:val="24"/>
              </w:rPr>
              <w:t>需要补充的其他内容</w:t>
            </w:r>
          </w:p>
        </w:tc>
        <w:tc>
          <w:tcPr>
            <w:tcW w:w="5726" w:type="dxa"/>
            <w:vAlign w:val="center"/>
          </w:tcPr>
          <w:p>
            <w:pPr>
              <w:ind w:firstLine="0" w:firstLineChars="0"/>
              <w:rPr>
                <w:sz w:val="24"/>
                <w:szCs w:val="24"/>
                <w:highlight w:val="yellow"/>
              </w:rPr>
            </w:pPr>
            <w:r>
              <w:rPr>
                <w:rFonts w:hint="eastAsia"/>
                <w:sz w:val="24"/>
                <w:szCs w:val="24"/>
                <w:highlight w:val="yellow"/>
              </w:rPr>
              <w:t>10.1费用</w:t>
            </w:r>
          </w:p>
          <w:p>
            <w:pPr>
              <w:ind w:firstLine="0" w:firstLineChars="0"/>
              <w:rPr>
                <w:sz w:val="24"/>
                <w:szCs w:val="24"/>
                <w:highlight w:val="yellow"/>
              </w:rPr>
            </w:pPr>
            <w:r>
              <w:rPr>
                <w:rFonts w:hint="eastAsia"/>
                <w:sz w:val="24"/>
                <w:szCs w:val="24"/>
              </w:rPr>
              <w:t>10.1.1</w:t>
            </w:r>
            <w:r>
              <w:rPr>
                <w:rFonts w:hint="eastAsia"/>
                <w:sz w:val="24"/>
                <w:szCs w:val="24"/>
                <w:highlight w:val="yellow"/>
              </w:rPr>
              <w:t>招标代理服务费用由招标代理机构在退还中标人投标保证金时向中标人收取，发票由招标代理机构开具。中标人参照《招标代理服务费管理暂行办法》（国家发展计划委员会计价格【2011】534号）代理货物招标收费基准费率计算，在领取中标通知书前向招标代理机构支付招标服务费。本项费用无需在投标报价表中单列，但</w:t>
            </w:r>
            <w:r>
              <w:rPr>
                <w:rFonts w:hint="eastAsia" w:ascii="宋体" w:hAnsi="宋体"/>
                <w:sz w:val="24"/>
                <w:szCs w:val="24"/>
                <w:highlight w:val="yellow"/>
              </w:rPr>
              <w:t>包含在总价中</w:t>
            </w:r>
            <w:r>
              <w:rPr>
                <w:rFonts w:hint="eastAsia"/>
                <w:sz w:val="24"/>
                <w:szCs w:val="24"/>
                <w:highlight w:val="yellow"/>
              </w:rPr>
              <w:t>。</w:t>
            </w:r>
          </w:p>
          <w:p>
            <w:pPr>
              <w:ind w:firstLine="0" w:firstLineChars="0"/>
              <w:rPr>
                <w:sz w:val="24"/>
                <w:szCs w:val="24"/>
                <w:highlight w:val="yellow"/>
              </w:rPr>
            </w:pPr>
            <w:r>
              <w:rPr>
                <w:rFonts w:hint="eastAsia"/>
                <w:sz w:val="24"/>
                <w:szCs w:val="24"/>
                <w:highlight w:val="yellow"/>
              </w:rPr>
              <w:t>10.1.2评委专家评审费：专家评审费暂按2500元（500元/人)计取，按实结算；</w:t>
            </w:r>
            <w:r>
              <w:rPr>
                <w:rFonts w:hint="eastAsia" w:ascii="宋体" w:hAnsi="宋体"/>
                <w:sz w:val="24"/>
                <w:szCs w:val="24"/>
                <w:highlight w:val="yellow"/>
              </w:rPr>
              <w:t>专家评审费不在报价中单列，但包含在总价中，由成交供应商支付给代理机构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9" w:type="dxa"/>
            <w:vMerge w:val="continue"/>
            <w:vAlign w:val="center"/>
          </w:tcPr>
          <w:p>
            <w:pPr>
              <w:ind w:firstLine="0" w:firstLineChars="0"/>
              <w:jc w:val="center"/>
              <w:rPr>
                <w:sz w:val="24"/>
                <w:szCs w:val="24"/>
              </w:rPr>
            </w:pPr>
          </w:p>
        </w:tc>
        <w:tc>
          <w:tcPr>
            <w:tcW w:w="1843" w:type="dxa"/>
            <w:vMerge w:val="continue"/>
            <w:vAlign w:val="center"/>
          </w:tcPr>
          <w:p>
            <w:pPr>
              <w:ind w:firstLine="0" w:firstLineChars="0"/>
              <w:jc w:val="center"/>
              <w:rPr>
                <w:sz w:val="24"/>
                <w:szCs w:val="24"/>
              </w:rPr>
            </w:pPr>
          </w:p>
        </w:tc>
        <w:tc>
          <w:tcPr>
            <w:tcW w:w="5726" w:type="dxa"/>
            <w:vAlign w:val="center"/>
          </w:tcPr>
          <w:p>
            <w:pPr>
              <w:ind w:firstLine="0" w:firstLineChars="0"/>
              <w:rPr>
                <w:sz w:val="24"/>
                <w:szCs w:val="24"/>
              </w:rPr>
            </w:pPr>
            <w:r>
              <w:rPr>
                <w:rFonts w:hint="eastAsia"/>
                <w:sz w:val="24"/>
                <w:szCs w:val="24"/>
              </w:rPr>
              <w:t>10.2重新招标</w:t>
            </w:r>
          </w:p>
          <w:p>
            <w:pPr>
              <w:ind w:firstLine="0" w:firstLineChars="0"/>
              <w:rPr>
                <w:sz w:val="24"/>
                <w:szCs w:val="24"/>
              </w:rPr>
            </w:pPr>
            <w:r>
              <w:rPr>
                <w:rFonts w:hint="eastAsia"/>
                <w:sz w:val="24"/>
                <w:szCs w:val="24"/>
              </w:rPr>
              <w:t>10.2.1有下列情形之一的，招标人将重新招标：</w:t>
            </w:r>
          </w:p>
          <w:p>
            <w:pPr>
              <w:ind w:firstLine="0" w:firstLineChars="0"/>
              <w:rPr>
                <w:sz w:val="24"/>
                <w:szCs w:val="24"/>
              </w:rPr>
            </w:pPr>
            <w:r>
              <w:rPr>
                <w:rFonts w:hint="eastAsia"/>
                <w:sz w:val="24"/>
                <w:szCs w:val="24"/>
              </w:rPr>
              <w:t>（1）招标文件获取截止时间止，获取招标文件的潜在投标人少于3个的；</w:t>
            </w:r>
          </w:p>
          <w:p>
            <w:pPr>
              <w:ind w:firstLine="0" w:firstLineChars="0"/>
              <w:rPr>
                <w:sz w:val="24"/>
                <w:szCs w:val="24"/>
              </w:rPr>
            </w:pPr>
            <w:r>
              <w:rPr>
                <w:rFonts w:hint="eastAsia"/>
                <w:sz w:val="24"/>
                <w:szCs w:val="24"/>
              </w:rPr>
              <w:t>（2）投标截止时间止，提交投标文件的投标人少于3个的；</w:t>
            </w:r>
          </w:p>
          <w:p>
            <w:pPr>
              <w:ind w:firstLine="0" w:firstLineChars="0"/>
              <w:rPr>
                <w:sz w:val="24"/>
                <w:szCs w:val="24"/>
              </w:rPr>
            </w:pPr>
            <w:r>
              <w:rPr>
                <w:rFonts w:hint="eastAsia"/>
                <w:sz w:val="24"/>
                <w:szCs w:val="24"/>
              </w:rPr>
              <w:t>（3）经评标委员会评审后否决所有投标的；</w:t>
            </w:r>
          </w:p>
          <w:p>
            <w:pPr>
              <w:ind w:firstLine="0" w:firstLineChars="0"/>
              <w:rPr>
                <w:sz w:val="24"/>
                <w:szCs w:val="24"/>
              </w:rPr>
            </w:pPr>
            <w:r>
              <w:rPr>
                <w:rFonts w:hint="eastAsia"/>
                <w:sz w:val="24"/>
                <w:szCs w:val="24"/>
              </w:rPr>
              <w:t>（4）评标委员会否决一部分投标后其他有效投标不足3个使得投标明显缺乏竞争，决定否决全部投标的；</w:t>
            </w:r>
          </w:p>
          <w:p>
            <w:pPr>
              <w:ind w:firstLine="0" w:firstLineChars="0"/>
              <w:rPr>
                <w:sz w:val="24"/>
                <w:szCs w:val="24"/>
              </w:rPr>
            </w:pPr>
            <w:r>
              <w:rPr>
                <w:rFonts w:hint="eastAsia"/>
                <w:sz w:val="24"/>
                <w:szCs w:val="24"/>
              </w:rPr>
              <w:t>（5）根据第二章第3.3.3项规定，同意延长投标有效期的投标人少于3个的；</w:t>
            </w:r>
          </w:p>
          <w:p>
            <w:pPr>
              <w:ind w:firstLine="0" w:firstLineChars="0"/>
              <w:rPr>
                <w:sz w:val="24"/>
                <w:szCs w:val="24"/>
              </w:rPr>
            </w:pPr>
            <w:r>
              <w:rPr>
                <w:rFonts w:hint="eastAsia"/>
                <w:sz w:val="24"/>
                <w:szCs w:val="24"/>
              </w:rPr>
              <w:t>（6）根据第二章第7.4款规定，依次确定其他中标候选人与招标人预期差距较大，或者对招标人明显不利的。</w:t>
            </w:r>
          </w:p>
          <w:p>
            <w:pPr>
              <w:ind w:firstLine="0" w:firstLineChars="0"/>
              <w:rPr>
                <w:sz w:val="24"/>
                <w:szCs w:val="24"/>
              </w:rPr>
            </w:pPr>
            <w:r>
              <w:rPr>
                <w:rFonts w:hint="eastAsia"/>
                <w:sz w:val="24"/>
                <w:szCs w:val="24"/>
              </w:rPr>
              <w:t>10.2.2有第二章第7.4款、第三章第3.1.2（2）目所列情形的投标人不得参与该项目的重新招标。</w:t>
            </w:r>
          </w:p>
          <w:p>
            <w:pPr>
              <w:ind w:firstLine="0" w:firstLineChars="0"/>
              <w:rPr>
                <w:sz w:val="24"/>
                <w:szCs w:val="24"/>
              </w:rPr>
            </w:pPr>
            <w:r>
              <w:rPr>
                <w:rFonts w:hint="eastAsia"/>
                <w:sz w:val="24"/>
                <w:szCs w:val="24"/>
              </w:rPr>
              <w:t>10.2.3重新招标后仍存在第二章第10.2.1项情形的，按国家有关规定需要履行审批、核准手续的依法必须进行招标的项目，报项目审批、核准部门审批、核准后可以不再进行招标；其他工程建设项目，招标人可自行决定不再进行招标。</w:t>
            </w:r>
          </w:p>
          <w:p>
            <w:pPr>
              <w:ind w:firstLine="0" w:firstLineChars="0"/>
              <w:rPr>
                <w:sz w:val="24"/>
                <w:szCs w:val="24"/>
              </w:rPr>
            </w:pPr>
            <w:r>
              <w:rPr>
                <w:rFonts w:hint="eastAsia"/>
                <w:sz w:val="24"/>
                <w:szCs w:val="24"/>
              </w:rPr>
              <w:t>不再进行招标的项目，如有两家投标，招标人可进行两家开标；如只有一家投标，经评标委员会评审认可后，招标人可进行谈判采购。</w:t>
            </w:r>
          </w:p>
        </w:tc>
      </w:tr>
    </w:tbl>
    <w:p>
      <w:pPr>
        <w:ind w:firstLine="0" w:firstLineChars="0"/>
      </w:pPr>
      <w:r>
        <w:rPr>
          <w:rFonts w:hint="eastAsia"/>
        </w:rPr>
        <w:tab/>
      </w:r>
      <w:r>
        <w:rPr>
          <w:rFonts w:hint="eastAsia"/>
        </w:rPr>
        <w:tab/>
      </w:r>
      <w:r>
        <w:br w:type="page"/>
      </w:r>
    </w:p>
    <w:p>
      <w:pPr>
        <w:pStyle w:val="6"/>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1" w:name="_Toc5019"/>
      <w:r>
        <w:rPr>
          <w:rFonts w:hint="eastAsia" w:ascii="宋体" w:hAnsi="宋体" w:eastAsia="宋体" w:cs="宋体"/>
          <w:sz w:val="24"/>
          <w:szCs w:val="24"/>
        </w:rPr>
        <w:t>1.总则</w:t>
      </w:r>
      <w:bookmarkEnd w:id="11"/>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2" w:name="_Toc3122"/>
      <w:r>
        <w:rPr>
          <w:rFonts w:hint="eastAsia" w:ascii="宋体" w:hAnsi="宋体" w:eastAsia="宋体" w:cs="宋体"/>
          <w:sz w:val="24"/>
          <w:szCs w:val="24"/>
        </w:rPr>
        <w:t>1.1招标项目概况</w:t>
      </w:r>
      <w:bookmarkEnd w:id="12"/>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根据《中华人民共和国招标投标法》、《中华人民共和国招标投标法实施条例》等有关法律、法规和规章的规定，本招标项目已具备招标条件，现对设备采购进行招标。</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3" w:name="_Toc27621"/>
      <w:r>
        <w:rPr>
          <w:rFonts w:hint="eastAsia" w:ascii="宋体" w:hAnsi="宋体" w:eastAsia="宋体" w:cs="宋体"/>
          <w:sz w:val="24"/>
          <w:szCs w:val="24"/>
        </w:rPr>
        <w:t>1.2招标项目的资金来源和落实情况</w:t>
      </w:r>
      <w:bookmarkEnd w:id="13"/>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1.2.1资金来源及比例：见投标人须知前附表。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1.2.2资金落实情况：见投标人须知前附表。</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4" w:name="_Toc16537"/>
      <w:r>
        <w:rPr>
          <w:rFonts w:hint="eastAsia" w:ascii="宋体" w:hAnsi="宋体" w:eastAsia="宋体" w:cs="宋体"/>
          <w:sz w:val="24"/>
          <w:szCs w:val="24"/>
        </w:rPr>
        <w:t>1.3招标范围、交货期、交货地点和技术性能指标</w:t>
      </w:r>
      <w:bookmarkEnd w:id="14"/>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1.3.1招标范围：见投标人须知前附表。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1.3.2交货期：见投标人须知前附表。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1.3.3交货地点：见投标人须知前附表。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1.3.4技术性能指标：见投标人须知前附表。</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5" w:name="_Toc13957"/>
      <w:r>
        <w:rPr>
          <w:rFonts w:hint="eastAsia" w:ascii="宋体" w:hAnsi="宋体" w:eastAsia="宋体" w:cs="宋体"/>
          <w:sz w:val="24"/>
          <w:szCs w:val="24"/>
        </w:rPr>
        <w:t>1.4投标人资格要求</w:t>
      </w:r>
      <w:bookmarkEnd w:id="15"/>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1.4.1投标人应具备承担本招标项目资格条件：见投标人须知前附表；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投标人为代理经销商的，对投标人的资质要求包含对制造商的资质要求，对投标人的业绩要求包含对投标设备的业绩要求。</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需要提交的相关证明材料见本章第3.5款的规定。</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1.4.2投标人须知前附表规定接受联合体投标的，联合体除应符合本章第1.4.1项和投标人须知前附表的要求外，还应遵守以下规定：</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（1）联合体各方应按招标文件提供的格式签订联合体协议书，明确联合体牵头人和各方权利义务，并承诺就中标项目向招标人承担连带责任；</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（2）由同一专业的单位组成的联合体，按照资质等级较低的单位确定资质等级；</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（3）联合体各方不得再以自己名义单独或参加其他联合体在本招标项目中投标，否则各相关投标均无效。</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1.4.3投标人不得存在下列情形之一：</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（1）与招标人存在利害关系且可能影响招标公正性；</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（2）与本招标项目的其他投标人为同一个单位负责人；</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（3）与本招标项目的其他投标人存在控股、管理关系；</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（4）与本招标项目其他投标人代理同一个制造商同一品牌同一型号的设备投标；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（5）为本招标项目提供过设计、编制技术规范和其他文件的咨询服务；</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（6）为本工程项目的相关监理人，或者与本工程项目的相关监理人存在隶属关系或者其他利害关系；</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（7）为本招标项目的代建人；</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（8）为本招标项目的招标代理机构；</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（9）与本招标项目的监理人或代建人或招标代理机构同为一个法定代表人；</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（10）与本招标项目的监理人或代建人或招标代理机构存在控股或参股关系；</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（11）被依法暂停或者取消投标资格；</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（12）被责令停产停业、暂扣或者吊销许可证、暂扣或者吊销执照；</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（13）进入清算程序，或被宣告破产，或其他丧失履约能力的情形；</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（14）在最近三年内发生重大产品质量问题（以相关行业主管部门的行政处罚决定或司法机关出具的有关法律文书为准）；</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（15）被工商行政管理机关在全国企业信用信息公示系统中列入严重违法失信企业名单；</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（16）被最高人民法院在“信用中国”网站（www.creditchina.gov.cn）或各级信用信息共享平台中列入失信被执行人名单；</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（17）在近三年内投标人或其法定代表人、拟委任的项目负责人有行贿犯罪行为的；</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（18）法律法规或投标人须知前附表规定的其他情形。</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6" w:name="_Toc19031"/>
      <w:r>
        <w:rPr>
          <w:rFonts w:hint="eastAsia" w:ascii="宋体" w:hAnsi="宋体" w:eastAsia="宋体" w:cs="宋体"/>
          <w:sz w:val="24"/>
          <w:szCs w:val="24"/>
        </w:rPr>
        <w:t>1.5费用承担</w:t>
      </w:r>
      <w:bookmarkEnd w:id="16"/>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投标人准备和参加投标活动发生的费用自理。</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7" w:name="_Toc30992"/>
      <w:r>
        <w:rPr>
          <w:rFonts w:hint="eastAsia" w:ascii="宋体" w:hAnsi="宋体" w:eastAsia="宋体" w:cs="宋体"/>
          <w:sz w:val="24"/>
          <w:szCs w:val="24"/>
        </w:rPr>
        <w:t>1.6保密</w:t>
      </w:r>
      <w:bookmarkEnd w:id="17"/>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参与招标投标活动的各方应对招标文件和投标文件中的商业和技术等秘密保密，否则应承担相应的法律责任。</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8" w:name="_Toc3467"/>
      <w:r>
        <w:rPr>
          <w:rFonts w:hint="eastAsia" w:ascii="宋体" w:hAnsi="宋体" w:eastAsia="宋体" w:cs="宋体"/>
          <w:sz w:val="24"/>
          <w:szCs w:val="24"/>
        </w:rPr>
        <w:t>1.7语言文字</w:t>
      </w:r>
      <w:bookmarkEnd w:id="18"/>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招标投标文件使用的语言文字为中文。专用术语使用外文的，应附有中文注释。</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9" w:name="_Toc4247"/>
      <w:r>
        <w:rPr>
          <w:rFonts w:hint="eastAsia" w:ascii="宋体" w:hAnsi="宋体" w:eastAsia="宋体" w:cs="宋体"/>
          <w:sz w:val="24"/>
          <w:szCs w:val="24"/>
        </w:rPr>
        <w:t>1.8计量单位</w:t>
      </w:r>
      <w:bookmarkEnd w:id="19"/>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所有计量均采用中华人民共和国法定计量单位。</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0" w:name="_Toc7847"/>
      <w:r>
        <w:rPr>
          <w:rFonts w:hint="eastAsia" w:ascii="宋体" w:hAnsi="宋体" w:eastAsia="宋体" w:cs="宋体"/>
          <w:sz w:val="24"/>
          <w:szCs w:val="24"/>
        </w:rPr>
        <w:t>1.9投标预备会</w:t>
      </w:r>
      <w:bookmarkEnd w:id="20"/>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1.9.1投标人须知前附表规定召开投标预备会的，招标人按投标人须知前附表规定的时间和地点召开投标预备会，澄清投标人提出的问题。</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1.9.2投标人应按投标人须知前附表规定的时间和形式将提出的问题送达招标人，以便招标人在会议期间澄清。</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1.9.3投标预备会后，招标人将对投标人所提问题的澄清，以投标人须知前附表规定的形式通知所有购买招标文件的投标人。该澄清内容为招标文件的组成部分。</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1" w:name="_Toc25802"/>
      <w:r>
        <w:rPr>
          <w:rFonts w:hint="eastAsia" w:ascii="宋体" w:hAnsi="宋体" w:eastAsia="宋体" w:cs="宋体"/>
          <w:sz w:val="24"/>
          <w:szCs w:val="24"/>
        </w:rPr>
        <w:t>1.10分包</w:t>
      </w:r>
      <w:bookmarkEnd w:id="21"/>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1.10.1投标人拟在中标后将中标项目的非主体设备进行分包的，应符合投标人须知前附表规定的分包内容、分包金额和资质要求等限制性条件，除投标人须知前附表规定的非主体设备外，其他工作不得分包。</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1.10.2中标人不得向他人转让中标项目，接受分包的人不得再次分包。中标人应当就分包项目向招标人负责，接受分包的人就分包项目承担连带责任。</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2" w:name="_Toc24475"/>
      <w:r>
        <w:rPr>
          <w:rFonts w:hint="eastAsia" w:ascii="宋体" w:hAnsi="宋体" w:eastAsia="宋体" w:cs="宋体"/>
          <w:sz w:val="24"/>
          <w:szCs w:val="24"/>
        </w:rPr>
        <w:t>1.11响应和偏差</w:t>
      </w:r>
      <w:bookmarkEnd w:id="22"/>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1.11.1投标文件应当对招标文件的实质性要求和条件作出满足性或更有利于招标人的响应，否则，投标人的投标将被否决。实质性要求和条件见投标人须知前附表。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1.11.2投标人应根据招标文件的要求提供投标设备技术性能指标的详细描述、技术支持资料及技术服务和质保期服务计划等内容以对招标文件作出响应。</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1.11.3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1.11.4投标人须知前附表规定了可以偏差的范围和最高偏差项数的，偏差应当符合投标人须知前附表规定的偏差范围和最高项数，超出偏差范围和最高偏差项数的投标将被否决。</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1.11.5投标文件对招标文件的全部偏差，均应在投标文件的商务和技术偏差表中列明，除列明的内容外，视为投标人响应招标文件的全部要求。</w:t>
      </w:r>
    </w:p>
    <w:p>
      <w:pPr>
        <w:pStyle w:val="6"/>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3" w:name="_Toc27882"/>
      <w:r>
        <w:rPr>
          <w:rFonts w:hint="eastAsia" w:ascii="宋体" w:hAnsi="宋体" w:eastAsia="宋体" w:cs="宋体"/>
          <w:sz w:val="24"/>
          <w:szCs w:val="24"/>
        </w:rPr>
        <w:t>2.招标文件</w:t>
      </w:r>
      <w:bookmarkEnd w:id="23"/>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4" w:name="_Toc23403"/>
      <w:r>
        <w:rPr>
          <w:rFonts w:hint="eastAsia" w:ascii="宋体" w:hAnsi="宋体" w:eastAsia="宋体" w:cs="宋体"/>
          <w:sz w:val="24"/>
          <w:szCs w:val="24"/>
        </w:rPr>
        <w:t>2.1招标文件的组成</w:t>
      </w:r>
      <w:bookmarkEnd w:id="24"/>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本招标文件包括：</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（1）招标公告（或投标邀请书）；</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（2）投标人须知；</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（3）评标办法；</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（4）合同条款及格式；</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（5）供货要求；</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（6）投标文件格式；</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（7）投标人须知前附表规定的其他资料。</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根据本章第1.9款、第2.2款和第2.3款对招标文件所作的澄清、修改，构成招标文件的组成部分。</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5" w:name="_Toc23946"/>
      <w:r>
        <w:rPr>
          <w:rFonts w:hint="eastAsia" w:ascii="宋体" w:hAnsi="宋体" w:eastAsia="宋体" w:cs="宋体"/>
          <w:sz w:val="24"/>
          <w:szCs w:val="24"/>
        </w:rPr>
        <w:t>2.2招标文件的澄清</w:t>
      </w:r>
      <w:bookmarkEnd w:id="25"/>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2.2.2招标文件的澄清以投标人须知前附表规定的形式发给所有购买招标文件的投标人，但不指明澄清问题的来源。澄清发出的时间距本章第4.2.1项规定的投标截止时间不足10日的，并且澄清内容可能影响投标文件编制的，将相应延长投标截止时间。</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2.2.3投标人在收到澄清后，应按投标人须知前附表规定的时间和形式通知招标人，确认已收到该澄清。</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2.2.4除非招标人认为确有必要答复，否则，招标人有权拒绝回复投标人在本章第2.2.1项规定的时间后的任何澄清要求。</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6" w:name="_Toc31609"/>
      <w:r>
        <w:rPr>
          <w:rFonts w:hint="eastAsia" w:ascii="宋体" w:hAnsi="宋体" w:eastAsia="宋体" w:cs="宋体"/>
          <w:sz w:val="24"/>
          <w:szCs w:val="24"/>
        </w:rPr>
        <w:t>2.3招标文件的修改</w:t>
      </w:r>
      <w:bookmarkEnd w:id="26"/>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2.3.2投标人收到修改内容后，应按投标人须知前附表规定的时间和形式通知招标人，确认已收到该修改。</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7" w:name="_Toc19768"/>
      <w:r>
        <w:rPr>
          <w:rFonts w:hint="eastAsia" w:ascii="宋体" w:hAnsi="宋体" w:eastAsia="宋体" w:cs="宋体"/>
          <w:sz w:val="24"/>
          <w:szCs w:val="24"/>
        </w:rPr>
        <w:t>2.4招标文件的异议</w:t>
      </w:r>
      <w:bookmarkEnd w:id="27"/>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投标人或者其他利害关系人对招标文件有异议的，应当在投标截止时间 10 日前以书面形式提出。招标人将在收到异议之日起 3 日内作出答复；作出答复前，将暂停招标投标活动。</w:t>
      </w:r>
    </w:p>
    <w:p>
      <w:pPr>
        <w:pStyle w:val="6"/>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8" w:name="_Toc19459"/>
      <w:r>
        <w:rPr>
          <w:rFonts w:hint="eastAsia" w:ascii="宋体" w:hAnsi="宋体" w:eastAsia="宋体" w:cs="宋体"/>
          <w:sz w:val="24"/>
          <w:szCs w:val="24"/>
        </w:rPr>
        <w:t>3.投标文件</w:t>
      </w:r>
      <w:bookmarkEnd w:id="28"/>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9" w:name="_Toc20351"/>
      <w:r>
        <w:rPr>
          <w:rFonts w:hint="eastAsia" w:ascii="宋体" w:hAnsi="宋体" w:eastAsia="宋体" w:cs="宋体"/>
          <w:sz w:val="24"/>
          <w:szCs w:val="24"/>
        </w:rPr>
        <w:t>3.1投标文件的组成</w:t>
      </w:r>
      <w:bookmarkEnd w:id="29"/>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3.1.1投标文件应包括下列内容：</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（1）投标函；</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（2）法定代表人（单位负责人）身份证明；</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（3）授权委托书；</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（4）投标保证金；</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（5）商务和技术偏差表；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（6）报价表；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（7）资格审查资料；</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（8）投标设备技术性能指标的详细描述；</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（9）技术支持资料；</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（10）技术服务和质保期服务计划；</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（11）投标人须知前附表规定的其他资料。</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投标人在评标过程中作出的符合法律法规和招标文件规定的澄清确认，构成投标文件的组成部分。</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3.1.2投标人须知前附表未要求提交投标保证金的，投标文件不包括本章第3.1.1（5）目所指的投标保证金。</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0" w:name="_Toc29090"/>
      <w:r>
        <w:rPr>
          <w:rFonts w:hint="eastAsia" w:ascii="宋体" w:hAnsi="宋体" w:eastAsia="宋体" w:cs="宋体"/>
          <w:sz w:val="24"/>
          <w:szCs w:val="24"/>
        </w:rPr>
        <w:t>3.2投标报价</w:t>
      </w:r>
      <w:bookmarkEnd w:id="30"/>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3.2.1投标报价应包括国家规定的增值税税金，除投标人须知前附表另有规定外，增值税税金按国家法律及相关规定计算。投标人应按第六章“投标文件格式”的要求在投标函中进行报价并填写分项报价表。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3.2.2投标人应充分了解该项目的总体情况以及影响投标报价的其他要素。</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3.2.3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“分项报价表”中的相应报价。此修改须符合本章第4.3款的有关要求。</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3.2.4招标人设有最高投标限价的，投标人的投标报价不得超过最高投标限价，最高投标限价在投标人须知前附表中载明。</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3.2.5投标报价的其他要求见投标人须知前附表。</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1" w:name="_Toc16611"/>
      <w:r>
        <w:rPr>
          <w:rFonts w:hint="eastAsia" w:ascii="宋体" w:hAnsi="宋体" w:eastAsia="宋体" w:cs="宋体"/>
          <w:sz w:val="24"/>
          <w:szCs w:val="24"/>
        </w:rPr>
        <w:t>3.3投标有效期</w:t>
      </w:r>
      <w:bookmarkEnd w:id="31"/>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3.3.1除投标人须知前附表另有规定外，投标有效期为 90 天。</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3.3.2在投标有效期内，投标人撤销投标文件的，应承担招标文件和法律规定的责任。</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2" w:name="_Toc16343"/>
      <w:r>
        <w:rPr>
          <w:rFonts w:hint="eastAsia" w:ascii="宋体" w:hAnsi="宋体" w:eastAsia="宋体" w:cs="宋体"/>
          <w:sz w:val="24"/>
          <w:szCs w:val="24"/>
        </w:rPr>
        <w:t>3.4投标保证金</w:t>
      </w:r>
      <w:bookmarkEnd w:id="32"/>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3.4.2投标人不按本章第3.4.1项要求提交投标保证金的，评标委员会将否决其投标。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3.4.3招标人最迟将在与中标人签订合同后 5 日内，向未中标的投标人和中标人退还投标保证金。投标保证金以现金或者支票形式递交的，还应退还银行同期存款利息。</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3.4.4有下列情形之一的，投标保证金将不予退还：</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（1）投标人在投标有效期内撤销投标文件；</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（2）中标人在收到中标通知书后，无正当理由不与招标人订立合同，在签订合同时向招标人提出附加条件，或者不按照招标文件要求提交履约保证金；</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（3）发生投标人须知前附表规定的其他可以不予退还投标保证金的情形。</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3" w:name="_Toc5055"/>
      <w:r>
        <w:rPr>
          <w:rFonts w:hint="eastAsia" w:ascii="宋体" w:hAnsi="宋体" w:eastAsia="宋体" w:cs="宋体"/>
          <w:sz w:val="24"/>
          <w:szCs w:val="24"/>
        </w:rPr>
        <w:t>3.5资格审查资料</w:t>
      </w:r>
      <w:bookmarkEnd w:id="33"/>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投标人须知按规定提供资格审查资料，以证明其满足本章第1.4款规定的资格条件等要求。</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4" w:name="_Toc8425"/>
      <w:r>
        <w:rPr>
          <w:rFonts w:hint="eastAsia" w:ascii="宋体" w:hAnsi="宋体" w:eastAsia="宋体" w:cs="宋体"/>
          <w:sz w:val="24"/>
          <w:szCs w:val="24"/>
        </w:rPr>
        <w:t>3.6备选投标方案</w:t>
      </w:r>
      <w:bookmarkEnd w:id="34"/>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3.6.1除投标人须知前附表规定允许外，投标人不得递交备选投标方案，否则其投标将被否决。</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3.6.3投标人提供两个或两个以上投标报价，或者在投标文件中提供一个报价，但同时提供两个或两个以上供货方案的，视为提供备选方案。</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5" w:name="_Toc11577"/>
      <w:r>
        <w:rPr>
          <w:rFonts w:hint="eastAsia" w:ascii="宋体" w:hAnsi="宋体" w:eastAsia="宋体" w:cs="宋体"/>
          <w:sz w:val="24"/>
          <w:szCs w:val="24"/>
        </w:rPr>
        <w:t>3.7投标文件的编制</w:t>
      </w:r>
      <w:bookmarkEnd w:id="35"/>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3.7.1投标文件应按第六章“投标文件格式”进行编写，如有必要，可以增加附页，作为投标文件的组成部分。</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3.7.2投标文件应当对招标文件有关供货期、投标有效期、供货要求、招标范围等实质性内容作出响应。投标文件在满足招标文件实质性要求的基础上，可以提出比招标文件要求更有利于招标人的承诺。</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3.7.3（1）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b/>
          <w:bCs/>
          <w:sz w:val="24"/>
          <w:szCs w:val="24"/>
        </w:rPr>
        <w:t>投标文件正本，副本份数见投标人须知前附表。</w:t>
      </w:r>
      <w:r>
        <w:rPr>
          <w:rFonts w:hint="eastAsia" w:ascii="宋体" w:hAnsi="宋体" w:eastAsia="宋体" w:cs="宋体"/>
          <w:sz w:val="24"/>
          <w:szCs w:val="24"/>
        </w:rPr>
        <w:t>正本和副本的封面右上角上应清楚地标记“正本”或“副本”的字样。投标人应根据投标人须知前附表要求提供电子版文件。当副本和正本不一致或电子版文件和纸质正本文件不一致时，以纸质正本文件为准。</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（3）投标文件的正本与副本应分别装订，并编制目录，投标文件需分册装订的，具体分册装订要求见投标人须知前附表规定。</w:t>
      </w:r>
    </w:p>
    <w:p>
      <w:pPr>
        <w:pStyle w:val="6"/>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6" w:name="_Toc16785"/>
      <w:r>
        <w:rPr>
          <w:rFonts w:hint="eastAsia" w:ascii="宋体" w:hAnsi="宋体" w:eastAsia="宋体" w:cs="宋体"/>
          <w:sz w:val="24"/>
          <w:szCs w:val="24"/>
        </w:rPr>
        <w:t>4.投标</w:t>
      </w:r>
      <w:bookmarkEnd w:id="36"/>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7" w:name="_Toc6817"/>
      <w:r>
        <w:rPr>
          <w:rFonts w:hint="eastAsia" w:ascii="宋体" w:hAnsi="宋体" w:eastAsia="宋体" w:cs="宋体"/>
          <w:sz w:val="24"/>
          <w:szCs w:val="24"/>
        </w:rPr>
        <w:t>4.1投标文件的密封和标记</w:t>
      </w:r>
      <w:bookmarkEnd w:id="37"/>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4.1.1投标文件应密封包装，并在封套的封口处加盖投标人单位章或由投标人的法定代表人（单位负责人）或其授权的代理人签字。</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4.1.2投标文件封套上应写明的内容见投标人须知前附表。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4.1.3未按本章第4.1.1项要求密封的投标文件，招标人将予以拒收。</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8" w:name="_Toc18262"/>
      <w:r>
        <w:rPr>
          <w:rFonts w:hint="eastAsia" w:ascii="宋体" w:hAnsi="宋体" w:eastAsia="宋体" w:cs="宋体"/>
          <w:sz w:val="24"/>
          <w:szCs w:val="24"/>
        </w:rPr>
        <w:t>4.2投标文件的递交</w:t>
      </w:r>
      <w:bookmarkEnd w:id="38"/>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4.2.1投标人应在投标人须知前附表规定的投标截止时间前递交投标文件。</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4.2.2投标人递交投标文件的地点：见投标人须知前附表。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4.2.3除投标人须知前附表另有规定外，投标人所递交的投标文件不予退还。</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4.2.4招标人收到投标文件后，向投标人出具签收凭证。</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4.2.5逾期送达的投标文件，招标人将予以拒收。</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9" w:name="_Toc27382"/>
      <w:r>
        <w:rPr>
          <w:rFonts w:hint="eastAsia" w:ascii="宋体" w:hAnsi="宋体" w:eastAsia="宋体" w:cs="宋体"/>
          <w:sz w:val="24"/>
          <w:szCs w:val="24"/>
        </w:rPr>
        <w:t>4.3投标文件的修改与撤回</w:t>
      </w:r>
      <w:bookmarkEnd w:id="39"/>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4.3.1在本章第4.2.1项规定的投标截止时间前，投标人可以修改或撤回已递交的投标文件，但应以书面形式通知招标人。</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4.3.2投标人修改或撤回已递交投标文件的书面通知应按照本章第 3.7.3项的要求签字或盖章。招标人收到书面通知后，向投标人出具签收凭证。</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4.3.3投标人撤回投标文件的，招标人自收到投标人书面撤回通知之日起5日内退还已收取的投标保证金。</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4.3.4修改的内容为投标文件的组成部分。修改的投标文件应按照本章第3条、第4条的规定进行编制、密封、标记和递交，并标明“修改”字样。</w:t>
      </w:r>
    </w:p>
    <w:p>
      <w:pPr>
        <w:pStyle w:val="6"/>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40" w:name="_Toc20106"/>
      <w:r>
        <w:rPr>
          <w:rFonts w:hint="eastAsia" w:ascii="宋体" w:hAnsi="宋体" w:eastAsia="宋体" w:cs="宋体"/>
          <w:sz w:val="24"/>
          <w:szCs w:val="24"/>
        </w:rPr>
        <w:t>5.开标</w:t>
      </w:r>
      <w:bookmarkEnd w:id="40"/>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41" w:name="_Toc5479"/>
      <w:r>
        <w:rPr>
          <w:rFonts w:hint="eastAsia" w:ascii="宋体" w:hAnsi="宋体" w:eastAsia="宋体" w:cs="宋体"/>
          <w:sz w:val="24"/>
          <w:szCs w:val="24"/>
        </w:rPr>
        <w:t>5.1开标时间和地点</w:t>
      </w:r>
      <w:bookmarkEnd w:id="41"/>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招标人在本章第4.2.1项规定的投标截止时间（开标时间）和投标人须知前附表规定的地点公开开标，并邀请所有投标人的法定代表人（单位负责人）或其委托代理人准时参加。</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42" w:name="_Toc5428"/>
      <w:r>
        <w:rPr>
          <w:rFonts w:hint="eastAsia" w:ascii="宋体" w:hAnsi="宋体" w:eastAsia="宋体" w:cs="宋体"/>
          <w:sz w:val="24"/>
          <w:szCs w:val="24"/>
        </w:rPr>
        <w:t>5.2开标程序</w:t>
      </w:r>
      <w:bookmarkEnd w:id="42"/>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主持人按下列程序进行开标：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（1）宣布开标纪律；</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（2）公布在投标截止时间前递交投标文件的投标人名称；</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（3）宣布开标人、唱标人、记录人、监标人等有关人员姓名；</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（4）检查投标文件的密封情况，按照投标人须知前附表规定的开标顺序当众开标，公布招标项目名称、投标人名称、投标保证金的递交情况、投标报价、交货期、交货地点及其他内容，并记录在案；</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（5）投标人代表、招标人代表、监标人、记录人等有关人员在开标记录上签字确认；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（6）开标结束。</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43" w:name="_Toc23818"/>
      <w:r>
        <w:rPr>
          <w:rFonts w:hint="eastAsia" w:ascii="宋体" w:hAnsi="宋体" w:eastAsia="宋体" w:cs="宋体"/>
          <w:sz w:val="24"/>
          <w:szCs w:val="24"/>
        </w:rPr>
        <w:t>5.3开标异议</w:t>
      </w:r>
      <w:bookmarkEnd w:id="43"/>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投标人对开标有异议的，应当在开标现场提出，招标人当场作出答复，并制作记录。</w:t>
      </w:r>
    </w:p>
    <w:p>
      <w:pPr>
        <w:pStyle w:val="6"/>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44" w:name="_Toc8833"/>
      <w:r>
        <w:rPr>
          <w:rFonts w:hint="eastAsia" w:ascii="宋体" w:hAnsi="宋体" w:eastAsia="宋体" w:cs="宋体"/>
          <w:sz w:val="24"/>
          <w:szCs w:val="24"/>
        </w:rPr>
        <w:t>6.评标</w:t>
      </w:r>
      <w:bookmarkEnd w:id="44"/>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45" w:name="_Toc25377"/>
      <w:r>
        <w:rPr>
          <w:rFonts w:hint="eastAsia" w:ascii="宋体" w:hAnsi="宋体" w:eastAsia="宋体" w:cs="宋体"/>
          <w:sz w:val="24"/>
          <w:szCs w:val="24"/>
        </w:rPr>
        <w:t>6.1评标委员会</w:t>
      </w:r>
      <w:bookmarkEnd w:id="45"/>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6.1.1评标由招标人依法组建的评标委员会负责。评标委员会由招标人代表1人，以及有关技术、经济等方面的4位外部专家一共5人组成。评标委员会成员人数以及技术、经济等方面专家的确定方式见投标人须知前附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6.1.2评标委员会成员有下列情形之一的，应当回避：</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（1）投标人或投标人主要负责人的近亲属；</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（2）项目主管部门或者行政监督部门的人员；</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（3）与投标人有经济利益关系，可能影响对投标公正评审的；</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（4）曾因在招标、评标以及其他与招标投标有关活动中从事违法行为而受过行政处罚或刑事处罚的；</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（5）与投标人有其他利害关系。</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6.1.3评标过程中，评标委员会成员有回避事由、擅离职守或者因健康等原因不能继续评标的，招标人有权更换。被更换的评标委员会成员作出的评审结论无效，由更换后的评标委员会成员重新进行评审。</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46" w:name="_Toc30310"/>
      <w:r>
        <w:rPr>
          <w:rFonts w:hint="eastAsia" w:ascii="宋体" w:hAnsi="宋体" w:eastAsia="宋体" w:cs="宋体"/>
          <w:sz w:val="24"/>
          <w:szCs w:val="24"/>
        </w:rPr>
        <w:t>6.2评标原则</w:t>
      </w:r>
      <w:bookmarkEnd w:id="46"/>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评标活动遵循公平、公正、科学和择优的原则。</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47" w:name="_Toc25757"/>
      <w:r>
        <w:rPr>
          <w:rFonts w:hint="eastAsia" w:ascii="宋体" w:hAnsi="宋体" w:eastAsia="宋体" w:cs="宋体"/>
          <w:sz w:val="24"/>
          <w:szCs w:val="24"/>
        </w:rPr>
        <w:t>6.3评标</w:t>
      </w:r>
      <w:bookmarkEnd w:id="47"/>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6.3.1评标委员会按照第三章“评标办法”规定的方法、评审因素、标准和程序对投标文件进行评审。第三章“评标办法”没有规定的方法、评审因素和标准，不作为评标依据。</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6.3.2评标完成后，评标委员会应当向招标人提交书面评标报告和中标候选人名单。评标委员会推荐中标候选人的人数见投标人须知前附表。</w:t>
      </w:r>
    </w:p>
    <w:p>
      <w:pPr>
        <w:pStyle w:val="6"/>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48" w:name="_Toc27539"/>
      <w:r>
        <w:rPr>
          <w:rFonts w:hint="eastAsia" w:ascii="宋体" w:hAnsi="宋体" w:eastAsia="宋体" w:cs="宋体"/>
          <w:sz w:val="24"/>
          <w:szCs w:val="24"/>
        </w:rPr>
        <w:t>7.合同授予</w:t>
      </w:r>
      <w:bookmarkEnd w:id="48"/>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49" w:name="_Toc17614"/>
      <w:r>
        <w:rPr>
          <w:rFonts w:hint="eastAsia" w:ascii="宋体" w:hAnsi="宋体" w:eastAsia="宋体" w:cs="宋体"/>
          <w:sz w:val="24"/>
          <w:szCs w:val="24"/>
        </w:rPr>
        <w:t>7.1中标候选人公示</w:t>
      </w:r>
      <w:bookmarkEnd w:id="49"/>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招标人在收到评标报告之日起 3 日内，按照投标人须知前附表规定的公示媒介和期限公示中标候选人，公示期不得少于 3 天。</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50" w:name="_Toc1530"/>
      <w:r>
        <w:rPr>
          <w:rFonts w:hint="eastAsia" w:ascii="宋体" w:hAnsi="宋体" w:eastAsia="宋体" w:cs="宋体"/>
          <w:sz w:val="24"/>
          <w:szCs w:val="24"/>
        </w:rPr>
        <w:t>7.2评标结果异议</w:t>
      </w:r>
      <w:bookmarkEnd w:id="50"/>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投标人或者其他利害关系人对评标结果有异议的，应当在中标候选人公示期间提出。招标人将在收到异议之日起 3 日内作出答复；作出答复前，将暂停招标投标活动。</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51" w:name="_Toc22097"/>
      <w:r>
        <w:rPr>
          <w:rFonts w:hint="eastAsia" w:ascii="宋体" w:hAnsi="宋体" w:eastAsia="宋体" w:cs="宋体"/>
          <w:sz w:val="24"/>
          <w:szCs w:val="24"/>
        </w:rPr>
        <w:t>7.3中标候选人履约能力审查</w:t>
      </w:r>
      <w:bookmarkEnd w:id="51"/>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中标候选人的经营、财务状况发生较大变化或存在违法行为，招标人认为可能影响其履约能力的，将在发出中标通知书前提请原评标委员会按照招标文件规定的标准和方法进行审查确认。</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52" w:name="_Toc31335"/>
      <w:r>
        <w:rPr>
          <w:rFonts w:hint="eastAsia" w:ascii="宋体" w:hAnsi="宋体" w:eastAsia="宋体" w:cs="宋体"/>
          <w:sz w:val="24"/>
          <w:szCs w:val="24"/>
        </w:rPr>
        <w:t>7.4定标</w:t>
      </w:r>
      <w:bookmarkEnd w:id="52"/>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按照投标人须知前附表的规定，招标人或招标人授权的评标委员会依法确定中标人。</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53" w:name="_Toc7363"/>
      <w:r>
        <w:rPr>
          <w:rFonts w:hint="eastAsia" w:ascii="宋体" w:hAnsi="宋体" w:eastAsia="宋体" w:cs="宋体"/>
          <w:sz w:val="24"/>
          <w:szCs w:val="24"/>
        </w:rPr>
        <w:t>7.5中标通知</w:t>
      </w:r>
      <w:bookmarkEnd w:id="53"/>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在本章第3.3款规定的投标有效期内，招标人以书面形式向中标人发出中标通知书，同时将中标结果通知未中标的投标人。</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54" w:name="_Toc24577"/>
      <w:r>
        <w:rPr>
          <w:rFonts w:hint="eastAsia" w:ascii="宋体" w:hAnsi="宋体" w:eastAsia="宋体" w:cs="宋体"/>
          <w:sz w:val="24"/>
          <w:szCs w:val="24"/>
        </w:rPr>
        <w:t>7.6履约保证金</w:t>
      </w:r>
      <w:bookmarkEnd w:id="54"/>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55" w:name="_Toc21703"/>
      <w:r>
        <w:rPr>
          <w:rFonts w:hint="eastAsia" w:ascii="宋体" w:hAnsi="宋体" w:cs="宋体"/>
          <w:sz w:val="24"/>
          <w:szCs w:val="24"/>
          <w:lang w:eastAsia="zh-CN"/>
        </w:rPr>
        <w:t>本项目</w:t>
      </w:r>
      <w:r>
        <w:rPr>
          <w:rFonts w:hint="eastAsia" w:ascii="宋体" w:hAnsi="宋体" w:cs="宋体"/>
          <w:b/>
          <w:bCs/>
          <w:color w:val="FF0000"/>
          <w:sz w:val="24"/>
          <w:szCs w:val="24"/>
          <w:u w:val="single"/>
          <w:lang w:eastAsia="zh-CN"/>
        </w:rPr>
        <w:t>无需</w:t>
      </w:r>
      <w:r>
        <w:rPr>
          <w:rFonts w:hint="eastAsia" w:ascii="宋体" w:hAnsi="宋体" w:eastAsia="宋体" w:cs="宋体"/>
          <w:sz w:val="24"/>
          <w:szCs w:val="24"/>
        </w:rPr>
        <w:t>提交履约保证金。</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7.7签订合同</w:t>
      </w:r>
      <w:bookmarkEnd w:id="55"/>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7.7.1招标人和中标人应当在中标通知书发出之日起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7.7.2发出中标通知书后，招标人无正当理由拒签合同，或者在签订合同时向中标人提出附加条件的，招标人向中标人退还投标保证金；给中标人造成损失的，还应当赔偿损失。</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7.7.3联合体中标的，联合体各方应当共同与招标人签订合同，就中标项目向招标人承担连带责任。</w:t>
      </w:r>
    </w:p>
    <w:p>
      <w:pPr>
        <w:pStyle w:val="6"/>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56" w:name="_Toc17066"/>
      <w:r>
        <w:rPr>
          <w:rFonts w:hint="eastAsia" w:ascii="宋体" w:hAnsi="宋体" w:eastAsia="宋体" w:cs="宋体"/>
          <w:sz w:val="24"/>
          <w:szCs w:val="24"/>
        </w:rPr>
        <w:t>8.纪律和监督</w:t>
      </w:r>
      <w:bookmarkEnd w:id="56"/>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57" w:name="_Toc15697"/>
      <w:r>
        <w:rPr>
          <w:rFonts w:hint="eastAsia" w:ascii="宋体" w:hAnsi="宋体" w:eastAsia="宋体" w:cs="宋体"/>
          <w:sz w:val="24"/>
          <w:szCs w:val="24"/>
        </w:rPr>
        <w:t>8.1对招标人的纪律要求</w:t>
      </w:r>
      <w:bookmarkEnd w:id="57"/>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招标人不得泄露招标投标活动中应当保密的情况和资料，不得与投标人串通损害国家利益、社会公共利益或者他人合法权益。</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58" w:name="_Toc17821"/>
      <w:r>
        <w:rPr>
          <w:rFonts w:hint="eastAsia" w:ascii="宋体" w:hAnsi="宋体" w:eastAsia="宋体" w:cs="宋体"/>
          <w:sz w:val="24"/>
          <w:szCs w:val="24"/>
        </w:rPr>
        <w:t>8.2对投标人的纪律要求</w:t>
      </w:r>
      <w:bookmarkEnd w:id="58"/>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59" w:name="_Toc13412"/>
      <w:r>
        <w:rPr>
          <w:rFonts w:hint="eastAsia" w:ascii="宋体" w:hAnsi="宋体" w:eastAsia="宋体" w:cs="宋体"/>
          <w:sz w:val="24"/>
          <w:szCs w:val="24"/>
        </w:rPr>
        <w:t>8.3对评标委员会成员的纪律要求</w:t>
      </w:r>
      <w:bookmarkEnd w:id="59"/>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60" w:name="_Toc16315"/>
      <w:r>
        <w:rPr>
          <w:rFonts w:hint="eastAsia" w:ascii="宋体" w:hAnsi="宋体" w:eastAsia="宋体" w:cs="宋体"/>
          <w:sz w:val="24"/>
          <w:szCs w:val="24"/>
        </w:rPr>
        <w:t>8.4对与评标活动有关的工作人员的纪律要求</w:t>
      </w:r>
      <w:bookmarkEnd w:id="60"/>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61" w:name="_Toc2722"/>
      <w:r>
        <w:rPr>
          <w:rFonts w:hint="eastAsia" w:ascii="宋体" w:hAnsi="宋体" w:eastAsia="宋体" w:cs="宋体"/>
          <w:sz w:val="24"/>
          <w:szCs w:val="24"/>
        </w:rPr>
        <w:t>8.5投诉</w:t>
      </w:r>
      <w:bookmarkEnd w:id="61"/>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8.5.1投标人或者其他利害关系人认为招标投标活动不符合法律、行政法规规定的，可以自知道或者应当知道之日起10日内向有关行政监督部门投诉。投诉应当有明确的请求和必要的证明材料。</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8.5.2投标人或者其他利害关系人对招标文件、开标和评标结果提出投诉的，应当按照投标人须知第2.4款、第5.3款和第7.2款的规定先向招标人提出异议。异议答复期间不计算在第8.5.1项规定的期限内。</w:t>
      </w:r>
    </w:p>
    <w:p>
      <w:pPr>
        <w:pStyle w:val="6"/>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62" w:name="_Toc18267"/>
      <w:r>
        <w:rPr>
          <w:rFonts w:hint="eastAsia" w:ascii="宋体" w:hAnsi="宋体" w:eastAsia="宋体" w:cs="宋体"/>
          <w:sz w:val="24"/>
          <w:szCs w:val="24"/>
        </w:rPr>
        <w:t>9.是否采用电子招标投标</w:t>
      </w:r>
      <w:bookmarkEnd w:id="62"/>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本招标项目是否采用电子招标投标方式，见投标人须知前附表。</w:t>
      </w:r>
    </w:p>
    <w:p>
      <w:pPr>
        <w:pStyle w:val="6"/>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bookmarkStart w:id="63" w:name="_Toc19541"/>
      <w:r>
        <w:rPr>
          <w:rFonts w:hint="eastAsia" w:ascii="宋体" w:hAnsi="宋体" w:eastAsia="宋体" w:cs="宋体"/>
          <w:sz w:val="24"/>
          <w:szCs w:val="24"/>
        </w:rPr>
        <w:t>10.需要补充的其他内容</w:t>
      </w:r>
      <w:bookmarkEnd w:id="63"/>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需要补充的其他内容：见投标人须知前附表。</w:t>
      </w:r>
    </w:p>
    <w:p>
      <w:r>
        <w:br w:type="page"/>
      </w:r>
    </w:p>
    <w:p>
      <w:pPr>
        <w:pStyle w:val="4"/>
      </w:pPr>
      <w:bookmarkStart w:id="64" w:name="_Toc30766"/>
      <w:r>
        <w:rPr>
          <w:rFonts w:hint="eastAsia"/>
        </w:rPr>
        <w:t>第三章评标办法（综合评估法）</w:t>
      </w:r>
      <w:bookmarkEnd w:id="64"/>
    </w:p>
    <w:p>
      <w:pPr>
        <w:pStyle w:val="5"/>
      </w:pPr>
      <w:bookmarkStart w:id="65" w:name="_Toc21149"/>
      <w:r>
        <w:rPr>
          <w:rFonts w:hint="eastAsia"/>
        </w:rPr>
        <w:t>评标办法前附表</w:t>
      </w:r>
      <w:bookmarkEnd w:id="65"/>
    </w:p>
    <w:tbl>
      <w:tblPr>
        <w:tblStyle w:val="29"/>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693"/>
        <w:gridCol w:w="1443"/>
        <w:gridCol w:w="6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gridSpan w:val="2"/>
            <w:vAlign w:val="center"/>
          </w:tcPr>
          <w:p>
            <w:pPr>
              <w:ind w:firstLine="0" w:firstLineChars="0"/>
              <w:jc w:val="center"/>
              <w:rPr>
                <w:b/>
                <w:sz w:val="24"/>
                <w:szCs w:val="24"/>
              </w:rPr>
            </w:pPr>
            <w:r>
              <w:rPr>
                <w:rFonts w:hint="eastAsia"/>
                <w:b/>
                <w:sz w:val="24"/>
                <w:szCs w:val="24"/>
              </w:rPr>
              <w:t>条款号</w:t>
            </w:r>
          </w:p>
        </w:tc>
        <w:tc>
          <w:tcPr>
            <w:tcW w:w="1443" w:type="dxa"/>
            <w:vAlign w:val="center"/>
          </w:tcPr>
          <w:p>
            <w:pPr>
              <w:ind w:firstLine="0" w:firstLineChars="0"/>
              <w:jc w:val="center"/>
              <w:rPr>
                <w:b/>
                <w:sz w:val="24"/>
                <w:szCs w:val="24"/>
              </w:rPr>
            </w:pPr>
            <w:r>
              <w:rPr>
                <w:rFonts w:hint="eastAsia"/>
                <w:b/>
                <w:sz w:val="24"/>
                <w:szCs w:val="24"/>
              </w:rPr>
              <w:t>条款内容</w:t>
            </w:r>
          </w:p>
        </w:tc>
        <w:tc>
          <w:tcPr>
            <w:tcW w:w="6160" w:type="dxa"/>
            <w:vAlign w:val="center"/>
          </w:tcPr>
          <w:p>
            <w:pPr>
              <w:ind w:firstLine="0" w:firstLineChars="0"/>
              <w:jc w:val="center"/>
              <w:rPr>
                <w:b/>
                <w:sz w:val="24"/>
                <w:szCs w:val="24"/>
              </w:rPr>
            </w:pPr>
            <w:r>
              <w:rPr>
                <w:rFonts w:hint="eastAsia"/>
                <w:b/>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Align w:val="center"/>
          </w:tcPr>
          <w:p>
            <w:pPr>
              <w:ind w:firstLine="0" w:firstLineChars="0"/>
              <w:jc w:val="center"/>
              <w:rPr>
                <w:sz w:val="24"/>
                <w:szCs w:val="24"/>
              </w:rPr>
            </w:pPr>
            <w:r>
              <w:rPr>
                <w:rFonts w:hint="eastAsia"/>
                <w:sz w:val="24"/>
                <w:szCs w:val="24"/>
              </w:rPr>
              <w:t>1</w:t>
            </w:r>
          </w:p>
        </w:tc>
        <w:tc>
          <w:tcPr>
            <w:tcW w:w="693" w:type="dxa"/>
            <w:vAlign w:val="center"/>
          </w:tcPr>
          <w:p>
            <w:pPr>
              <w:ind w:firstLine="0" w:firstLineChars="0"/>
              <w:jc w:val="center"/>
              <w:rPr>
                <w:sz w:val="24"/>
                <w:szCs w:val="24"/>
              </w:rPr>
            </w:pPr>
            <w:r>
              <w:rPr>
                <w:rFonts w:hint="eastAsia"/>
                <w:sz w:val="24"/>
                <w:szCs w:val="24"/>
              </w:rPr>
              <w:t>评标方法</w:t>
            </w:r>
          </w:p>
        </w:tc>
        <w:tc>
          <w:tcPr>
            <w:tcW w:w="1443" w:type="dxa"/>
            <w:vAlign w:val="center"/>
          </w:tcPr>
          <w:p>
            <w:pPr>
              <w:ind w:firstLine="0" w:firstLineChars="0"/>
              <w:jc w:val="center"/>
              <w:rPr>
                <w:sz w:val="24"/>
                <w:szCs w:val="24"/>
              </w:rPr>
            </w:pPr>
            <w:r>
              <w:rPr>
                <w:rFonts w:hint="eastAsia"/>
                <w:sz w:val="24"/>
                <w:szCs w:val="24"/>
              </w:rPr>
              <w:t>中标候选人排序方法</w:t>
            </w:r>
          </w:p>
        </w:tc>
        <w:tc>
          <w:tcPr>
            <w:tcW w:w="6160" w:type="dxa"/>
            <w:vAlign w:val="center"/>
          </w:tcPr>
          <w:p>
            <w:pPr>
              <w:ind w:firstLine="0" w:firstLineChars="0"/>
              <w:jc w:val="left"/>
              <w:rPr>
                <w:sz w:val="24"/>
                <w:szCs w:val="24"/>
              </w:rPr>
            </w:pPr>
            <w:r>
              <w:rPr>
                <w:rFonts w:hint="eastAsia"/>
                <w:sz w:val="24"/>
                <w:szCs w:val="24"/>
              </w:rPr>
              <w:t>本次评标采用综合评估法。评标委员会对满足招标文件实质性要求的投标文件，按照本章 第2.2款规定的评分标准进行打分，并按得分由高到低顺序推荐中标候选人，或根据招标人授权直接确定中标人，但投标报价低于其成本的除外。综合评分相等时，以投标报价低的优先； 投标报价也相等的，以技术得分高的优先；如果技术得分也相等，确定中标候选人顺序的方法为：</w:t>
            </w:r>
            <w:r>
              <w:rPr>
                <w:rFonts w:hint="eastAsia"/>
                <w:sz w:val="24"/>
                <w:szCs w:val="24"/>
                <w:u w:val="single"/>
              </w:rPr>
              <w:t>（3）</w:t>
            </w:r>
          </w:p>
          <w:p>
            <w:pPr>
              <w:ind w:firstLine="0" w:firstLineChars="0"/>
              <w:jc w:val="left"/>
              <w:rPr>
                <w:sz w:val="24"/>
                <w:szCs w:val="24"/>
              </w:rPr>
            </w:pPr>
            <w:r>
              <w:rPr>
                <w:rFonts w:hint="eastAsia"/>
                <w:sz w:val="24"/>
                <w:szCs w:val="24"/>
              </w:rPr>
              <w:t>（1）随机确定</w:t>
            </w:r>
          </w:p>
          <w:p>
            <w:pPr>
              <w:ind w:firstLine="0" w:firstLineChars="0"/>
              <w:jc w:val="left"/>
              <w:rPr>
                <w:sz w:val="24"/>
                <w:szCs w:val="24"/>
              </w:rPr>
            </w:pPr>
            <w:r>
              <w:rPr>
                <w:rFonts w:hint="eastAsia"/>
                <w:sz w:val="24"/>
                <w:szCs w:val="24"/>
              </w:rPr>
              <w:t>（2）上一年度主营业务收入高的优先</w:t>
            </w:r>
          </w:p>
          <w:p>
            <w:pPr>
              <w:ind w:firstLine="0" w:firstLineChars="0"/>
              <w:jc w:val="left"/>
              <w:rPr>
                <w:sz w:val="24"/>
                <w:szCs w:val="24"/>
              </w:rPr>
            </w:pPr>
            <w:r>
              <w:rPr>
                <w:rFonts w:hint="eastAsia"/>
                <w:sz w:val="24"/>
                <w:szCs w:val="24"/>
              </w:rPr>
              <w:t>（3）招标人确定</w:t>
            </w:r>
          </w:p>
          <w:p>
            <w:pPr>
              <w:ind w:firstLine="0" w:firstLineChars="0"/>
              <w:jc w:val="left"/>
              <w:rPr>
                <w:sz w:val="24"/>
                <w:szCs w:val="24"/>
              </w:rPr>
            </w:pPr>
            <w:r>
              <w:rPr>
                <w:rFonts w:hint="eastAsia"/>
                <w:sz w:val="24"/>
                <w:szCs w:val="24"/>
              </w:rPr>
              <w:t>（4）其他方法：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gridSpan w:val="2"/>
            <w:vAlign w:val="center"/>
          </w:tcPr>
          <w:p>
            <w:pPr>
              <w:ind w:firstLine="0" w:firstLineChars="0"/>
              <w:jc w:val="center"/>
              <w:rPr>
                <w:b/>
                <w:sz w:val="24"/>
                <w:szCs w:val="24"/>
              </w:rPr>
            </w:pPr>
            <w:r>
              <w:rPr>
                <w:rFonts w:hint="eastAsia"/>
                <w:b/>
                <w:sz w:val="24"/>
                <w:szCs w:val="24"/>
              </w:rPr>
              <w:t>条款号</w:t>
            </w:r>
          </w:p>
        </w:tc>
        <w:tc>
          <w:tcPr>
            <w:tcW w:w="1443" w:type="dxa"/>
            <w:vAlign w:val="center"/>
          </w:tcPr>
          <w:p>
            <w:pPr>
              <w:ind w:firstLine="0" w:firstLineChars="0"/>
              <w:jc w:val="center"/>
              <w:rPr>
                <w:b/>
                <w:sz w:val="24"/>
                <w:szCs w:val="24"/>
              </w:rPr>
            </w:pPr>
            <w:r>
              <w:rPr>
                <w:rFonts w:hint="eastAsia"/>
                <w:b/>
                <w:sz w:val="24"/>
                <w:szCs w:val="24"/>
              </w:rPr>
              <w:t>评审因素</w:t>
            </w:r>
          </w:p>
        </w:tc>
        <w:tc>
          <w:tcPr>
            <w:tcW w:w="6160" w:type="dxa"/>
            <w:vAlign w:val="center"/>
          </w:tcPr>
          <w:p>
            <w:pPr>
              <w:ind w:firstLine="0" w:firstLineChars="0"/>
              <w:jc w:val="center"/>
              <w:rPr>
                <w:b/>
                <w:sz w:val="24"/>
                <w:szCs w:val="24"/>
              </w:rPr>
            </w:pPr>
            <w:r>
              <w:rPr>
                <w:rFonts w:hint="eastAsia"/>
                <w:b/>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restart"/>
            <w:vAlign w:val="center"/>
          </w:tcPr>
          <w:p>
            <w:pPr>
              <w:ind w:firstLine="0" w:firstLineChars="0"/>
              <w:jc w:val="center"/>
              <w:rPr>
                <w:sz w:val="24"/>
                <w:szCs w:val="24"/>
              </w:rPr>
            </w:pPr>
            <w:r>
              <w:rPr>
                <w:sz w:val="24"/>
                <w:szCs w:val="24"/>
              </w:rPr>
              <w:t>2.1.1</w:t>
            </w:r>
          </w:p>
        </w:tc>
        <w:tc>
          <w:tcPr>
            <w:tcW w:w="693" w:type="dxa"/>
            <w:vMerge w:val="restart"/>
            <w:vAlign w:val="center"/>
          </w:tcPr>
          <w:p>
            <w:pPr>
              <w:ind w:firstLine="0" w:firstLineChars="0"/>
              <w:jc w:val="center"/>
              <w:rPr>
                <w:sz w:val="24"/>
                <w:szCs w:val="24"/>
              </w:rPr>
            </w:pPr>
            <w:r>
              <w:rPr>
                <w:rFonts w:hint="eastAsia"/>
                <w:sz w:val="24"/>
                <w:szCs w:val="24"/>
              </w:rPr>
              <w:t>形式评审标准</w:t>
            </w:r>
          </w:p>
        </w:tc>
        <w:tc>
          <w:tcPr>
            <w:tcW w:w="1443" w:type="dxa"/>
            <w:vAlign w:val="center"/>
          </w:tcPr>
          <w:p>
            <w:pPr>
              <w:ind w:firstLine="0" w:firstLineChars="0"/>
              <w:jc w:val="center"/>
              <w:rPr>
                <w:sz w:val="24"/>
                <w:szCs w:val="24"/>
              </w:rPr>
            </w:pPr>
            <w:r>
              <w:rPr>
                <w:rFonts w:hint="eastAsia"/>
                <w:sz w:val="24"/>
                <w:szCs w:val="24"/>
              </w:rPr>
              <w:t>投标人名称</w:t>
            </w:r>
          </w:p>
        </w:tc>
        <w:tc>
          <w:tcPr>
            <w:tcW w:w="6160" w:type="dxa"/>
            <w:vAlign w:val="center"/>
          </w:tcPr>
          <w:p>
            <w:pPr>
              <w:ind w:firstLine="0" w:firstLineChars="0"/>
              <w:jc w:val="left"/>
              <w:rPr>
                <w:sz w:val="24"/>
                <w:szCs w:val="24"/>
              </w:rPr>
            </w:pPr>
            <w:r>
              <w:rPr>
                <w:rFonts w:hint="eastAsia"/>
                <w:sz w:val="24"/>
                <w:szCs w:val="24"/>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ind w:firstLine="0" w:firstLineChars="0"/>
              <w:jc w:val="center"/>
              <w:rPr>
                <w:sz w:val="24"/>
                <w:szCs w:val="24"/>
              </w:rPr>
            </w:pPr>
          </w:p>
        </w:tc>
        <w:tc>
          <w:tcPr>
            <w:tcW w:w="693" w:type="dxa"/>
            <w:vMerge w:val="continue"/>
            <w:vAlign w:val="center"/>
          </w:tcPr>
          <w:p>
            <w:pPr>
              <w:ind w:firstLine="0" w:firstLineChars="0"/>
              <w:jc w:val="center"/>
              <w:rPr>
                <w:sz w:val="24"/>
                <w:szCs w:val="24"/>
              </w:rPr>
            </w:pPr>
          </w:p>
        </w:tc>
        <w:tc>
          <w:tcPr>
            <w:tcW w:w="1443" w:type="dxa"/>
            <w:vAlign w:val="center"/>
          </w:tcPr>
          <w:p>
            <w:pPr>
              <w:ind w:firstLine="0" w:firstLineChars="0"/>
              <w:jc w:val="center"/>
              <w:rPr>
                <w:sz w:val="24"/>
                <w:szCs w:val="24"/>
              </w:rPr>
            </w:pPr>
            <w:r>
              <w:rPr>
                <w:rFonts w:hint="eastAsia"/>
                <w:sz w:val="24"/>
                <w:szCs w:val="24"/>
              </w:rPr>
              <w:t>投标函签字盖章</w:t>
            </w:r>
          </w:p>
        </w:tc>
        <w:tc>
          <w:tcPr>
            <w:tcW w:w="6160" w:type="dxa"/>
            <w:vAlign w:val="center"/>
          </w:tcPr>
          <w:p>
            <w:pPr>
              <w:ind w:firstLine="0" w:firstLineChars="0"/>
              <w:jc w:val="left"/>
              <w:rPr>
                <w:sz w:val="24"/>
                <w:szCs w:val="24"/>
              </w:rPr>
            </w:pPr>
            <w:r>
              <w:rPr>
                <w:rFonts w:hint="eastAsia"/>
                <w:sz w:val="24"/>
                <w:szCs w:val="24"/>
              </w:rPr>
              <w:t>有法定代表人（单位负责人）或其委托代理人签 字或加盖单位章。由法定代表人（单位负责人）签字的，应附法定代表人（单位负责人）身份证明，由代理人签字的，应附授权委托书，身份证明或授权委托书应符合第六章“投标文件格式”的规定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ind w:firstLine="0" w:firstLineChars="0"/>
              <w:jc w:val="center"/>
              <w:rPr>
                <w:sz w:val="24"/>
                <w:szCs w:val="24"/>
              </w:rPr>
            </w:pPr>
          </w:p>
        </w:tc>
        <w:tc>
          <w:tcPr>
            <w:tcW w:w="693" w:type="dxa"/>
            <w:vMerge w:val="continue"/>
            <w:vAlign w:val="center"/>
          </w:tcPr>
          <w:p>
            <w:pPr>
              <w:ind w:firstLine="0" w:firstLineChars="0"/>
              <w:jc w:val="center"/>
              <w:rPr>
                <w:sz w:val="24"/>
                <w:szCs w:val="24"/>
              </w:rPr>
            </w:pPr>
          </w:p>
        </w:tc>
        <w:tc>
          <w:tcPr>
            <w:tcW w:w="1443" w:type="dxa"/>
            <w:vAlign w:val="center"/>
          </w:tcPr>
          <w:p>
            <w:pPr>
              <w:ind w:firstLine="0" w:firstLineChars="0"/>
              <w:jc w:val="center"/>
              <w:rPr>
                <w:sz w:val="24"/>
                <w:szCs w:val="24"/>
              </w:rPr>
            </w:pPr>
            <w:r>
              <w:rPr>
                <w:rFonts w:hint="eastAsia"/>
                <w:sz w:val="24"/>
                <w:szCs w:val="24"/>
              </w:rPr>
              <w:t>投标文件格式</w:t>
            </w:r>
          </w:p>
        </w:tc>
        <w:tc>
          <w:tcPr>
            <w:tcW w:w="6160" w:type="dxa"/>
            <w:vAlign w:val="center"/>
          </w:tcPr>
          <w:p>
            <w:pPr>
              <w:ind w:firstLine="0" w:firstLineChars="0"/>
              <w:jc w:val="left"/>
              <w:rPr>
                <w:sz w:val="24"/>
                <w:szCs w:val="24"/>
              </w:rPr>
            </w:pPr>
            <w:r>
              <w:rPr>
                <w:rFonts w:hint="eastAsia"/>
                <w:sz w:val="24"/>
                <w:szCs w:val="24"/>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43" w:type="dxa"/>
            <w:vMerge w:val="continue"/>
            <w:vAlign w:val="center"/>
          </w:tcPr>
          <w:p>
            <w:pPr>
              <w:ind w:firstLine="0" w:firstLineChars="0"/>
              <w:jc w:val="center"/>
              <w:rPr>
                <w:sz w:val="24"/>
                <w:szCs w:val="24"/>
              </w:rPr>
            </w:pPr>
          </w:p>
        </w:tc>
        <w:tc>
          <w:tcPr>
            <w:tcW w:w="693" w:type="dxa"/>
            <w:vMerge w:val="continue"/>
            <w:vAlign w:val="center"/>
          </w:tcPr>
          <w:p>
            <w:pPr>
              <w:ind w:firstLine="0" w:firstLineChars="0"/>
              <w:jc w:val="center"/>
              <w:rPr>
                <w:sz w:val="24"/>
                <w:szCs w:val="24"/>
              </w:rPr>
            </w:pPr>
          </w:p>
        </w:tc>
        <w:tc>
          <w:tcPr>
            <w:tcW w:w="1443" w:type="dxa"/>
            <w:vAlign w:val="center"/>
          </w:tcPr>
          <w:p>
            <w:pPr>
              <w:ind w:firstLine="0" w:firstLineChars="0"/>
              <w:jc w:val="center"/>
              <w:rPr>
                <w:sz w:val="24"/>
                <w:szCs w:val="24"/>
              </w:rPr>
            </w:pPr>
            <w:r>
              <w:rPr>
                <w:rFonts w:hint="eastAsia"/>
                <w:sz w:val="24"/>
                <w:szCs w:val="24"/>
              </w:rPr>
              <w:t>备选投标方案</w:t>
            </w:r>
          </w:p>
        </w:tc>
        <w:tc>
          <w:tcPr>
            <w:tcW w:w="6160" w:type="dxa"/>
            <w:vAlign w:val="center"/>
          </w:tcPr>
          <w:p>
            <w:pPr>
              <w:ind w:firstLine="0" w:firstLineChars="0"/>
              <w:jc w:val="left"/>
              <w:rPr>
                <w:sz w:val="24"/>
                <w:szCs w:val="24"/>
              </w:rPr>
            </w:pPr>
            <w:r>
              <w:rPr>
                <w:rFonts w:hint="eastAsia"/>
                <w:sz w:val="24"/>
                <w:szCs w:val="24"/>
              </w:rPr>
              <w:t>除招标文件明确允许提交备选投标方案外，投标人不得提交备选投标方案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restart"/>
            <w:vAlign w:val="center"/>
          </w:tcPr>
          <w:p>
            <w:pPr>
              <w:ind w:firstLine="0" w:firstLineChars="0"/>
              <w:jc w:val="center"/>
              <w:rPr>
                <w:sz w:val="24"/>
                <w:szCs w:val="24"/>
              </w:rPr>
            </w:pPr>
            <w:r>
              <w:rPr>
                <w:sz w:val="24"/>
                <w:szCs w:val="24"/>
              </w:rPr>
              <w:t>2.1.2</w:t>
            </w:r>
          </w:p>
        </w:tc>
        <w:tc>
          <w:tcPr>
            <w:tcW w:w="693" w:type="dxa"/>
            <w:vMerge w:val="restart"/>
            <w:vAlign w:val="center"/>
          </w:tcPr>
          <w:p>
            <w:pPr>
              <w:ind w:firstLine="0" w:firstLineChars="0"/>
              <w:jc w:val="center"/>
              <w:rPr>
                <w:sz w:val="24"/>
                <w:szCs w:val="24"/>
              </w:rPr>
            </w:pPr>
            <w:r>
              <w:rPr>
                <w:rFonts w:hint="eastAsia"/>
                <w:sz w:val="24"/>
                <w:szCs w:val="24"/>
              </w:rPr>
              <w:t>资格评审标准</w:t>
            </w:r>
          </w:p>
        </w:tc>
        <w:tc>
          <w:tcPr>
            <w:tcW w:w="1443" w:type="dxa"/>
            <w:vAlign w:val="center"/>
          </w:tcPr>
          <w:p>
            <w:pPr>
              <w:ind w:firstLine="0" w:firstLineChars="0"/>
              <w:jc w:val="center"/>
              <w:rPr>
                <w:sz w:val="24"/>
                <w:szCs w:val="24"/>
              </w:rPr>
            </w:pPr>
            <w:r>
              <w:rPr>
                <w:rFonts w:hint="eastAsia"/>
                <w:sz w:val="24"/>
                <w:szCs w:val="24"/>
              </w:rPr>
              <w:t>营业执照和组织机构代码证</w:t>
            </w:r>
          </w:p>
        </w:tc>
        <w:tc>
          <w:tcPr>
            <w:tcW w:w="6160" w:type="dxa"/>
            <w:vAlign w:val="center"/>
          </w:tcPr>
          <w:p>
            <w:pPr>
              <w:ind w:firstLine="0" w:firstLineChars="0"/>
              <w:jc w:val="left"/>
              <w:rPr>
                <w:sz w:val="24"/>
                <w:szCs w:val="24"/>
              </w:rPr>
            </w:pPr>
            <w:r>
              <w:rPr>
                <w:rFonts w:hint="eastAsia"/>
                <w:sz w:val="24"/>
                <w:szCs w:val="24"/>
              </w:rPr>
              <w:t>符合第二章“投标人须知”第3.5.1项规定，应提交营业执照和组织机构代码证的原件扫描件（按照“三证合一”或“五证合一”登记制度进行登记的，可仅提供营业执照原件扫描件）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vMerge w:val="continue"/>
            <w:vAlign w:val="center"/>
          </w:tcPr>
          <w:p>
            <w:pPr>
              <w:ind w:firstLine="0" w:firstLineChars="0"/>
              <w:jc w:val="center"/>
              <w:rPr>
                <w:sz w:val="24"/>
                <w:szCs w:val="24"/>
              </w:rPr>
            </w:pPr>
          </w:p>
        </w:tc>
        <w:tc>
          <w:tcPr>
            <w:tcW w:w="693" w:type="dxa"/>
            <w:vMerge w:val="continue"/>
            <w:vAlign w:val="center"/>
          </w:tcPr>
          <w:p>
            <w:pPr>
              <w:ind w:firstLine="0" w:firstLineChars="0"/>
              <w:jc w:val="center"/>
              <w:rPr>
                <w:sz w:val="24"/>
                <w:szCs w:val="24"/>
              </w:rPr>
            </w:pPr>
          </w:p>
        </w:tc>
        <w:tc>
          <w:tcPr>
            <w:tcW w:w="1443" w:type="dxa"/>
            <w:vAlign w:val="center"/>
          </w:tcPr>
          <w:p>
            <w:pPr>
              <w:ind w:firstLine="0" w:firstLineChars="0"/>
              <w:jc w:val="center"/>
              <w:rPr>
                <w:sz w:val="24"/>
                <w:szCs w:val="24"/>
              </w:rPr>
            </w:pPr>
            <w:r>
              <w:rPr>
                <w:rFonts w:hint="eastAsia"/>
                <w:sz w:val="24"/>
                <w:szCs w:val="24"/>
              </w:rPr>
              <w:t>资质要求</w:t>
            </w:r>
          </w:p>
        </w:tc>
        <w:tc>
          <w:tcPr>
            <w:tcW w:w="6160" w:type="dxa"/>
            <w:vAlign w:val="center"/>
          </w:tcPr>
          <w:p>
            <w:pPr>
              <w:ind w:firstLine="0" w:firstLineChars="0"/>
              <w:jc w:val="left"/>
              <w:rPr>
                <w:sz w:val="24"/>
                <w:szCs w:val="24"/>
              </w:rPr>
            </w:pPr>
            <w:r>
              <w:rPr>
                <w:rFonts w:hint="eastAsia"/>
                <w:sz w:val="24"/>
                <w:szCs w:val="24"/>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restart"/>
            <w:vAlign w:val="center"/>
          </w:tcPr>
          <w:p>
            <w:pPr>
              <w:ind w:firstLine="0" w:firstLineChars="0"/>
              <w:jc w:val="center"/>
              <w:rPr>
                <w:sz w:val="24"/>
                <w:szCs w:val="24"/>
              </w:rPr>
            </w:pPr>
            <w:r>
              <w:rPr>
                <w:sz w:val="24"/>
                <w:szCs w:val="24"/>
              </w:rPr>
              <w:t>2.1.3</w:t>
            </w:r>
          </w:p>
        </w:tc>
        <w:tc>
          <w:tcPr>
            <w:tcW w:w="693" w:type="dxa"/>
            <w:vMerge w:val="restart"/>
            <w:vAlign w:val="center"/>
          </w:tcPr>
          <w:p>
            <w:pPr>
              <w:ind w:firstLine="0" w:firstLineChars="0"/>
              <w:jc w:val="center"/>
              <w:rPr>
                <w:sz w:val="24"/>
                <w:szCs w:val="24"/>
              </w:rPr>
            </w:pPr>
            <w:r>
              <w:rPr>
                <w:rFonts w:hint="eastAsia"/>
                <w:sz w:val="24"/>
                <w:szCs w:val="24"/>
              </w:rPr>
              <w:t>响应性评审标准</w:t>
            </w:r>
          </w:p>
        </w:tc>
        <w:tc>
          <w:tcPr>
            <w:tcW w:w="1443" w:type="dxa"/>
            <w:vAlign w:val="center"/>
          </w:tcPr>
          <w:p>
            <w:pPr>
              <w:ind w:firstLine="0" w:firstLineChars="0"/>
              <w:jc w:val="center"/>
              <w:rPr>
                <w:sz w:val="24"/>
                <w:szCs w:val="24"/>
              </w:rPr>
            </w:pPr>
            <w:r>
              <w:rPr>
                <w:rFonts w:hint="eastAsia"/>
                <w:sz w:val="24"/>
                <w:szCs w:val="24"/>
              </w:rPr>
              <w:t>投标报价</w:t>
            </w:r>
          </w:p>
        </w:tc>
        <w:tc>
          <w:tcPr>
            <w:tcW w:w="6160" w:type="dxa"/>
            <w:vAlign w:val="center"/>
          </w:tcPr>
          <w:p>
            <w:pPr>
              <w:ind w:firstLine="0" w:firstLineChars="0"/>
              <w:jc w:val="left"/>
              <w:rPr>
                <w:sz w:val="24"/>
                <w:szCs w:val="24"/>
              </w:rPr>
            </w:pPr>
            <w:r>
              <w:rPr>
                <w:rFonts w:hint="eastAsia"/>
                <w:sz w:val="24"/>
                <w:szCs w:val="24"/>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ind w:firstLine="0" w:firstLineChars="0"/>
              <w:jc w:val="center"/>
              <w:rPr>
                <w:sz w:val="24"/>
                <w:szCs w:val="24"/>
              </w:rPr>
            </w:pPr>
          </w:p>
        </w:tc>
        <w:tc>
          <w:tcPr>
            <w:tcW w:w="693" w:type="dxa"/>
            <w:vMerge w:val="continue"/>
            <w:vAlign w:val="center"/>
          </w:tcPr>
          <w:p>
            <w:pPr>
              <w:ind w:firstLine="0" w:firstLineChars="0"/>
              <w:jc w:val="center"/>
              <w:rPr>
                <w:sz w:val="24"/>
                <w:szCs w:val="24"/>
              </w:rPr>
            </w:pPr>
          </w:p>
        </w:tc>
        <w:tc>
          <w:tcPr>
            <w:tcW w:w="1443" w:type="dxa"/>
            <w:vAlign w:val="center"/>
          </w:tcPr>
          <w:p>
            <w:pPr>
              <w:ind w:firstLine="0" w:firstLineChars="0"/>
              <w:jc w:val="center"/>
              <w:rPr>
                <w:sz w:val="24"/>
                <w:szCs w:val="24"/>
              </w:rPr>
            </w:pPr>
            <w:r>
              <w:rPr>
                <w:rFonts w:hint="eastAsia"/>
                <w:sz w:val="24"/>
                <w:szCs w:val="24"/>
              </w:rPr>
              <w:t>投标内容</w:t>
            </w:r>
          </w:p>
        </w:tc>
        <w:tc>
          <w:tcPr>
            <w:tcW w:w="6160" w:type="dxa"/>
            <w:vAlign w:val="center"/>
          </w:tcPr>
          <w:p>
            <w:pPr>
              <w:ind w:firstLine="0" w:firstLineChars="0"/>
              <w:jc w:val="left"/>
              <w:rPr>
                <w:sz w:val="24"/>
                <w:szCs w:val="24"/>
              </w:rPr>
            </w:pPr>
            <w:r>
              <w:rPr>
                <w:rFonts w:hint="eastAsia"/>
                <w:sz w:val="24"/>
                <w:szCs w:val="24"/>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ind w:firstLine="0" w:firstLineChars="0"/>
              <w:jc w:val="center"/>
              <w:rPr>
                <w:sz w:val="24"/>
                <w:szCs w:val="24"/>
              </w:rPr>
            </w:pPr>
          </w:p>
        </w:tc>
        <w:tc>
          <w:tcPr>
            <w:tcW w:w="693" w:type="dxa"/>
            <w:vMerge w:val="continue"/>
            <w:vAlign w:val="center"/>
          </w:tcPr>
          <w:p>
            <w:pPr>
              <w:ind w:firstLine="0" w:firstLineChars="0"/>
              <w:jc w:val="center"/>
              <w:rPr>
                <w:sz w:val="24"/>
                <w:szCs w:val="24"/>
              </w:rPr>
            </w:pPr>
          </w:p>
        </w:tc>
        <w:tc>
          <w:tcPr>
            <w:tcW w:w="1443" w:type="dxa"/>
            <w:vAlign w:val="center"/>
          </w:tcPr>
          <w:p>
            <w:pPr>
              <w:ind w:firstLine="0" w:firstLineChars="0"/>
              <w:jc w:val="center"/>
              <w:rPr>
                <w:sz w:val="24"/>
                <w:szCs w:val="24"/>
              </w:rPr>
            </w:pPr>
            <w:r>
              <w:rPr>
                <w:rFonts w:hint="eastAsia"/>
                <w:sz w:val="24"/>
                <w:szCs w:val="24"/>
              </w:rPr>
              <w:t>交货期</w:t>
            </w:r>
          </w:p>
        </w:tc>
        <w:tc>
          <w:tcPr>
            <w:tcW w:w="6160" w:type="dxa"/>
            <w:vAlign w:val="center"/>
          </w:tcPr>
          <w:p>
            <w:pPr>
              <w:ind w:firstLine="0" w:firstLineChars="0"/>
              <w:jc w:val="left"/>
              <w:rPr>
                <w:sz w:val="24"/>
                <w:szCs w:val="24"/>
              </w:rPr>
            </w:pPr>
            <w:r>
              <w:rPr>
                <w:rFonts w:hint="eastAsia"/>
                <w:sz w:val="24"/>
                <w:szCs w:val="24"/>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ind w:firstLine="0" w:firstLineChars="0"/>
              <w:jc w:val="center"/>
              <w:rPr>
                <w:sz w:val="24"/>
                <w:szCs w:val="24"/>
              </w:rPr>
            </w:pPr>
          </w:p>
        </w:tc>
        <w:tc>
          <w:tcPr>
            <w:tcW w:w="693" w:type="dxa"/>
            <w:vMerge w:val="continue"/>
            <w:vAlign w:val="center"/>
          </w:tcPr>
          <w:p>
            <w:pPr>
              <w:ind w:firstLine="0" w:firstLineChars="0"/>
              <w:jc w:val="center"/>
              <w:rPr>
                <w:sz w:val="24"/>
                <w:szCs w:val="24"/>
              </w:rPr>
            </w:pPr>
          </w:p>
        </w:tc>
        <w:tc>
          <w:tcPr>
            <w:tcW w:w="1443" w:type="dxa"/>
            <w:vAlign w:val="center"/>
          </w:tcPr>
          <w:p>
            <w:pPr>
              <w:ind w:firstLine="0" w:firstLineChars="0"/>
              <w:jc w:val="center"/>
              <w:rPr>
                <w:sz w:val="24"/>
                <w:szCs w:val="24"/>
              </w:rPr>
            </w:pPr>
            <w:r>
              <w:rPr>
                <w:rFonts w:hint="eastAsia"/>
                <w:sz w:val="24"/>
                <w:szCs w:val="24"/>
              </w:rPr>
              <w:t>交货地点</w:t>
            </w:r>
          </w:p>
        </w:tc>
        <w:tc>
          <w:tcPr>
            <w:tcW w:w="6160" w:type="dxa"/>
            <w:vAlign w:val="center"/>
          </w:tcPr>
          <w:p>
            <w:pPr>
              <w:ind w:firstLine="0" w:firstLineChars="0"/>
              <w:jc w:val="left"/>
              <w:rPr>
                <w:sz w:val="24"/>
                <w:szCs w:val="24"/>
              </w:rPr>
            </w:pPr>
            <w:r>
              <w:rPr>
                <w:rFonts w:hint="eastAsia"/>
                <w:sz w:val="24"/>
                <w:szCs w:val="24"/>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ind w:firstLine="0" w:firstLineChars="0"/>
              <w:jc w:val="center"/>
              <w:rPr>
                <w:sz w:val="24"/>
                <w:szCs w:val="24"/>
              </w:rPr>
            </w:pPr>
          </w:p>
        </w:tc>
        <w:tc>
          <w:tcPr>
            <w:tcW w:w="693" w:type="dxa"/>
            <w:vMerge w:val="continue"/>
            <w:vAlign w:val="center"/>
          </w:tcPr>
          <w:p>
            <w:pPr>
              <w:ind w:firstLine="0" w:firstLineChars="0"/>
              <w:jc w:val="center"/>
              <w:rPr>
                <w:sz w:val="24"/>
                <w:szCs w:val="24"/>
              </w:rPr>
            </w:pPr>
          </w:p>
        </w:tc>
        <w:tc>
          <w:tcPr>
            <w:tcW w:w="1443" w:type="dxa"/>
            <w:vAlign w:val="center"/>
          </w:tcPr>
          <w:p>
            <w:pPr>
              <w:ind w:firstLine="0" w:firstLineChars="0"/>
              <w:jc w:val="center"/>
              <w:rPr>
                <w:sz w:val="24"/>
                <w:szCs w:val="24"/>
              </w:rPr>
            </w:pPr>
            <w:r>
              <w:rPr>
                <w:rFonts w:hint="eastAsia"/>
                <w:sz w:val="24"/>
                <w:szCs w:val="24"/>
              </w:rPr>
              <w:t>技术性能指标</w:t>
            </w:r>
          </w:p>
        </w:tc>
        <w:tc>
          <w:tcPr>
            <w:tcW w:w="6160" w:type="dxa"/>
            <w:vAlign w:val="center"/>
          </w:tcPr>
          <w:p>
            <w:pPr>
              <w:ind w:firstLine="0" w:firstLineChars="0"/>
              <w:jc w:val="left"/>
              <w:rPr>
                <w:sz w:val="24"/>
                <w:szCs w:val="24"/>
              </w:rPr>
            </w:pPr>
            <w:r>
              <w:rPr>
                <w:rFonts w:hint="eastAsia"/>
                <w:sz w:val="24"/>
                <w:szCs w:val="24"/>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ind w:firstLine="0" w:firstLineChars="0"/>
              <w:jc w:val="center"/>
              <w:rPr>
                <w:sz w:val="24"/>
                <w:szCs w:val="24"/>
              </w:rPr>
            </w:pPr>
          </w:p>
        </w:tc>
        <w:tc>
          <w:tcPr>
            <w:tcW w:w="693" w:type="dxa"/>
            <w:vMerge w:val="continue"/>
            <w:vAlign w:val="center"/>
          </w:tcPr>
          <w:p>
            <w:pPr>
              <w:ind w:firstLine="0" w:firstLineChars="0"/>
              <w:jc w:val="center"/>
              <w:rPr>
                <w:sz w:val="24"/>
                <w:szCs w:val="24"/>
              </w:rPr>
            </w:pPr>
          </w:p>
        </w:tc>
        <w:tc>
          <w:tcPr>
            <w:tcW w:w="1443" w:type="dxa"/>
            <w:vAlign w:val="center"/>
          </w:tcPr>
          <w:p>
            <w:pPr>
              <w:ind w:firstLine="0" w:firstLineChars="0"/>
              <w:jc w:val="center"/>
              <w:rPr>
                <w:sz w:val="24"/>
                <w:szCs w:val="24"/>
              </w:rPr>
            </w:pPr>
            <w:r>
              <w:rPr>
                <w:rFonts w:hint="eastAsia"/>
                <w:sz w:val="24"/>
                <w:szCs w:val="24"/>
              </w:rPr>
              <w:t>投标有效期</w:t>
            </w:r>
          </w:p>
        </w:tc>
        <w:tc>
          <w:tcPr>
            <w:tcW w:w="6160" w:type="dxa"/>
            <w:vAlign w:val="center"/>
          </w:tcPr>
          <w:p>
            <w:pPr>
              <w:ind w:firstLine="0" w:firstLineChars="0"/>
              <w:jc w:val="left"/>
              <w:rPr>
                <w:sz w:val="24"/>
                <w:szCs w:val="24"/>
              </w:rPr>
            </w:pPr>
            <w:r>
              <w:rPr>
                <w:rFonts w:hint="eastAsia"/>
                <w:sz w:val="24"/>
                <w:szCs w:val="24"/>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ind w:firstLine="0" w:firstLineChars="0"/>
              <w:jc w:val="center"/>
              <w:rPr>
                <w:sz w:val="24"/>
                <w:szCs w:val="24"/>
              </w:rPr>
            </w:pPr>
          </w:p>
        </w:tc>
        <w:tc>
          <w:tcPr>
            <w:tcW w:w="693" w:type="dxa"/>
            <w:vMerge w:val="continue"/>
            <w:vAlign w:val="center"/>
          </w:tcPr>
          <w:p>
            <w:pPr>
              <w:ind w:firstLine="0" w:firstLineChars="0"/>
              <w:jc w:val="center"/>
              <w:rPr>
                <w:sz w:val="24"/>
                <w:szCs w:val="24"/>
              </w:rPr>
            </w:pPr>
          </w:p>
        </w:tc>
        <w:tc>
          <w:tcPr>
            <w:tcW w:w="1443" w:type="dxa"/>
            <w:vAlign w:val="center"/>
          </w:tcPr>
          <w:p>
            <w:pPr>
              <w:ind w:firstLine="0" w:firstLineChars="0"/>
              <w:jc w:val="center"/>
              <w:rPr>
                <w:sz w:val="24"/>
                <w:szCs w:val="24"/>
              </w:rPr>
            </w:pPr>
            <w:r>
              <w:rPr>
                <w:rFonts w:hint="eastAsia"/>
                <w:sz w:val="24"/>
                <w:szCs w:val="24"/>
              </w:rPr>
              <w:t>投标保证金</w:t>
            </w:r>
          </w:p>
        </w:tc>
        <w:tc>
          <w:tcPr>
            <w:tcW w:w="6160" w:type="dxa"/>
            <w:vAlign w:val="center"/>
          </w:tcPr>
          <w:p>
            <w:pPr>
              <w:ind w:firstLine="0" w:firstLineChars="0"/>
              <w:jc w:val="left"/>
              <w:rPr>
                <w:sz w:val="24"/>
                <w:szCs w:val="24"/>
              </w:rPr>
            </w:pPr>
            <w:r>
              <w:rPr>
                <w:rFonts w:hint="eastAsia"/>
                <w:sz w:val="24"/>
                <w:szCs w:val="24"/>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ind w:firstLine="0" w:firstLineChars="0"/>
              <w:jc w:val="center"/>
              <w:rPr>
                <w:sz w:val="24"/>
                <w:szCs w:val="24"/>
              </w:rPr>
            </w:pPr>
          </w:p>
        </w:tc>
        <w:tc>
          <w:tcPr>
            <w:tcW w:w="693" w:type="dxa"/>
            <w:vMerge w:val="continue"/>
            <w:vAlign w:val="center"/>
          </w:tcPr>
          <w:p>
            <w:pPr>
              <w:ind w:firstLine="0" w:firstLineChars="0"/>
              <w:jc w:val="center"/>
              <w:rPr>
                <w:sz w:val="24"/>
                <w:szCs w:val="24"/>
              </w:rPr>
            </w:pPr>
          </w:p>
        </w:tc>
        <w:tc>
          <w:tcPr>
            <w:tcW w:w="1443" w:type="dxa"/>
            <w:vAlign w:val="center"/>
          </w:tcPr>
          <w:p>
            <w:pPr>
              <w:ind w:firstLine="0" w:firstLineChars="0"/>
              <w:jc w:val="center"/>
              <w:rPr>
                <w:sz w:val="24"/>
                <w:szCs w:val="24"/>
              </w:rPr>
            </w:pPr>
            <w:r>
              <w:rPr>
                <w:rFonts w:hint="eastAsia"/>
                <w:sz w:val="24"/>
                <w:szCs w:val="24"/>
              </w:rPr>
              <w:t>权利义务</w:t>
            </w:r>
          </w:p>
        </w:tc>
        <w:tc>
          <w:tcPr>
            <w:tcW w:w="6160" w:type="dxa"/>
            <w:vAlign w:val="center"/>
          </w:tcPr>
          <w:p>
            <w:pPr>
              <w:ind w:firstLine="0" w:firstLineChars="0"/>
              <w:jc w:val="left"/>
              <w:rPr>
                <w:sz w:val="24"/>
                <w:szCs w:val="24"/>
              </w:rPr>
            </w:pPr>
            <w:r>
              <w:rPr>
                <w:rFonts w:hint="eastAsia"/>
                <w:sz w:val="24"/>
                <w:szCs w:val="24"/>
              </w:rPr>
              <w:t>符合第二章“投标人须知”规定和第四章“合同条款及格式”中的实质性要求和条件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ind w:firstLine="0" w:firstLineChars="0"/>
              <w:jc w:val="center"/>
              <w:rPr>
                <w:sz w:val="24"/>
                <w:szCs w:val="24"/>
              </w:rPr>
            </w:pPr>
          </w:p>
        </w:tc>
        <w:tc>
          <w:tcPr>
            <w:tcW w:w="693" w:type="dxa"/>
            <w:vMerge w:val="continue"/>
            <w:vAlign w:val="center"/>
          </w:tcPr>
          <w:p>
            <w:pPr>
              <w:ind w:firstLine="0" w:firstLineChars="0"/>
              <w:jc w:val="center"/>
              <w:rPr>
                <w:sz w:val="24"/>
                <w:szCs w:val="24"/>
              </w:rPr>
            </w:pPr>
          </w:p>
        </w:tc>
        <w:tc>
          <w:tcPr>
            <w:tcW w:w="1443" w:type="dxa"/>
            <w:vAlign w:val="center"/>
          </w:tcPr>
          <w:p>
            <w:pPr>
              <w:ind w:firstLine="0" w:firstLineChars="0"/>
              <w:jc w:val="center"/>
              <w:rPr>
                <w:sz w:val="24"/>
                <w:szCs w:val="24"/>
              </w:rPr>
            </w:pPr>
            <w:r>
              <w:rPr>
                <w:rFonts w:hint="eastAsia"/>
                <w:sz w:val="24"/>
                <w:szCs w:val="24"/>
              </w:rPr>
              <w:t>投标设备及技术服务和质保期服务</w:t>
            </w:r>
          </w:p>
        </w:tc>
        <w:tc>
          <w:tcPr>
            <w:tcW w:w="6160" w:type="dxa"/>
            <w:vAlign w:val="center"/>
          </w:tcPr>
          <w:p>
            <w:pPr>
              <w:ind w:firstLine="0" w:firstLineChars="0"/>
              <w:jc w:val="left"/>
              <w:rPr>
                <w:sz w:val="24"/>
                <w:szCs w:val="24"/>
              </w:rPr>
            </w:pPr>
            <w:r>
              <w:rPr>
                <w:rFonts w:hint="eastAsia"/>
                <w:sz w:val="24"/>
                <w:szCs w:val="24"/>
              </w:rPr>
              <w:t>符合第五章“供货要求”中的实质性要求和条件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ind w:firstLine="0" w:firstLineChars="0"/>
              <w:jc w:val="center"/>
              <w:rPr>
                <w:sz w:val="24"/>
                <w:szCs w:val="24"/>
              </w:rPr>
            </w:pPr>
          </w:p>
        </w:tc>
        <w:tc>
          <w:tcPr>
            <w:tcW w:w="693" w:type="dxa"/>
            <w:vMerge w:val="continue"/>
            <w:vAlign w:val="center"/>
          </w:tcPr>
          <w:p>
            <w:pPr>
              <w:ind w:firstLine="0" w:firstLineChars="0"/>
              <w:jc w:val="center"/>
              <w:rPr>
                <w:sz w:val="24"/>
                <w:szCs w:val="24"/>
              </w:rPr>
            </w:pPr>
          </w:p>
        </w:tc>
        <w:tc>
          <w:tcPr>
            <w:tcW w:w="1443" w:type="dxa"/>
            <w:vAlign w:val="center"/>
          </w:tcPr>
          <w:p>
            <w:pPr>
              <w:ind w:firstLine="0" w:firstLineChars="0"/>
              <w:jc w:val="center"/>
              <w:rPr>
                <w:sz w:val="24"/>
                <w:szCs w:val="24"/>
              </w:rPr>
            </w:pPr>
            <w:r>
              <w:rPr>
                <w:rFonts w:hint="eastAsia"/>
                <w:sz w:val="24"/>
                <w:szCs w:val="24"/>
              </w:rPr>
              <w:t>技术支持资料</w:t>
            </w:r>
          </w:p>
        </w:tc>
        <w:tc>
          <w:tcPr>
            <w:tcW w:w="6160" w:type="dxa"/>
            <w:vAlign w:val="center"/>
          </w:tcPr>
          <w:p>
            <w:pPr>
              <w:ind w:firstLine="0" w:firstLineChars="0"/>
              <w:jc w:val="left"/>
              <w:rPr>
                <w:sz w:val="24"/>
                <w:szCs w:val="24"/>
              </w:rPr>
            </w:pPr>
            <w:r>
              <w:rPr>
                <w:rFonts w:hint="eastAsia"/>
                <w:sz w:val="24"/>
                <w:szCs w:val="24"/>
              </w:rPr>
              <w:t>符合第二章“投标人须知”第1.11.3项规定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gridSpan w:val="2"/>
            <w:vAlign w:val="center"/>
          </w:tcPr>
          <w:p>
            <w:pPr>
              <w:ind w:firstLine="0" w:firstLineChars="0"/>
              <w:jc w:val="center"/>
              <w:rPr>
                <w:b/>
                <w:sz w:val="24"/>
                <w:szCs w:val="24"/>
              </w:rPr>
            </w:pPr>
            <w:r>
              <w:rPr>
                <w:rFonts w:hint="eastAsia"/>
                <w:b/>
                <w:sz w:val="24"/>
                <w:szCs w:val="24"/>
              </w:rPr>
              <w:t>条款号</w:t>
            </w:r>
          </w:p>
        </w:tc>
        <w:tc>
          <w:tcPr>
            <w:tcW w:w="1443" w:type="dxa"/>
            <w:vAlign w:val="center"/>
          </w:tcPr>
          <w:p>
            <w:pPr>
              <w:ind w:firstLine="0" w:firstLineChars="0"/>
              <w:jc w:val="center"/>
              <w:rPr>
                <w:b/>
                <w:sz w:val="24"/>
                <w:szCs w:val="24"/>
              </w:rPr>
            </w:pPr>
            <w:r>
              <w:rPr>
                <w:rFonts w:hint="eastAsia"/>
                <w:b/>
                <w:sz w:val="24"/>
                <w:szCs w:val="24"/>
              </w:rPr>
              <w:t>条款内容</w:t>
            </w:r>
          </w:p>
        </w:tc>
        <w:tc>
          <w:tcPr>
            <w:tcW w:w="6160" w:type="dxa"/>
            <w:vAlign w:val="center"/>
          </w:tcPr>
          <w:p>
            <w:pPr>
              <w:ind w:firstLine="0" w:firstLineChars="0"/>
              <w:jc w:val="center"/>
              <w:rPr>
                <w:b/>
                <w:sz w:val="24"/>
                <w:szCs w:val="24"/>
              </w:rPr>
            </w:pPr>
            <w:r>
              <w:rPr>
                <w:rFonts w:hint="eastAsia"/>
                <w:b/>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gridSpan w:val="2"/>
            <w:vAlign w:val="center"/>
          </w:tcPr>
          <w:p>
            <w:pPr>
              <w:ind w:firstLine="0" w:firstLineChars="0"/>
              <w:jc w:val="center"/>
              <w:rPr>
                <w:sz w:val="24"/>
                <w:szCs w:val="24"/>
              </w:rPr>
            </w:pPr>
            <w:r>
              <w:rPr>
                <w:sz w:val="24"/>
                <w:szCs w:val="24"/>
              </w:rPr>
              <w:t>2.2.1</w:t>
            </w:r>
          </w:p>
        </w:tc>
        <w:tc>
          <w:tcPr>
            <w:tcW w:w="1443" w:type="dxa"/>
            <w:vAlign w:val="center"/>
          </w:tcPr>
          <w:p>
            <w:pPr>
              <w:ind w:firstLine="0" w:firstLineChars="0"/>
              <w:rPr>
                <w:sz w:val="24"/>
                <w:szCs w:val="24"/>
              </w:rPr>
            </w:pPr>
            <w:r>
              <w:rPr>
                <w:rFonts w:hint="eastAsia"/>
                <w:sz w:val="24"/>
                <w:szCs w:val="24"/>
              </w:rPr>
              <w:t>分值构成</w:t>
            </w:r>
          </w:p>
          <w:p>
            <w:pPr>
              <w:ind w:firstLine="0" w:firstLineChars="0"/>
              <w:jc w:val="center"/>
              <w:rPr>
                <w:sz w:val="24"/>
                <w:szCs w:val="24"/>
              </w:rPr>
            </w:pPr>
            <w:r>
              <w:rPr>
                <w:rFonts w:hint="eastAsia"/>
                <w:sz w:val="24"/>
                <w:szCs w:val="24"/>
              </w:rPr>
              <w:t>（总分 100 分）</w:t>
            </w:r>
          </w:p>
        </w:tc>
        <w:tc>
          <w:tcPr>
            <w:tcW w:w="6160" w:type="dxa"/>
            <w:vAlign w:val="center"/>
          </w:tcPr>
          <w:p>
            <w:pPr>
              <w:ind w:firstLine="0" w:firstLineChars="0"/>
              <w:jc w:val="left"/>
              <w:rPr>
                <w:sz w:val="24"/>
                <w:szCs w:val="24"/>
              </w:rPr>
            </w:pPr>
            <w:r>
              <w:rPr>
                <w:rFonts w:hint="eastAsia"/>
                <w:sz w:val="24"/>
                <w:szCs w:val="24"/>
              </w:rPr>
              <w:t>商务部分：35分</w:t>
            </w:r>
          </w:p>
          <w:p>
            <w:pPr>
              <w:ind w:firstLine="0" w:firstLineChars="0"/>
              <w:jc w:val="left"/>
              <w:rPr>
                <w:sz w:val="24"/>
                <w:szCs w:val="24"/>
              </w:rPr>
            </w:pPr>
            <w:r>
              <w:rPr>
                <w:rFonts w:hint="eastAsia"/>
                <w:sz w:val="24"/>
                <w:szCs w:val="24"/>
              </w:rPr>
              <w:t>技术部分：15分</w:t>
            </w:r>
          </w:p>
          <w:p>
            <w:pPr>
              <w:ind w:firstLine="0" w:firstLineChars="0"/>
              <w:jc w:val="left"/>
              <w:rPr>
                <w:sz w:val="24"/>
                <w:szCs w:val="24"/>
              </w:rPr>
            </w:pPr>
            <w:r>
              <w:rPr>
                <w:rFonts w:hint="eastAsia"/>
                <w:sz w:val="24"/>
                <w:szCs w:val="24"/>
              </w:rPr>
              <w:t>投标报价：50分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gridSpan w:val="2"/>
            <w:vAlign w:val="center"/>
          </w:tcPr>
          <w:p>
            <w:pPr>
              <w:ind w:firstLine="0" w:firstLineChars="0"/>
              <w:jc w:val="center"/>
              <w:rPr>
                <w:b/>
                <w:sz w:val="24"/>
                <w:szCs w:val="24"/>
              </w:rPr>
            </w:pPr>
            <w:r>
              <w:rPr>
                <w:rFonts w:hint="eastAsia"/>
                <w:b/>
                <w:sz w:val="24"/>
                <w:szCs w:val="24"/>
              </w:rPr>
              <w:t>条款号</w:t>
            </w:r>
          </w:p>
        </w:tc>
        <w:tc>
          <w:tcPr>
            <w:tcW w:w="1443" w:type="dxa"/>
            <w:vAlign w:val="center"/>
          </w:tcPr>
          <w:p>
            <w:pPr>
              <w:ind w:firstLine="0" w:firstLineChars="0"/>
              <w:jc w:val="center"/>
              <w:rPr>
                <w:b/>
                <w:sz w:val="24"/>
                <w:szCs w:val="24"/>
              </w:rPr>
            </w:pPr>
            <w:r>
              <w:rPr>
                <w:rFonts w:hint="eastAsia"/>
                <w:b/>
                <w:sz w:val="24"/>
                <w:szCs w:val="24"/>
              </w:rPr>
              <w:t>评审因素（偏差率）</w:t>
            </w:r>
          </w:p>
        </w:tc>
        <w:tc>
          <w:tcPr>
            <w:tcW w:w="6160" w:type="dxa"/>
            <w:vAlign w:val="center"/>
          </w:tcPr>
          <w:p>
            <w:pPr>
              <w:ind w:firstLine="0" w:firstLineChars="0"/>
              <w:jc w:val="center"/>
              <w:rPr>
                <w:b/>
                <w:sz w:val="24"/>
                <w:szCs w:val="24"/>
              </w:rPr>
            </w:pPr>
            <w:r>
              <w:rPr>
                <w:rFonts w:hint="eastAsia"/>
                <w:b/>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vMerge w:val="restart"/>
            <w:vAlign w:val="center"/>
          </w:tcPr>
          <w:p>
            <w:pPr>
              <w:ind w:firstLine="0" w:firstLineChars="0"/>
              <w:jc w:val="center"/>
              <w:rPr>
                <w:sz w:val="24"/>
                <w:szCs w:val="24"/>
              </w:rPr>
            </w:pPr>
            <w:r>
              <w:rPr>
                <w:sz w:val="24"/>
                <w:szCs w:val="24"/>
              </w:rPr>
              <w:t>2.2.4</w:t>
            </w:r>
            <w:r>
              <w:rPr>
                <w:rFonts w:hint="eastAsia"/>
                <w:sz w:val="24"/>
                <w:szCs w:val="24"/>
              </w:rPr>
              <w:t>（1）</w:t>
            </w:r>
          </w:p>
        </w:tc>
        <w:tc>
          <w:tcPr>
            <w:tcW w:w="693" w:type="dxa"/>
            <w:vMerge w:val="restart"/>
            <w:vAlign w:val="center"/>
          </w:tcPr>
          <w:p>
            <w:pPr>
              <w:ind w:firstLine="0" w:firstLineChars="0"/>
              <w:jc w:val="center"/>
              <w:rPr>
                <w:sz w:val="24"/>
                <w:szCs w:val="24"/>
              </w:rPr>
            </w:pPr>
            <w:r>
              <w:rPr>
                <w:rFonts w:hint="eastAsia"/>
                <w:sz w:val="24"/>
                <w:szCs w:val="24"/>
              </w:rPr>
              <w:t>商务评分标准</w:t>
            </w:r>
          </w:p>
        </w:tc>
        <w:tc>
          <w:tcPr>
            <w:tcW w:w="1443" w:type="dxa"/>
            <w:vMerge w:val="restart"/>
            <w:vAlign w:val="center"/>
          </w:tcPr>
          <w:p>
            <w:pPr>
              <w:ind w:firstLine="0" w:firstLineChars="0"/>
              <w:jc w:val="center"/>
              <w:rPr>
                <w:sz w:val="24"/>
                <w:szCs w:val="24"/>
              </w:rPr>
            </w:pPr>
            <w:r>
              <w:rPr>
                <w:rFonts w:hint="eastAsia" w:ascii="宋体" w:hAnsi="宋体"/>
                <w:sz w:val="24"/>
                <w:szCs w:val="24"/>
              </w:rPr>
              <w:t>产品认证 （10分）</w:t>
            </w:r>
          </w:p>
        </w:tc>
        <w:tc>
          <w:tcPr>
            <w:tcW w:w="6160" w:type="dxa"/>
            <w:vAlign w:val="center"/>
          </w:tcPr>
          <w:p>
            <w:pPr>
              <w:ind w:firstLine="0" w:firstLineChars="0"/>
              <w:rPr>
                <w:rFonts w:ascii="宋体" w:hAnsi="宋体"/>
                <w:sz w:val="24"/>
                <w:szCs w:val="24"/>
              </w:rPr>
            </w:pPr>
            <w:r>
              <w:rPr>
                <w:rFonts w:hint="eastAsia" w:ascii="宋体" w:hAnsi="宋体"/>
                <w:sz w:val="24"/>
                <w:szCs w:val="24"/>
              </w:rPr>
              <w:t>投标人获得ISO9001、 ISO14001认证证书，有一个得1分，最多得2分（须提供证书复印件加盖公章，不提供不得分）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43" w:type="dxa"/>
            <w:vMerge w:val="continue"/>
            <w:vAlign w:val="center"/>
          </w:tcPr>
          <w:p>
            <w:pPr>
              <w:ind w:firstLine="0" w:firstLineChars="0"/>
              <w:rPr>
                <w:sz w:val="24"/>
                <w:szCs w:val="24"/>
              </w:rPr>
            </w:pPr>
          </w:p>
        </w:tc>
        <w:tc>
          <w:tcPr>
            <w:tcW w:w="693" w:type="dxa"/>
            <w:vMerge w:val="continue"/>
            <w:vAlign w:val="center"/>
          </w:tcPr>
          <w:p>
            <w:pPr>
              <w:ind w:firstLine="0" w:firstLineChars="0"/>
              <w:rPr>
                <w:sz w:val="24"/>
                <w:szCs w:val="24"/>
              </w:rPr>
            </w:pPr>
          </w:p>
        </w:tc>
        <w:tc>
          <w:tcPr>
            <w:tcW w:w="1443" w:type="dxa"/>
            <w:vMerge w:val="continue"/>
            <w:vAlign w:val="center"/>
          </w:tcPr>
          <w:p>
            <w:pPr>
              <w:ind w:firstLine="0" w:firstLineChars="0"/>
              <w:jc w:val="center"/>
              <w:rPr>
                <w:sz w:val="24"/>
                <w:szCs w:val="24"/>
              </w:rPr>
            </w:pPr>
          </w:p>
        </w:tc>
        <w:tc>
          <w:tcPr>
            <w:tcW w:w="6160" w:type="dxa"/>
            <w:vAlign w:val="center"/>
          </w:tcPr>
          <w:p>
            <w:pPr>
              <w:ind w:firstLine="0" w:firstLineChars="0"/>
              <w:rPr>
                <w:rFonts w:ascii="宋体" w:hAnsi="宋体"/>
                <w:sz w:val="24"/>
                <w:szCs w:val="24"/>
              </w:rPr>
            </w:pPr>
            <w:r>
              <w:rPr>
                <w:rFonts w:hint="eastAsia" w:ascii="宋体" w:hAnsi="宋体"/>
                <w:sz w:val="24"/>
                <w:szCs w:val="24"/>
              </w:rPr>
              <w:t>1.投标产品获得CE认证证书，提供一个产品的认证证书得0.5分，最多得2分（须提供证书复印件装订于投标文件中，不提供不得分）；</w:t>
            </w:r>
          </w:p>
          <w:p>
            <w:pPr>
              <w:ind w:firstLine="0" w:firstLineChars="0"/>
              <w:rPr>
                <w:rFonts w:ascii="宋体" w:hAnsi="宋体"/>
                <w:sz w:val="24"/>
                <w:szCs w:val="24"/>
              </w:rPr>
            </w:pPr>
            <w:r>
              <w:rPr>
                <w:rFonts w:hint="eastAsia" w:ascii="宋体" w:hAnsi="宋体"/>
                <w:sz w:val="24"/>
                <w:szCs w:val="24"/>
              </w:rPr>
              <w:t>2.投标产品制造商售后服务被评为中国境内十佳售后服务单位证书，有一个得0.5分，最多得2分（须提供证书复印件装订于投标文件中，不提供不得分）。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43" w:type="dxa"/>
            <w:vMerge w:val="continue"/>
            <w:vAlign w:val="center"/>
          </w:tcPr>
          <w:p>
            <w:pPr>
              <w:ind w:firstLine="0" w:firstLineChars="0"/>
              <w:rPr>
                <w:rFonts w:ascii="宋体" w:hAnsi="宋体"/>
                <w:sz w:val="24"/>
                <w:szCs w:val="24"/>
              </w:rPr>
            </w:pPr>
          </w:p>
        </w:tc>
        <w:tc>
          <w:tcPr>
            <w:tcW w:w="693" w:type="dxa"/>
            <w:vMerge w:val="continue"/>
            <w:vAlign w:val="center"/>
          </w:tcPr>
          <w:p>
            <w:pPr>
              <w:ind w:firstLine="0" w:firstLineChars="0"/>
              <w:rPr>
                <w:rFonts w:ascii="宋体" w:hAnsi="宋体"/>
                <w:sz w:val="24"/>
                <w:szCs w:val="24"/>
              </w:rPr>
            </w:pPr>
          </w:p>
        </w:tc>
        <w:tc>
          <w:tcPr>
            <w:tcW w:w="1443" w:type="dxa"/>
            <w:vMerge w:val="continue"/>
            <w:vAlign w:val="center"/>
          </w:tcPr>
          <w:p>
            <w:pPr>
              <w:ind w:firstLine="0" w:firstLineChars="0"/>
              <w:jc w:val="center"/>
              <w:rPr>
                <w:rFonts w:ascii="宋体" w:hAnsi="宋体"/>
                <w:sz w:val="24"/>
                <w:szCs w:val="24"/>
              </w:rPr>
            </w:pPr>
          </w:p>
        </w:tc>
        <w:tc>
          <w:tcPr>
            <w:tcW w:w="6160" w:type="dxa"/>
            <w:vAlign w:val="center"/>
          </w:tcPr>
          <w:p>
            <w:pPr>
              <w:ind w:firstLine="0" w:firstLineChars="0"/>
              <w:rPr>
                <w:rFonts w:ascii="宋体" w:hAnsi="宋体"/>
                <w:sz w:val="24"/>
                <w:szCs w:val="24"/>
              </w:rPr>
            </w:pPr>
            <w:r>
              <w:rPr>
                <w:rFonts w:hint="eastAsia" w:ascii="宋体" w:hAnsi="宋体"/>
                <w:b/>
                <w:bCs/>
                <w:sz w:val="24"/>
                <w:szCs w:val="24"/>
              </w:rPr>
              <w:t>主要投标产品</w:t>
            </w:r>
            <w:r>
              <w:rPr>
                <w:rFonts w:hint="eastAsia" w:ascii="宋体" w:hAnsi="宋体"/>
                <w:sz w:val="24"/>
                <w:szCs w:val="24"/>
              </w:rPr>
              <w:t>须提供制造商或省级及以上代理商出具的授权及售后服务承诺书，有一个得1分，最多得4分。（须提供授权及售后服务承诺书</w:t>
            </w:r>
            <w:r>
              <w:rPr>
                <w:rFonts w:hint="eastAsia" w:ascii="宋体" w:hAnsi="宋体"/>
                <w:sz w:val="24"/>
                <w:szCs w:val="24"/>
                <w:lang w:eastAsia="zh-CN"/>
              </w:rPr>
              <w:t>复印件并加盖投标单位公章</w:t>
            </w:r>
            <w:r>
              <w:rPr>
                <w:rFonts w:hint="eastAsia" w:ascii="宋体" w:hAnsi="宋体"/>
                <w:sz w:val="24"/>
                <w:szCs w:val="24"/>
              </w:rPr>
              <w:t>装订于投标文件中</w:t>
            </w:r>
            <w:r>
              <w:rPr>
                <w:rFonts w:hint="eastAsia" w:ascii="宋体" w:hAnsi="宋体"/>
                <w:sz w:val="24"/>
                <w:szCs w:val="24"/>
                <w:lang w:eastAsia="zh-CN"/>
              </w:rPr>
              <w:t>，</w:t>
            </w:r>
            <w:r>
              <w:rPr>
                <w:rFonts w:hint="eastAsia" w:ascii="宋体" w:hAnsi="宋体"/>
                <w:b/>
                <w:bCs/>
                <w:color w:val="FF0000"/>
                <w:sz w:val="24"/>
                <w:szCs w:val="24"/>
              </w:rPr>
              <w:t>投标人中标后提供原件核验</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vMerge w:val="continue"/>
            <w:vAlign w:val="center"/>
          </w:tcPr>
          <w:p>
            <w:pPr>
              <w:ind w:firstLine="0" w:firstLineChars="0"/>
              <w:jc w:val="center"/>
              <w:rPr>
                <w:sz w:val="24"/>
                <w:szCs w:val="24"/>
              </w:rPr>
            </w:pPr>
          </w:p>
        </w:tc>
        <w:tc>
          <w:tcPr>
            <w:tcW w:w="693" w:type="dxa"/>
            <w:vMerge w:val="continue"/>
            <w:vAlign w:val="center"/>
          </w:tcPr>
          <w:p>
            <w:pPr>
              <w:ind w:firstLine="0" w:firstLineChars="0"/>
              <w:jc w:val="center"/>
              <w:rPr>
                <w:sz w:val="24"/>
                <w:szCs w:val="24"/>
              </w:rPr>
            </w:pPr>
          </w:p>
        </w:tc>
        <w:tc>
          <w:tcPr>
            <w:tcW w:w="1443" w:type="dxa"/>
            <w:vAlign w:val="center"/>
          </w:tcPr>
          <w:p>
            <w:pPr>
              <w:widowControl/>
              <w:ind w:firstLine="463" w:firstLineChars="193"/>
              <w:jc w:val="center"/>
              <w:rPr>
                <w:rFonts w:ascii="宋体" w:hAnsi="宋体"/>
                <w:sz w:val="24"/>
                <w:szCs w:val="24"/>
              </w:rPr>
            </w:pPr>
            <w:r>
              <w:rPr>
                <w:rFonts w:hint="eastAsia" w:ascii="宋体" w:hAnsi="宋体"/>
                <w:sz w:val="24"/>
                <w:szCs w:val="24"/>
              </w:rPr>
              <w:t>业  绩</w:t>
            </w:r>
          </w:p>
          <w:p>
            <w:pPr>
              <w:widowControl/>
              <w:ind w:firstLine="345" w:firstLineChars="144"/>
              <w:jc w:val="center"/>
              <w:rPr>
                <w:sz w:val="24"/>
                <w:szCs w:val="24"/>
              </w:rPr>
            </w:pPr>
            <w:r>
              <w:rPr>
                <w:rFonts w:hint="eastAsia" w:ascii="宋体" w:hAnsi="宋体"/>
                <w:sz w:val="24"/>
                <w:szCs w:val="24"/>
              </w:rPr>
              <w:t>（6分）</w:t>
            </w:r>
          </w:p>
        </w:tc>
        <w:tc>
          <w:tcPr>
            <w:tcW w:w="6160" w:type="dxa"/>
            <w:vAlign w:val="center"/>
          </w:tcPr>
          <w:p>
            <w:pPr>
              <w:ind w:firstLine="0" w:firstLineChars="0"/>
              <w:rPr>
                <w:rFonts w:hint="eastAsia" w:eastAsia="宋体"/>
                <w:sz w:val="24"/>
                <w:szCs w:val="24"/>
                <w:lang w:val="en-US" w:eastAsia="zh-CN"/>
              </w:rPr>
            </w:pPr>
            <w:r>
              <w:rPr>
                <w:rFonts w:hint="eastAsia" w:ascii="宋体" w:hAnsi="宋体"/>
                <w:sz w:val="24"/>
                <w:szCs w:val="24"/>
              </w:rPr>
              <w:t>2018年1月1日以来（以合同签订时间为准）完成的业绩证明，投标人完成过本次招标类似业绩，合同金额不少于50万元，</w:t>
            </w:r>
            <w:r>
              <w:rPr>
                <w:rFonts w:hint="eastAsia" w:ascii="宋体" w:hAnsi="宋体"/>
                <w:color w:val="auto"/>
                <w:sz w:val="24"/>
                <w:szCs w:val="24"/>
              </w:rPr>
              <w:t>每提供一份合同得</w:t>
            </w:r>
            <w:r>
              <w:rPr>
                <w:rFonts w:hint="eastAsia" w:ascii="宋体" w:hAnsi="宋体"/>
                <w:color w:val="auto"/>
                <w:sz w:val="24"/>
                <w:szCs w:val="24"/>
                <w:lang w:val="en-US" w:eastAsia="zh-CN"/>
              </w:rPr>
              <w:t>2</w:t>
            </w:r>
            <w:r>
              <w:rPr>
                <w:rFonts w:hint="eastAsia" w:ascii="宋体" w:hAnsi="宋体"/>
                <w:color w:val="auto"/>
                <w:sz w:val="24"/>
                <w:szCs w:val="24"/>
              </w:rPr>
              <w:t>分，最高得</w:t>
            </w:r>
            <w:r>
              <w:rPr>
                <w:rFonts w:hint="eastAsia" w:ascii="宋体" w:hAnsi="宋体"/>
                <w:color w:val="auto"/>
                <w:sz w:val="24"/>
                <w:szCs w:val="24"/>
                <w:lang w:val="en-US" w:eastAsia="zh-CN"/>
              </w:rPr>
              <w:t>6</w:t>
            </w:r>
            <w:r>
              <w:rPr>
                <w:rFonts w:hint="eastAsia" w:ascii="宋体" w:hAnsi="宋体"/>
                <w:color w:val="auto"/>
                <w:sz w:val="24"/>
                <w:szCs w:val="24"/>
              </w:rPr>
              <w:t>分</w:t>
            </w:r>
            <w:r>
              <w:rPr>
                <w:rFonts w:hint="eastAsia" w:ascii="宋体" w:hAnsi="宋体"/>
                <w:sz w:val="24"/>
                <w:szCs w:val="24"/>
              </w:rPr>
              <w:t>；（合同复印件加盖投标单位公章装订于投标文件中）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43" w:type="dxa"/>
            <w:vMerge w:val="continue"/>
            <w:vAlign w:val="center"/>
          </w:tcPr>
          <w:p>
            <w:pPr>
              <w:ind w:firstLine="0" w:firstLineChars="0"/>
              <w:jc w:val="center"/>
              <w:rPr>
                <w:sz w:val="24"/>
                <w:szCs w:val="24"/>
              </w:rPr>
            </w:pPr>
          </w:p>
        </w:tc>
        <w:tc>
          <w:tcPr>
            <w:tcW w:w="693" w:type="dxa"/>
            <w:vMerge w:val="continue"/>
            <w:vAlign w:val="center"/>
          </w:tcPr>
          <w:p>
            <w:pPr>
              <w:ind w:firstLine="0" w:firstLineChars="0"/>
              <w:jc w:val="center"/>
              <w:rPr>
                <w:sz w:val="24"/>
                <w:szCs w:val="24"/>
              </w:rPr>
            </w:pPr>
          </w:p>
        </w:tc>
        <w:tc>
          <w:tcPr>
            <w:tcW w:w="1443" w:type="dxa"/>
            <w:vMerge w:val="restart"/>
            <w:vAlign w:val="center"/>
          </w:tcPr>
          <w:p>
            <w:pPr>
              <w:ind w:firstLine="0" w:firstLineChars="0"/>
              <w:jc w:val="center"/>
              <w:rPr>
                <w:rFonts w:ascii="宋体" w:hAnsi="宋体"/>
                <w:sz w:val="24"/>
                <w:szCs w:val="24"/>
              </w:rPr>
            </w:pPr>
            <w:r>
              <w:rPr>
                <w:rFonts w:hint="eastAsia" w:ascii="宋体" w:hAnsi="宋体"/>
                <w:sz w:val="24"/>
                <w:szCs w:val="24"/>
              </w:rPr>
              <w:t>售后服务及培训计划（19分）</w:t>
            </w:r>
          </w:p>
        </w:tc>
        <w:tc>
          <w:tcPr>
            <w:tcW w:w="6160" w:type="dxa"/>
            <w:vAlign w:val="center"/>
          </w:tcPr>
          <w:p>
            <w:pPr>
              <w:ind w:firstLine="0" w:firstLineChars="0"/>
              <w:rPr>
                <w:rFonts w:ascii="宋体" w:hAnsi="宋体"/>
                <w:sz w:val="24"/>
                <w:szCs w:val="24"/>
              </w:rPr>
            </w:pPr>
            <w:r>
              <w:rPr>
                <w:rFonts w:hint="eastAsia" w:ascii="宋体" w:hAnsi="宋体"/>
                <w:sz w:val="24"/>
                <w:szCs w:val="24"/>
              </w:rPr>
              <w:t>投标人承诺在满足招标文件的售后服务质保期2年的得基本分1分，每增加一年质保期的加1分，本项最多得3分。</w:t>
            </w:r>
            <w:r>
              <w:rPr>
                <w:rFonts w:hint="eastAsia" w:ascii="宋体" w:hAnsi="宋体"/>
                <w:sz w:val="24"/>
                <w:szCs w:val="24"/>
                <w:highlight w:val="none"/>
              </w:rPr>
              <w:t>（以</w:t>
            </w:r>
            <w:r>
              <w:rPr>
                <w:rFonts w:hint="eastAsia" w:ascii="宋体" w:hAnsi="宋体"/>
                <w:b/>
                <w:bCs/>
                <w:sz w:val="24"/>
                <w:szCs w:val="24"/>
                <w:highlight w:val="none"/>
              </w:rPr>
              <w:t>主要投标产品</w:t>
            </w:r>
            <w:r>
              <w:rPr>
                <w:rFonts w:hint="eastAsia" w:ascii="宋体" w:hAnsi="宋体"/>
                <w:sz w:val="24"/>
                <w:szCs w:val="24"/>
                <w:highlight w:val="none"/>
              </w:rPr>
              <w:t>生产厂商或省级及以上代理商出具的原厂质保函原件为准</w:t>
            </w:r>
            <w:r>
              <w:rPr>
                <w:rFonts w:hint="eastAsia" w:ascii="宋体" w:hAnsi="宋体"/>
                <w:sz w:val="24"/>
                <w:szCs w:val="24"/>
                <w:highlight w:val="none"/>
                <w:lang w:eastAsia="zh-CN"/>
              </w:rPr>
              <w:t>，投标可提供复印</w:t>
            </w:r>
            <w:r>
              <w:rPr>
                <w:rFonts w:hint="eastAsia" w:ascii="宋体" w:hAnsi="宋体"/>
                <w:sz w:val="24"/>
                <w:szCs w:val="24"/>
                <w:lang w:eastAsia="zh-CN"/>
              </w:rPr>
              <w:t>件并加盖投标单位公章</w:t>
            </w:r>
            <w:r>
              <w:rPr>
                <w:rFonts w:hint="eastAsia" w:ascii="宋体" w:hAnsi="宋体"/>
                <w:sz w:val="24"/>
                <w:szCs w:val="24"/>
              </w:rPr>
              <w:t>装订于投标文件中</w:t>
            </w:r>
            <w:r>
              <w:rPr>
                <w:rFonts w:hint="eastAsia" w:ascii="宋体" w:hAnsi="宋体"/>
                <w:sz w:val="24"/>
                <w:szCs w:val="24"/>
                <w:lang w:eastAsia="zh-CN"/>
              </w:rPr>
              <w:t>，</w:t>
            </w:r>
            <w:r>
              <w:rPr>
                <w:rFonts w:hint="eastAsia" w:ascii="宋体" w:hAnsi="宋体"/>
                <w:b/>
                <w:bCs/>
                <w:color w:val="FF0000"/>
                <w:sz w:val="24"/>
                <w:szCs w:val="24"/>
              </w:rPr>
              <w:t>投标人中标后提供原件核验</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43" w:type="dxa"/>
            <w:vMerge w:val="continue"/>
            <w:vAlign w:val="center"/>
          </w:tcPr>
          <w:p>
            <w:pPr>
              <w:ind w:firstLine="0" w:firstLineChars="0"/>
              <w:rPr>
                <w:sz w:val="24"/>
                <w:szCs w:val="24"/>
              </w:rPr>
            </w:pPr>
          </w:p>
        </w:tc>
        <w:tc>
          <w:tcPr>
            <w:tcW w:w="693" w:type="dxa"/>
            <w:vMerge w:val="continue"/>
            <w:vAlign w:val="center"/>
          </w:tcPr>
          <w:p>
            <w:pPr>
              <w:ind w:firstLine="0" w:firstLineChars="0"/>
              <w:rPr>
                <w:sz w:val="24"/>
                <w:szCs w:val="24"/>
              </w:rPr>
            </w:pPr>
          </w:p>
        </w:tc>
        <w:tc>
          <w:tcPr>
            <w:tcW w:w="1443" w:type="dxa"/>
            <w:vMerge w:val="continue"/>
            <w:vAlign w:val="center"/>
          </w:tcPr>
          <w:p>
            <w:pPr>
              <w:ind w:firstLine="0" w:firstLineChars="0"/>
              <w:rPr>
                <w:sz w:val="24"/>
                <w:szCs w:val="24"/>
              </w:rPr>
            </w:pPr>
          </w:p>
        </w:tc>
        <w:tc>
          <w:tcPr>
            <w:tcW w:w="6160" w:type="dxa"/>
            <w:vAlign w:val="center"/>
          </w:tcPr>
          <w:p>
            <w:pPr>
              <w:ind w:firstLine="0" w:firstLineChars="0"/>
              <w:rPr>
                <w:rFonts w:ascii="宋体" w:hAnsi="宋体"/>
                <w:sz w:val="24"/>
                <w:szCs w:val="24"/>
              </w:rPr>
            </w:pPr>
            <w:r>
              <w:rPr>
                <w:rFonts w:hint="eastAsia" w:ascii="宋体" w:hAnsi="宋体"/>
                <w:sz w:val="24"/>
                <w:szCs w:val="24"/>
              </w:rPr>
              <w:t>有详细的备品备件及易损件价格清单，并承诺在质保期满后只收成本费、不收人工费，得2分；（承诺书加盖投标人公章装订于投标文件中）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43" w:type="dxa"/>
            <w:vMerge w:val="continue"/>
            <w:vAlign w:val="center"/>
          </w:tcPr>
          <w:p>
            <w:pPr>
              <w:ind w:firstLine="0" w:firstLineChars="0"/>
              <w:rPr>
                <w:rFonts w:ascii="宋体" w:hAnsi="宋体"/>
                <w:sz w:val="24"/>
                <w:szCs w:val="24"/>
              </w:rPr>
            </w:pPr>
          </w:p>
        </w:tc>
        <w:tc>
          <w:tcPr>
            <w:tcW w:w="693" w:type="dxa"/>
            <w:vMerge w:val="continue"/>
            <w:vAlign w:val="center"/>
          </w:tcPr>
          <w:p>
            <w:pPr>
              <w:ind w:firstLine="0" w:firstLineChars="0"/>
              <w:rPr>
                <w:rFonts w:ascii="宋体" w:hAnsi="宋体"/>
                <w:sz w:val="24"/>
                <w:szCs w:val="24"/>
              </w:rPr>
            </w:pPr>
          </w:p>
        </w:tc>
        <w:tc>
          <w:tcPr>
            <w:tcW w:w="1443" w:type="dxa"/>
            <w:vMerge w:val="continue"/>
            <w:vAlign w:val="center"/>
          </w:tcPr>
          <w:p>
            <w:pPr>
              <w:ind w:firstLine="0" w:firstLineChars="0"/>
              <w:rPr>
                <w:rFonts w:ascii="宋体" w:hAnsi="宋体"/>
                <w:sz w:val="24"/>
                <w:szCs w:val="24"/>
              </w:rPr>
            </w:pPr>
          </w:p>
        </w:tc>
        <w:tc>
          <w:tcPr>
            <w:tcW w:w="6160" w:type="dxa"/>
            <w:vAlign w:val="center"/>
          </w:tcPr>
          <w:p>
            <w:pPr>
              <w:ind w:firstLine="0" w:firstLineChars="0"/>
              <w:rPr>
                <w:rFonts w:ascii="宋体" w:hAnsi="宋体"/>
                <w:sz w:val="24"/>
                <w:szCs w:val="24"/>
              </w:rPr>
            </w:pPr>
            <w:r>
              <w:rPr>
                <w:rFonts w:hint="eastAsia" w:ascii="宋体" w:hAnsi="宋体"/>
                <w:sz w:val="24"/>
                <w:szCs w:val="24"/>
              </w:rPr>
              <w:t>投标人承诺在2小时内响应的得1分；针对售后服务中心情况、响应方式、服务方案按（0-2)分酌情给分，满分3分（须提供能证明维修服务站的房产证明或租赁合同及相关材料复印件）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43" w:type="dxa"/>
            <w:vMerge w:val="continue"/>
            <w:vAlign w:val="center"/>
          </w:tcPr>
          <w:p>
            <w:pPr>
              <w:ind w:firstLine="0" w:firstLineChars="0"/>
              <w:rPr>
                <w:rFonts w:ascii="宋体" w:hAnsi="宋体"/>
                <w:sz w:val="24"/>
                <w:szCs w:val="24"/>
              </w:rPr>
            </w:pPr>
          </w:p>
        </w:tc>
        <w:tc>
          <w:tcPr>
            <w:tcW w:w="693" w:type="dxa"/>
            <w:vMerge w:val="continue"/>
            <w:vAlign w:val="center"/>
          </w:tcPr>
          <w:p>
            <w:pPr>
              <w:ind w:firstLine="0" w:firstLineChars="0"/>
              <w:rPr>
                <w:rFonts w:ascii="宋体" w:hAnsi="宋体"/>
                <w:sz w:val="24"/>
                <w:szCs w:val="24"/>
              </w:rPr>
            </w:pPr>
          </w:p>
        </w:tc>
        <w:tc>
          <w:tcPr>
            <w:tcW w:w="1443" w:type="dxa"/>
            <w:vMerge w:val="continue"/>
            <w:vAlign w:val="center"/>
          </w:tcPr>
          <w:p>
            <w:pPr>
              <w:ind w:firstLine="0" w:firstLineChars="0"/>
              <w:rPr>
                <w:rFonts w:ascii="宋体" w:hAnsi="宋体"/>
                <w:sz w:val="24"/>
                <w:szCs w:val="24"/>
              </w:rPr>
            </w:pPr>
          </w:p>
        </w:tc>
        <w:tc>
          <w:tcPr>
            <w:tcW w:w="6160" w:type="dxa"/>
            <w:vAlign w:val="center"/>
          </w:tcPr>
          <w:p>
            <w:pPr>
              <w:ind w:firstLine="0" w:firstLineChars="0"/>
              <w:rPr>
                <w:rFonts w:ascii="宋体" w:hAnsi="宋体"/>
                <w:sz w:val="24"/>
                <w:szCs w:val="24"/>
              </w:rPr>
            </w:pPr>
            <w:r>
              <w:rPr>
                <w:rFonts w:hint="eastAsia" w:ascii="宋体" w:hAnsi="宋体"/>
                <w:sz w:val="24"/>
                <w:szCs w:val="24"/>
              </w:rPr>
              <w:t>收费得分=(项目维护年收费报价的平均值/投标项目维护年收费报价)×7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43" w:type="dxa"/>
            <w:vMerge w:val="continue"/>
            <w:vAlign w:val="center"/>
          </w:tcPr>
          <w:p>
            <w:pPr>
              <w:ind w:firstLine="0" w:firstLineChars="0"/>
              <w:rPr>
                <w:rFonts w:ascii="宋体" w:hAnsi="宋体"/>
                <w:sz w:val="24"/>
                <w:szCs w:val="24"/>
              </w:rPr>
            </w:pPr>
          </w:p>
        </w:tc>
        <w:tc>
          <w:tcPr>
            <w:tcW w:w="693" w:type="dxa"/>
            <w:vMerge w:val="continue"/>
            <w:vAlign w:val="center"/>
          </w:tcPr>
          <w:p>
            <w:pPr>
              <w:ind w:firstLine="0" w:firstLineChars="0"/>
              <w:rPr>
                <w:rFonts w:ascii="宋体" w:hAnsi="宋体"/>
                <w:sz w:val="24"/>
                <w:szCs w:val="24"/>
              </w:rPr>
            </w:pPr>
          </w:p>
        </w:tc>
        <w:tc>
          <w:tcPr>
            <w:tcW w:w="1443" w:type="dxa"/>
            <w:vMerge w:val="continue"/>
            <w:vAlign w:val="center"/>
          </w:tcPr>
          <w:p>
            <w:pPr>
              <w:ind w:firstLine="0" w:firstLineChars="0"/>
              <w:rPr>
                <w:rFonts w:ascii="宋体" w:hAnsi="宋体"/>
                <w:sz w:val="24"/>
                <w:szCs w:val="24"/>
              </w:rPr>
            </w:pPr>
          </w:p>
        </w:tc>
        <w:tc>
          <w:tcPr>
            <w:tcW w:w="6160" w:type="dxa"/>
            <w:vAlign w:val="center"/>
          </w:tcPr>
          <w:p>
            <w:pPr>
              <w:ind w:firstLine="0" w:firstLineChars="0"/>
              <w:rPr>
                <w:rFonts w:ascii="宋体" w:hAnsi="宋体"/>
                <w:sz w:val="24"/>
                <w:szCs w:val="24"/>
              </w:rPr>
            </w:pPr>
            <w:r>
              <w:rPr>
                <w:rFonts w:hint="eastAsia" w:ascii="宋体" w:hAnsi="宋体"/>
                <w:sz w:val="24"/>
                <w:szCs w:val="24"/>
              </w:rPr>
              <w:t>评委根据投标货物的原厂提供的外出培训计划及方案进行综合打分，优得（2-4)分，良得（1-2)，差得（0-1)分。（培训方案主要投标产品加盖原厂公章装订于投标文件中）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3" w:type="dxa"/>
            <w:vMerge w:val="restart"/>
            <w:vAlign w:val="center"/>
          </w:tcPr>
          <w:p>
            <w:pPr>
              <w:ind w:firstLine="0" w:firstLineChars="0"/>
              <w:jc w:val="center"/>
              <w:rPr>
                <w:sz w:val="24"/>
                <w:szCs w:val="24"/>
              </w:rPr>
            </w:pPr>
            <w:r>
              <w:rPr>
                <w:sz w:val="24"/>
                <w:szCs w:val="24"/>
              </w:rPr>
              <w:t>2.2.4</w:t>
            </w:r>
            <w:r>
              <w:rPr>
                <w:rFonts w:hint="eastAsia"/>
                <w:sz w:val="24"/>
                <w:szCs w:val="24"/>
              </w:rPr>
              <w:t>（2）</w:t>
            </w:r>
          </w:p>
        </w:tc>
        <w:tc>
          <w:tcPr>
            <w:tcW w:w="693" w:type="dxa"/>
            <w:vMerge w:val="restart"/>
            <w:vAlign w:val="center"/>
          </w:tcPr>
          <w:p>
            <w:pPr>
              <w:ind w:firstLine="0" w:firstLineChars="0"/>
              <w:jc w:val="center"/>
              <w:rPr>
                <w:sz w:val="24"/>
                <w:szCs w:val="24"/>
              </w:rPr>
            </w:pPr>
            <w:r>
              <w:rPr>
                <w:rFonts w:hint="eastAsia"/>
                <w:sz w:val="24"/>
                <w:szCs w:val="24"/>
              </w:rPr>
              <w:t>技术评分标准</w:t>
            </w:r>
          </w:p>
        </w:tc>
        <w:tc>
          <w:tcPr>
            <w:tcW w:w="1443" w:type="dxa"/>
            <w:vMerge w:val="restart"/>
            <w:vAlign w:val="center"/>
          </w:tcPr>
          <w:p>
            <w:pPr>
              <w:ind w:firstLine="0" w:firstLineChars="0"/>
              <w:jc w:val="center"/>
              <w:rPr>
                <w:sz w:val="24"/>
                <w:szCs w:val="24"/>
              </w:rPr>
            </w:pPr>
            <w:r>
              <w:rPr>
                <w:rFonts w:hint="eastAsia"/>
                <w:sz w:val="24"/>
                <w:szCs w:val="24"/>
              </w:rPr>
              <w:t>技术参数（15分）</w:t>
            </w:r>
          </w:p>
        </w:tc>
        <w:tc>
          <w:tcPr>
            <w:tcW w:w="6160" w:type="dxa"/>
            <w:vAlign w:val="center"/>
          </w:tcPr>
          <w:p>
            <w:pPr>
              <w:ind w:firstLine="0" w:firstLineChars="0"/>
              <w:rPr>
                <w:rFonts w:ascii="宋体" w:hAnsi="宋体"/>
                <w:sz w:val="24"/>
                <w:szCs w:val="24"/>
              </w:rPr>
            </w:pPr>
            <w:r>
              <w:rPr>
                <w:rFonts w:hint="eastAsia" w:ascii="宋体" w:hAnsi="宋体"/>
                <w:sz w:val="24"/>
                <w:szCs w:val="24"/>
              </w:rPr>
              <w:t>评委根据其技术合理性、先进性、完善性进行综合打分，优得（3-5)，良得（1-3)，差得（0-1)。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3" w:type="dxa"/>
            <w:vMerge w:val="continue"/>
            <w:vAlign w:val="center"/>
          </w:tcPr>
          <w:p>
            <w:pPr>
              <w:jc w:val="left"/>
              <w:rPr>
                <w:sz w:val="24"/>
                <w:szCs w:val="24"/>
              </w:rPr>
            </w:pPr>
          </w:p>
        </w:tc>
        <w:tc>
          <w:tcPr>
            <w:tcW w:w="693" w:type="dxa"/>
            <w:vMerge w:val="continue"/>
            <w:vAlign w:val="center"/>
          </w:tcPr>
          <w:p>
            <w:pPr>
              <w:jc w:val="left"/>
              <w:rPr>
                <w:sz w:val="24"/>
                <w:szCs w:val="24"/>
              </w:rPr>
            </w:pPr>
          </w:p>
        </w:tc>
        <w:tc>
          <w:tcPr>
            <w:tcW w:w="1443" w:type="dxa"/>
            <w:vMerge w:val="continue"/>
            <w:vAlign w:val="center"/>
          </w:tcPr>
          <w:p>
            <w:pPr>
              <w:jc w:val="left"/>
              <w:rPr>
                <w:sz w:val="24"/>
                <w:szCs w:val="24"/>
              </w:rPr>
            </w:pPr>
          </w:p>
        </w:tc>
        <w:tc>
          <w:tcPr>
            <w:tcW w:w="6160" w:type="dxa"/>
            <w:vAlign w:val="center"/>
          </w:tcPr>
          <w:p>
            <w:pPr>
              <w:ind w:firstLine="480" w:firstLineChars="200"/>
              <w:rPr>
                <w:rFonts w:hint="eastAsia" w:ascii="Arial" w:hAnsi="Arial" w:cs="Arial"/>
                <w:sz w:val="24"/>
                <w:szCs w:val="24"/>
                <w:highlight w:val="none"/>
              </w:rPr>
            </w:pPr>
            <w:r>
              <w:rPr>
                <w:rFonts w:hint="eastAsia" w:ascii="宋体" w:hAnsi="宋体"/>
                <w:sz w:val="24"/>
                <w:szCs w:val="24"/>
              </w:rPr>
              <w:t>根据所投产品技术参数偏离表的配置与性能指标、技术参数符合性、技术偏离项等对招标文件的响应程度对投标人打分，</w:t>
            </w:r>
            <w:r>
              <w:rPr>
                <w:rFonts w:hint="eastAsia" w:ascii="Arial" w:hAnsi="Arial" w:cs="Arial"/>
                <w:sz w:val="24"/>
                <w:szCs w:val="24"/>
                <w:highlight w:val="none"/>
              </w:rPr>
              <w:t>满足招标文件标注“</w:t>
            </w:r>
            <w:r>
              <w:rPr>
                <w:rFonts w:hint="eastAsia" w:ascii="宋体" w:hAnsi="宋体"/>
                <w:color w:val="000000" w:themeColor="text1"/>
                <w:sz w:val="24"/>
                <w:szCs w:val="24"/>
                <w14:textFill>
                  <w14:solidFill>
                    <w14:schemeClr w14:val="tx1"/>
                  </w14:solidFill>
                </w14:textFill>
              </w:rPr>
              <w:t>★</w:t>
            </w:r>
            <w:r>
              <w:rPr>
                <w:rFonts w:hint="eastAsia" w:ascii="Arial" w:hAnsi="Arial" w:cs="Arial"/>
                <w:sz w:val="24"/>
                <w:szCs w:val="24"/>
                <w:highlight w:val="none"/>
              </w:rPr>
              <w:t>”、“</w:t>
            </w:r>
            <w:r>
              <w:rPr>
                <w:rFonts w:hint="eastAsia" w:ascii="宋体" w:hAnsi="宋体"/>
                <w:sz w:val="24"/>
                <w:szCs w:val="24"/>
              </w:rPr>
              <w:t>●</w:t>
            </w:r>
            <w:r>
              <w:rPr>
                <w:rFonts w:hint="eastAsia" w:ascii="Arial" w:hAnsi="Arial" w:cs="Arial"/>
                <w:sz w:val="24"/>
                <w:szCs w:val="24"/>
                <w:highlight w:val="none"/>
              </w:rPr>
              <w:t>”号技术性能及功能，得</w:t>
            </w:r>
            <w:r>
              <w:rPr>
                <w:rFonts w:hint="eastAsia" w:ascii="Arial" w:hAnsi="Arial" w:cs="Arial"/>
                <w:color w:val="auto"/>
                <w:sz w:val="24"/>
                <w:szCs w:val="24"/>
                <w:highlight w:val="none"/>
                <w:lang w:val="en-US" w:eastAsia="zh-CN"/>
              </w:rPr>
              <w:t>10</w:t>
            </w:r>
            <w:r>
              <w:rPr>
                <w:rFonts w:hint="eastAsia" w:ascii="Arial" w:hAnsi="Arial" w:cs="Arial"/>
                <w:sz w:val="24"/>
                <w:szCs w:val="24"/>
                <w:highlight w:val="none"/>
              </w:rPr>
              <w:t>分。</w:t>
            </w:r>
          </w:p>
          <w:p>
            <w:pPr>
              <w:ind w:firstLine="480" w:firstLineChars="200"/>
              <w:rPr>
                <w:rFonts w:hint="eastAsia" w:ascii="宋体" w:hAnsi="宋体"/>
                <w:sz w:val="24"/>
                <w:szCs w:val="24"/>
              </w:rPr>
            </w:pPr>
            <w:r>
              <w:rPr>
                <w:rFonts w:hint="eastAsia" w:ascii="宋体" w:hAnsi="宋体"/>
                <w:sz w:val="24"/>
                <w:szCs w:val="24"/>
              </w:rPr>
              <w:t>投标文件中标注“★”号的条款为实质性条款，必须满足，否则投标无效。标注“●”号的条款有负偏离的，则每项扣1分，1</w:t>
            </w:r>
            <w:r>
              <w:rPr>
                <w:rFonts w:hint="eastAsia" w:ascii="宋体" w:hAnsi="宋体"/>
                <w:sz w:val="24"/>
                <w:szCs w:val="24"/>
                <w:lang w:val="en-US" w:eastAsia="zh-CN"/>
              </w:rPr>
              <w:t>0</w:t>
            </w:r>
            <w:r>
              <w:rPr>
                <w:rFonts w:hint="eastAsia" w:ascii="宋体" w:hAnsi="宋体"/>
                <w:sz w:val="24"/>
                <w:szCs w:val="24"/>
              </w:rPr>
              <w:t>分扣完为止</w:t>
            </w:r>
            <w:r>
              <w:rPr>
                <w:rFonts w:hint="eastAsia" w:ascii="宋体" w:hAnsi="宋体"/>
                <w:sz w:val="24"/>
                <w:szCs w:val="24"/>
                <w:lang w:eastAsia="zh-CN"/>
              </w:rPr>
              <w:t>（响应及偏离情况应在技术响应及偏差表中体现）</w:t>
            </w:r>
            <w:r>
              <w:rPr>
                <w:rFonts w:hint="eastAsia" w:ascii="宋体" w:hAnsi="宋体"/>
                <w:sz w:val="24"/>
                <w:szCs w:val="24"/>
              </w:rPr>
              <w:t>。</w:t>
            </w:r>
          </w:p>
          <w:p>
            <w:pPr>
              <w:ind w:firstLine="240" w:firstLineChars="100"/>
              <w:rPr>
                <w:rFonts w:ascii="宋体" w:hAnsi="宋体"/>
                <w:sz w:val="24"/>
                <w:szCs w:val="24"/>
              </w:rPr>
            </w:pPr>
            <w:r>
              <w:rPr>
                <w:rFonts w:hint="eastAsia" w:ascii="宋体" w:hAnsi="宋体"/>
                <w:sz w:val="24"/>
                <w:szCs w:val="24"/>
              </w:rPr>
              <w:t>（须提供投标产品宣传彩页（须包含详细的技术参数）或投标设备生产厂商或省级及以上代理商出具的技术参数偏离表加盖生产厂商或省级及以上代理商公章）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Align w:val="center"/>
          </w:tcPr>
          <w:p>
            <w:pPr>
              <w:ind w:firstLine="0" w:firstLineChars="0"/>
              <w:jc w:val="center"/>
              <w:rPr>
                <w:sz w:val="24"/>
                <w:szCs w:val="24"/>
              </w:rPr>
            </w:pPr>
            <w:r>
              <w:rPr>
                <w:sz w:val="24"/>
                <w:szCs w:val="24"/>
              </w:rPr>
              <w:t>2.2.4</w:t>
            </w:r>
            <w:r>
              <w:rPr>
                <w:rFonts w:hint="eastAsia"/>
                <w:sz w:val="24"/>
                <w:szCs w:val="24"/>
              </w:rPr>
              <w:t>（3）</w:t>
            </w:r>
          </w:p>
        </w:tc>
        <w:tc>
          <w:tcPr>
            <w:tcW w:w="693" w:type="dxa"/>
            <w:vAlign w:val="center"/>
          </w:tcPr>
          <w:p>
            <w:pPr>
              <w:ind w:firstLine="0" w:firstLineChars="0"/>
              <w:jc w:val="center"/>
              <w:rPr>
                <w:sz w:val="24"/>
                <w:szCs w:val="24"/>
              </w:rPr>
            </w:pPr>
            <w:r>
              <w:rPr>
                <w:rFonts w:hint="eastAsia"/>
                <w:sz w:val="24"/>
                <w:szCs w:val="24"/>
              </w:rPr>
              <w:t>投标报价评分标准</w:t>
            </w:r>
          </w:p>
        </w:tc>
        <w:tc>
          <w:tcPr>
            <w:tcW w:w="1443" w:type="dxa"/>
            <w:vAlign w:val="center"/>
          </w:tcPr>
          <w:p>
            <w:pPr>
              <w:ind w:firstLine="0" w:firstLineChars="0"/>
              <w:jc w:val="center"/>
              <w:rPr>
                <w:sz w:val="24"/>
                <w:szCs w:val="24"/>
              </w:rPr>
            </w:pPr>
            <w:r>
              <w:rPr>
                <w:rFonts w:hint="eastAsia"/>
                <w:sz w:val="24"/>
                <w:szCs w:val="24"/>
              </w:rPr>
              <w:t>报价得分（50分）</w:t>
            </w:r>
          </w:p>
        </w:tc>
        <w:tc>
          <w:tcPr>
            <w:tcW w:w="6160" w:type="dxa"/>
            <w:vAlign w:val="center"/>
          </w:tcPr>
          <w:p>
            <w:pPr>
              <w:ind w:firstLine="0" w:firstLineChars="0"/>
              <w:jc w:val="left"/>
              <w:rPr>
                <w:sz w:val="24"/>
                <w:szCs w:val="24"/>
              </w:rPr>
            </w:pPr>
            <w:r>
              <w:rPr>
                <w:rFonts w:hint="eastAsia"/>
                <w:sz w:val="24"/>
                <w:szCs w:val="24"/>
              </w:rPr>
              <w:t>以满足招标文件要求的最低报价为评标基准价，得满分50分，其他报价得分＝（评标基准价/其他投标报价）×50×100％。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9" w:type="dxa"/>
            <w:gridSpan w:val="3"/>
            <w:vAlign w:val="center"/>
          </w:tcPr>
          <w:p>
            <w:pPr>
              <w:ind w:firstLine="0" w:firstLineChars="0"/>
              <w:jc w:val="center"/>
              <w:rPr>
                <w:sz w:val="24"/>
                <w:szCs w:val="24"/>
              </w:rPr>
            </w:pPr>
            <w:r>
              <w:rPr>
                <w:rFonts w:hint="eastAsia"/>
                <w:sz w:val="24"/>
                <w:szCs w:val="24"/>
              </w:rPr>
              <w:t>说明</w:t>
            </w:r>
          </w:p>
        </w:tc>
        <w:tc>
          <w:tcPr>
            <w:tcW w:w="6160" w:type="dxa"/>
            <w:vAlign w:val="center"/>
          </w:tcPr>
          <w:p>
            <w:pPr>
              <w:ind w:firstLine="0" w:firstLineChars="0"/>
              <w:jc w:val="left"/>
              <w:rPr>
                <w:rFonts w:hint="default" w:eastAsia="宋体"/>
                <w:sz w:val="24"/>
                <w:szCs w:val="24"/>
                <w:lang w:val="en-US" w:eastAsia="zh-CN"/>
              </w:rPr>
            </w:pPr>
            <w:r>
              <w:rPr>
                <w:rFonts w:hint="eastAsia" w:ascii="宋体" w:hAnsi="宋体"/>
                <w:sz w:val="24"/>
                <w:szCs w:val="24"/>
                <w:highlight w:val="none"/>
              </w:rPr>
              <w:t>评审标准中</w:t>
            </w:r>
            <w:r>
              <w:rPr>
                <w:rFonts w:hint="eastAsia" w:ascii="宋体" w:hAnsi="宋体"/>
                <w:b/>
                <w:bCs/>
                <w:color w:val="FF0000"/>
                <w:sz w:val="24"/>
                <w:szCs w:val="24"/>
                <w:highlight w:val="none"/>
              </w:rPr>
              <w:t>主要投标产品</w:t>
            </w:r>
            <w:r>
              <w:rPr>
                <w:rFonts w:hint="eastAsia" w:ascii="宋体" w:hAnsi="宋体"/>
                <w:sz w:val="24"/>
                <w:szCs w:val="24"/>
                <w:highlight w:val="none"/>
              </w:rPr>
              <w:t>指的是</w:t>
            </w:r>
            <w:r>
              <w:rPr>
                <w:rFonts w:hint="eastAsia" w:ascii="宋体" w:hAnsi="宋体"/>
                <w:sz w:val="24"/>
                <w:szCs w:val="24"/>
                <w:highlight w:val="none"/>
                <w:lang w:val="en-US" w:eastAsia="zh-CN"/>
              </w:rPr>
              <w:t>:</w:t>
            </w:r>
            <w:r>
              <w:rPr>
                <w:rFonts w:hint="eastAsia" w:ascii="宋体" w:hAnsi="宋体"/>
                <w:sz w:val="24"/>
                <w:szCs w:val="24"/>
                <w:highlight w:val="none"/>
                <w:lang w:eastAsia="zh-CN"/>
              </w:rPr>
              <w:t>紫外可见分光光度计、溶解氧仪、一体显微镜、台式溶解氧仪，粪大肠检测过滤器、生化培养箱、超净台、万分之一天平。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gridSpan w:val="2"/>
            <w:vAlign w:val="center"/>
          </w:tcPr>
          <w:p>
            <w:pPr>
              <w:ind w:firstLine="0" w:firstLineChars="0"/>
              <w:jc w:val="center"/>
              <w:rPr>
                <w:b/>
                <w:sz w:val="24"/>
                <w:szCs w:val="24"/>
              </w:rPr>
            </w:pPr>
            <w:r>
              <w:rPr>
                <w:rFonts w:hint="eastAsia"/>
                <w:b/>
                <w:sz w:val="24"/>
                <w:szCs w:val="24"/>
              </w:rPr>
              <w:t>条款号</w:t>
            </w:r>
          </w:p>
        </w:tc>
        <w:tc>
          <w:tcPr>
            <w:tcW w:w="1443" w:type="dxa"/>
            <w:vAlign w:val="center"/>
          </w:tcPr>
          <w:p>
            <w:pPr>
              <w:ind w:firstLine="0" w:firstLineChars="0"/>
              <w:jc w:val="center"/>
              <w:rPr>
                <w:b/>
                <w:sz w:val="24"/>
                <w:szCs w:val="24"/>
              </w:rPr>
            </w:pPr>
            <w:r>
              <w:rPr>
                <w:rFonts w:hint="eastAsia"/>
                <w:b/>
                <w:sz w:val="24"/>
                <w:szCs w:val="24"/>
              </w:rPr>
              <w:t>条款内容</w:t>
            </w:r>
          </w:p>
        </w:tc>
        <w:tc>
          <w:tcPr>
            <w:tcW w:w="6160" w:type="dxa"/>
            <w:vAlign w:val="center"/>
          </w:tcPr>
          <w:p>
            <w:pPr>
              <w:ind w:firstLine="0" w:firstLineChars="0"/>
              <w:jc w:val="center"/>
              <w:rPr>
                <w:b/>
                <w:sz w:val="24"/>
                <w:szCs w:val="24"/>
              </w:rPr>
            </w:pPr>
            <w:r>
              <w:rPr>
                <w:rFonts w:hint="eastAsia"/>
                <w:b/>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36" w:type="dxa"/>
            <w:gridSpan w:val="2"/>
            <w:vMerge w:val="restart"/>
            <w:vAlign w:val="center"/>
          </w:tcPr>
          <w:p>
            <w:pPr>
              <w:ind w:firstLine="0" w:firstLineChars="0"/>
              <w:jc w:val="center"/>
              <w:rPr>
                <w:sz w:val="24"/>
                <w:szCs w:val="24"/>
              </w:rPr>
            </w:pPr>
            <w:r>
              <w:rPr>
                <w:rFonts w:hint="eastAsia"/>
                <w:sz w:val="24"/>
                <w:szCs w:val="24"/>
              </w:rPr>
              <w:t>3.1.2（2）</w:t>
            </w:r>
          </w:p>
        </w:tc>
        <w:tc>
          <w:tcPr>
            <w:tcW w:w="1443" w:type="dxa"/>
            <w:vMerge w:val="restart"/>
            <w:vAlign w:val="center"/>
          </w:tcPr>
          <w:p>
            <w:pPr>
              <w:ind w:firstLine="0" w:firstLineChars="0"/>
              <w:jc w:val="center"/>
              <w:rPr>
                <w:sz w:val="24"/>
                <w:szCs w:val="24"/>
              </w:rPr>
            </w:pPr>
            <w:r>
              <w:rPr>
                <w:rFonts w:hint="eastAsia"/>
                <w:sz w:val="24"/>
                <w:szCs w:val="24"/>
              </w:rPr>
              <w:t>串通投标</w:t>
            </w:r>
          </w:p>
        </w:tc>
        <w:tc>
          <w:tcPr>
            <w:tcW w:w="6160" w:type="dxa"/>
            <w:vAlign w:val="center"/>
          </w:tcPr>
          <w:p>
            <w:pPr>
              <w:ind w:firstLine="0" w:firstLineChars="0"/>
              <w:jc w:val="left"/>
              <w:rPr>
                <w:sz w:val="24"/>
                <w:szCs w:val="24"/>
              </w:rPr>
            </w:pPr>
            <w:r>
              <w:rPr>
                <w:rFonts w:hint="eastAsia"/>
                <w:sz w:val="24"/>
                <w:szCs w:val="24"/>
              </w:rPr>
              <w:t>有下列情形之一的，属于投标人相互串通投标：</w:t>
            </w:r>
          </w:p>
          <w:p>
            <w:pPr>
              <w:numPr>
                <w:ilvl w:val="0"/>
                <w:numId w:val="3"/>
              </w:numPr>
              <w:ind w:firstLineChars="0"/>
              <w:jc w:val="left"/>
              <w:rPr>
                <w:sz w:val="24"/>
                <w:szCs w:val="24"/>
              </w:rPr>
            </w:pPr>
            <w:r>
              <w:rPr>
                <w:rFonts w:hint="eastAsia"/>
                <w:sz w:val="24"/>
                <w:szCs w:val="24"/>
              </w:rPr>
              <w:t>投标人之间协商投标报价等投标文件的实质性内容；</w:t>
            </w:r>
          </w:p>
          <w:p>
            <w:pPr>
              <w:numPr>
                <w:ilvl w:val="0"/>
                <w:numId w:val="3"/>
              </w:numPr>
              <w:ind w:firstLineChars="0"/>
              <w:jc w:val="left"/>
              <w:rPr>
                <w:sz w:val="24"/>
                <w:szCs w:val="24"/>
              </w:rPr>
            </w:pPr>
            <w:r>
              <w:rPr>
                <w:rFonts w:hint="eastAsia"/>
                <w:sz w:val="24"/>
                <w:szCs w:val="24"/>
              </w:rPr>
              <w:t>投标人之间约定中标人；</w:t>
            </w:r>
          </w:p>
          <w:p>
            <w:pPr>
              <w:numPr>
                <w:ilvl w:val="0"/>
                <w:numId w:val="3"/>
              </w:numPr>
              <w:ind w:firstLineChars="0"/>
              <w:jc w:val="left"/>
              <w:rPr>
                <w:sz w:val="24"/>
                <w:szCs w:val="24"/>
              </w:rPr>
            </w:pPr>
            <w:r>
              <w:rPr>
                <w:rFonts w:hint="eastAsia"/>
                <w:sz w:val="24"/>
                <w:szCs w:val="24"/>
              </w:rPr>
              <w:t>投标人之间约定部分投标人放弃投标或者中标；</w:t>
            </w:r>
          </w:p>
          <w:p>
            <w:pPr>
              <w:numPr>
                <w:ilvl w:val="0"/>
                <w:numId w:val="3"/>
              </w:numPr>
              <w:ind w:firstLineChars="0"/>
              <w:jc w:val="left"/>
              <w:rPr>
                <w:sz w:val="24"/>
                <w:szCs w:val="24"/>
              </w:rPr>
            </w:pPr>
            <w:r>
              <w:rPr>
                <w:rFonts w:hint="eastAsia"/>
                <w:sz w:val="24"/>
                <w:szCs w:val="24"/>
              </w:rPr>
              <w:t>属于同一集团、协会、商会等组织成员的投标人按照该组织要求协同投标；</w:t>
            </w:r>
          </w:p>
          <w:p>
            <w:pPr>
              <w:numPr>
                <w:ilvl w:val="0"/>
                <w:numId w:val="3"/>
              </w:numPr>
              <w:ind w:firstLineChars="0"/>
              <w:jc w:val="left"/>
              <w:rPr>
                <w:sz w:val="24"/>
                <w:szCs w:val="24"/>
              </w:rPr>
            </w:pPr>
            <w:r>
              <w:rPr>
                <w:rFonts w:hint="eastAsia"/>
                <w:sz w:val="24"/>
                <w:szCs w:val="24"/>
              </w:rPr>
              <w:t>投标人之间为谋取中标或者排斥特定投标人而采取的其他联合行动。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36" w:type="dxa"/>
            <w:gridSpan w:val="2"/>
            <w:vMerge w:val="continue"/>
            <w:vAlign w:val="center"/>
          </w:tcPr>
          <w:p>
            <w:pPr>
              <w:ind w:firstLine="0" w:firstLineChars="0"/>
              <w:jc w:val="center"/>
              <w:rPr>
                <w:sz w:val="24"/>
                <w:szCs w:val="24"/>
              </w:rPr>
            </w:pPr>
          </w:p>
        </w:tc>
        <w:tc>
          <w:tcPr>
            <w:tcW w:w="1443" w:type="dxa"/>
            <w:vMerge w:val="continue"/>
            <w:vAlign w:val="center"/>
          </w:tcPr>
          <w:p>
            <w:pPr>
              <w:ind w:firstLine="0" w:firstLineChars="0"/>
              <w:jc w:val="center"/>
              <w:rPr>
                <w:sz w:val="24"/>
                <w:szCs w:val="24"/>
              </w:rPr>
            </w:pPr>
          </w:p>
        </w:tc>
        <w:tc>
          <w:tcPr>
            <w:tcW w:w="6160" w:type="dxa"/>
            <w:vAlign w:val="center"/>
          </w:tcPr>
          <w:p>
            <w:pPr>
              <w:ind w:firstLine="0" w:firstLineChars="0"/>
              <w:jc w:val="left"/>
              <w:rPr>
                <w:sz w:val="24"/>
                <w:szCs w:val="24"/>
              </w:rPr>
            </w:pPr>
            <w:r>
              <w:rPr>
                <w:rFonts w:hint="eastAsia"/>
                <w:sz w:val="24"/>
                <w:szCs w:val="24"/>
              </w:rPr>
              <w:t>有下列情形之一的，视为投标人相互串通投标：</w:t>
            </w:r>
          </w:p>
          <w:p>
            <w:pPr>
              <w:numPr>
                <w:ilvl w:val="0"/>
                <w:numId w:val="4"/>
              </w:numPr>
              <w:ind w:firstLineChars="0"/>
              <w:jc w:val="left"/>
              <w:rPr>
                <w:sz w:val="24"/>
                <w:szCs w:val="24"/>
              </w:rPr>
            </w:pPr>
            <w:r>
              <w:rPr>
                <w:rFonts w:hint="eastAsia"/>
                <w:sz w:val="24"/>
                <w:szCs w:val="24"/>
              </w:rPr>
              <w:t>不同投标人的投标文件由同一单位或者个人编制；</w:t>
            </w:r>
          </w:p>
          <w:p>
            <w:pPr>
              <w:numPr>
                <w:ilvl w:val="0"/>
                <w:numId w:val="4"/>
              </w:numPr>
              <w:ind w:firstLineChars="0"/>
              <w:jc w:val="left"/>
              <w:rPr>
                <w:sz w:val="24"/>
                <w:szCs w:val="24"/>
              </w:rPr>
            </w:pPr>
            <w:r>
              <w:rPr>
                <w:rFonts w:hint="eastAsia"/>
                <w:sz w:val="24"/>
                <w:szCs w:val="24"/>
              </w:rPr>
              <w:t>不同投标人委托同一单位或者个人办理投标事宜；</w:t>
            </w:r>
          </w:p>
          <w:p>
            <w:pPr>
              <w:numPr>
                <w:ilvl w:val="0"/>
                <w:numId w:val="4"/>
              </w:numPr>
              <w:ind w:firstLineChars="0"/>
              <w:jc w:val="left"/>
              <w:rPr>
                <w:sz w:val="24"/>
                <w:szCs w:val="24"/>
              </w:rPr>
            </w:pPr>
            <w:r>
              <w:rPr>
                <w:rFonts w:hint="eastAsia"/>
                <w:sz w:val="24"/>
                <w:szCs w:val="24"/>
              </w:rPr>
              <w:t>不同投标人的投标文件载明的项目管理成员为同一人；</w:t>
            </w:r>
          </w:p>
          <w:p>
            <w:pPr>
              <w:numPr>
                <w:ilvl w:val="0"/>
                <w:numId w:val="4"/>
              </w:numPr>
              <w:ind w:firstLineChars="0"/>
              <w:jc w:val="left"/>
              <w:rPr>
                <w:sz w:val="24"/>
                <w:szCs w:val="24"/>
              </w:rPr>
            </w:pPr>
            <w:r>
              <w:rPr>
                <w:rFonts w:hint="eastAsia"/>
                <w:sz w:val="24"/>
                <w:szCs w:val="24"/>
              </w:rPr>
              <w:t>不同投标人的投标文件异常一致或者投标报价呈规律性差异；</w:t>
            </w:r>
          </w:p>
          <w:p>
            <w:pPr>
              <w:numPr>
                <w:ilvl w:val="0"/>
                <w:numId w:val="4"/>
              </w:numPr>
              <w:ind w:firstLineChars="0"/>
              <w:jc w:val="left"/>
              <w:rPr>
                <w:sz w:val="24"/>
                <w:szCs w:val="24"/>
              </w:rPr>
            </w:pPr>
            <w:r>
              <w:rPr>
                <w:rFonts w:hint="eastAsia"/>
                <w:sz w:val="24"/>
                <w:szCs w:val="24"/>
              </w:rPr>
              <w:t>不同投标人的投标文件相互混装；</w:t>
            </w:r>
          </w:p>
          <w:p>
            <w:pPr>
              <w:numPr>
                <w:ilvl w:val="0"/>
                <w:numId w:val="4"/>
              </w:numPr>
              <w:ind w:firstLineChars="0"/>
              <w:jc w:val="left"/>
              <w:rPr>
                <w:sz w:val="24"/>
                <w:szCs w:val="24"/>
              </w:rPr>
            </w:pPr>
            <w:r>
              <w:rPr>
                <w:rFonts w:hint="eastAsia"/>
                <w:sz w:val="24"/>
                <w:szCs w:val="24"/>
              </w:rPr>
              <w:t>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36" w:type="dxa"/>
            <w:gridSpan w:val="2"/>
            <w:vMerge w:val="continue"/>
            <w:vAlign w:val="center"/>
          </w:tcPr>
          <w:p>
            <w:pPr>
              <w:ind w:firstLine="0" w:firstLineChars="0"/>
              <w:jc w:val="center"/>
              <w:rPr>
                <w:sz w:val="24"/>
                <w:szCs w:val="24"/>
              </w:rPr>
            </w:pPr>
          </w:p>
        </w:tc>
        <w:tc>
          <w:tcPr>
            <w:tcW w:w="1443" w:type="dxa"/>
            <w:vMerge w:val="continue"/>
            <w:vAlign w:val="center"/>
          </w:tcPr>
          <w:p>
            <w:pPr>
              <w:ind w:firstLine="0" w:firstLineChars="0"/>
              <w:jc w:val="center"/>
              <w:rPr>
                <w:sz w:val="24"/>
                <w:szCs w:val="24"/>
              </w:rPr>
            </w:pPr>
          </w:p>
        </w:tc>
        <w:tc>
          <w:tcPr>
            <w:tcW w:w="6160" w:type="dxa"/>
            <w:vAlign w:val="center"/>
          </w:tcPr>
          <w:p>
            <w:pPr>
              <w:ind w:firstLine="0" w:firstLineChars="0"/>
              <w:jc w:val="left"/>
              <w:rPr>
                <w:sz w:val="24"/>
                <w:szCs w:val="24"/>
              </w:rPr>
            </w:pPr>
            <w:r>
              <w:rPr>
                <w:rFonts w:hint="eastAsia"/>
                <w:sz w:val="24"/>
                <w:szCs w:val="24"/>
              </w:rPr>
              <w:t>有下列情形之一的，属于招标人与投标人串通投标：</w:t>
            </w:r>
          </w:p>
          <w:p>
            <w:pPr>
              <w:numPr>
                <w:ilvl w:val="0"/>
                <w:numId w:val="5"/>
              </w:numPr>
              <w:ind w:firstLineChars="0"/>
              <w:jc w:val="left"/>
              <w:rPr>
                <w:sz w:val="24"/>
                <w:szCs w:val="24"/>
              </w:rPr>
            </w:pPr>
            <w:r>
              <w:rPr>
                <w:rFonts w:hint="eastAsia"/>
                <w:sz w:val="24"/>
                <w:szCs w:val="24"/>
              </w:rPr>
              <w:t>招标人在开标前开启投标文件并将有关信息泄露给其他投标人；</w:t>
            </w:r>
          </w:p>
          <w:p>
            <w:pPr>
              <w:numPr>
                <w:ilvl w:val="0"/>
                <w:numId w:val="5"/>
              </w:numPr>
              <w:ind w:firstLineChars="0"/>
              <w:jc w:val="left"/>
              <w:rPr>
                <w:sz w:val="24"/>
                <w:szCs w:val="24"/>
              </w:rPr>
            </w:pPr>
            <w:r>
              <w:rPr>
                <w:rFonts w:hint="eastAsia"/>
                <w:sz w:val="24"/>
                <w:szCs w:val="24"/>
              </w:rPr>
              <w:t>招标人直接或者间接向投标人泄露标底、评标委员会成员等信息；</w:t>
            </w:r>
          </w:p>
          <w:p>
            <w:pPr>
              <w:numPr>
                <w:ilvl w:val="0"/>
                <w:numId w:val="5"/>
              </w:numPr>
              <w:ind w:firstLineChars="0"/>
              <w:jc w:val="left"/>
              <w:rPr>
                <w:sz w:val="24"/>
                <w:szCs w:val="24"/>
              </w:rPr>
            </w:pPr>
            <w:r>
              <w:rPr>
                <w:rFonts w:hint="eastAsia"/>
                <w:sz w:val="24"/>
                <w:szCs w:val="24"/>
              </w:rPr>
              <w:t>招标人明示或者暗示投标人压低或者抬高投标报价；</w:t>
            </w:r>
          </w:p>
          <w:p>
            <w:pPr>
              <w:numPr>
                <w:ilvl w:val="0"/>
                <w:numId w:val="5"/>
              </w:numPr>
              <w:ind w:firstLineChars="0"/>
              <w:jc w:val="left"/>
              <w:rPr>
                <w:sz w:val="24"/>
                <w:szCs w:val="24"/>
              </w:rPr>
            </w:pPr>
            <w:r>
              <w:rPr>
                <w:rFonts w:hint="eastAsia"/>
                <w:sz w:val="24"/>
                <w:szCs w:val="24"/>
              </w:rPr>
              <w:t>招标人授意投标人撤换、修改投标文件；</w:t>
            </w:r>
          </w:p>
          <w:p>
            <w:pPr>
              <w:numPr>
                <w:ilvl w:val="0"/>
                <w:numId w:val="5"/>
              </w:numPr>
              <w:ind w:firstLineChars="0"/>
              <w:jc w:val="left"/>
              <w:rPr>
                <w:sz w:val="24"/>
                <w:szCs w:val="24"/>
              </w:rPr>
            </w:pPr>
            <w:r>
              <w:rPr>
                <w:rFonts w:hint="eastAsia"/>
                <w:sz w:val="24"/>
                <w:szCs w:val="24"/>
              </w:rPr>
              <w:t>招标人明示或者暗示投标人为特定投标人中标提供方便；</w:t>
            </w:r>
          </w:p>
          <w:p>
            <w:pPr>
              <w:numPr>
                <w:ilvl w:val="0"/>
                <w:numId w:val="5"/>
              </w:numPr>
              <w:ind w:firstLineChars="0"/>
              <w:jc w:val="left"/>
              <w:rPr>
                <w:sz w:val="24"/>
                <w:szCs w:val="24"/>
              </w:rPr>
            </w:pPr>
            <w:r>
              <w:rPr>
                <w:rFonts w:hint="eastAsia"/>
                <w:sz w:val="24"/>
                <w:szCs w:val="24"/>
              </w:rPr>
              <w:t>招标人与投标人为谋求特定投标人中标而采取的其他串通行为。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gridSpan w:val="2"/>
            <w:vMerge w:val="continue"/>
            <w:vAlign w:val="center"/>
          </w:tcPr>
          <w:p>
            <w:pPr>
              <w:ind w:firstLine="0" w:firstLineChars="0"/>
              <w:jc w:val="center"/>
              <w:rPr>
                <w:sz w:val="24"/>
                <w:szCs w:val="24"/>
              </w:rPr>
            </w:pPr>
          </w:p>
        </w:tc>
        <w:tc>
          <w:tcPr>
            <w:tcW w:w="1443" w:type="dxa"/>
            <w:vAlign w:val="center"/>
          </w:tcPr>
          <w:p>
            <w:pPr>
              <w:ind w:firstLine="0" w:firstLineChars="0"/>
              <w:jc w:val="center"/>
              <w:rPr>
                <w:sz w:val="24"/>
                <w:szCs w:val="24"/>
              </w:rPr>
            </w:pPr>
            <w:r>
              <w:rPr>
                <w:rFonts w:hint="eastAsia"/>
                <w:sz w:val="24"/>
                <w:szCs w:val="24"/>
              </w:rPr>
              <w:t>弄虚作假</w:t>
            </w:r>
          </w:p>
        </w:tc>
        <w:tc>
          <w:tcPr>
            <w:tcW w:w="6160" w:type="dxa"/>
            <w:vAlign w:val="center"/>
          </w:tcPr>
          <w:p>
            <w:pPr>
              <w:ind w:firstLine="0" w:firstLineChars="0"/>
              <w:jc w:val="left"/>
              <w:rPr>
                <w:sz w:val="24"/>
                <w:szCs w:val="24"/>
              </w:rPr>
            </w:pPr>
            <w:r>
              <w:rPr>
                <w:rFonts w:hint="eastAsia"/>
                <w:sz w:val="24"/>
                <w:szCs w:val="24"/>
              </w:rPr>
              <w:t>使用通过受让或者租借等方式获取的资格、资质证书投标的，属于以他人名义投标。</w:t>
            </w:r>
          </w:p>
          <w:p>
            <w:pPr>
              <w:ind w:firstLine="0" w:firstLineChars="0"/>
              <w:jc w:val="left"/>
              <w:rPr>
                <w:sz w:val="24"/>
                <w:szCs w:val="24"/>
              </w:rPr>
            </w:pPr>
            <w:r>
              <w:rPr>
                <w:rFonts w:hint="eastAsia"/>
                <w:sz w:val="24"/>
                <w:szCs w:val="24"/>
              </w:rPr>
              <w:t>投标人有下列情形之一的，属于以其他方式弄虚作假的行为：</w:t>
            </w:r>
          </w:p>
          <w:p>
            <w:pPr>
              <w:numPr>
                <w:ilvl w:val="0"/>
                <w:numId w:val="6"/>
              </w:numPr>
              <w:ind w:firstLineChars="0"/>
              <w:jc w:val="left"/>
              <w:rPr>
                <w:sz w:val="24"/>
                <w:szCs w:val="24"/>
              </w:rPr>
            </w:pPr>
            <w:r>
              <w:rPr>
                <w:rFonts w:hint="eastAsia"/>
                <w:sz w:val="24"/>
                <w:szCs w:val="24"/>
              </w:rPr>
              <w:t>使用伪造、变造的许可证件；</w:t>
            </w:r>
          </w:p>
          <w:p>
            <w:pPr>
              <w:numPr>
                <w:ilvl w:val="0"/>
                <w:numId w:val="6"/>
              </w:numPr>
              <w:ind w:firstLineChars="0"/>
              <w:jc w:val="left"/>
              <w:rPr>
                <w:sz w:val="24"/>
                <w:szCs w:val="24"/>
              </w:rPr>
            </w:pPr>
            <w:r>
              <w:rPr>
                <w:rFonts w:hint="eastAsia"/>
                <w:sz w:val="24"/>
                <w:szCs w:val="24"/>
              </w:rPr>
              <w:t>提供虚假的财务状况或者业绩；</w:t>
            </w:r>
          </w:p>
          <w:p>
            <w:pPr>
              <w:numPr>
                <w:ilvl w:val="0"/>
                <w:numId w:val="6"/>
              </w:numPr>
              <w:ind w:firstLineChars="0"/>
              <w:jc w:val="left"/>
              <w:rPr>
                <w:sz w:val="24"/>
                <w:szCs w:val="24"/>
              </w:rPr>
            </w:pPr>
            <w:r>
              <w:rPr>
                <w:rFonts w:hint="eastAsia"/>
                <w:sz w:val="24"/>
                <w:szCs w:val="24"/>
              </w:rPr>
              <w:t>提供虚假的项目负责人或者主要技术人员简历、劳动关系证明；</w:t>
            </w:r>
          </w:p>
          <w:p>
            <w:pPr>
              <w:numPr>
                <w:ilvl w:val="0"/>
                <w:numId w:val="6"/>
              </w:numPr>
              <w:ind w:firstLineChars="0"/>
              <w:jc w:val="left"/>
              <w:rPr>
                <w:sz w:val="24"/>
                <w:szCs w:val="24"/>
              </w:rPr>
            </w:pPr>
            <w:r>
              <w:rPr>
                <w:rFonts w:hint="eastAsia"/>
                <w:sz w:val="24"/>
                <w:szCs w:val="24"/>
              </w:rPr>
              <w:t>提供虚假的信用状况；</w:t>
            </w:r>
          </w:p>
          <w:p>
            <w:pPr>
              <w:numPr>
                <w:ilvl w:val="0"/>
                <w:numId w:val="6"/>
              </w:numPr>
              <w:ind w:firstLineChars="0"/>
              <w:jc w:val="left"/>
              <w:rPr>
                <w:sz w:val="24"/>
                <w:szCs w:val="24"/>
              </w:rPr>
            </w:pPr>
            <w:r>
              <w:rPr>
                <w:rFonts w:hint="eastAsia"/>
                <w:sz w:val="24"/>
                <w:szCs w:val="24"/>
              </w:rPr>
              <w:t>其他弄虚作假的行为。</w:t>
            </w:r>
          </w:p>
        </w:tc>
      </w:tr>
    </w:tbl>
    <w:p>
      <w:r>
        <w:br w:type="page"/>
      </w:r>
    </w:p>
    <w:p>
      <w:pPr>
        <w:pStyle w:val="6"/>
        <w:pageBreakBefore w:val="0"/>
        <w:widowControl w:val="0"/>
        <w:kinsoku/>
        <w:wordWrap/>
        <w:overflowPunct/>
        <w:topLinePunct w:val="0"/>
        <w:autoSpaceDE/>
        <w:autoSpaceDN/>
        <w:bidi w:val="0"/>
        <w:adjustRightInd/>
        <w:snapToGrid/>
        <w:spacing w:line="360" w:lineRule="auto"/>
        <w:textAlignment w:val="auto"/>
        <w:rPr>
          <w:sz w:val="24"/>
          <w:szCs w:val="24"/>
        </w:rPr>
      </w:pPr>
      <w:bookmarkStart w:id="66" w:name="_Toc776"/>
      <w:r>
        <w:rPr>
          <w:rFonts w:hint="eastAsia"/>
          <w:sz w:val="24"/>
          <w:szCs w:val="24"/>
        </w:rPr>
        <w:t>1.评标方法</w:t>
      </w:r>
      <w:bookmarkEnd w:id="66"/>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的规定确定中标候选人顺序。</w:t>
      </w:r>
    </w:p>
    <w:p>
      <w:pPr>
        <w:pStyle w:val="6"/>
        <w:pageBreakBefore w:val="0"/>
        <w:widowControl w:val="0"/>
        <w:kinsoku/>
        <w:wordWrap/>
        <w:overflowPunct/>
        <w:topLinePunct w:val="0"/>
        <w:autoSpaceDE/>
        <w:autoSpaceDN/>
        <w:bidi w:val="0"/>
        <w:adjustRightInd/>
        <w:snapToGrid/>
        <w:spacing w:line="360" w:lineRule="auto"/>
        <w:textAlignment w:val="auto"/>
        <w:rPr>
          <w:sz w:val="24"/>
          <w:szCs w:val="24"/>
        </w:rPr>
      </w:pPr>
      <w:bookmarkStart w:id="67" w:name="_Toc10126"/>
      <w:r>
        <w:rPr>
          <w:rFonts w:hint="eastAsia"/>
          <w:sz w:val="24"/>
          <w:szCs w:val="24"/>
        </w:rPr>
        <w:t>2.评审标准</w:t>
      </w:r>
      <w:bookmarkEnd w:id="67"/>
    </w:p>
    <w:p>
      <w:pPr>
        <w:pStyle w:val="7"/>
        <w:pageBreakBefore w:val="0"/>
        <w:widowControl w:val="0"/>
        <w:kinsoku/>
        <w:wordWrap/>
        <w:overflowPunct/>
        <w:topLinePunct w:val="0"/>
        <w:autoSpaceDE/>
        <w:autoSpaceDN/>
        <w:bidi w:val="0"/>
        <w:adjustRightInd/>
        <w:snapToGrid/>
        <w:spacing w:line="360" w:lineRule="auto"/>
        <w:textAlignment w:val="auto"/>
        <w:rPr>
          <w:sz w:val="24"/>
          <w:szCs w:val="24"/>
        </w:rPr>
      </w:pPr>
      <w:bookmarkStart w:id="68" w:name="_Toc31192"/>
      <w:r>
        <w:rPr>
          <w:rFonts w:hint="eastAsia"/>
          <w:sz w:val="24"/>
          <w:szCs w:val="24"/>
        </w:rPr>
        <w:t>2.1初步评审标准</w:t>
      </w:r>
      <w:bookmarkEnd w:id="68"/>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2.1.1形式评审标准：见评标办法前附表。</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2.1.2资格评审标准：见评标办法前附表。</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2.1.3响应性评审标准：见评标办法前附表。</w:t>
      </w:r>
    </w:p>
    <w:p>
      <w:pPr>
        <w:pStyle w:val="7"/>
        <w:pageBreakBefore w:val="0"/>
        <w:widowControl w:val="0"/>
        <w:kinsoku/>
        <w:wordWrap/>
        <w:overflowPunct/>
        <w:topLinePunct w:val="0"/>
        <w:autoSpaceDE/>
        <w:autoSpaceDN/>
        <w:bidi w:val="0"/>
        <w:adjustRightInd/>
        <w:snapToGrid/>
        <w:spacing w:line="360" w:lineRule="auto"/>
        <w:textAlignment w:val="auto"/>
        <w:rPr>
          <w:sz w:val="24"/>
          <w:szCs w:val="24"/>
        </w:rPr>
      </w:pPr>
      <w:bookmarkStart w:id="69" w:name="_Toc24534"/>
      <w:r>
        <w:rPr>
          <w:rFonts w:hint="eastAsia"/>
          <w:sz w:val="24"/>
          <w:szCs w:val="24"/>
        </w:rPr>
        <w:t>2.2分值构成与评分标准</w:t>
      </w:r>
      <w:bookmarkEnd w:id="69"/>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2.2.1分值构成</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（1）商务部分：见评标办法前附表；</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（2）技术部分：见评标办法前附表；</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（3）投标报价：见评标办法前附表；</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（4）其他评分因素：见评标办法前附表。 </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2.2.2评标基准价计算 评标基准价计算方法：见评标办法前附表。 </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2.2.3投标报价的偏差率计算</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投标报价的偏差率计算公式：见评标办法前附表。</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2.2.4评分标准</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（1）商务评分标准：见评标办法前附表；</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（2）技术评分标准：见评标办法前附表；</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（3）投标报价评分标准：见评标办法前附表；</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（4）其他因素评分标准：见评标办法前附表。</w:t>
      </w:r>
    </w:p>
    <w:p>
      <w:pPr>
        <w:pStyle w:val="6"/>
        <w:pageBreakBefore w:val="0"/>
        <w:widowControl w:val="0"/>
        <w:kinsoku/>
        <w:wordWrap/>
        <w:overflowPunct/>
        <w:topLinePunct w:val="0"/>
        <w:autoSpaceDE/>
        <w:autoSpaceDN/>
        <w:bidi w:val="0"/>
        <w:adjustRightInd/>
        <w:snapToGrid/>
        <w:spacing w:line="360" w:lineRule="auto"/>
        <w:textAlignment w:val="auto"/>
        <w:rPr>
          <w:sz w:val="24"/>
          <w:szCs w:val="24"/>
        </w:rPr>
      </w:pPr>
      <w:bookmarkStart w:id="70" w:name="_Toc508"/>
      <w:r>
        <w:rPr>
          <w:rFonts w:hint="eastAsia"/>
          <w:sz w:val="24"/>
          <w:szCs w:val="24"/>
        </w:rPr>
        <w:t>3.评标程序</w:t>
      </w:r>
      <w:bookmarkEnd w:id="70"/>
    </w:p>
    <w:p>
      <w:pPr>
        <w:pStyle w:val="7"/>
        <w:pageBreakBefore w:val="0"/>
        <w:widowControl w:val="0"/>
        <w:kinsoku/>
        <w:wordWrap/>
        <w:overflowPunct/>
        <w:topLinePunct w:val="0"/>
        <w:autoSpaceDE/>
        <w:autoSpaceDN/>
        <w:bidi w:val="0"/>
        <w:adjustRightInd/>
        <w:snapToGrid/>
        <w:spacing w:line="360" w:lineRule="auto"/>
        <w:textAlignment w:val="auto"/>
        <w:rPr>
          <w:sz w:val="24"/>
          <w:szCs w:val="24"/>
        </w:rPr>
      </w:pPr>
      <w:bookmarkStart w:id="71" w:name="_Toc7963"/>
      <w:r>
        <w:rPr>
          <w:rFonts w:hint="eastAsia"/>
          <w:sz w:val="24"/>
          <w:szCs w:val="24"/>
        </w:rPr>
        <w:t>3.1初步评审</w:t>
      </w:r>
      <w:bookmarkEnd w:id="71"/>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3.1.2投标人有以下情形之一的，评标委员会应当否决其投标：</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（1）投标文件没有对招标文件的实质性要求和条件作出响应，或者对招标文件的偏差超出招标文件规定的偏差范围或最高项数；</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（2）第二章“投标人须知”第1.4.3项规定的任何一种情形的；</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（3）有串通投标、弄虚作假、行贿等违法行为。</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3.1.3投标报价有算术错误及其他错误的，评标委员会按以下原则要求投标人对投标报价进行修正，并要求投标人书面澄清确认。投标人拒不澄清确认的，评标委员会应当否决其投标：</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（1）投标文件中的大写金额与小写金额不一致的，以大写金额为准；</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（2）总价金额与单价金额不一致的，以单价金额为准，但单价金额小数点有明显错误的除外；</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（3）投标报价为各分项报价金额之和，投标报价与分项报价的合价不一致的，应以各分项合价累计数为准，修正投标报价；</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（4）如果分项报价中存在缺漏项，则视为缺漏项价格已包含在其他分项报价之中。</w:t>
      </w:r>
    </w:p>
    <w:p>
      <w:pPr>
        <w:pStyle w:val="7"/>
        <w:pageBreakBefore w:val="0"/>
        <w:widowControl w:val="0"/>
        <w:kinsoku/>
        <w:wordWrap/>
        <w:overflowPunct/>
        <w:topLinePunct w:val="0"/>
        <w:autoSpaceDE/>
        <w:autoSpaceDN/>
        <w:bidi w:val="0"/>
        <w:adjustRightInd/>
        <w:snapToGrid/>
        <w:spacing w:line="360" w:lineRule="auto"/>
        <w:textAlignment w:val="auto"/>
        <w:rPr>
          <w:sz w:val="24"/>
          <w:szCs w:val="24"/>
        </w:rPr>
      </w:pPr>
      <w:bookmarkStart w:id="72" w:name="_Toc32054"/>
      <w:r>
        <w:rPr>
          <w:rFonts w:hint="eastAsia"/>
          <w:sz w:val="24"/>
          <w:szCs w:val="24"/>
        </w:rPr>
        <w:t>3.2详细评审</w:t>
      </w:r>
      <w:bookmarkEnd w:id="72"/>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3.2.1评标委员会按本章第2.2款规定的量化因素和分值进行打分，并计算出综合评估得分。</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（1）按本章第2.2.4（1）目规定的评审因素和分值对商务部分计算出得分A；</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（2）按本章第2.2.4（2）目规定的评审因素和分值对技术部分计算出得分B；</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（3）按本章第2.2.4（3）目规定的评审因素和分值对投标报价计算出得分C；</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（4）按本章第2.2.4（4）目规定的评审因素和分值对其他部分计算出得分D。</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3.2.2评分分值计算保留小数点后两位，小数点后第三位“四舍五入”。</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3.2.3投标人得分=A+B+C+D。</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7"/>
        <w:pageBreakBefore w:val="0"/>
        <w:widowControl w:val="0"/>
        <w:kinsoku/>
        <w:wordWrap/>
        <w:overflowPunct/>
        <w:topLinePunct w:val="0"/>
        <w:autoSpaceDE/>
        <w:autoSpaceDN/>
        <w:bidi w:val="0"/>
        <w:adjustRightInd/>
        <w:snapToGrid/>
        <w:spacing w:line="360" w:lineRule="auto"/>
        <w:textAlignment w:val="auto"/>
        <w:rPr>
          <w:sz w:val="24"/>
          <w:szCs w:val="24"/>
        </w:rPr>
      </w:pPr>
      <w:bookmarkStart w:id="73" w:name="_Toc16875"/>
      <w:r>
        <w:rPr>
          <w:rFonts w:hint="eastAsia"/>
          <w:sz w:val="24"/>
          <w:szCs w:val="24"/>
        </w:rPr>
        <w:t>3.3投标文件的澄清</w:t>
      </w:r>
      <w:bookmarkEnd w:id="73"/>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3.3.2澄清、说明或补正不得超出投标文件的范围且不得改变投标文件的实质性内容，并构成投标文件的组成部分。</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3.3.3评标委员会对投标人提交的澄清、说明或补正有疑问的，可以要求投标人进一步澄清、说明或补正，直至满足评标委员会的要求。</w:t>
      </w:r>
    </w:p>
    <w:p>
      <w:pPr>
        <w:pStyle w:val="7"/>
        <w:pageBreakBefore w:val="0"/>
        <w:widowControl w:val="0"/>
        <w:kinsoku/>
        <w:wordWrap/>
        <w:overflowPunct/>
        <w:topLinePunct w:val="0"/>
        <w:autoSpaceDE/>
        <w:autoSpaceDN/>
        <w:bidi w:val="0"/>
        <w:adjustRightInd/>
        <w:snapToGrid/>
        <w:spacing w:line="360" w:lineRule="auto"/>
        <w:textAlignment w:val="auto"/>
        <w:rPr>
          <w:sz w:val="24"/>
          <w:szCs w:val="24"/>
        </w:rPr>
      </w:pPr>
      <w:bookmarkStart w:id="74" w:name="_Toc6255"/>
      <w:r>
        <w:rPr>
          <w:rFonts w:hint="eastAsia"/>
          <w:sz w:val="24"/>
          <w:szCs w:val="24"/>
        </w:rPr>
        <w:t>3.4评标结果</w:t>
      </w:r>
      <w:bookmarkEnd w:id="74"/>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3.4.1除第二章“投标人须知”前附表授权直接确定中标人外，评标委员会按照得分由高到低的顺序推荐中标候选人，并标明排序。</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3.4.2评标委员会完成评标后，应当向招标人提交书面评标报告和中标候选人名单。</w:t>
      </w:r>
    </w:p>
    <w:p>
      <w:pPr>
        <w:rPr>
          <w:sz w:val="24"/>
          <w:szCs w:val="24"/>
        </w:rPr>
      </w:pPr>
      <w:r>
        <w:rPr>
          <w:sz w:val="24"/>
          <w:szCs w:val="24"/>
        </w:rPr>
        <w:br w:type="page"/>
      </w:r>
    </w:p>
    <w:p>
      <w:pPr>
        <w:pStyle w:val="4"/>
      </w:pPr>
      <w:bookmarkStart w:id="75" w:name="_Toc8683"/>
      <w:r>
        <w:rPr>
          <w:rFonts w:hint="eastAsia"/>
        </w:rPr>
        <w:t>第四章 合同条款及格式</w:t>
      </w:r>
      <w:bookmarkEnd w:id="75"/>
    </w:p>
    <w:p>
      <w:pPr>
        <w:pStyle w:val="4"/>
      </w:pPr>
      <w:r>
        <w:rPr>
          <w:rFonts w:hint="eastAsia"/>
        </w:rPr>
        <w:t>（仅供参考最终以双方协定版本为准）</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项目名称：扬州市洁源排水有限公司北山污水处理厂化验室设备及耗材采购项目</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 xml:space="preserve">编号：  </w:t>
      </w:r>
    </w:p>
    <w:p>
      <w:pPr>
        <w:pStyle w:val="15"/>
        <w:snapToGrid w:val="0"/>
        <w:spacing w:before="120" w:after="120" w:line="360" w:lineRule="auto"/>
        <w:ind w:firstLine="480"/>
        <w:rPr>
          <w:rFonts w:hAnsi="宋体" w:eastAsia="宋体"/>
          <w:b w:val="0"/>
          <w:bCs w:val="0"/>
          <w:sz w:val="24"/>
          <w:szCs w:val="24"/>
          <w:u w:val="single"/>
        </w:rPr>
      </w:pPr>
      <w:r>
        <w:rPr>
          <w:rFonts w:hint="eastAsia" w:hAnsi="宋体" w:eastAsia="宋体"/>
          <w:b w:val="0"/>
          <w:bCs w:val="0"/>
          <w:sz w:val="24"/>
          <w:szCs w:val="24"/>
        </w:rPr>
        <w:t>甲方（采购人/买方）：扬州市洁源排水有限公司        乙方（供应商/卖方）：</w:t>
      </w:r>
      <w:r>
        <w:rPr>
          <w:rFonts w:hint="eastAsia" w:hAnsi="宋体" w:eastAsia="宋体"/>
          <w:b w:val="0"/>
          <w:bCs w:val="0"/>
          <w:sz w:val="24"/>
          <w:szCs w:val="24"/>
          <w:u w:val="single"/>
        </w:rPr>
        <w:t xml:space="preserve">              </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根据《中华人民共和国招标投标法》、《中华人民共和国民法典》等法律法规的规定，甲乙双方按照扬州洁源排水有限公司北山污水处理厂化验室设备及耗材采购项目招标结果签订本合同。</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1、合同标的</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乙方根据甲方需求，提供下列货物：</w:t>
      </w:r>
      <w:r>
        <w:rPr>
          <w:rFonts w:hint="eastAsia" w:hAnsi="宋体" w:eastAsia="宋体"/>
          <w:b w:val="0"/>
          <w:bCs w:val="0"/>
          <w:sz w:val="24"/>
          <w:szCs w:val="24"/>
          <w:u w:val="single"/>
        </w:rPr>
        <w:t xml:space="preserve">                      </w:t>
      </w:r>
      <w:r>
        <w:rPr>
          <w:rFonts w:hint="eastAsia" w:hAnsi="宋体" w:eastAsia="宋体"/>
          <w:b w:val="0"/>
          <w:bCs w:val="0"/>
          <w:sz w:val="24"/>
          <w:szCs w:val="24"/>
        </w:rPr>
        <w:t>。</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货物名称、规格及数量等要求详见招投标文件。</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2、合同总金额</w:t>
      </w:r>
    </w:p>
    <w:p>
      <w:pPr>
        <w:pStyle w:val="15"/>
        <w:snapToGrid w:val="0"/>
        <w:spacing w:before="120" w:after="120" w:line="360" w:lineRule="auto"/>
        <w:ind w:left="315" w:leftChars="150" w:firstLine="120" w:firstLineChars="50"/>
        <w:rPr>
          <w:rFonts w:hAnsi="宋体" w:eastAsia="宋体"/>
          <w:b w:val="0"/>
          <w:bCs w:val="0"/>
          <w:sz w:val="24"/>
          <w:szCs w:val="24"/>
        </w:rPr>
      </w:pPr>
      <w:r>
        <w:rPr>
          <w:rFonts w:hint="eastAsia" w:hAnsi="宋体" w:eastAsia="宋体"/>
          <w:b w:val="0"/>
          <w:bCs w:val="0"/>
          <w:sz w:val="24"/>
          <w:szCs w:val="24"/>
        </w:rPr>
        <w:t>2.1 本合同金额为（大写）：_______________________________元人民币（¥_____元）。</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2.2 本合同总金额包括所乙方提供货物的产品费用、安装调试费、测试验收费、培训费、 运行维护费用、税金及其他有关的为完成本项目发生的所有费用，招标文件中另有规定的除外。</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2.3 在招标文件未列明，而乙方认为履行本合同必需的费用也包含在合同总金额中。</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2.4 本合同总金额还包含乙方提供的伴随服务/售后服务费用。</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3、组成本合同的有关文件</w:t>
      </w:r>
    </w:p>
    <w:p>
      <w:pPr>
        <w:pStyle w:val="15"/>
        <w:snapToGrid w:val="0"/>
        <w:spacing w:before="120" w:after="120" w:line="360" w:lineRule="auto"/>
        <w:ind w:left="315" w:leftChars="150" w:firstLine="120" w:firstLineChars="50"/>
        <w:rPr>
          <w:rFonts w:hAnsi="宋体" w:eastAsia="宋体"/>
          <w:b w:val="0"/>
          <w:bCs w:val="0"/>
          <w:sz w:val="24"/>
          <w:szCs w:val="24"/>
        </w:rPr>
      </w:pPr>
      <w:r>
        <w:rPr>
          <w:rFonts w:hint="eastAsia" w:hAnsi="宋体" w:eastAsia="宋体"/>
          <w:b w:val="0"/>
          <w:bCs w:val="0"/>
          <w:sz w:val="24"/>
          <w:szCs w:val="24"/>
        </w:rPr>
        <w:t>3.1乙方应按招标文件规定的时间向甲方提供使用货物的有关技术资料。</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3.2 没有甲方事先书面同意，乙方不得将由甲方提供的有关合同或任何合同条文、规格、计划、图纸、样品或资料提供给任何其他人。即使向履行本合同有关的人员提供，也应注意保密并限于履行合同的必需范围。</w:t>
      </w:r>
    </w:p>
    <w:p>
      <w:pPr>
        <w:pStyle w:val="15"/>
        <w:snapToGrid w:val="0"/>
        <w:spacing w:before="120" w:after="120" w:line="360" w:lineRule="auto"/>
        <w:ind w:left="315" w:leftChars="150" w:firstLine="120" w:firstLineChars="50"/>
        <w:rPr>
          <w:rFonts w:hAnsi="宋体" w:eastAsia="宋体"/>
          <w:b w:val="0"/>
          <w:bCs w:val="0"/>
          <w:sz w:val="24"/>
          <w:szCs w:val="24"/>
        </w:rPr>
      </w:pPr>
      <w:r>
        <w:rPr>
          <w:rFonts w:hint="eastAsia" w:hAnsi="宋体" w:eastAsia="宋体"/>
          <w:b w:val="0"/>
          <w:bCs w:val="0"/>
          <w:sz w:val="24"/>
          <w:szCs w:val="24"/>
        </w:rPr>
        <w:t>3.3 关于本项目政府采购的招投标文件或与本次采购活动方式相适应的文件及有关附件是本合同不可分割的组成部分，这些文件包括但不限于：</w:t>
      </w:r>
    </w:p>
    <w:p>
      <w:pPr>
        <w:pStyle w:val="15"/>
        <w:snapToGrid w:val="0"/>
        <w:spacing w:before="120" w:after="120" w:line="360" w:lineRule="auto"/>
        <w:ind w:left="410" w:hanging="410" w:hangingChars="171"/>
        <w:rPr>
          <w:rFonts w:hAnsi="宋体" w:eastAsia="宋体"/>
          <w:b w:val="0"/>
          <w:bCs w:val="0"/>
          <w:sz w:val="24"/>
          <w:szCs w:val="24"/>
        </w:rPr>
      </w:pPr>
      <w:r>
        <w:rPr>
          <w:rFonts w:hint="eastAsia" w:hAnsi="宋体" w:eastAsia="宋体"/>
          <w:b w:val="0"/>
          <w:bCs w:val="0"/>
          <w:sz w:val="24"/>
          <w:szCs w:val="24"/>
        </w:rPr>
        <w:t xml:space="preserve">   （1）投标响应文件；               （2）投标产品配置与报价文件；</w:t>
      </w:r>
    </w:p>
    <w:p>
      <w:pPr>
        <w:pStyle w:val="15"/>
        <w:snapToGrid w:val="0"/>
        <w:spacing w:before="120" w:after="120" w:line="360" w:lineRule="auto"/>
        <w:ind w:left="410" w:hanging="410" w:hangingChars="171"/>
        <w:rPr>
          <w:rFonts w:hAnsi="宋体" w:eastAsia="宋体"/>
          <w:b w:val="0"/>
          <w:bCs w:val="0"/>
          <w:sz w:val="24"/>
          <w:szCs w:val="24"/>
        </w:rPr>
      </w:pPr>
      <w:r>
        <w:rPr>
          <w:rFonts w:hint="eastAsia" w:hAnsi="宋体" w:eastAsia="宋体"/>
          <w:b w:val="0"/>
          <w:bCs w:val="0"/>
          <w:sz w:val="24"/>
          <w:szCs w:val="24"/>
        </w:rPr>
        <w:t xml:space="preserve">   （3）供货一览表；                 （4）技术参数响应表；</w:t>
      </w:r>
    </w:p>
    <w:p>
      <w:pPr>
        <w:pStyle w:val="15"/>
        <w:snapToGrid w:val="0"/>
        <w:spacing w:before="120" w:after="120" w:line="360" w:lineRule="auto"/>
        <w:ind w:left="410" w:hanging="410" w:hangingChars="171"/>
        <w:rPr>
          <w:rFonts w:hAnsi="宋体" w:eastAsia="宋体"/>
          <w:b w:val="0"/>
          <w:bCs w:val="0"/>
          <w:sz w:val="24"/>
          <w:szCs w:val="24"/>
        </w:rPr>
      </w:pPr>
      <w:r>
        <w:rPr>
          <w:rFonts w:hint="eastAsia" w:hAnsi="宋体" w:eastAsia="宋体"/>
          <w:b w:val="0"/>
          <w:bCs w:val="0"/>
          <w:sz w:val="24"/>
          <w:szCs w:val="24"/>
        </w:rPr>
        <w:t xml:space="preserve">   （5）服务承诺；                   （6）中标通知书；</w:t>
      </w:r>
    </w:p>
    <w:p>
      <w:pPr>
        <w:pStyle w:val="15"/>
        <w:snapToGrid w:val="0"/>
        <w:spacing w:before="120" w:after="120" w:line="360" w:lineRule="auto"/>
        <w:ind w:left="410" w:hanging="410" w:hangingChars="171"/>
        <w:rPr>
          <w:rFonts w:hAnsi="宋体" w:eastAsia="宋体"/>
          <w:b w:val="0"/>
          <w:bCs w:val="0"/>
          <w:sz w:val="24"/>
          <w:szCs w:val="24"/>
        </w:rPr>
      </w:pPr>
      <w:r>
        <w:rPr>
          <w:rFonts w:hint="eastAsia" w:hAnsi="宋体" w:eastAsia="宋体"/>
          <w:b w:val="0"/>
          <w:bCs w:val="0"/>
          <w:sz w:val="24"/>
          <w:szCs w:val="24"/>
        </w:rPr>
        <w:t xml:space="preserve">   （7）甲乙双方补充协议；           （8）乙方投标时提供的响应文件。</w:t>
      </w:r>
    </w:p>
    <w:p>
      <w:pPr>
        <w:pStyle w:val="15"/>
        <w:snapToGrid w:val="0"/>
        <w:spacing w:before="120" w:after="120" w:line="360" w:lineRule="auto"/>
        <w:ind w:left="315" w:leftChars="150" w:firstLine="120" w:firstLineChars="50"/>
        <w:rPr>
          <w:rFonts w:hAnsi="宋体" w:eastAsia="宋体"/>
          <w:b w:val="0"/>
          <w:bCs w:val="0"/>
          <w:sz w:val="24"/>
          <w:szCs w:val="24"/>
        </w:rPr>
      </w:pPr>
      <w:r>
        <w:rPr>
          <w:rFonts w:hint="eastAsia" w:hAnsi="宋体" w:eastAsia="宋体"/>
          <w:b w:val="0"/>
          <w:bCs w:val="0"/>
          <w:sz w:val="24"/>
          <w:szCs w:val="24"/>
        </w:rPr>
        <w:t>4、知识产权保证</w:t>
      </w:r>
    </w:p>
    <w:p>
      <w:pPr>
        <w:autoSpaceDE w:val="0"/>
        <w:autoSpaceDN w:val="0"/>
        <w:spacing w:line="360" w:lineRule="auto"/>
        <w:ind w:firstLine="480"/>
        <w:rPr>
          <w:rFonts w:ascii="宋体" w:hAnsi="宋体"/>
          <w:sz w:val="24"/>
          <w:szCs w:val="24"/>
        </w:rPr>
      </w:pPr>
      <w:r>
        <w:rPr>
          <w:rFonts w:hint="eastAsia" w:ascii="宋体" w:hAnsi="宋体"/>
          <w:sz w:val="24"/>
          <w:szCs w:val="24"/>
        </w:rPr>
        <w:t>乙方保证甲方在使用、接受本合同货物和服务或其任何一部分时，不受第三方提出侵犯其专利权、版权、商标权和工业设计权等知识产权的起诉。一旦出现侵权，由乙方负全部责任。给甲方造成的直接损失和鉴定费、诉讼费、律师费等间接损失，由乙方全额赔偿。</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5、产权保证</w:t>
      </w:r>
    </w:p>
    <w:p>
      <w:pPr>
        <w:autoSpaceDE w:val="0"/>
        <w:autoSpaceDN w:val="0"/>
        <w:spacing w:line="360" w:lineRule="auto"/>
        <w:ind w:firstLine="480"/>
        <w:rPr>
          <w:rFonts w:ascii="宋体" w:hAnsi="宋体"/>
          <w:sz w:val="24"/>
          <w:szCs w:val="24"/>
        </w:rPr>
      </w:pPr>
      <w:r>
        <w:rPr>
          <w:rFonts w:hint="eastAsia" w:ascii="宋体" w:hAnsi="宋体"/>
          <w:sz w:val="24"/>
          <w:szCs w:val="24"/>
        </w:rPr>
        <w:t>乙方保证所交付的货物的所有权无任何抵押、查封等权利瑕疵。</w:t>
      </w:r>
    </w:p>
    <w:p>
      <w:pPr>
        <w:pStyle w:val="15"/>
        <w:numPr>
          <w:ilvl w:val="0"/>
          <w:numId w:val="7"/>
        </w:numPr>
        <w:snapToGrid w:val="0"/>
        <w:spacing w:before="120" w:after="120" w:line="360" w:lineRule="auto"/>
        <w:ind w:left="315" w:leftChars="150" w:firstLine="120" w:firstLineChars="50"/>
        <w:rPr>
          <w:rFonts w:hint="eastAsia" w:hAnsi="宋体" w:eastAsia="宋体"/>
          <w:b w:val="0"/>
          <w:bCs w:val="0"/>
          <w:sz w:val="24"/>
          <w:szCs w:val="24"/>
        </w:rPr>
      </w:pPr>
      <w:r>
        <w:rPr>
          <w:rFonts w:hint="eastAsia" w:hAnsi="宋体" w:eastAsia="宋体"/>
          <w:b w:val="0"/>
          <w:bCs w:val="0"/>
          <w:sz w:val="24"/>
          <w:szCs w:val="24"/>
        </w:rPr>
        <w:t>履约保证金</w:t>
      </w:r>
    </w:p>
    <w:p>
      <w:pPr>
        <w:pStyle w:val="15"/>
        <w:numPr>
          <w:ilvl w:val="0"/>
          <w:numId w:val="0"/>
        </w:numPr>
        <w:snapToGrid w:val="0"/>
        <w:spacing w:before="120" w:after="120" w:line="360" w:lineRule="auto"/>
        <w:ind w:leftChars="200"/>
        <w:rPr>
          <w:rFonts w:hint="eastAsia" w:hAnsi="宋体" w:eastAsia="宋体"/>
          <w:b w:val="0"/>
          <w:bCs w:val="0"/>
          <w:sz w:val="24"/>
          <w:szCs w:val="24"/>
          <w:lang w:eastAsia="zh-CN"/>
        </w:rPr>
      </w:pPr>
      <w:r>
        <w:rPr>
          <w:rFonts w:hint="eastAsia" w:hAnsi="宋体" w:eastAsia="宋体"/>
          <w:b w:val="0"/>
          <w:bCs w:val="0"/>
          <w:sz w:val="24"/>
          <w:szCs w:val="24"/>
          <w:lang w:eastAsia="zh-CN"/>
        </w:rPr>
        <w:t>本项目</w:t>
      </w:r>
      <w:r>
        <w:rPr>
          <w:rFonts w:hint="eastAsia" w:hAnsi="宋体" w:eastAsia="宋体"/>
          <w:b w:val="0"/>
          <w:bCs w:val="0"/>
          <w:sz w:val="24"/>
          <w:szCs w:val="24"/>
          <w:u w:val="single"/>
          <w:lang w:eastAsia="zh-CN"/>
        </w:rPr>
        <w:t>无需</w:t>
      </w:r>
      <w:r>
        <w:rPr>
          <w:rFonts w:hint="eastAsia" w:hAnsi="宋体" w:eastAsia="宋体"/>
          <w:b w:val="0"/>
          <w:bCs w:val="0"/>
          <w:sz w:val="24"/>
          <w:szCs w:val="24"/>
          <w:lang w:eastAsia="zh-CN"/>
        </w:rPr>
        <w:t>提交履约保证金。</w:t>
      </w:r>
    </w:p>
    <w:p>
      <w:pPr>
        <w:pStyle w:val="15"/>
        <w:snapToGrid w:val="0"/>
        <w:spacing w:before="120" w:after="120" w:line="360" w:lineRule="auto"/>
        <w:ind w:left="315" w:leftChars="150" w:firstLine="120" w:firstLineChars="50"/>
        <w:rPr>
          <w:rFonts w:hAnsi="宋体" w:eastAsia="宋体"/>
          <w:b w:val="0"/>
          <w:bCs w:val="0"/>
          <w:sz w:val="24"/>
          <w:szCs w:val="24"/>
        </w:rPr>
      </w:pPr>
      <w:r>
        <w:rPr>
          <w:rFonts w:hint="eastAsia" w:hAnsi="宋体" w:eastAsia="宋体"/>
          <w:b w:val="0"/>
          <w:bCs w:val="0"/>
          <w:sz w:val="24"/>
          <w:szCs w:val="24"/>
        </w:rPr>
        <w:t>7、转包或分包</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7.1 本合同禁止转包，本合同范围的货物，应由乙方直接供应的，不得转让他人供应。</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7.2 经甲方书面同意，乙方可以依法采取分包方式履行合同，但是分包方式履行的，乙方应就整个采购项目向甲方负全责。</w:t>
      </w:r>
    </w:p>
    <w:p>
      <w:pPr>
        <w:pStyle w:val="15"/>
        <w:snapToGrid w:val="0"/>
        <w:spacing w:before="120" w:after="120" w:line="360" w:lineRule="auto"/>
        <w:ind w:left="315" w:leftChars="150" w:firstLine="120" w:firstLineChars="50"/>
        <w:rPr>
          <w:rFonts w:hAnsi="宋体" w:eastAsia="宋体"/>
          <w:b w:val="0"/>
          <w:bCs w:val="0"/>
          <w:sz w:val="24"/>
          <w:szCs w:val="24"/>
        </w:rPr>
      </w:pPr>
      <w:r>
        <w:rPr>
          <w:rFonts w:hint="eastAsia" w:hAnsi="宋体" w:eastAsia="宋体"/>
          <w:b w:val="0"/>
          <w:bCs w:val="0"/>
          <w:sz w:val="24"/>
          <w:szCs w:val="24"/>
        </w:rPr>
        <w:t>8、质保期</w:t>
      </w:r>
    </w:p>
    <w:p>
      <w:pPr>
        <w:pStyle w:val="15"/>
        <w:snapToGrid w:val="0"/>
        <w:spacing w:before="120" w:after="120" w:line="360" w:lineRule="auto"/>
        <w:ind w:left="315" w:leftChars="150" w:firstLine="120" w:firstLineChars="50"/>
        <w:rPr>
          <w:rFonts w:hAnsi="宋体" w:eastAsia="宋体"/>
          <w:b w:val="0"/>
          <w:bCs w:val="0"/>
          <w:sz w:val="24"/>
          <w:szCs w:val="24"/>
        </w:rPr>
      </w:pPr>
      <w:r>
        <w:rPr>
          <w:rFonts w:hint="eastAsia" w:hAnsi="宋体" w:eastAsia="宋体"/>
          <w:b w:val="0"/>
          <w:bCs w:val="0"/>
          <w:sz w:val="24"/>
          <w:szCs w:val="24"/>
        </w:rPr>
        <w:t>8.1 质保期</w:t>
      </w:r>
      <w:r>
        <w:rPr>
          <w:rFonts w:hint="eastAsia" w:hAnsi="宋体" w:eastAsia="宋体"/>
          <w:b w:val="0"/>
          <w:bCs w:val="0"/>
          <w:sz w:val="24"/>
          <w:szCs w:val="24"/>
          <w:u w:val="single"/>
        </w:rPr>
        <w:t xml:space="preserve">      </w:t>
      </w:r>
      <w:r>
        <w:rPr>
          <w:rFonts w:hint="eastAsia" w:hAnsi="宋体" w:eastAsia="宋体"/>
          <w:b w:val="0"/>
          <w:bCs w:val="0"/>
          <w:sz w:val="24"/>
          <w:szCs w:val="24"/>
        </w:rPr>
        <w:t>年。（自甲方交货验收合格并签订书面验收单之日起计）</w:t>
      </w:r>
    </w:p>
    <w:p>
      <w:pPr>
        <w:pStyle w:val="15"/>
        <w:snapToGrid w:val="0"/>
        <w:spacing w:before="120" w:after="120" w:line="360" w:lineRule="auto"/>
        <w:ind w:left="315" w:leftChars="150" w:firstLine="120" w:firstLineChars="50"/>
        <w:rPr>
          <w:rFonts w:hAnsi="宋体" w:eastAsia="宋体"/>
          <w:b w:val="0"/>
          <w:bCs w:val="0"/>
          <w:sz w:val="24"/>
          <w:szCs w:val="24"/>
        </w:rPr>
      </w:pPr>
      <w:r>
        <w:rPr>
          <w:rFonts w:hint="eastAsia" w:hAnsi="宋体" w:eastAsia="宋体"/>
          <w:b w:val="0"/>
          <w:bCs w:val="0"/>
          <w:sz w:val="24"/>
          <w:szCs w:val="24"/>
        </w:rPr>
        <w:t>9、交货期、交货方式及交货地点</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9.1 交货期：_________</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9.2 交货方式：_________</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9.3 交货地点：_________</w:t>
      </w:r>
    </w:p>
    <w:p>
      <w:pPr>
        <w:pStyle w:val="15"/>
        <w:snapToGrid w:val="0"/>
        <w:spacing w:before="120" w:after="120" w:line="360" w:lineRule="auto"/>
        <w:ind w:left="315" w:leftChars="150" w:firstLine="120" w:firstLineChars="50"/>
        <w:rPr>
          <w:rFonts w:hAnsi="宋体" w:eastAsia="宋体"/>
          <w:b w:val="0"/>
          <w:bCs w:val="0"/>
          <w:sz w:val="24"/>
          <w:szCs w:val="24"/>
        </w:rPr>
      </w:pPr>
      <w:r>
        <w:rPr>
          <w:rFonts w:hint="eastAsia" w:hAnsi="宋体" w:eastAsia="宋体"/>
          <w:b w:val="0"/>
          <w:bCs w:val="0"/>
          <w:sz w:val="24"/>
          <w:szCs w:val="24"/>
        </w:rPr>
        <w:t>10、货款支付</w:t>
      </w:r>
    </w:p>
    <w:p>
      <w:pPr>
        <w:autoSpaceDE w:val="0"/>
        <w:autoSpaceDN w:val="0"/>
        <w:spacing w:line="360" w:lineRule="auto"/>
        <w:ind w:firstLine="480"/>
        <w:rPr>
          <w:rFonts w:ascii="宋体" w:hAnsi="宋体"/>
          <w:color w:val="000000"/>
          <w:sz w:val="24"/>
          <w:szCs w:val="24"/>
        </w:rPr>
      </w:pPr>
      <w:r>
        <w:rPr>
          <w:rFonts w:ascii="宋体" w:hAnsi="宋体"/>
          <w:sz w:val="24"/>
          <w:szCs w:val="24"/>
        </w:rPr>
        <w:t xml:space="preserve">10.1 </w:t>
      </w:r>
      <w:r>
        <w:rPr>
          <w:rFonts w:hint="eastAsia" w:ascii="宋体" w:hAnsi="宋体"/>
          <w:color w:val="000000"/>
          <w:sz w:val="24"/>
          <w:szCs w:val="24"/>
        </w:rPr>
        <w:t xml:space="preserve">本合同项下所有款项均以人民币支付。 </w:t>
      </w:r>
    </w:p>
    <w:p>
      <w:pPr>
        <w:autoSpaceDE w:val="0"/>
        <w:autoSpaceDN w:val="0"/>
        <w:spacing w:line="360" w:lineRule="auto"/>
        <w:ind w:firstLine="480"/>
        <w:rPr>
          <w:sz w:val="24"/>
          <w:szCs w:val="24"/>
        </w:rPr>
      </w:pPr>
      <w:r>
        <w:rPr>
          <w:rFonts w:hint="eastAsia" w:ascii="宋体" w:hAnsi="宋体"/>
          <w:color w:val="000000"/>
          <w:sz w:val="24"/>
          <w:szCs w:val="24"/>
        </w:rPr>
        <w:t>10.2 本合同项下的采购资金由甲方支付，付款前乙方向甲方开具增值税专用发票。因乙方未及时开具增值税专用发票致使甲方逾期付款的，甲方不承担任何责任。</w:t>
      </w:r>
    </w:p>
    <w:p>
      <w:pPr>
        <w:pStyle w:val="15"/>
        <w:snapToGrid w:val="0"/>
        <w:spacing w:before="120" w:after="120" w:line="360" w:lineRule="auto"/>
        <w:ind w:firstLine="482"/>
        <w:rPr>
          <w:rFonts w:hAnsi="宋体"/>
          <w:sz w:val="24"/>
          <w:szCs w:val="24"/>
        </w:rPr>
      </w:pPr>
      <w:r>
        <w:rPr>
          <w:rFonts w:hint="eastAsia" w:hAnsi="宋体"/>
          <w:sz w:val="24"/>
          <w:szCs w:val="24"/>
        </w:rPr>
        <w:t>10.3 甲方付款方式：</w:t>
      </w:r>
    </w:p>
    <w:p>
      <w:pPr>
        <w:pStyle w:val="15"/>
        <w:snapToGrid w:val="0"/>
        <w:spacing w:before="120" w:after="120" w:line="360" w:lineRule="auto"/>
        <w:ind w:firstLine="482"/>
        <w:rPr>
          <w:rFonts w:hAnsi="宋体" w:eastAsia="宋体"/>
          <w:sz w:val="24"/>
          <w:szCs w:val="24"/>
        </w:rPr>
      </w:pPr>
      <w:r>
        <w:rPr>
          <w:rFonts w:hint="eastAsia" w:hAnsi="宋体" w:eastAsia="宋体"/>
          <w:sz w:val="24"/>
          <w:szCs w:val="24"/>
        </w:rPr>
        <w:t>（1）乙方按甲方要求将所供产品全部运输到货</w:t>
      </w:r>
      <w:r>
        <w:rPr>
          <w:rFonts w:hint="eastAsia" w:hAnsi="宋体" w:eastAsia="宋体"/>
          <w:sz w:val="24"/>
          <w:szCs w:val="24"/>
          <w:lang w:eastAsia="zh-CN"/>
        </w:rPr>
        <w:t>、安装</w:t>
      </w:r>
      <w:r>
        <w:rPr>
          <w:rFonts w:hint="eastAsia" w:hAnsi="宋体" w:eastAsia="宋体"/>
          <w:sz w:val="24"/>
          <w:szCs w:val="24"/>
        </w:rPr>
        <w:t>后，经甲方书面验收合格，且收到乙方开具的增值税专用发票后15个工作日内，付至合同总价的95%。</w:t>
      </w:r>
    </w:p>
    <w:p>
      <w:pPr>
        <w:pStyle w:val="15"/>
        <w:snapToGrid w:val="0"/>
        <w:spacing w:before="120" w:after="120" w:line="360" w:lineRule="auto"/>
        <w:ind w:firstLine="482"/>
        <w:rPr>
          <w:rFonts w:hAnsi="宋体" w:eastAsia="宋体"/>
          <w:sz w:val="24"/>
          <w:szCs w:val="24"/>
        </w:rPr>
      </w:pPr>
      <w:r>
        <w:rPr>
          <w:rFonts w:hint="eastAsia" w:hAnsi="宋体" w:eastAsia="宋体"/>
          <w:sz w:val="24"/>
          <w:szCs w:val="24"/>
        </w:rPr>
        <w:t>（2）留5%作为质量保证金（保修期为两年</w:t>
      </w:r>
      <w:r>
        <w:rPr>
          <w:rFonts w:hint="eastAsia" w:hAnsi="宋体" w:eastAsia="宋体"/>
          <w:bCs w:val="0"/>
          <w:color w:val="auto"/>
          <w:sz w:val="24"/>
          <w:szCs w:val="24"/>
        </w:rPr>
        <w:t>，自甲方签订书面验收单之日起算</w:t>
      </w:r>
      <w:r>
        <w:rPr>
          <w:rFonts w:hint="eastAsia" w:hAnsi="宋体" w:eastAsia="宋体"/>
          <w:sz w:val="24"/>
          <w:szCs w:val="24"/>
        </w:rPr>
        <w:t>），质保期满，所有产品、材料、服务等均无质量问题，</w:t>
      </w:r>
      <w:r>
        <w:rPr>
          <w:rFonts w:hint="eastAsia" w:hAnsi="宋体" w:eastAsia="宋体"/>
          <w:bCs w:val="0"/>
          <w:color w:val="auto"/>
          <w:sz w:val="24"/>
          <w:szCs w:val="24"/>
        </w:rPr>
        <w:t>甲乙双方无任何争议，</w:t>
      </w:r>
      <w:r>
        <w:rPr>
          <w:rFonts w:hint="eastAsia" w:hAnsi="宋体" w:eastAsia="宋体"/>
          <w:bCs w:val="0"/>
          <w:color w:val="FF0000"/>
          <w:sz w:val="24"/>
          <w:szCs w:val="24"/>
        </w:rPr>
        <w:t>且甲方收到乙方开具的等额增值税专用发票</w:t>
      </w:r>
      <w:r>
        <w:rPr>
          <w:rFonts w:hint="eastAsia" w:hAnsi="宋体" w:eastAsia="宋体"/>
          <w:sz w:val="24"/>
          <w:szCs w:val="24"/>
        </w:rPr>
        <w:t>后15个工作日内一次付清余款(不计利息)。</w:t>
      </w:r>
    </w:p>
    <w:p>
      <w:pPr>
        <w:pStyle w:val="15"/>
        <w:snapToGrid w:val="0"/>
        <w:spacing w:before="120" w:after="120" w:line="360" w:lineRule="auto"/>
        <w:ind w:firstLine="482"/>
        <w:rPr>
          <w:rFonts w:hAnsi="宋体" w:eastAsia="宋体"/>
          <w:sz w:val="24"/>
          <w:szCs w:val="24"/>
        </w:rPr>
      </w:pPr>
      <w:r>
        <w:rPr>
          <w:rFonts w:hint="eastAsia" w:hAnsi="宋体" w:eastAsia="宋体"/>
          <w:sz w:val="24"/>
          <w:szCs w:val="24"/>
        </w:rPr>
        <w:t>甲方每次付款前，乙方应提前15个工作日向甲方提供合法的相应增值税专用发票；否则，甲方付款时间相应顺延。</w:t>
      </w:r>
    </w:p>
    <w:p>
      <w:pPr>
        <w:pStyle w:val="15"/>
        <w:snapToGrid w:val="0"/>
        <w:spacing w:before="120" w:after="120" w:line="360" w:lineRule="auto"/>
        <w:ind w:left="315" w:leftChars="150" w:firstLine="120" w:firstLineChars="50"/>
        <w:rPr>
          <w:rFonts w:hAnsi="宋体" w:eastAsia="宋体"/>
          <w:b w:val="0"/>
          <w:bCs w:val="0"/>
          <w:sz w:val="24"/>
          <w:szCs w:val="24"/>
        </w:rPr>
      </w:pPr>
      <w:r>
        <w:rPr>
          <w:rFonts w:hint="eastAsia" w:hAnsi="宋体" w:eastAsia="宋体"/>
          <w:b w:val="0"/>
          <w:bCs w:val="0"/>
          <w:sz w:val="24"/>
          <w:szCs w:val="24"/>
        </w:rPr>
        <w:t>11、税费</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本合同执行中相关的一切税费均由乙方负担。</w:t>
      </w:r>
    </w:p>
    <w:p>
      <w:pPr>
        <w:pStyle w:val="15"/>
        <w:snapToGrid w:val="0"/>
        <w:spacing w:before="120" w:after="120" w:line="360" w:lineRule="auto"/>
        <w:ind w:left="315" w:leftChars="150" w:firstLine="120" w:firstLineChars="50"/>
        <w:rPr>
          <w:rFonts w:hAnsi="宋体" w:eastAsia="宋体"/>
          <w:b w:val="0"/>
          <w:bCs w:val="0"/>
          <w:sz w:val="24"/>
          <w:szCs w:val="24"/>
        </w:rPr>
      </w:pPr>
      <w:r>
        <w:rPr>
          <w:rFonts w:hint="eastAsia" w:hAnsi="宋体" w:eastAsia="宋体"/>
          <w:b w:val="0"/>
          <w:bCs w:val="0"/>
          <w:sz w:val="24"/>
          <w:szCs w:val="24"/>
        </w:rPr>
        <w:t>12、质量保证及售后服务</w:t>
      </w:r>
    </w:p>
    <w:p>
      <w:pPr>
        <w:spacing w:beforeLines="50" w:afterLines="50" w:line="360" w:lineRule="auto"/>
        <w:ind w:firstLine="480"/>
        <w:rPr>
          <w:rFonts w:ascii="宋体" w:hAnsi="宋体"/>
          <w:sz w:val="24"/>
          <w:szCs w:val="24"/>
        </w:rPr>
      </w:pPr>
      <w:r>
        <w:rPr>
          <w:rFonts w:hint="eastAsia" w:ascii="宋体" w:hAnsi="宋体"/>
          <w:sz w:val="24"/>
          <w:szCs w:val="24"/>
        </w:rPr>
        <w:t>12.1 乙方应按招标文件规定及响应文件承诺的货物性能、技术要求、质量标准向甲方提供未经使用的全新产品；若技术性能无特殊说明，则按国家有关部门最新颁布的标准及规范为准。</w:t>
      </w:r>
    </w:p>
    <w:p>
      <w:pPr>
        <w:spacing w:beforeLines="50" w:afterLines="50" w:line="360" w:lineRule="auto"/>
        <w:ind w:firstLine="480"/>
        <w:rPr>
          <w:rFonts w:ascii="宋体" w:hAnsi="宋体"/>
          <w:sz w:val="24"/>
          <w:szCs w:val="24"/>
        </w:rPr>
      </w:pPr>
      <w:r>
        <w:rPr>
          <w:rFonts w:hint="eastAsia" w:ascii="宋体" w:hAnsi="宋体"/>
          <w:sz w:val="24"/>
          <w:szCs w:val="24"/>
        </w:rPr>
        <w:t>12.2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spacing w:beforeLines="50" w:afterLines="50" w:line="360" w:lineRule="auto"/>
        <w:ind w:firstLine="480"/>
        <w:rPr>
          <w:rFonts w:ascii="宋体" w:hAnsi="宋体"/>
          <w:sz w:val="24"/>
          <w:szCs w:val="24"/>
        </w:rPr>
      </w:pPr>
      <w:r>
        <w:rPr>
          <w:rFonts w:hint="eastAsia" w:ascii="宋体" w:hAnsi="宋体"/>
          <w:sz w:val="24"/>
          <w:szCs w:val="24"/>
        </w:rPr>
        <w:t>12.3 乙方提供的货物在质保期内因货物本身的质量问题发生故障，乙方应负责免费更换。对达不到技术要求者，根据实际情况，经双方协商，可按以下办法处理：</w:t>
      </w:r>
    </w:p>
    <w:p>
      <w:pPr>
        <w:spacing w:beforeLines="50" w:afterLines="50" w:line="360" w:lineRule="auto"/>
        <w:ind w:firstLine="480"/>
        <w:rPr>
          <w:rFonts w:ascii="宋体" w:hAnsi="宋体"/>
          <w:sz w:val="24"/>
          <w:szCs w:val="24"/>
        </w:rPr>
      </w:pPr>
      <w:r>
        <w:rPr>
          <w:rFonts w:hint="eastAsia" w:ascii="宋体" w:hAnsi="宋体"/>
          <w:sz w:val="24"/>
          <w:szCs w:val="24"/>
        </w:rPr>
        <w:t>⑴更换：由乙方承担所发生的全部费用。</w:t>
      </w:r>
    </w:p>
    <w:p>
      <w:pPr>
        <w:spacing w:beforeLines="50" w:afterLines="50" w:line="360" w:lineRule="auto"/>
        <w:ind w:firstLine="480"/>
        <w:rPr>
          <w:rFonts w:ascii="宋体" w:hAnsi="宋体"/>
          <w:sz w:val="24"/>
          <w:szCs w:val="24"/>
        </w:rPr>
      </w:pPr>
      <w:r>
        <w:rPr>
          <w:rFonts w:hint="eastAsia" w:ascii="宋体" w:hAnsi="宋体"/>
          <w:sz w:val="24"/>
          <w:szCs w:val="24"/>
        </w:rPr>
        <w:t>⑵贬值处理：由甲乙双方合议定价，合议不成，最终以甲方定价为准。</w:t>
      </w:r>
    </w:p>
    <w:p>
      <w:pPr>
        <w:spacing w:beforeLines="50" w:afterLines="50" w:line="360" w:lineRule="auto"/>
        <w:ind w:firstLine="480"/>
        <w:rPr>
          <w:rFonts w:ascii="宋体" w:hAnsi="宋体"/>
          <w:sz w:val="24"/>
          <w:szCs w:val="24"/>
        </w:rPr>
      </w:pPr>
      <w:r>
        <w:rPr>
          <w:rFonts w:hint="eastAsia" w:ascii="宋体" w:hAnsi="宋体"/>
          <w:sz w:val="24"/>
          <w:szCs w:val="24"/>
        </w:rPr>
        <w:t>⑶退货处理：乙方应退还甲方支付的合同款，同时应承担该货物的直接费用（运输、保险、检验、货款利息及银行手续费等）。若给甲方造成损失的，还应赔偿甲方的直接损失和鉴定费、诉讼费、律师费等间接损失。</w:t>
      </w:r>
    </w:p>
    <w:p>
      <w:pPr>
        <w:spacing w:beforeLines="50" w:afterLines="50" w:line="360" w:lineRule="auto"/>
        <w:ind w:firstLine="480"/>
        <w:rPr>
          <w:rFonts w:ascii="宋体" w:hAnsi="宋体"/>
          <w:sz w:val="24"/>
          <w:szCs w:val="24"/>
        </w:rPr>
      </w:pPr>
      <w:r>
        <w:rPr>
          <w:rFonts w:hint="eastAsia" w:ascii="宋体" w:hAnsi="宋体"/>
          <w:sz w:val="24"/>
          <w:szCs w:val="24"/>
        </w:rPr>
        <w:t>12.4 如在使用过程中发生质量问题，乙方在接到甲方通知后在_________小时内到达甲方现场。</w:t>
      </w:r>
    </w:p>
    <w:p>
      <w:pPr>
        <w:spacing w:beforeLines="50" w:afterLines="50" w:line="360" w:lineRule="auto"/>
        <w:ind w:firstLine="480"/>
        <w:rPr>
          <w:rFonts w:ascii="宋体" w:hAnsi="宋体"/>
          <w:sz w:val="24"/>
          <w:szCs w:val="24"/>
        </w:rPr>
      </w:pPr>
      <w:r>
        <w:rPr>
          <w:rFonts w:hint="eastAsia" w:ascii="宋体" w:hAnsi="宋体"/>
          <w:sz w:val="24"/>
          <w:szCs w:val="24"/>
        </w:rPr>
        <w:t>12.5 在质保期内，乙方应对货物出现的质量及安全问题负责处理解决并承担一切费用。</w:t>
      </w:r>
    </w:p>
    <w:p>
      <w:pPr>
        <w:spacing w:beforeLines="50" w:afterLines="50" w:line="360" w:lineRule="auto"/>
        <w:ind w:firstLine="480"/>
        <w:rPr>
          <w:rFonts w:ascii="宋体" w:hAnsi="宋体"/>
          <w:sz w:val="24"/>
          <w:szCs w:val="24"/>
        </w:rPr>
      </w:pPr>
      <w:r>
        <w:rPr>
          <w:rFonts w:hint="eastAsia" w:ascii="宋体" w:hAnsi="宋体"/>
          <w:sz w:val="24"/>
          <w:szCs w:val="24"/>
        </w:rPr>
        <w:t>12.6上述的货物免费保修期为2_年。超过保修期的机器设备，终生维修，维修时只收部件成本费。</w:t>
      </w:r>
    </w:p>
    <w:p>
      <w:pPr>
        <w:pStyle w:val="15"/>
        <w:snapToGrid w:val="0"/>
        <w:spacing w:before="120" w:after="120" w:line="360" w:lineRule="auto"/>
        <w:ind w:left="315" w:leftChars="150" w:firstLine="120" w:firstLineChars="50"/>
        <w:rPr>
          <w:rFonts w:hAnsi="宋体" w:eastAsia="宋体"/>
          <w:b w:val="0"/>
          <w:bCs w:val="0"/>
          <w:sz w:val="24"/>
          <w:szCs w:val="24"/>
        </w:rPr>
      </w:pPr>
      <w:r>
        <w:rPr>
          <w:rFonts w:hint="eastAsia" w:hAnsi="宋体" w:eastAsia="宋体"/>
          <w:b w:val="0"/>
          <w:bCs w:val="0"/>
          <w:sz w:val="24"/>
          <w:szCs w:val="24"/>
        </w:rPr>
        <w:t>13、交货、调试和验收</w:t>
      </w:r>
    </w:p>
    <w:p>
      <w:pPr>
        <w:spacing w:line="360" w:lineRule="auto"/>
        <w:ind w:firstLine="480"/>
        <w:rPr>
          <w:rFonts w:ascii="宋体" w:hAnsi="宋体"/>
          <w:sz w:val="24"/>
          <w:szCs w:val="24"/>
        </w:rPr>
      </w:pPr>
      <w:r>
        <w:rPr>
          <w:rFonts w:ascii="宋体" w:hAnsi="宋体"/>
          <w:sz w:val="24"/>
          <w:szCs w:val="24"/>
        </w:rPr>
        <w:t>13.1</w:t>
      </w:r>
      <w:r>
        <w:rPr>
          <w:rFonts w:hint="eastAsia" w:ascii="宋体" w:hAnsi="宋体"/>
          <w:sz w:val="24"/>
          <w:szCs w:val="24"/>
        </w:rPr>
        <w:t>乙方应当在合同生效后   天内将货物交付甲方，地点由甲方指定，招标文件有约定的，从其约定。在发货前，乙方应对产品作出全面检查和对验收文件进行整理，并列出清单，作为甲方收货初验收和使用的技术条件依据，检验的结果应随货物交甲方。</w:t>
      </w:r>
    </w:p>
    <w:p>
      <w:pPr>
        <w:spacing w:line="360" w:lineRule="auto"/>
        <w:ind w:firstLine="480"/>
        <w:rPr>
          <w:rFonts w:ascii="宋体" w:hAnsi="宋体"/>
          <w:sz w:val="24"/>
          <w:szCs w:val="24"/>
        </w:rPr>
      </w:pPr>
      <w:r>
        <w:rPr>
          <w:rFonts w:hint="eastAsia" w:ascii="宋体" w:hAnsi="宋体"/>
          <w:sz w:val="24"/>
          <w:szCs w:val="24"/>
        </w:rPr>
        <w:t>13.2 货到甲方后，甲乙双方须在</w:t>
      </w:r>
      <w:r>
        <w:rPr>
          <w:rFonts w:hint="eastAsia" w:ascii="宋体" w:hAnsi="宋体"/>
          <w:sz w:val="24"/>
          <w:szCs w:val="24"/>
          <w:u w:val="single"/>
        </w:rPr>
        <w:t xml:space="preserve"> </w:t>
      </w:r>
      <w:r>
        <w:rPr>
          <w:rFonts w:hint="eastAsia" w:ascii="宋体" w:hAnsi="宋体"/>
          <w:sz w:val="24"/>
          <w:szCs w:val="24"/>
          <w:u w:val="single"/>
          <w:lang w:val="en-US" w:eastAsia="zh-CN"/>
        </w:rPr>
        <w:t>15</w:t>
      </w:r>
      <w:r>
        <w:rPr>
          <w:rFonts w:hint="eastAsia" w:ascii="宋体" w:hAnsi="宋体"/>
          <w:sz w:val="24"/>
          <w:szCs w:val="24"/>
          <w:u w:val="single"/>
        </w:rPr>
        <w:t xml:space="preserve">  </w:t>
      </w:r>
      <w:r>
        <w:rPr>
          <w:rFonts w:hint="eastAsia" w:ascii="宋体" w:hAnsi="宋体"/>
          <w:sz w:val="24"/>
          <w:szCs w:val="24"/>
        </w:rPr>
        <w:t xml:space="preserve">工作日内初验收，甲方对乙方提交的货物依据招标文件上的技术规格要求和国家有关质量标准进行现场初步验收，外观、说明书、包装符合招标文件技术要求的，给予签收，初步验收不合格的不予签收。甲方在 </w:t>
      </w:r>
      <w:r>
        <w:rPr>
          <w:rFonts w:hint="eastAsia" w:ascii="宋体" w:hAnsi="宋体"/>
          <w:sz w:val="24"/>
          <w:szCs w:val="24"/>
          <w:lang w:val="en-US" w:eastAsia="zh-CN"/>
        </w:rPr>
        <w:t>15</w:t>
      </w:r>
      <w:r>
        <w:rPr>
          <w:rFonts w:hint="eastAsia" w:ascii="宋体" w:hAnsi="宋体"/>
          <w:sz w:val="24"/>
          <w:szCs w:val="24"/>
        </w:rPr>
        <w:t xml:space="preserve"> 工作日内未进行初验收的，不视为验收合格，最终以甲方出具的书面验收单为准。</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13.3 乙方按照招标文件要求免费负责产品安装并培训甲方的使用操作人员，乙方在甲方使用前进行调试，调试直到符合技术要求的甲方才做最终验收。</w:t>
      </w:r>
    </w:p>
    <w:p>
      <w:pPr>
        <w:spacing w:line="360" w:lineRule="auto"/>
        <w:ind w:firstLine="480"/>
        <w:rPr>
          <w:rFonts w:ascii="宋体" w:hAnsi="宋体"/>
          <w:sz w:val="24"/>
          <w:szCs w:val="24"/>
        </w:rPr>
      </w:pPr>
      <w:r>
        <w:rPr>
          <w:rFonts w:hint="eastAsia" w:ascii="宋体" w:hAnsi="宋体"/>
          <w:sz w:val="24"/>
          <w:szCs w:val="24"/>
        </w:rPr>
        <w:t>13.4 对技术复杂的货物，甲方可请国家认可的专业检测机构参与初步验收及最终验收，并由其出具质量检测报告。验收时乙方必须在现场，验收完毕后作出验收结果报告；若聘请第三方中立机构验收，验收费用由甲乙双方协商解决。</w:t>
      </w:r>
    </w:p>
    <w:p>
      <w:pPr>
        <w:spacing w:line="360" w:lineRule="auto"/>
        <w:ind w:firstLine="480"/>
        <w:rPr>
          <w:rFonts w:ascii="宋体" w:hAnsi="宋体"/>
          <w:sz w:val="24"/>
          <w:szCs w:val="24"/>
          <w:u w:val="single"/>
        </w:rPr>
      </w:pPr>
      <w:r>
        <w:rPr>
          <w:rFonts w:ascii="宋体" w:hAnsi="宋体"/>
          <w:sz w:val="24"/>
          <w:szCs w:val="24"/>
        </w:rPr>
        <w:t xml:space="preserve">13.5 </w:t>
      </w:r>
      <w:r>
        <w:rPr>
          <w:rFonts w:hint="eastAsia" w:ascii="宋体" w:hAnsi="宋体"/>
          <w:sz w:val="24"/>
          <w:szCs w:val="24"/>
        </w:rPr>
        <w:t>甲乙双方关于调试和验收的其他约定：</w:t>
      </w:r>
      <w:r>
        <w:rPr>
          <w:rFonts w:ascii="宋体" w:hAnsi="宋体"/>
          <w:sz w:val="24"/>
          <w:szCs w:val="24"/>
          <w:u w:val="single"/>
        </w:rPr>
        <w:t xml:space="preserve">                           </w:t>
      </w:r>
      <w:r>
        <w:rPr>
          <w:rFonts w:hint="eastAsia" w:ascii="宋体" w:hAnsi="宋体"/>
          <w:sz w:val="24"/>
          <w:szCs w:val="24"/>
          <w:u w:val="single"/>
        </w:rPr>
        <w:t>。</w:t>
      </w:r>
    </w:p>
    <w:p>
      <w:pPr>
        <w:pStyle w:val="15"/>
        <w:snapToGrid w:val="0"/>
        <w:spacing w:before="120" w:after="120" w:line="360" w:lineRule="auto"/>
        <w:ind w:left="315" w:leftChars="150" w:firstLine="120" w:firstLineChars="50"/>
        <w:rPr>
          <w:rFonts w:hAnsi="宋体" w:eastAsia="宋体"/>
          <w:b w:val="0"/>
          <w:bCs w:val="0"/>
          <w:sz w:val="24"/>
          <w:szCs w:val="24"/>
        </w:rPr>
      </w:pPr>
      <w:r>
        <w:rPr>
          <w:rFonts w:hint="eastAsia" w:hAnsi="宋体" w:eastAsia="宋体"/>
          <w:b w:val="0"/>
          <w:bCs w:val="0"/>
          <w:sz w:val="24"/>
          <w:szCs w:val="24"/>
        </w:rPr>
        <w:t>14、货物包装、发运及运输</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14.1 乙方应在货物发运前对其进行满足运输距离、防潮、防震、防锈和防破损装卸等要求包装，以保证货物安全运达甲方指定地点。</w:t>
      </w:r>
    </w:p>
    <w:p>
      <w:pPr>
        <w:spacing w:line="360" w:lineRule="auto"/>
        <w:ind w:firstLine="480"/>
        <w:rPr>
          <w:rFonts w:ascii="宋体" w:hAnsi="宋体"/>
          <w:sz w:val="24"/>
          <w:szCs w:val="24"/>
        </w:rPr>
      </w:pPr>
      <w:r>
        <w:rPr>
          <w:rFonts w:hint="eastAsia" w:ascii="宋体" w:hAnsi="宋体"/>
          <w:sz w:val="24"/>
          <w:szCs w:val="24"/>
        </w:rPr>
        <w:t>14.2 乙方发货时，产品使用说明书、检验证明书、随配附件和工具以及清单一并附于货物内。</w:t>
      </w:r>
    </w:p>
    <w:p>
      <w:pPr>
        <w:spacing w:line="360" w:lineRule="auto"/>
        <w:ind w:firstLine="480"/>
        <w:rPr>
          <w:rFonts w:ascii="宋体" w:hAnsi="宋体"/>
          <w:sz w:val="24"/>
          <w:szCs w:val="24"/>
        </w:rPr>
      </w:pPr>
      <w:r>
        <w:rPr>
          <w:rFonts w:hint="eastAsia" w:ascii="宋体" w:hAnsi="宋体"/>
          <w:sz w:val="24"/>
          <w:szCs w:val="24"/>
        </w:rPr>
        <w:t>14.3 乙方在货物发运手续办理完毕后24小时内或货到甲方48小时前通知甲方，以准备甲方接货。根据甲方通知的时间和指定的地点，乙方负责安排送货、装卸、清点、堆放，设备初验收合格前的保管工作由乙方负责，以上相关费用均由乙方承担。</w:t>
      </w:r>
    </w:p>
    <w:p>
      <w:pPr>
        <w:spacing w:line="360" w:lineRule="auto"/>
        <w:ind w:firstLine="480"/>
        <w:rPr>
          <w:rFonts w:ascii="宋体" w:hAnsi="宋体"/>
          <w:sz w:val="24"/>
          <w:szCs w:val="24"/>
        </w:rPr>
      </w:pPr>
      <w:r>
        <w:rPr>
          <w:rFonts w:hint="eastAsia" w:ascii="宋体" w:hAnsi="宋体"/>
          <w:sz w:val="24"/>
          <w:szCs w:val="24"/>
        </w:rPr>
        <w:t>14.4 货物在交付甲方前发生的风险均由乙方负责。</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14.5 货物在规定的交付期限内由乙方送达甲方指定的地点，经初步验收即视为货物交付。</w:t>
      </w:r>
    </w:p>
    <w:p>
      <w:pPr>
        <w:pStyle w:val="15"/>
        <w:snapToGrid w:val="0"/>
        <w:spacing w:before="120" w:after="120" w:line="360" w:lineRule="auto"/>
        <w:ind w:left="315" w:leftChars="150" w:firstLine="120" w:firstLineChars="50"/>
        <w:rPr>
          <w:rFonts w:hAnsi="宋体" w:eastAsia="宋体"/>
          <w:b w:val="0"/>
          <w:bCs w:val="0"/>
          <w:sz w:val="24"/>
          <w:szCs w:val="24"/>
        </w:rPr>
      </w:pPr>
      <w:r>
        <w:rPr>
          <w:rFonts w:hint="eastAsia" w:hAnsi="宋体" w:eastAsia="宋体"/>
          <w:b w:val="0"/>
          <w:bCs w:val="0"/>
          <w:sz w:val="24"/>
          <w:szCs w:val="24"/>
        </w:rPr>
        <w:t>15、违约责任</w:t>
      </w:r>
    </w:p>
    <w:p>
      <w:pPr>
        <w:spacing w:line="360" w:lineRule="auto"/>
        <w:ind w:firstLine="480"/>
        <w:rPr>
          <w:rFonts w:ascii="宋体" w:hAnsi="宋体"/>
          <w:sz w:val="24"/>
          <w:szCs w:val="24"/>
        </w:rPr>
      </w:pPr>
      <w:r>
        <w:rPr>
          <w:rFonts w:hint="eastAsia" w:ascii="宋体" w:hAnsi="宋体"/>
          <w:sz w:val="24"/>
          <w:szCs w:val="24"/>
        </w:rPr>
        <w:t>15.1 甲方无故拒绝初验收和终验收货物的，甲方应按未付货款金额每日万分之一向乙方支付违约金，且最高不超过合同标的额的1%。</w:t>
      </w:r>
    </w:p>
    <w:p>
      <w:pPr>
        <w:spacing w:line="360" w:lineRule="auto"/>
        <w:ind w:firstLine="480"/>
        <w:rPr>
          <w:rFonts w:ascii="宋体" w:hAnsi="宋体"/>
          <w:sz w:val="24"/>
          <w:szCs w:val="24"/>
        </w:rPr>
      </w:pPr>
      <w:r>
        <w:rPr>
          <w:rFonts w:hint="eastAsia" w:ascii="宋体" w:hAnsi="宋体"/>
          <w:sz w:val="24"/>
          <w:szCs w:val="24"/>
        </w:rPr>
        <w:t>15.2 甲方无故逾期验收和无故逾期办理货款支付手续的,甲方应按逾期付款金额每日万分之一向乙方支付违约金，且最高不超过合同标的额的1%。</w:t>
      </w:r>
    </w:p>
    <w:p>
      <w:pPr>
        <w:spacing w:line="360" w:lineRule="auto"/>
        <w:ind w:firstLine="480"/>
        <w:rPr>
          <w:rFonts w:ascii="宋体" w:hAnsi="宋体"/>
          <w:sz w:val="24"/>
          <w:szCs w:val="24"/>
        </w:rPr>
      </w:pPr>
      <w:r>
        <w:rPr>
          <w:rFonts w:hint="eastAsia" w:ascii="宋体" w:hAnsi="宋体"/>
          <w:sz w:val="24"/>
          <w:szCs w:val="24"/>
        </w:rPr>
        <w:t>15.3乙方违约，在消除违约情形前，应按货款总额每日万分之五向甲方支付违约金，甲方可以从待付货款中扣除。</w:t>
      </w:r>
    </w:p>
    <w:p>
      <w:pPr>
        <w:spacing w:line="360" w:lineRule="auto"/>
        <w:ind w:firstLine="480"/>
        <w:rPr>
          <w:rFonts w:ascii="宋体" w:hAnsi="宋体"/>
          <w:sz w:val="24"/>
          <w:szCs w:val="24"/>
        </w:rPr>
      </w:pPr>
      <w:r>
        <w:rPr>
          <w:rFonts w:hint="eastAsia" w:ascii="宋体" w:hAnsi="宋体"/>
          <w:sz w:val="24"/>
          <w:szCs w:val="24"/>
        </w:rPr>
        <w:t>15.4乙方因逾期交货或因其他违约行为，导致甲方解除合同的，乙方应向甲方支付合同总值5%的违约金，如造成甲方损失超过违约金的，超出部分由乙方继续承担赔偿责任。</w:t>
      </w:r>
    </w:p>
    <w:p>
      <w:pPr>
        <w:spacing w:line="360" w:lineRule="auto"/>
        <w:ind w:firstLine="480"/>
        <w:rPr>
          <w:rFonts w:ascii="宋体" w:hAnsi="宋体"/>
          <w:sz w:val="24"/>
          <w:szCs w:val="24"/>
        </w:rPr>
      </w:pPr>
      <w:r>
        <w:rPr>
          <w:rFonts w:hint="eastAsia" w:ascii="宋体" w:hAnsi="宋体"/>
          <w:sz w:val="24"/>
          <w:szCs w:val="24"/>
        </w:rPr>
        <w:t>15.5 乙方所交的货物全部或部分品种、型号、规格、技术参数、质量不符合合同规定及招标文件规定标准的，乙方更换货物但逾期交货的（甲方拒绝接受的除外），按乙方逾期交货处理；乙方拒绝更换货物的，甲方可选择解除本合同或本合同的一部分，并可追究乙方的其他违约责任。</w:t>
      </w:r>
    </w:p>
    <w:p>
      <w:pPr>
        <w:spacing w:line="360" w:lineRule="auto"/>
        <w:ind w:firstLine="480"/>
        <w:rPr>
          <w:rFonts w:ascii="宋体" w:hAnsi="宋体"/>
          <w:sz w:val="24"/>
          <w:szCs w:val="24"/>
          <w:highlight w:val="none"/>
        </w:rPr>
      </w:pPr>
      <w:r>
        <w:rPr>
          <w:rFonts w:hint="eastAsia" w:ascii="宋体" w:hAnsi="宋体"/>
          <w:sz w:val="24"/>
          <w:szCs w:val="24"/>
          <w:highlight w:val="none"/>
        </w:rPr>
        <w:t>15.6合同生效后，发现乙方投标属虚假承诺，或经权威部门监测提供的货物不能满足招标文件要求，造成合同无法继续履行的，乙方</w:t>
      </w:r>
      <w:r>
        <w:rPr>
          <w:rFonts w:hint="eastAsia" w:ascii="宋体" w:hAnsi="宋体"/>
          <w:sz w:val="24"/>
          <w:szCs w:val="24"/>
          <w:highlight w:val="none"/>
          <w:lang w:eastAsia="zh-CN"/>
        </w:rPr>
        <w:t>应</w:t>
      </w:r>
      <w:r>
        <w:rPr>
          <w:rFonts w:hint="eastAsia" w:ascii="宋体" w:hAnsi="宋体"/>
          <w:sz w:val="24"/>
          <w:szCs w:val="24"/>
          <w:highlight w:val="none"/>
        </w:rPr>
        <w:t>赔偿给甲方造成的全部直接或间接损失（诉讼费、鉴定费、律师费等）。</w:t>
      </w:r>
    </w:p>
    <w:p>
      <w:pPr>
        <w:pStyle w:val="15"/>
        <w:snapToGrid w:val="0"/>
        <w:spacing w:before="120" w:after="120" w:line="360" w:lineRule="auto"/>
        <w:ind w:left="315" w:leftChars="150" w:firstLine="120" w:firstLineChars="50"/>
        <w:rPr>
          <w:rFonts w:hAnsi="宋体" w:eastAsia="宋体"/>
          <w:b w:val="0"/>
          <w:bCs w:val="0"/>
          <w:sz w:val="24"/>
          <w:szCs w:val="24"/>
          <w:highlight w:val="none"/>
        </w:rPr>
      </w:pPr>
      <w:r>
        <w:rPr>
          <w:rFonts w:hint="eastAsia" w:hAnsi="宋体" w:eastAsia="宋体"/>
          <w:b w:val="0"/>
          <w:bCs w:val="0"/>
          <w:sz w:val="24"/>
          <w:szCs w:val="24"/>
          <w:highlight w:val="none"/>
        </w:rPr>
        <w:t>16、不可抗力事件处理</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16.1 在合同有效期内，乙方因不可抗力事件导致不能履行合同，则经甲方书面许可后，合同履行期可延长。不可抗力，是指不能预见、不能避免且不能克服的客观情况，例如战争、严重的地震、洪水等，但一方违约或疏忽导致合同不能履行的不属于不可抗力因素。</w:t>
      </w:r>
    </w:p>
    <w:p>
      <w:pPr>
        <w:pStyle w:val="15"/>
        <w:snapToGrid w:val="0"/>
        <w:spacing w:before="120" w:after="120" w:line="360" w:lineRule="auto"/>
        <w:ind w:firstLine="480"/>
        <w:rPr>
          <w:rFonts w:hAnsi="宋体" w:eastAsia="宋体"/>
          <w:b w:val="0"/>
          <w:bCs w:val="0"/>
          <w:color w:val="auto"/>
          <w:sz w:val="24"/>
          <w:szCs w:val="24"/>
        </w:rPr>
      </w:pPr>
      <w:r>
        <w:rPr>
          <w:rFonts w:hint="eastAsia" w:hAnsi="宋体" w:eastAsia="宋体"/>
          <w:b w:val="0"/>
          <w:bCs w:val="0"/>
          <w:sz w:val="24"/>
          <w:szCs w:val="24"/>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w:t>
      </w:r>
      <w:r>
        <w:rPr>
          <w:rFonts w:hint="eastAsia" w:hAnsi="宋体" w:eastAsia="宋体"/>
          <w:b w:val="0"/>
          <w:bCs w:val="0"/>
          <w:color w:val="auto"/>
          <w:sz w:val="24"/>
          <w:szCs w:val="24"/>
        </w:rPr>
        <w:t>120天以上，双方应通过友好协商，确定是否继续履行合同。</w:t>
      </w:r>
    </w:p>
    <w:p>
      <w:pPr>
        <w:pStyle w:val="15"/>
        <w:snapToGrid w:val="0"/>
        <w:spacing w:before="120" w:after="120" w:line="360" w:lineRule="auto"/>
        <w:ind w:left="315" w:leftChars="150" w:firstLine="120" w:firstLineChars="50"/>
        <w:rPr>
          <w:rFonts w:hAnsi="宋体" w:eastAsia="宋体"/>
          <w:b w:val="0"/>
          <w:bCs w:val="0"/>
          <w:color w:val="auto"/>
          <w:sz w:val="24"/>
          <w:szCs w:val="24"/>
        </w:rPr>
      </w:pPr>
      <w:r>
        <w:rPr>
          <w:rFonts w:hint="eastAsia" w:hAnsi="宋体" w:eastAsia="宋体"/>
          <w:b w:val="0"/>
          <w:bCs w:val="0"/>
          <w:color w:val="auto"/>
          <w:sz w:val="24"/>
          <w:szCs w:val="24"/>
        </w:rPr>
        <w:t>17、争议解决</w:t>
      </w:r>
    </w:p>
    <w:p>
      <w:pPr>
        <w:pStyle w:val="15"/>
        <w:snapToGrid w:val="0"/>
        <w:spacing w:before="120" w:after="120" w:line="360" w:lineRule="auto"/>
        <w:ind w:firstLine="480"/>
        <w:rPr>
          <w:rFonts w:hAnsi="宋体" w:eastAsia="宋体"/>
          <w:b w:val="0"/>
          <w:bCs w:val="0"/>
          <w:color w:val="auto"/>
          <w:sz w:val="24"/>
          <w:szCs w:val="24"/>
        </w:rPr>
      </w:pPr>
      <w:r>
        <w:rPr>
          <w:rFonts w:hint="eastAsia" w:hAnsi="宋体" w:eastAsia="宋体"/>
          <w:b w:val="0"/>
          <w:bCs w:val="0"/>
          <w:color w:val="auto"/>
          <w:sz w:val="24"/>
          <w:szCs w:val="24"/>
        </w:rPr>
        <w:t>17.1 因货物的质量问题发生争议的，可在国家认可的质量检测机构对货物质量进行鉴定。鉴定费用先由乙方垫付，检测后，货物符合标准的，鉴定费由甲方承担；货物不符合质量标准或有瑕疵等不符合合同约定情形的，鉴定费由乙方承担。</w:t>
      </w:r>
    </w:p>
    <w:p>
      <w:pPr>
        <w:pStyle w:val="15"/>
        <w:snapToGrid w:val="0"/>
        <w:spacing w:before="120" w:after="120" w:line="360" w:lineRule="auto"/>
        <w:ind w:firstLine="480"/>
        <w:rPr>
          <w:rFonts w:hAnsi="宋体" w:eastAsia="宋体"/>
          <w:b w:val="0"/>
          <w:bCs w:val="0"/>
          <w:color w:val="auto"/>
          <w:sz w:val="24"/>
          <w:szCs w:val="24"/>
        </w:rPr>
      </w:pPr>
      <w:r>
        <w:rPr>
          <w:rFonts w:hint="eastAsia" w:hAnsi="宋体" w:eastAsia="宋体"/>
          <w:b w:val="0"/>
          <w:bCs w:val="0"/>
          <w:color w:val="auto"/>
          <w:sz w:val="24"/>
          <w:szCs w:val="24"/>
        </w:rPr>
        <w:t>17.2 因履行本合同引起的或与本合同有关的争议，甲、乙双方应首先通过友好协商解决；如果协商不能解决争议，甲乙双方同意采取下列两种方式的第</w:t>
      </w:r>
      <w:r>
        <w:rPr>
          <w:rFonts w:hint="eastAsia" w:hAnsi="宋体" w:eastAsia="宋体"/>
          <w:b w:val="0"/>
          <w:bCs w:val="0"/>
          <w:color w:val="auto"/>
          <w:sz w:val="24"/>
          <w:szCs w:val="24"/>
          <w:u w:val="single"/>
        </w:rPr>
        <w:t>（1）</w:t>
      </w:r>
      <w:r>
        <w:rPr>
          <w:rFonts w:hint="eastAsia" w:hAnsi="宋体" w:eastAsia="宋体"/>
          <w:b w:val="0"/>
          <w:bCs w:val="0"/>
          <w:color w:val="auto"/>
          <w:sz w:val="24"/>
          <w:szCs w:val="24"/>
        </w:rPr>
        <w:t>种方式解决争议：</w:t>
      </w:r>
    </w:p>
    <w:p>
      <w:pPr>
        <w:pStyle w:val="15"/>
        <w:snapToGrid w:val="0"/>
        <w:spacing w:before="120" w:after="120" w:line="360" w:lineRule="auto"/>
        <w:ind w:firstLine="360" w:firstLineChars="150"/>
        <w:rPr>
          <w:rFonts w:hAnsi="宋体" w:eastAsia="宋体"/>
          <w:b w:val="0"/>
          <w:bCs w:val="0"/>
          <w:sz w:val="24"/>
          <w:szCs w:val="24"/>
        </w:rPr>
      </w:pPr>
      <w:r>
        <w:rPr>
          <w:rFonts w:hint="eastAsia" w:hAnsi="宋体" w:eastAsia="宋体"/>
          <w:b w:val="0"/>
          <w:bCs w:val="0"/>
          <w:color w:val="auto"/>
          <w:sz w:val="24"/>
          <w:szCs w:val="24"/>
        </w:rPr>
        <w:t>（1）向甲方所在地有管辖权的人民法院提起诉讼，适用中华人民共和国法</w:t>
      </w:r>
      <w:r>
        <w:rPr>
          <w:rFonts w:hint="eastAsia" w:hAnsi="宋体" w:eastAsia="宋体"/>
          <w:b w:val="0"/>
          <w:bCs w:val="0"/>
          <w:sz w:val="24"/>
          <w:szCs w:val="24"/>
        </w:rPr>
        <w:t>律；</w:t>
      </w:r>
    </w:p>
    <w:p>
      <w:pPr>
        <w:pStyle w:val="15"/>
        <w:snapToGrid w:val="0"/>
        <w:spacing w:before="120" w:after="120" w:line="360" w:lineRule="auto"/>
        <w:ind w:left="435" w:leftChars="150" w:hanging="120" w:hangingChars="50"/>
        <w:rPr>
          <w:rFonts w:hAnsi="宋体" w:eastAsia="宋体"/>
          <w:b w:val="0"/>
          <w:bCs w:val="0"/>
          <w:sz w:val="24"/>
          <w:szCs w:val="24"/>
        </w:rPr>
      </w:pPr>
      <w:r>
        <w:rPr>
          <w:rFonts w:hint="eastAsia" w:hAnsi="宋体" w:eastAsia="宋体"/>
          <w:b w:val="0"/>
          <w:bCs w:val="0"/>
          <w:sz w:val="24"/>
          <w:szCs w:val="24"/>
        </w:rPr>
        <w:t>（2）向扬州仲裁委员会按其仲裁规则申请仲裁。</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17.3 若甲乙双方任何一方都没有选择解除合同的，为避免扩大损失，在诉讼或仲裁期间，双方应继续履行。</w:t>
      </w:r>
    </w:p>
    <w:p>
      <w:pPr>
        <w:pStyle w:val="15"/>
        <w:snapToGrid w:val="0"/>
        <w:spacing w:before="120" w:after="120" w:line="360" w:lineRule="auto"/>
        <w:ind w:left="315" w:leftChars="150" w:firstLine="120" w:firstLineChars="50"/>
        <w:rPr>
          <w:rFonts w:hAnsi="宋体" w:eastAsia="宋体"/>
          <w:b w:val="0"/>
          <w:bCs w:val="0"/>
          <w:sz w:val="24"/>
          <w:szCs w:val="24"/>
        </w:rPr>
      </w:pPr>
      <w:r>
        <w:rPr>
          <w:rFonts w:hint="eastAsia" w:hAnsi="宋体" w:eastAsia="宋体"/>
          <w:b w:val="0"/>
          <w:bCs w:val="0"/>
          <w:sz w:val="24"/>
          <w:szCs w:val="24"/>
        </w:rPr>
        <w:t>18、合同其它</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18.1 乙方应诚实信用，严格按照招标文件要求和投标承诺履行合同，不向甲方进行商业贿赂或者提供不正当利益。</w:t>
      </w:r>
    </w:p>
    <w:p>
      <w:pPr>
        <w:pStyle w:val="15"/>
        <w:snapToGrid w:val="0"/>
        <w:spacing w:before="120" w:after="120" w:line="360" w:lineRule="auto"/>
        <w:ind w:firstLine="480"/>
        <w:rPr>
          <w:rFonts w:hAnsi="宋体" w:eastAsia="宋体"/>
          <w:b w:val="0"/>
          <w:bCs w:val="0"/>
          <w:sz w:val="24"/>
          <w:szCs w:val="24"/>
          <w:u w:val="single"/>
        </w:rPr>
      </w:pPr>
      <w:r>
        <w:rPr>
          <w:rFonts w:hint="eastAsia" w:hAnsi="宋体" w:eastAsia="宋体"/>
          <w:b w:val="0"/>
          <w:bCs w:val="0"/>
          <w:sz w:val="24"/>
          <w:szCs w:val="24"/>
        </w:rPr>
        <w:t>18.2 合同经双方法定代表人或授权代表签字并加盖单位公章。</w:t>
      </w:r>
    </w:p>
    <w:p>
      <w:pPr>
        <w:widowControl/>
        <w:ind w:firstLine="480"/>
        <w:jc w:val="left"/>
        <w:rPr>
          <w:rFonts w:hAnsi="宋体"/>
          <w:sz w:val="24"/>
          <w:szCs w:val="24"/>
        </w:rPr>
      </w:pPr>
      <w:r>
        <w:rPr>
          <w:rFonts w:hint="eastAsia" w:hAnsi="宋体"/>
          <w:sz w:val="24"/>
          <w:szCs w:val="24"/>
        </w:rPr>
        <w:t>18.2本合同未尽事宜，可另行签订补充协议。补充协议与本合同不一致的，以补充协议为准。</w:t>
      </w:r>
    </w:p>
    <w:p>
      <w:pPr>
        <w:pStyle w:val="15"/>
        <w:snapToGrid w:val="0"/>
        <w:spacing w:before="120" w:after="120" w:line="360" w:lineRule="auto"/>
        <w:ind w:firstLine="480"/>
        <w:rPr>
          <w:rFonts w:hAnsi="宋体" w:eastAsia="宋体"/>
          <w:b w:val="0"/>
          <w:bCs w:val="0"/>
          <w:sz w:val="24"/>
          <w:szCs w:val="24"/>
        </w:rPr>
      </w:pPr>
      <w:r>
        <w:rPr>
          <w:rFonts w:hint="eastAsia" w:hAnsi="宋体" w:eastAsia="宋体"/>
          <w:b w:val="0"/>
          <w:bCs w:val="0"/>
          <w:sz w:val="24"/>
          <w:szCs w:val="24"/>
        </w:rPr>
        <w:t>18.3 本合同正本一式四份，具有同等法律效力，甲方、乙方各执二份。</w:t>
      </w:r>
    </w:p>
    <w:p>
      <w:pPr>
        <w:pStyle w:val="15"/>
        <w:snapToGrid w:val="0"/>
        <w:spacing w:before="120" w:after="120" w:line="360" w:lineRule="auto"/>
        <w:ind w:left="480" w:hanging="480" w:hangingChars="200"/>
        <w:rPr>
          <w:rFonts w:hAnsi="宋体" w:eastAsia="宋体"/>
          <w:b w:val="0"/>
          <w:bCs w:val="0"/>
          <w:sz w:val="24"/>
          <w:szCs w:val="24"/>
        </w:rPr>
      </w:pPr>
    </w:p>
    <w:p>
      <w:pPr>
        <w:pStyle w:val="15"/>
        <w:snapToGrid w:val="0"/>
        <w:spacing w:before="120" w:after="120" w:line="360" w:lineRule="auto"/>
        <w:ind w:firstLine="480"/>
        <w:rPr>
          <w:rFonts w:hAnsi="宋体" w:eastAsia="宋体"/>
          <w:b w:val="0"/>
          <w:bCs w:val="0"/>
          <w:sz w:val="24"/>
          <w:szCs w:val="24"/>
        </w:rPr>
      </w:pPr>
    </w:p>
    <w:p>
      <w:pPr>
        <w:pStyle w:val="15"/>
        <w:snapToGrid w:val="0"/>
        <w:spacing w:before="120" w:after="120" w:line="360" w:lineRule="auto"/>
        <w:ind w:left="480" w:hanging="480" w:hangingChars="200"/>
        <w:rPr>
          <w:rFonts w:hAnsi="宋体" w:eastAsia="宋体"/>
          <w:b w:val="0"/>
          <w:bCs w:val="0"/>
          <w:sz w:val="24"/>
          <w:szCs w:val="24"/>
        </w:rPr>
      </w:pPr>
      <w:r>
        <w:rPr>
          <w:rFonts w:hint="eastAsia" w:hAnsi="宋体" w:eastAsia="宋体"/>
          <w:b w:val="0"/>
          <w:bCs w:val="0"/>
          <w:sz w:val="24"/>
          <w:szCs w:val="24"/>
        </w:rPr>
        <w:t xml:space="preserve">  甲方：                                       乙方： </w:t>
      </w:r>
    </w:p>
    <w:p>
      <w:pPr>
        <w:pStyle w:val="15"/>
        <w:snapToGrid w:val="0"/>
        <w:spacing w:before="120" w:after="120" w:line="360" w:lineRule="auto"/>
        <w:ind w:firstLine="240" w:firstLineChars="100"/>
        <w:rPr>
          <w:rFonts w:hAnsi="宋体" w:eastAsia="宋体"/>
          <w:b w:val="0"/>
          <w:bCs w:val="0"/>
          <w:sz w:val="24"/>
          <w:szCs w:val="24"/>
        </w:rPr>
      </w:pPr>
      <w:r>
        <w:rPr>
          <w:rFonts w:hint="eastAsia" w:hAnsi="宋体" w:eastAsia="宋体"/>
          <w:b w:val="0"/>
          <w:bCs w:val="0"/>
          <w:sz w:val="24"/>
          <w:szCs w:val="24"/>
        </w:rPr>
        <w:t>地址：</w:t>
      </w:r>
      <w:r>
        <w:rPr>
          <w:rFonts w:hint="eastAsia" w:hAnsi="宋体" w:eastAsia="宋体"/>
          <w:b w:val="0"/>
          <w:bCs w:val="0"/>
          <w:sz w:val="24"/>
          <w:szCs w:val="24"/>
        </w:rPr>
        <w:tab/>
      </w:r>
      <w:r>
        <w:rPr>
          <w:rFonts w:hint="eastAsia" w:hAnsi="宋体" w:eastAsia="宋体"/>
          <w:b w:val="0"/>
          <w:bCs w:val="0"/>
          <w:sz w:val="24"/>
          <w:szCs w:val="24"/>
        </w:rPr>
        <w:tab/>
      </w:r>
      <w:r>
        <w:rPr>
          <w:rFonts w:hint="eastAsia" w:hAnsi="宋体" w:eastAsia="宋体"/>
          <w:b w:val="0"/>
          <w:bCs w:val="0"/>
          <w:sz w:val="24"/>
          <w:szCs w:val="24"/>
        </w:rPr>
        <w:tab/>
      </w:r>
      <w:r>
        <w:rPr>
          <w:rFonts w:hint="eastAsia" w:hAnsi="宋体" w:eastAsia="宋体"/>
          <w:b w:val="0"/>
          <w:bCs w:val="0"/>
          <w:sz w:val="24"/>
          <w:szCs w:val="24"/>
        </w:rPr>
        <w:tab/>
      </w:r>
      <w:r>
        <w:rPr>
          <w:rFonts w:hint="eastAsia" w:hAnsi="宋体" w:eastAsia="宋体"/>
          <w:b w:val="0"/>
          <w:bCs w:val="0"/>
          <w:sz w:val="24"/>
          <w:szCs w:val="24"/>
        </w:rPr>
        <w:t xml:space="preserve">                       地址： </w:t>
      </w:r>
    </w:p>
    <w:p>
      <w:pPr>
        <w:pStyle w:val="15"/>
        <w:snapToGrid w:val="0"/>
        <w:spacing w:before="120" w:after="120" w:line="360" w:lineRule="auto"/>
        <w:ind w:firstLine="240" w:firstLineChars="100"/>
        <w:rPr>
          <w:rFonts w:hAnsi="宋体" w:eastAsia="宋体"/>
          <w:b w:val="0"/>
          <w:bCs w:val="0"/>
          <w:sz w:val="24"/>
          <w:szCs w:val="24"/>
        </w:rPr>
      </w:pPr>
      <w:r>
        <w:rPr>
          <w:rFonts w:hint="eastAsia" w:hAnsi="宋体" w:eastAsia="宋体"/>
          <w:b w:val="0"/>
          <w:bCs w:val="0"/>
          <w:sz w:val="24"/>
          <w:szCs w:val="24"/>
        </w:rPr>
        <w:t>法定代表人或授权代表：                       法定代表人或授权代表：</w:t>
      </w:r>
    </w:p>
    <w:p>
      <w:pPr>
        <w:pStyle w:val="15"/>
        <w:snapToGrid w:val="0"/>
        <w:spacing w:before="120" w:after="120" w:line="360" w:lineRule="auto"/>
        <w:ind w:firstLine="240" w:firstLineChars="100"/>
        <w:rPr>
          <w:rFonts w:hAnsi="宋体" w:eastAsia="宋体"/>
          <w:b w:val="0"/>
          <w:bCs w:val="0"/>
          <w:sz w:val="24"/>
          <w:szCs w:val="24"/>
        </w:rPr>
      </w:pPr>
      <w:r>
        <w:rPr>
          <w:rFonts w:hint="eastAsia" w:hAnsi="宋体" w:eastAsia="宋体"/>
          <w:b w:val="0"/>
          <w:bCs w:val="0"/>
          <w:sz w:val="24"/>
          <w:szCs w:val="24"/>
        </w:rPr>
        <w:t>联系电话：                                   联系电话：</w:t>
      </w:r>
    </w:p>
    <w:p>
      <w:pPr>
        <w:pStyle w:val="15"/>
        <w:snapToGrid w:val="0"/>
        <w:spacing w:before="120" w:after="120" w:line="360" w:lineRule="auto"/>
        <w:ind w:firstLine="240" w:firstLineChars="100"/>
        <w:rPr>
          <w:rFonts w:hAnsi="宋体" w:eastAsia="宋体"/>
          <w:b w:val="0"/>
          <w:bCs w:val="0"/>
          <w:sz w:val="21"/>
          <w:szCs w:val="21"/>
        </w:rPr>
      </w:pPr>
      <w:r>
        <w:rPr>
          <w:rFonts w:hint="eastAsia" w:hAnsi="宋体" w:eastAsia="宋体"/>
          <w:b w:val="0"/>
          <w:bCs w:val="0"/>
          <w:sz w:val="24"/>
          <w:szCs w:val="24"/>
        </w:rPr>
        <w:t>日期：      年    月    日                日期：      年    月</w:t>
      </w:r>
    </w:p>
    <w:p>
      <w:pPr>
        <w:pStyle w:val="15"/>
        <w:snapToGrid w:val="0"/>
        <w:spacing w:before="120" w:after="120" w:line="360" w:lineRule="auto"/>
        <w:ind w:firstLine="210" w:firstLineChars="100"/>
        <w:rPr>
          <w:rFonts w:hAnsi="宋体" w:eastAsia="宋体"/>
          <w:b w:val="0"/>
          <w:bCs w:val="0"/>
          <w:sz w:val="21"/>
          <w:szCs w:val="21"/>
        </w:rPr>
      </w:pPr>
    </w:p>
    <w:p>
      <w:pPr>
        <w:pStyle w:val="15"/>
        <w:snapToGrid w:val="0"/>
        <w:spacing w:before="120" w:after="120" w:line="360" w:lineRule="auto"/>
        <w:ind w:firstLine="210" w:firstLineChars="100"/>
        <w:rPr>
          <w:rFonts w:hAnsi="宋体" w:eastAsia="宋体"/>
          <w:b w:val="0"/>
          <w:bCs w:val="0"/>
          <w:sz w:val="21"/>
          <w:szCs w:val="21"/>
        </w:rPr>
      </w:pPr>
    </w:p>
    <w:p>
      <w:pPr>
        <w:pStyle w:val="15"/>
        <w:snapToGrid w:val="0"/>
        <w:spacing w:before="120" w:after="120" w:line="360" w:lineRule="auto"/>
        <w:ind w:firstLine="210" w:firstLineChars="100"/>
        <w:rPr>
          <w:rFonts w:hAnsi="宋体" w:eastAsia="宋体"/>
          <w:b w:val="0"/>
          <w:bCs w:val="0"/>
          <w:sz w:val="21"/>
          <w:szCs w:val="21"/>
        </w:rPr>
      </w:pPr>
    </w:p>
    <w:p>
      <w:pPr>
        <w:pStyle w:val="15"/>
        <w:snapToGrid w:val="0"/>
        <w:spacing w:before="120" w:after="120" w:line="360" w:lineRule="auto"/>
        <w:ind w:firstLine="210" w:firstLineChars="100"/>
        <w:rPr>
          <w:rFonts w:hAnsi="宋体" w:eastAsia="宋体"/>
          <w:b w:val="0"/>
          <w:bCs w:val="0"/>
          <w:sz w:val="21"/>
          <w:szCs w:val="21"/>
        </w:rPr>
      </w:pPr>
    </w:p>
    <w:p>
      <w:pPr>
        <w:pStyle w:val="15"/>
        <w:snapToGrid w:val="0"/>
        <w:spacing w:before="120" w:after="120" w:line="360" w:lineRule="auto"/>
        <w:ind w:firstLine="210" w:firstLineChars="100"/>
        <w:rPr>
          <w:rFonts w:hAnsi="宋体" w:eastAsia="宋体"/>
          <w:b w:val="0"/>
          <w:bCs w:val="0"/>
          <w:sz w:val="21"/>
          <w:szCs w:val="21"/>
        </w:rPr>
      </w:pPr>
    </w:p>
    <w:p>
      <w:pPr>
        <w:pStyle w:val="15"/>
        <w:snapToGrid w:val="0"/>
        <w:spacing w:before="120" w:after="120" w:line="360" w:lineRule="auto"/>
        <w:ind w:firstLine="210" w:firstLineChars="100"/>
        <w:rPr>
          <w:rFonts w:hAnsi="宋体" w:eastAsia="宋体"/>
          <w:b w:val="0"/>
          <w:bCs w:val="0"/>
          <w:sz w:val="21"/>
          <w:szCs w:val="21"/>
        </w:rPr>
      </w:pPr>
    </w:p>
    <w:p>
      <w:pPr>
        <w:pStyle w:val="15"/>
        <w:snapToGrid w:val="0"/>
        <w:spacing w:before="120" w:after="120" w:line="360" w:lineRule="auto"/>
        <w:ind w:firstLine="210" w:firstLineChars="100"/>
        <w:rPr>
          <w:rFonts w:hAnsi="宋体" w:eastAsia="宋体"/>
          <w:b w:val="0"/>
          <w:bCs w:val="0"/>
          <w:sz w:val="21"/>
          <w:szCs w:val="21"/>
        </w:rPr>
      </w:pPr>
    </w:p>
    <w:p>
      <w:pPr>
        <w:pStyle w:val="15"/>
        <w:snapToGrid w:val="0"/>
        <w:spacing w:before="120" w:after="120" w:line="360" w:lineRule="auto"/>
        <w:ind w:firstLine="210" w:firstLineChars="100"/>
        <w:rPr>
          <w:rFonts w:hAnsi="宋体" w:eastAsia="宋体"/>
          <w:b w:val="0"/>
          <w:bCs w:val="0"/>
          <w:sz w:val="21"/>
          <w:szCs w:val="21"/>
        </w:rPr>
      </w:pPr>
    </w:p>
    <w:p>
      <w:pPr>
        <w:pStyle w:val="15"/>
        <w:snapToGrid w:val="0"/>
        <w:spacing w:before="120" w:after="120" w:line="360" w:lineRule="auto"/>
        <w:ind w:firstLine="210" w:firstLineChars="100"/>
        <w:rPr>
          <w:rFonts w:hAnsi="宋体" w:eastAsia="宋体"/>
          <w:b w:val="0"/>
          <w:bCs w:val="0"/>
          <w:sz w:val="21"/>
          <w:szCs w:val="21"/>
        </w:rPr>
      </w:pPr>
    </w:p>
    <w:p>
      <w:pPr>
        <w:pStyle w:val="15"/>
        <w:snapToGrid w:val="0"/>
        <w:spacing w:before="120" w:after="120" w:line="360" w:lineRule="auto"/>
        <w:ind w:firstLine="210" w:firstLineChars="100"/>
        <w:rPr>
          <w:rFonts w:hAnsi="宋体" w:eastAsia="宋体"/>
          <w:b w:val="0"/>
          <w:bCs w:val="0"/>
          <w:sz w:val="21"/>
          <w:szCs w:val="21"/>
        </w:rPr>
      </w:pPr>
    </w:p>
    <w:p>
      <w:pPr>
        <w:pStyle w:val="15"/>
        <w:snapToGrid w:val="0"/>
        <w:spacing w:before="120" w:after="120" w:line="360" w:lineRule="auto"/>
        <w:ind w:firstLine="210" w:firstLineChars="100"/>
        <w:rPr>
          <w:rFonts w:hAnsi="宋体" w:eastAsia="宋体"/>
          <w:b w:val="0"/>
          <w:bCs w:val="0"/>
          <w:sz w:val="21"/>
          <w:szCs w:val="21"/>
        </w:rPr>
      </w:pPr>
    </w:p>
    <w:p>
      <w:pPr>
        <w:pStyle w:val="4"/>
      </w:pPr>
      <w:bookmarkStart w:id="76" w:name="_Toc5143"/>
      <w:r>
        <w:rPr>
          <w:rFonts w:hint="eastAsia"/>
        </w:rPr>
        <w:t>第五章供货要求</w:t>
      </w:r>
      <w:bookmarkEnd w:id="76"/>
    </w:p>
    <w:p>
      <w:pPr>
        <w:pageBreakBefore w:val="0"/>
        <w:widowControl w:val="0"/>
        <w:kinsoku/>
        <w:wordWrap/>
        <w:overflowPunct/>
        <w:topLinePunct w:val="0"/>
        <w:autoSpaceDE/>
        <w:autoSpaceDN/>
        <w:bidi w:val="0"/>
        <w:adjustRightInd/>
        <w:snapToGrid/>
        <w:spacing w:line="360" w:lineRule="auto"/>
        <w:textAlignment w:val="auto"/>
        <w:rPr>
          <w:rFonts w:ascii="宋体" w:hAnsi="宋体"/>
          <w:kern w:val="0"/>
          <w:sz w:val="24"/>
          <w:szCs w:val="24"/>
        </w:rPr>
      </w:pPr>
      <w:r>
        <w:rPr>
          <w:rFonts w:hint="eastAsia" w:ascii="宋体" w:hAnsi="宋体" w:cs="Times New Roman"/>
          <w:kern w:val="0"/>
          <w:sz w:val="24"/>
          <w:szCs w:val="24"/>
        </w:rPr>
        <w:t>注：标注“</w:t>
      </w:r>
      <w:r>
        <w:rPr>
          <w:rFonts w:hint="eastAsia" w:ascii="宋体" w:hAnsi="宋体"/>
          <w:color w:val="000000" w:themeColor="text1"/>
          <w:sz w:val="24"/>
          <w:szCs w:val="24"/>
          <w14:textFill>
            <w14:solidFill>
              <w14:schemeClr w14:val="tx1"/>
            </w14:solidFill>
          </w14:textFill>
        </w:rPr>
        <w:t>★</w:t>
      </w:r>
      <w:r>
        <w:rPr>
          <w:rFonts w:hint="eastAsia" w:ascii="宋体" w:hAnsi="宋体" w:cs="Times New Roman"/>
          <w:kern w:val="0"/>
          <w:sz w:val="24"/>
          <w:szCs w:val="24"/>
        </w:rPr>
        <w:t>”的条款为实质性要求，若有一项负偏离将被按否决投标处理。</w:t>
      </w:r>
    </w:p>
    <w:p>
      <w:pPr>
        <w:pStyle w:val="6"/>
        <w:pageBreakBefore w:val="0"/>
        <w:widowControl w:val="0"/>
        <w:numPr>
          <w:ilvl w:val="0"/>
          <w:numId w:val="8"/>
        </w:numPr>
        <w:kinsoku/>
        <w:wordWrap/>
        <w:overflowPunct/>
        <w:topLinePunct w:val="0"/>
        <w:autoSpaceDE/>
        <w:autoSpaceDN/>
        <w:bidi w:val="0"/>
        <w:adjustRightInd/>
        <w:snapToGrid/>
        <w:spacing w:line="360" w:lineRule="auto"/>
        <w:textAlignment w:val="auto"/>
        <w:rPr>
          <w:sz w:val="24"/>
          <w:szCs w:val="24"/>
        </w:rPr>
      </w:pPr>
      <w:bookmarkStart w:id="77" w:name="_Toc26365"/>
      <w:r>
        <w:rPr>
          <w:rFonts w:hint="eastAsia"/>
          <w:sz w:val="24"/>
          <w:szCs w:val="24"/>
        </w:rPr>
        <w:t>项目概况及总体要求</w:t>
      </w:r>
      <w:bookmarkEnd w:id="77"/>
    </w:p>
    <w:p>
      <w:pPr>
        <w:pageBreakBefore w:val="0"/>
        <w:widowControl w:val="0"/>
        <w:kinsoku/>
        <w:wordWrap/>
        <w:overflowPunct/>
        <w:topLinePunct w:val="0"/>
        <w:autoSpaceDE/>
        <w:autoSpaceDN/>
        <w:bidi w:val="0"/>
        <w:adjustRightInd/>
        <w:snapToGrid/>
        <w:spacing w:line="360" w:lineRule="auto"/>
        <w:jc w:val="left"/>
        <w:textAlignment w:val="auto"/>
        <w:rPr>
          <w:rFonts w:ascii="宋体" w:hAnsi="宋体"/>
          <w:kern w:val="0"/>
          <w:sz w:val="24"/>
          <w:szCs w:val="24"/>
        </w:rPr>
      </w:pPr>
      <w:r>
        <w:rPr>
          <w:rFonts w:hint="eastAsia" w:ascii="宋体" w:hAnsi="宋体"/>
          <w:sz w:val="24"/>
          <w:szCs w:val="24"/>
        </w:rPr>
        <w:t>本项目为扬州市洁源排水有限公司</w:t>
      </w:r>
      <w:r>
        <w:rPr>
          <w:rFonts w:hint="eastAsia" w:ascii="宋体" w:hAnsi="宋体"/>
          <w:sz w:val="24"/>
          <w:szCs w:val="24"/>
          <w:lang w:eastAsia="zh-CN"/>
        </w:rPr>
        <w:t>北山污水处理厂</w:t>
      </w:r>
      <w:r>
        <w:rPr>
          <w:rFonts w:hint="eastAsia" w:ascii="宋体" w:hAnsi="宋体"/>
          <w:sz w:val="24"/>
          <w:szCs w:val="24"/>
        </w:rPr>
        <w:t>化验室设备及耗材采购项目。</w:t>
      </w:r>
    </w:p>
    <w:p>
      <w:pPr>
        <w:pageBreakBefore w:val="0"/>
        <w:widowControl w:val="0"/>
        <w:kinsoku/>
        <w:wordWrap/>
        <w:overflowPunct/>
        <w:topLinePunct w:val="0"/>
        <w:autoSpaceDE/>
        <w:autoSpaceDN/>
        <w:bidi w:val="0"/>
        <w:adjustRightInd/>
        <w:snapToGrid/>
        <w:spacing w:line="360" w:lineRule="auto"/>
        <w:ind w:firstLine="422"/>
        <w:jc w:val="left"/>
        <w:textAlignment w:val="auto"/>
        <w:rPr>
          <w:rFonts w:ascii="宋体" w:hAnsi="宋体"/>
          <w:kern w:val="0"/>
          <w:sz w:val="24"/>
          <w:szCs w:val="24"/>
        </w:rPr>
      </w:pPr>
      <w:r>
        <w:rPr>
          <w:rFonts w:hint="eastAsia" w:ascii="宋体" w:hAnsi="宋体"/>
          <w:b/>
          <w:bCs/>
          <w:kern w:val="0"/>
          <w:sz w:val="24"/>
          <w:szCs w:val="24"/>
        </w:rPr>
        <w:t>交货时间</w:t>
      </w:r>
      <w:r>
        <w:rPr>
          <w:rFonts w:hint="eastAsia" w:ascii="宋体" w:hAnsi="宋体"/>
          <w:kern w:val="0"/>
          <w:sz w:val="24"/>
          <w:szCs w:val="24"/>
        </w:rPr>
        <w:t>：</w:t>
      </w:r>
      <w:r>
        <w:rPr>
          <w:rFonts w:hint="eastAsia" w:ascii="宋体" w:hAnsi="宋体"/>
          <w:sz w:val="24"/>
          <w:szCs w:val="24"/>
        </w:rPr>
        <w:t>合同签订之日起60日内供货至采购人指定地点，仪器到达后，在五个工作日内，由供应商安排合格工程师到仪器使用现场，免费安装调试设备；安装调试期间产生的一切费用（安装、人工、运输搬运、交通、打孔、安全防护设施、打孔后防水恢复等）由中标人负责。</w:t>
      </w:r>
    </w:p>
    <w:p>
      <w:pPr>
        <w:pStyle w:val="6"/>
        <w:numPr>
          <w:ilvl w:val="0"/>
          <w:numId w:val="8"/>
        </w:numPr>
      </w:pPr>
      <w:bookmarkStart w:id="78" w:name="_Toc32108"/>
      <w:r>
        <w:rPr>
          <w:rFonts w:hint="eastAsia"/>
        </w:rPr>
        <w:t>设备需求一览表</w:t>
      </w:r>
      <w:bookmarkEnd w:id="78"/>
    </w:p>
    <w:p>
      <w:pPr>
        <w:ind w:left="0" w:leftChars="0" w:firstLine="0" w:firstLineChars="0"/>
        <w:rPr>
          <w:rFonts w:hint="default" w:eastAsia="宋体"/>
          <w:lang w:val="en-US" w:eastAsia="zh-CN"/>
        </w:rPr>
      </w:pPr>
      <w:r>
        <w:rPr>
          <w:rFonts w:hint="eastAsia"/>
          <w:lang w:val="en-US" w:eastAsia="zh-CN"/>
        </w:rPr>
        <w:t xml:space="preserve">   </w:t>
      </w:r>
      <w:r>
        <w:rPr>
          <w:rFonts w:hint="eastAsia" w:ascii="宋体" w:hAnsi="宋体"/>
          <w:b/>
          <w:bCs/>
          <w:color w:val="FF0000"/>
          <w:sz w:val="24"/>
          <w:szCs w:val="24"/>
        </w:rPr>
        <w:t>★</w:t>
      </w:r>
      <w:r>
        <w:rPr>
          <w:rFonts w:hint="eastAsia" w:ascii="宋体" w:hAnsi="宋体"/>
          <w:b/>
          <w:bCs/>
          <w:color w:val="FF0000"/>
          <w:sz w:val="24"/>
          <w:szCs w:val="24"/>
          <w:lang w:val="en-US" w:eastAsia="zh-CN"/>
        </w:rPr>
        <w:t>主要设备材料及耗材中，需提供专业检测计量机构出具计量/鉴定/检测报告的，</w:t>
      </w:r>
      <w:r>
        <w:rPr>
          <w:rFonts w:hint="eastAsia" w:ascii="宋体" w:hAnsi="宋体"/>
          <w:b/>
          <w:bCs/>
          <w:color w:val="0000FF"/>
          <w:sz w:val="24"/>
          <w:szCs w:val="24"/>
          <w:lang w:val="en-US" w:eastAsia="zh-CN"/>
        </w:rPr>
        <w:t>必须在到货或使用前向招标单位提供相关报告原件</w:t>
      </w:r>
      <w:r>
        <w:rPr>
          <w:rFonts w:hint="eastAsia" w:ascii="宋体" w:hAnsi="宋体"/>
          <w:b/>
          <w:bCs/>
          <w:color w:val="FF0000"/>
          <w:sz w:val="24"/>
          <w:szCs w:val="24"/>
          <w:lang w:val="en-US" w:eastAsia="zh-CN"/>
        </w:rPr>
        <w:t>，检测或计量费用含在投标总价中。</w:t>
      </w:r>
    </w:p>
    <w:p>
      <w:pPr>
        <w:pStyle w:val="2"/>
        <w:ind w:firstLine="0" w:firstLineChars="0"/>
        <w:jc w:val="center"/>
        <w:rPr>
          <w:rFonts w:hint="eastAsia"/>
          <w:lang w:eastAsia="zh-CN"/>
        </w:rPr>
      </w:pPr>
      <w:r>
        <w:rPr>
          <w:rFonts w:hint="eastAsia"/>
          <w:lang w:eastAsia="zh-CN"/>
        </w:rPr>
        <w:t>（一）主要设备材料</w:t>
      </w:r>
    </w:p>
    <w:tbl>
      <w:tblPr>
        <w:tblStyle w:val="28"/>
        <w:tblW w:w="4998" w:type="pct"/>
        <w:tblInd w:w="0" w:type="dxa"/>
        <w:tblLayout w:type="autofit"/>
        <w:tblCellMar>
          <w:top w:w="0" w:type="dxa"/>
          <w:left w:w="0" w:type="dxa"/>
          <w:bottom w:w="0" w:type="dxa"/>
          <w:right w:w="0" w:type="dxa"/>
        </w:tblCellMar>
      </w:tblPr>
      <w:tblGrid>
        <w:gridCol w:w="2563"/>
        <w:gridCol w:w="1044"/>
        <w:gridCol w:w="1521"/>
        <w:gridCol w:w="3205"/>
      </w:tblGrid>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名  称</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单 位</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数 量</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s="宋体"/>
                <w:i w:val="0"/>
                <w:iCs w:val="0"/>
                <w:color w:val="FF0000"/>
                <w:sz w:val="24"/>
                <w:szCs w:val="24"/>
                <w:highlight w:val="none"/>
                <w:u w:val="none"/>
                <w:lang w:eastAsia="zh-CN"/>
              </w:rPr>
              <w:t>需提供计量</w:t>
            </w:r>
            <w:r>
              <w:rPr>
                <w:rFonts w:hint="eastAsia" w:ascii="宋体" w:hAnsi="宋体" w:cs="宋体"/>
                <w:i w:val="0"/>
                <w:iCs w:val="0"/>
                <w:color w:val="00B050"/>
                <w:sz w:val="24"/>
                <w:szCs w:val="24"/>
                <w:highlight w:val="none"/>
                <w:u w:val="none"/>
                <w:lang w:val="en-US" w:eastAsia="zh-CN"/>
              </w:rPr>
              <w:t>检定\校准</w:t>
            </w:r>
            <w:r>
              <w:rPr>
                <w:rFonts w:hint="eastAsia" w:ascii="宋体" w:hAnsi="宋体" w:cs="宋体"/>
                <w:i w:val="0"/>
                <w:iCs w:val="0"/>
                <w:color w:val="FF0000"/>
                <w:sz w:val="24"/>
                <w:szCs w:val="24"/>
                <w:highlight w:val="none"/>
                <w:u w:val="none"/>
                <w:lang w:val="en-US" w:eastAsia="zh-CN"/>
              </w:rPr>
              <w:t>报告</w:t>
            </w:r>
          </w:p>
        </w:tc>
      </w:tr>
      <w:tr>
        <w:tblPrEx>
          <w:tblCellMar>
            <w:top w:w="0" w:type="dxa"/>
            <w:left w:w="0" w:type="dxa"/>
            <w:bottom w:w="0" w:type="dxa"/>
            <w:right w:w="0" w:type="dxa"/>
          </w:tblCellMar>
        </w:tblPrEx>
        <w:trPr>
          <w:trHeight w:val="640"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便携式PH计</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台式PH计</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COD消解器</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便携式溶解氧仪</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台式溶解氧仪</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移液枪</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只</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移液枪</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只</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移液枪</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只</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冷藏冰箱</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 xml:space="preserve"> 1</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0" w:leftChars="0" w:firstLine="0" w:firstLineChars="0"/>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紫外</w:t>
            </w:r>
            <w:r>
              <w:rPr>
                <w:rFonts w:hint="eastAsia" w:ascii="宋体" w:hAnsi="宋体"/>
                <w:color w:val="FF0000"/>
                <w:kern w:val="0"/>
                <w:sz w:val="24"/>
                <w:szCs w:val="24"/>
                <w:lang w:eastAsia="zh-CN"/>
              </w:rPr>
              <w:t>可见</w:t>
            </w:r>
            <w:r>
              <w:rPr>
                <w:rFonts w:hint="eastAsia" w:ascii="宋体" w:hAnsi="宋体"/>
                <w:color w:val="000000" w:themeColor="text1"/>
                <w:kern w:val="0"/>
                <w:sz w:val="24"/>
                <w:szCs w:val="24"/>
                <w14:textFill>
                  <w14:solidFill>
                    <w14:schemeClr w14:val="tx1"/>
                  </w14:solidFill>
                </w14:textFill>
              </w:rPr>
              <w:t>分光光度计</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余氯比色仪</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240" w:firstLineChars="100"/>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六联不锈钢过滤系统</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万分之一天平</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百分之一天平</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高压灭菌器</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生化培养箱</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恒温烘箱</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马弗炉</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一体机显微镜</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left"/>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耐酸碱药品柜(双锁）</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冰箱（保鲜）</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水浴锅</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left"/>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三联不锈钢过滤系统</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left"/>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粪大肠菌群检测过滤器双孔</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电热鼓风干燥箱</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r>
              <w:rPr>
                <w:rFonts w:hint="default" w:ascii="Arial" w:hAnsi="Arial" w:eastAsia="宋体" w:cs="Arial"/>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超净台</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瓶口分离器</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只</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气流烘干器</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只</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center"/>
              <w:textAlignment w:val="center"/>
              <w:rPr>
                <w:rFonts w:hint="eastAsia" w:ascii="宋体" w:hAnsi="宋体"/>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499" w:hRule="atLeast"/>
        </w:trPr>
        <w:tc>
          <w:tcPr>
            <w:tcW w:w="17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小型红外电磁炉</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w:t>
            </w:r>
          </w:p>
        </w:tc>
        <w:tc>
          <w:tcPr>
            <w:tcW w:w="1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color w:val="000000" w:themeColor="text1"/>
                <w:kern w:val="0"/>
                <w:sz w:val="24"/>
                <w:szCs w:val="24"/>
                <w14:textFill>
                  <w14:solidFill>
                    <w14:schemeClr w14:val="tx1"/>
                  </w14:solidFill>
                </w14:textFill>
              </w:rPr>
            </w:pPr>
          </w:p>
        </w:tc>
      </w:tr>
    </w:tbl>
    <w:p>
      <w:pPr>
        <w:pStyle w:val="2"/>
        <w:ind w:firstLine="0" w:firstLineChars="0"/>
        <w:jc w:val="center"/>
        <w:rPr>
          <w:rFonts w:hint="eastAsia"/>
          <w:lang w:eastAsia="zh-CN"/>
        </w:rPr>
      </w:pPr>
      <w:r>
        <w:rPr>
          <w:rFonts w:hint="eastAsia"/>
          <w:lang w:eastAsia="zh-CN"/>
        </w:rPr>
        <w:t>（二）耗材</w:t>
      </w:r>
    </w:p>
    <w:tbl>
      <w:tblPr>
        <w:tblStyle w:val="2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14"/>
        <w:gridCol w:w="1526"/>
        <w:gridCol w:w="1637"/>
        <w:gridCol w:w="1091"/>
        <w:gridCol w:w="2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  称</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  格（ml)</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 位</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 量</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FF0000"/>
                <w:sz w:val="24"/>
                <w:szCs w:val="24"/>
                <w:highlight w:val="none"/>
                <w:u w:val="none"/>
                <w:lang w:eastAsia="zh-CN"/>
              </w:rPr>
              <w:t>需提供计量</w:t>
            </w:r>
            <w:r>
              <w:rPr>
                <w:rFonts w:hint="eastAsia" w:ascii="宋体" w:hAnsi="宋体" w:cs="宋体"/>
                <w:i w:val="0"/>
                <w:iCs w:val="0"/>
                <w:color w:val="92D050"/>
                <w:sz w:val="24"/>
                <w:szCs w:val="24"/>
                <w:highlight w:val="none"/>
                <w:u w:val="none"/>
                <w:lang w:eastAsia="zh-CN"/>
              </w:rPr>
              <w:t>检定</w:t>
            </w:r>
            <w:r>
              <w:rPr>
                <w:rFonts w:hint="eastAsia" w:ascii="宋体" w:hAnsi="宋体" w:cs="宋体"/>
                <w:i w:val="0"/>
                <w:iCs w:val="0"/>
                <w:color w:val="FF0000"/>
                <w:sz w:val="24"/>
                <w:szCs w:val="24"/>
                <w:highlight w:val="none"/>
                <w:u w:val="none"/>
                <w:lang w:val="en-US" w:eastAsia="zh-CN"/>
              </w:rPr>
              <w:t>/校准报告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容量瓶（白色）</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（需检测4只）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移液管</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根</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根</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根</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根</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根</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根</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根</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根</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刻度吸管</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根</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根</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根</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根</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根</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烧杯</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烧杯（带把）</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塑料烧杯(带把)</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量筒</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（需检测4只）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塑料量筒</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量杯</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具塞比色管</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50*12</w:t>
            </w:r>
            <w:r>
              <w:rPr>
                <w:rFonts w:hint="eastAsia" w:ascii="宋体" w:hAnsi="宋体" w:cs="宋体"/>
                <w:i w:val="0"/>
                <w:iCs w:val="0"/>
                <w:color w:val="000000"/>
                <w:kern w:val="0"/>
                <w:sz w:val="24"/>
                <w:szCs w:val="24"/>
                <w:u w:val="none"/>
                <w:lang w:val="en-US" w:eastAsia="zh-CN" w:bidi="ar"/>
              </w:rPr>
              <w:t>根</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套</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（需检测2套）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四氟乙烯螺口比色管</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根</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（需检测24根）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根</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（需检测24根）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磨口三角烧瓶</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三角烧瓶</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广口玻璃试剂瓶（白色）</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细口玻璃试剂瓶</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细口玻璃试剂瓶（棕色）</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容量瓶（棕色）</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（需检测2只）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（需检测2只）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（需检测2只）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（需检测2只）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（需检测2只）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扁型称量瓶</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60*30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高型称量瓶</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35*70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耐高温弧形坩埚（带盖）</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耐高温碗型坩埚</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耐高温方型坩埚</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120*60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不锈钢坩埚钳</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12寸</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14寸</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带盖水封溶解氧瓶（棕色）</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蓝盖试剂瓶</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720" w:firstLineChars="3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塑料洗瓶</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洗耳球</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平口镊子</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滴定台（含蝴蝶夹）</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大理石</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四氟滴定管（白色)</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（需检测5根）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四氟滴定管（棕色）</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根</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r>
              <w:rPr>
                <w:rFonts w:hint="eastAsia" w:ascii="Arial" w:hAnsi="Arial" w:cs="Arial"/>
                <w:i w:val="0"/>
                <w:iCs w:val="0"/>
                <w:color w:val="000000"/>
                <w:kern w:val="0"/>
                <w:sz w:val="24"/>
                <w:szCs w:val="24"/>
                <w:u w:val="none"/>
                <w:lang w:val="en-US" w:eastAsia="zh-CN" w:bidi="ar"/>
              </w:rPr>
              <w:t>（需检测4根）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一次性无菌培养皿</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直径9CM</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牛角钥匙</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22CM</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both"/>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 xml:space="preserve">   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12CM</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15CM</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白锈钢方尾钥匙</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20CM</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波棒</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30CM</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根</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玻璃滴管</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称量纸</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灭菌水样袋</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灭菌密封均质袋</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白锈钢托盘</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比色管架</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6孔（孔径32）</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50ML比色管架</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6孔</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25ML比色管架</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6孔</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50ML白锈钢比色管架</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20孔（孔径32）</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50ML白锈钢比色管架</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25ML白锈钢比色管架</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石英比色皿</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1CM</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玻璃比色皿</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2CM</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3CM</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耐酸碱移液管架</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单梯10孔</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单梯20孔</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大口带盖塑料取样瓶</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聚氟乙烯带盖小口试剂瓶</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干燥器（含瓷板）</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直径30CM</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直径15CM</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白锈钢提篮</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直径15CM高25CM(两隔）</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直径30CM高25CM（四隔）</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sz w:val="24"/>
                <w:szCs w:val="24"/>
                <w:highlight w:val="none"/>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移液枪枪头</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温湿度计</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棕色玻璃滴瓶</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载玻片</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盖波片</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沥水架</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羊毛试管刷</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只</w:t>
            </w:r>
          </w:p>
        </w:tc>
        <w:tc>
          <w:tcPr>
            <w:tcW w:w="63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pPr>
        <w:pStyle w:val="2"/>
        <w:ind w:firstLine="0" w:firstLineChars="0"/>
        <w:rPr>
          <w:rFonts w:hint="eastAsia"/>
          <w:lang w:eastAsia="zh-CN"/>
        </w:rPr>
      </w:pPr>
    </w:p>
    <w:p>
      <w:pPr>
        <w:pStyle w:val="6"/>
        <w:numPr>
          <w:ilvl w:val="0"/>
          <w:numId w:val="8"/>
        </w:numPr>
      </w:pPr>
      <w:bookmarkStart w:id="79" w:name="_Toc617"/>
      <w:r>
        <w:rPr>
          <w:rFonts w:hint="eastAsia"/>
        </w:rPr>
        <w:t>技术性能指标</w:t>
      </w:r>
      <w:bookmarkEnd w:id="79"/>
      <w:r>
        <w:rPr>
          <w:rFonts w:hint="eastAsia"/>
        </w:rPr>
        <w:t>及相关标准</w:t>
      </w:r>
    </w:p>
    <w:tbl>
      <w:tblPr>
        <w:tblStyle w:val="28"/>
        <w:tblW w:w="5000" w:type="pct"/>
        <w:tblInd w:w="0"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78"/>
        <w:gridCol w:w="1701"/>
        <w:gridCol w:w="662"/>
        <w:gridCol w:w="713"/>
        <w:gridCol w:w="4874"/>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序号</w:t>
            </w:r>
          </w:p>
        </w:tc>
        <w:tc>
          <w:tcPr>
            <w:tcW w:w="997"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品  名</w:t>
            </w:r>
          </w:p>
        </w:tc>
        <w:tc>
          <w:tcPr>
            <w:tcW w:w="38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单位</w:t>
            </w:r>
          </w:p>
        </w:tc>
        <w:tc>
          <w:tcPr>
            <w:tcW w:w="41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数量</w:t>
            </w:r>
          </w:p>
        </w:tc>
        <w:tc>
          <w:tcPr>
            <w:tcW w:w="2857"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技术参数</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997" w:type="pct"/>
            <w:tcBorders>
              <w:tl2br w:val="nil"/>
              <w:tr2bl w:val="nil"/>
            </w:tcBorders>
            <w:vAlign w:val="center"/>
          </w:tcPr>
          <w:p>
            <w:pPr>
              <w:widowControl/>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便携式pH计</w:t>
            </w:r>
          </w:p>
        </w:tc>
        <w:tc>
          <w:tcPr>
            <w:tcW w:w="38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2857" w:type="pct"/>
            <w:tcBorders>
              <w:tl2br w:val="nil"/>
              <w:tr2bl w:val="nil"/>
            </w:tcBorders>
            <w:vAlign w:val="center"/>
          </w:tcPr>
          <w:p>
            <w:pPr>
              <w:spacing w:line="360" w:lineRule="auto"/>
              <w:ind w:left="1235" w:hanging="1411" w:hangingChars="588"/>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1具有数据锁定显示功能</w:t>
            </w:r>
          </w:p>
          <w:p>
            <w:pPr>
              <w:spacing w:line="360" w:lineRule="auto"/>
              <w:ind w:left="1155" w:hanging="1320" w:hangingChars="55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★2显示：可同时显示如下2个电极的测量读数</w:t>
            </w:r>
          </w:p>
          <w:p>
            <w:pPr>
              <w:spacing w:line="360" w:lineRule="auto"/>
              <w:ind w:left="0" w:leftChars="0" w:firstLine="480" w:firstLineChars="20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（1）pH电极：pH、mV、温度</w:t>
            </w:r>
          </w:p>
          <w:p>
            <w:pPr>
              <w:spacing w:line="360" w:lineRule="auto"/>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（2）电导率电极：电导率、盐度、总溶解固体、温度</w:t>
            </w:r>
          </w:p>
          <w:p>
            <w:pPr>
              <w:spacing w:line="360" w:lineRule="auto"/>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（3）溶解氧电极：溶解氧、压力、温度</w:t>
            </w:r>
          </w:p>
          <w:p>
            <w:pPr>
              <w:spacing w:line="360" w:lineRule="auto"/>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（4）LBOD电极：溶解氧、压力、温度</w:t>
            </w:r>
          </w:p>
          <w:p>
            <w:pPr>
              <w:spacing w:line="360" w:lineRule="auto"/>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（5）ORP氧化还原电位：mV、温度</w:t>
            </w:r>
          </w:p>
          <w:p>
            <w:pPr>
              <w:spacing w:line="360" w:lineRule="auto"/>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（6）钠离子选择性电极：mg/L、温度</w:t>
            </w:r>
          </w:p>
          <w:p>
            <w:pPr>
              <w:spacing w:line="360" w:lineRule="auto"/>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（7）氨离子选择性电极：mg/L、温度</w:t>
            </w:r>
          </w:p>
          <w:p>
            <w:pPr>
              <w:spacing w:line="360" w:lineRule="auto"/>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（8）铵根离子选择性电极：mg/L、温度</w:t>
            </w:r>
          </w:p>
          <w:p>
            <w:pPr>
              <w:spacing w:line="360" w:lineRule="auto"/>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（9）氟离子选择性电极：mg/L、温度</w:t>
            </w:r>
          </w:p>
          <w:p>
            <w:pPr>
              <w:spacing w:line="360" w:lineRule="auto"/>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（10）硝酸根离子选择性电极：mg/L、温度</w:t>
            </w:r>
          </w:p>
          <w:p>
            <w:pPr>
              <w:spacing w:line="360" w:lineRule="auto"/>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（11）氯离子选择性电极：mg/L、温度</w:t>
            </w:r>
          </w:p>
          <w:p>
            <w:pPr>
              <w:spacing w:line="360" w:lineRule="auto"/>
              <w:ind w:left="105" w:hanging="120" w:hangingChars="5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 数据内存： 500 组数据</w:t>
            </w:r>
          </w:p>
          <w:p>
            <w:pPr>
              <w:spacing w:line="360" w:lineRule="auto"/>
              <w:ind w:left="1890" w:hanging="2160" w:hangingChars="900"/>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 数据存储： 校准数据都存贮在日志中。在“按</w:t>
            </w:r>
          </w:p>
          <w:p>
            <w:pPr>
              <w:spacing w:line="360" w:lineRule="auto"/>
              <w:ind w:left="1890" w:hanging="2160" w:hangingChars="900"/>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下即读”模式和间隔测量模式时可自动存储。在“连</w:t>
            </w:r>
          </w:p>
          <w:p>
            <w:pPr>
              <w:spacing w:line="360" w:lineRule="auto"/>
              <w:ind w:left="1890" w:hanging="2160" w:hangingChars="90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续读数”模式时需手动存储。</w:t>
            </w:r>
          </w:p>
          <w:p>
            <w:pPr>
              <w:spacing w:line="360" w:lineRule="auto"/>
              <w:ind w:left="105" w:hanging="120" w:hangingChars="5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 数据传输：通过USB转接下载至电脑或U盘，读数时同步传输</w:t>
            </w:r>
          </w:p>
          <w:p>
            <w:pPr>
              <w:spacing w:line="360" w:lineRule="auto"/>
              <w:ind w:left="105" w:hanging="120" w:hangingChars="5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 温度修正/ 补偿：可自动实现温度补偿</w:t>
            </w:r>
          </w:p>
          <w:p>
            <w:pPr>
              <w:spacing w:line="360" w:lineRule="auto"/>
              <w:ind w:left="105" w:hanging="120" w:hangingChars="5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 三种测量模式：即按即读、间隔读数、连续读数</w:t>
            </w:r>
          </w:p>
          <w:p>
            <w:pPr>
              <w:spacing w:line="360" w:lineRule="auto"/>
              <w:ind w:left="105" w:hanging="120" w:hangingChars="5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 自动识别校准标准</w:t>
            </w:r>
          </w:p>
          <w:p>
            <w:pPr>
              <w:spacing w:line="360" w:lineRule="auto"/>
              <w:ind w:left="105" w:hanging="120" w:hangingChars="5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 键盘：通过USB外接键盘</w:t>
            </w:r>
          </w:p>
          <w:p>
            <w:pPr>
              <w:spacing w:line="360" w:lineRule="auto"/>
              <w:ind w:left="105" w:hanging="120" w:hangingChars="50"/>
              <w:jc w:val="both"/>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★10防水性： 测定仪外壳可在1 米深的水中浸</w:t>
            </w:r>
          </w:p>
          <w:p>
            <w:pPr>
              <w:spacing w:line="360" w:lineRule="auto"/>
              <w:ind w:left="210" w:leftChars="100" w:firstLine="1320" w:firstLineChars="55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30 分钟（IP67）</w:t>
            </w:r>
          </w:p>
          <w:p>
            <w:pPr>
              <w:autoSpaceDE w:val="0"/>
              <w:autoSpaceDN w:val="0"/>
              <w:adjustRightIn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 尺寸：19.7×9.5厘米</w:t>
            </w:r>
          </w:p>
          <w:p>
            <w:pPr>
              <w:autoSpaceDE w:val="0"/>
              <w:autoSpaceDN w:val="0"/>
              <w:adjustRightInd w:val="0"/>
              <w:spacing w:line="360" w:lineRule="auto"/>
              <w:ind w:firstLine="1440" w:firstLineChars="60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 重量：330 g</w:t>
            </w:r>
          </w:p>
          <w:p>
            <w:pPr>
              <w:autoSpaceDE w:val="0"/>
              <w:autoSpaceDN w:val="0"/>
              <w:adjustRightInd w:val="0"/>
              <w:spacing w:line="360" w:lineRule="auto"/>
              <w:ind w:firstLine="1320" w:firstLineChars="55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430 g (安装了四节 AA 碱性电池)</w:t>
            </w:r>
          </w:p>
          <w:p>
            <w:pPr>
              <w:spacing w:line="360" w:lineRule="auto"/>
              <w:ind w:firstLine="0" w:firstLineChars="0"/>
              <w:jc w:val="both"/>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pacing w:val="-2"/>
                <w:sz w:val="24"/>
                <w:szCs w:val="24"/>
                <w14:textFill>
                  <w14:solidFill>
                    <w14:schemeClr w14:val="tx1"/>
                  </w14:solidFill>
                </w14:textFill>
              </w:rPr>
              <w:t>1</w:t>
            </w:r>
            <w:r>
              <w:rPr>
                <w:rFonts w:hint="eastAsia" w:ascii="宋体" w:hAnsi="宋体"/>
                <w:b/>
                <w:color w:val="000000" w:themeColor="text1"/>
                <w:spacing w:val="-2"/>
                <w:sz w:val="24"/>
                <w:szCs w:val="24"/>
                <w:lang w:val="en-US" w:eastAsia="zh-CN"/>
                <w14:textFill>
                  <w14:solidFill>
                    <w14:schemeClr w14:val="tx1"/>
                  </w14:solidFill>
                </w14:textFill>
              </w:rPr>
              <w:t>1</w:t>
            </w:r>
            <w:r>
              <w:rPr>
                <w:rFonts w:hint="eastAsia" w:ascii="宋体" w:hAnsi="宋体"/>
                <w:b/>
                <w:color w:val="000000" w:themeColor="text1"/>
                <w:spacing w:val="-2"/>
                <w:sz w:val="24"/>
                <w:szCs w:val="24"/>
                <w14:textFill>
                  <w14:solidFill>
                    <w14:schemeClr w14:val="tx1"/>
                  </w14:solidFill>
                </w14:textFill>
              </w:rPr>
              <w:t xml:space="preserve"> 仪器配置</w:t>
            </w:r>
          </w:p>
          <w:p>
            <w:pPr>
              <w:pStyle w:val="53"/>
              <w:spacing w:line="360" w:lineRule="auto"/>
              <w:ind w:firstLine="237" w:firstLineChars="100"/>
              <w:jc w:val="both"/>
              <w:rPr>
                <w:rFonts w:ascii="宋体" w:hAnsi="宋体"/>
                <w:color w:val="000000" w:themeColor="text1"/>
                <w:sz w:val="24"/>
                <w:szCs w:val="24"/>
                <w14:textFill>
                  <w14:solidFill>
                    <w14:schemeClr w14:val="tx1"/>
                  </w14:solidFill>
                </w14:textFill>
              </w:rPr>
            </w:pPr>
            <w:r>
              <w:rPr>
                <w:rFonts w:hint="eastAsia" w:ascii="宋体" w:hAnsi="宋体"/>
                <w:bCs w:val="0"/>
                <w:color w:val="000000" w:themeColor="text1"/>
                <w:sz w:val="24"/>
                <w:szCs w:val="24"/>
                <w14:textFill>
                  <w14:solidFill>
                    <w14:schemeClr w14:val="tx1"/>
                  </w14:solidFill>
                </w14:textFill>
              </w:rPr>
              <w:t>13.1 主机1台</w:t>
            </w:r>
          </w:p>
          <w:p>
            <w:pPr>
              <w:pStyle w:val="53"/>
              <w:spacing w:line="360" w:lineRule="auto"/>
              <w:ind w:firstLine="0" w:firstLineChars="0"/>
              <w:jc w:val="both"/>
              <w:rPr>
                <w:rFonts w:ascii="宋体" w:hAnsi="宋体"/>
                <w:b w:val="0"/>
                <w:bCs w:val="0"/>
                <w:color w:val="000000" w:themeColor="text1"/>
                <w:sz w:val="24"/>
                <w:szCs w:val="24"/>
                <w:lang w:val="fr-FR"/>
                <w14:textFill>
                  <w14:solidFill>
                    <w14:schemeClr w14:val="tx1"/>
                  </w14:solidFill>
                </w14:textFill>
              </w:rPr>
            </w:pPr>
            <w:r>
              <w:rPr>
                <w:rFonts w:hint="eastAsia" w:ascii="宋体" w:hAnsi="宋体"/>
                <w:b w:val="0"/>
                <w:bCs w:val="0"/>
                <w:color w:val="000000" w:themeColor="text1"/>
                <w:spacing w:val="6"/>
                <w:sz w:val="24"/>
                <w:szCs w:val="24"/>
                <w14:textFill>
                  <w14:solidFill>
                    <w14:schemeClr w14:val="tx1"/>
                  </w14:solidFill>
                </w14:textFill>
              </w:rPr>
              <w:t>★</w:t>
            </w:r>
            <w:r>
              <w:rPr>
                <w:rFonts w:hint="eastAsia" w:ascii="宋体" w:hAnsi="宋体"/>
                <w:b w:val="0"/>
                <w:bCs w:val="0"/>
                <w:color w:val="000000" w:themeColor="text1"/>
                <w:sz w:val="24"/>
                <w:szCs w:val="24"/>
                <w14:textFill>
                  <w14:solidFill>
                    <w14:schemeClr w14:val="tx1"/>
                  </w14:solidFill>
                </w14:textFill>
              </w:rPr>
              <w:t xml:space="preserve">13.2 </w:t>
            </w:r>
            <w:r>
              <w:rPr>
                <w:rFonts w:hint="eastAsia" w:ascii="宋体" w:hAnsi="宋体"/>
                <w:b w:val="0"/>
                <w:bCs w:val="0"/>
                <w:color w:val="000000" w:themeColor="text1"/>
                <w:spacing w:val="0"/>
                <w:sz w:val="24"/>
                <w:szCs w:val="24"/>
                <w14:textFill>
                  <w14:solidFill>
                    <w14:schemeClr w14:val="tx1"/>
                  </w14:solidFill>
                </w14:textFill>
              </w:rPr>
              <w:t>PH</w:t>
            </w:r>
            <w:r>
              <w:rPr>
                <w:rFonts w:hint="eastAsia" w:ascii="宋体" w:hAnsi="宋体"/>
                <w:b w:val="0"/>
                <w:bCs w:val="0"/>
                <w:color w:val="000000" w:themeColor="text1"/>
                <w:spacing w:val="0"/>
                <w:sz w:val="24"/>
                <w:szCs w:val="24"/>
                <w:lang w:val="fr-FR"/>
                <w14:textFill>
                  <w14:solidFill>
                    <w14:schemeClr w14:val="tx1"/>
                  </w14:solidFill>
                </w14:textFill>
              </w:rPr>
              <w:t>电极</w:t>
            </w:r>
          </w:p>
          <w:p>
            <w:pPr>
              <w:pStyle w:val="12"/>
              <w:ind w:firstLine="480" w:firstLineChars="200"/>
              <w:jc w:val="both"/>
              <w:rPr>
                <w:bCs/>
                <w:color w:val="000000" w:themeColor="text1"/>
                <w:sz w:val="24"/>
                <w:szCs w:val="24"/>
                <w14:textFill>
                  <w14:solidFill>
                    <w14:schemeClr w14:val="tx1"/>
                  </w14:solidFill>
                </w14:textFill>
              </w:rPr>
            </w:pPr>
            <w:r>
              <w:rPr>
                <w:rFonts w:hint="eastAsia"/>
                <w:bCs/>
                <w:iCs/>
                <w:color w:val="000000" w:themeColor="text1"/>
                <w:spacing w:val="0"/>
                <w:sz w:val="24"/>
                <w:szCs w:val="24"/>
                <w:lang w:val="fr-FR"/>
                <w14:textFill>
                  <w14:solidFill>
                    <w14:schemeClr w14:val="tx1"/>
                  </w14:solidFill>
                </w14:textFill>
              </w:rPr>
              <w:t>标准型：</w:t>
            </w:r>
            <w:r>
              <w:rPr>
                <w:rFonts w:hint="eastAsia"/>
                <w:bCs/>
                <w:color w:val="000000" w:themeColor="text1"/>
                <w:spacing w:val="0"/>
                <w:sz w:val="24"/>
                <w:szCs w:val="24"/>
                <w:lang w:val="fr-FR"/>
                <w14:textFill>
                  <w14:solidFill>
                    <w14:schemeClr w14:val="tx1"/>
                  </w14:solidFill>
                </w14:textFill>
              </w:rPr>
              <w:t xml:space="preserve">  </w:t>
            </w:r>
            <w:r>
              <w:rPr>
                <w:rFonts w:hint="eastAsia"/>
                <w:color w:val="000000" w:themeColor="text1"/>
                <w:spacing w:val="0"/>
                <w:sz w:val="24"/>
                <w:szCs w:val="24"/>
                <w:lang w:val="fr-FR"/>
                <w14:textFill>
                  <w14:solidFill>
                    <w14:schemeClr w14:val="tx1"/>
                  </w14:solidFill>
                </w14:textFill>
              </w:rPr>
              <w:t>3</w:t>
            </w:r>
            <w:r>
              <w:rPr>
                <w:rFonts w:hint="eastAsia"/>
                <w:bCs/>
                <w:color w:val="000000" w:themeColor="text1"/>
                <w:sz w:val="24"/>
                <w:szCs w:val="24"/>
                <w:lang w:val="fr-FR"/>
                <w14:textFill>
                  <w14:solidFill>
                    <w14:schemeClr w14:val="tx1"/>
                  </w14:solidFill>
                </w14:textFill>
              </w:rPr>
              <w:t>米电缆</w:t>
            </w:r>
            <w:r>
              <w:rPr>
                <w:rFonts w:hint="eastAsia"/>
                <w:bCs/>
                <w:color w:val="000000" w:themeColor="text1"/>
                <w:sz w:val="24"/>
                <w:szCs w:val="24"/>
                <w14:textFill>
                  <w14:solidFill>
                    <w14:schemeClr w14:val="tx1"/>
                  </w14:solidFill>
                </w14:textFill>
              </w:rPr>
              <w:t xml:space="preserve">  1根</w:t>
            </w:r>
          </w:p>
          <w:p>
            <w:pPr>
              <w:pStyle w:val="12"/>
              <w:ind w:firstLine="540" w:firstLineChars="200"/>
              <w:jc w:val="both"/>
              <w:rPr>
                <w:bCs/>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硝酸根电极  1根</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p>
        </w:tc>
        <w:tc>
          <w:tcPr>
            <w:tcW w:w="997" w:type="pct"/>
            <w:tcBorders>
              <w:tl2br w:val="nil"/>
              <w:tr2bl w:val="nil"/>
            </w:tcBorders>
            <w:vAlign w:val="center"/>
          </w:tcPr>
          <w:p>
            <w:pPr>
              <w:widowControl/>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台式pH计</w:t>
            </w:r>
          </w:p>
        </w:tc>
        <w:tc>
          <w:tcPr>
            <w:tcW w:w="38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2857" w:type="pct"/>
            <w:tcBorders>
              <w:tl2br w:val="nil"/>
              <w:tr2bl w:val="nil"/>
            </w:tcBorders>
            <w:vAlign w:val="center"/>
          </w:tcPr>
          <w:p>
            <w:pPr>
              <w:spacing w:line="360" w:lineRule="auto"/>
              <w:ind w:firstLine="0" w:firstLineChars="0"/>
              <w:jc w:val="center"/>
              <w:rPr>
                <w:rFonts w:hint="eastAsia" w:ascii="宋体" w:hAnsi="宋体"/>
                <w:bCs/>
                <w:color w:val="FF0000"/>
                <w:kern w:val="0"/>
                <w:sz w:val="24"/>
                <w:szCs w:val="24"/>
                <w:highlight w:val="yellow"/>
                <w:lang w:eastAsia="zh-CN"/>
              </w:rPr>
            </w:pPr>
            <w:r>
              <w:rPr>
                <w:rFonts w:hint="eastAsia" w:ascii="宋体" w:hAnsi="宋体"/>
                <w:color w:val="000000" w:themeColor="text1"/>
                <w:sz w:val="24"/>
                <w:szCs w:val="24"/>
                <w14:textFill>
                  <w14:solidFill>
                    <w14:schemeClr w14:val="tx1"/>
                  </w14:solidFill>
                </w14:textFill>
              </w:rPr>
              <w:t>●</w:t>
            </w:r>
            <w:r>
              <w:rPr>
                <w:rFonts w:hint="eastAsia" w:ascii="宋体" w:hAnsi="宋体"/>
                <w:bCs/>
                <w:color w:val="000000" w:themeColor="text1"/>
                <w:kern w:val="0"/>
                <w:sz w:val="24"/>
                <w:szCs w:val="24"/>
                <w14:textFill>
                  <w14:solidFill>
                    <w14:schemeClr w14:val="tx1"/>
                  </w14:solidFill>
                </w14:textFill>
              </w:rPr>
              <w:t>可测量pH,ORP和温度,最高分辨率0.</w:t>
            </w:r>
            <w:r>
              <w:rPr>
                <w:rFonts w:hint="eastAsia" w:ascii="宋体" w:hAnsi="宋体"/>
                <w:bCs/>
                <w:color w:val="000000" w:themeColor="text1"/>
                <w:kern w:val="0"/>
                <w:sz w:val="24"/>
                <w:szCs w:val="24"/>
                <w:lang w:val="en-US" w:eastAsia="zh-CN"/>
                <w14:textFill>
                  <w14:solidFill>
                    <w14:schemeClr w14:val="tx1"/>
                  </w14:solidFill>
                </w14:textFill>
              </w:rPr>
              <w:t>0</w:t>
            </w:r>
            <w:r>
              <w:rPr>
                <w:rFonts w:hint="eastAsia" w:ascii="宋体" w:hAnsi="宋体"/>
                <w:bCs/>
                <w:color w:val="000000" w:themeColor="text1"/>
                <w:kern w:val="0"/>
                <w:sz w:val="24"/>
                <w:szCs w:val="24"/>
                <w14:textFill>
                  <w14:solidFill>
                    <w14:schemeClr w14:val="tx1"/>
                  </w14:solidFill>
                </w14:textFill>
              </w:rPr>
              <w:t>01pH</w:t>
            </w:r>
          </w:p>
          <w:p>
            <w:pPr>
              <w:spacing w:line="360" w:lineRule="auto"/>
              <w:ind w:firstLine="0" w:firstLineChars="0"/>
              <w:jc w:val="both"/>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bCs/>
                <w:color w:val="000000" w:themeColor="text1"/>
                <w:kern w:val="0"/>
                <w:sz w:val="24"/>
                <w:szCs w:val="24"/>
                <w14:textFill>
                  <w14:solidFill>
                    <w14:schemeClr w14:val="tx1"/>
                  </w14:solidFill>
                </w14:textFill>
              </w:rPr>
              <w:t xml:space="preserve"> 可连接各种标准PH电极或ORP电极</w:t>
            </w:r>
            <w:r>
              <w:rPr>
                <w:rFonts w:hint="eastAsia" w:ascii="宋体" w:hAnsi="宋体"/>
                <w:bCs/>
                <w:color w:val="000000" w:themeColor="text1"/>
                <w:kern w:val="0"/>
                <w:sz w:val="24"/>
                <w:szCs w:val="24"/>
                <w14:textFill>
                  <w14:solidFill>
                    <w14:schemeClr w14:val="tx1"/>
                  </w14:solidFill>
                </w14:textFill>
              </w:rPr>
              <w:br w:type="textWrapping"/>
            </w:r>
            <w:r>
              <w:rPr>
                <w:rFonts w:hint="eastAsia" w:ascii="宋体" w:hAnsi="宋体"/>
                <w:color w:val="000000" w:themeColor="text1"/>
                <w:sz w:val="24"/>
                <w:szCs w:val="24"/>
                <w14:textFill>
                  <w14:solidFill>
                    <w14:schemeClr w14:val="tx1"/>
                  </w14:solidFill>
                </w14:textFill>
              </w:rPr>
              <w:t>●</w:t>
            </w:r>
            <w:r>
              <w:rPr>
                <w:rFonts w:hint="eastAsia" w:ascii="宋体" w:hAnsi="宋体"/>
                <w:bCs/>
                <w:color w:val="000000" w:themeColor="text1"/>
                <w:kern w:val="0"/>
                <w:sz w:val="24"/>
                <w:szCs w:val="24"/>
                <w14:textFill>
                  <w14:solidFill>
                    <w14:schemeClr w14:val="tx1"/>
                  </w14:solidFill>
                </w14:textFill>
              </w:rPr>
              <w:t xml:space="preserve"> 自动读数功能,确保结果的重复性</w:t>
            </w:r>
            <w:r>
              <w:rPr>
                <w:rFonts w:hint="eastAsia" w:ascii="宋体" w:hAnsi="宋体"/>
                <w:bCs/>
                <w:color w:val="000000" w:themeColor="text1"/>
                <w:kern w:val="0"/>
                <w:sz w:val="24"/>
                <w:szCs w:val="24"/>
                <w14:textFill>
                  <w14:solidFill>
                    <w14:schemeClr w14:val="tx1"/>
                  </w14:solidFill>
                </w14:textFill>
              </w:rPr>
              <w:br w:type="textWrapping"/>
            </w:r>
            <w:r>
              <w:rPr>
                <w:rFonts w:hint="eastAsia" w:ascii="宋体" w:hAnsi="宋体"/>
                <w:color w:val="000000" w:themeColor="text1"/>
                <w:sz w:val="24"/>
                <w:szCs w:val="24"/>
                <w14:textFill>
                  <w14:solidFill>
                    <w14:schemeClr w14:val="tx1"/>
                  </w14:solidFill>
                </w14:textFill>
              </w:rPr>
              <w:t>●</w:t>
            </w:r>
            <w:r>
              <w:rPr>
                <w:rFonts w:hint="eastAsia" w:ascii="宋体" w:hAnsi="宋体"/>
                <w:bCs/>
                <w:color w:val="000000" w:themeColor="text1"/>
                <w:kern w:val="0"/>
                <w:sz w:val="24"/>
                <w:szCs w:val="24"/>
                <w14:textFill>
                  <w14:solidFill>
                    <w14:schemeClr w14:val="tx1"/>
                  </w14:solidFill>
                </w14:textFill>
              </w:rPr>
              <w:t>自动1,2或3点校准</w:t>
            </w:r>
            <w:r>
              <w:rPr>
                <w:rFonts w:hint="eastAsia" w:ascii="宋体" w:hAnsi="宋体"/>
                <w:bCs/>
                <w:color w:val="000000" w:themeColor="text1"/>
                <w:kern w:val="0"/>
                <w:sz w:val="24"/>
                <w:szCs w:val="24"/>
                <w14:textFill>
                  <w14:solidFill>
                    <w14:schemeClr w14:val="tx1"/>
                  </w14:solidFill>
                </w14:textFill>
              </w:rPr>
              <w:br w:type="textWrapping"/>
            </w:r>
            <w:r>
              <w:rPr>
                <w:rFonts w:hint="eastAsia" w:ascii="宋体" w:hAnsi="宋体"/>
                <w:color w:val="000000" w:themeColor="text1"/>
                <w:sz w:val="24"/>
                <w:szCs w:val="24"/>
                <w14:textFill>
                  <w14:solidFill>
                    <w14:schemeClr w14:val="tx1"/>
                  </w14:solidFill>
                </w14:textFill>
              </w:rPr>
              <w:t>●</w:t>
            </w:r>
            <w:r>
              <w:rPr>
                <w:rFonts w:hint="eastAsia" w:ascii="宋体" w:hAnsi="宋体"/>
                <w:bCs/>
                <w:color w:val="000000" w:themeColor="text1"/>
                <w:kern w:val="0"/>
                <w:sz w:val="24"/>
                <w:szCs w:val="24"/>
                <w14:textFill>
                  <w14:solidFill>
                    <w14:schemeClr w14:val="tx1"/>
                  </w14:solidFill>
                </w14:textFill>
              </w:rPr>
              <w:t xml:space="preserve"> 2500小时超长电池寿命</w:t>
            </w:r>
            <w:r>
              <w:rPr>
                <w:rFonts w:hint="eastAsia" w:ascii="宋体" w:hAnsi="宋体"/>
                <w:bCs/>
                <w:color w:val="000000" w:themeColor="text1"/>
                <w:kern w:val="0"/>
                <w:sz w:val="24"/>
                <w:szCs w:val="24"/>
                <w14:textFill>
                  <w14:solidFill>
                    <w14:schemeClr w14:val="tx1"/>
                  </w14:solidFill>
                </w14:textFill>
              </w:rPr>
              <w:br w:type="textWrapping"/>
            </w:r>
            <w:r>
              <w:rPr>
                <w:rFonts w:hint="eastAsia" w:ascii="宋体" w:hAnsi="宋体"/>
                <w:color w:val="000000" w:themeColor="text1"/>
                <w:sz w:val="24"/>
                <w:szCs w:val="24"/>
                <w14:textFill>
                  <w14:solidFill>
                    <w14:schemeClr w14:val="tx1"/>
                  </w14:solidFill>
                </w14:textFill>
              </w:rPr>
              <w:t>●</w:t>
            </w:r>
            <w:r>
              <w:rPr>
                <w:rFonts w:hint="eastAsia" w:ascii="宋体" w:hAnsi="宋体"/>
                <w:bCs/>
                <w:color w:val="000000" w:themeColor="text1"/>
                <w:kern w:val="0"/>
                <w:sz w:val="24"/>
                <w:szCs w:val="24"/>
                <w14:textFill>
                  <w14:solidFill>
                    <w14:schemeClr w14:val="tx1"/>
                  </w14:solidFill>
                </w14:textFill>
              </w:rPr>
              <w:t xml:space="preserve"> 直观的用户界面</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3</w:t>
            </w:r>
          </w:p>
        </w:tc>
        <w:tc>
          <w:tcPr>
            <w:tcW w:w="997" w:type="pct"/>
            <w:tcBorders>
              <w:tl2br w:val="nil"/>
              <w:tr2bl w:val="nil"/>
            </w:tcBorders>
            <w:vAlign w:val="center"/>
          </w:tcPr>
          <w:p>
            <w:pPr>
              <w:widowControl/>
              <w:spacing w:line="360" w:lineRule="auto"/>
              <w:ind w:firstLine="0" w:firstLineChars="0"/>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COD消解器</w:t>
            </w:r>
          </w:p>
        </w:tc>
        <w:tc>
          <w:tcPr>
            <w:tcW w:w="388" w:type="pct"/>
            <w:tcBorders>
              <w:tl2br w:val="nil"/>
              <w:tr2bl w:val="nil"/>
            </w:tcBorders>
            <w:vAlign w:val="center"/>
          </w:tcPr>
          <w:p>
            <w:pPr>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418" w:type="pct"/>
            <w:tcBorders>
              <w:tl2br w:val="nil"/>
              <w:tr2bl w:val="nil"/>
            </w:tcBorders>
            <w:vAlign w:val="center"/>
          </w:tcPr>
          <w:p>
            <w:pPr>
              <w:widowControl/>
              <w:spacing w:line="360" w:lineRule="auto"/>
              <w:ind w:firstLine="0" w:firstLineChars="0"/>
              <w:jc w:val="center"/>
              <w:textAlignment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2857" w:type="pct"/>
            <w:tcBorders>
              <w:tl2br w:val="nil"/>
              <w:tr2bl w:val="nil"/>
            </w:tcBorders>
            <w:vAlign w:val="center"/>
          </w:tcPr>
          <w:p>
            <w:pPr>
              <w:spacing w:line="360" w:lineRule="auto"/>
              <w:ind w:firstLine="0" w:firstLineChars="0"/>
              <w:jc w:val="center"/>
              <w:rPr>
                <w:rFonts w:ascii="宋体" w:hAnsi="宋体"/>
                <w:sz w:val="24"/>
                <w:szCs w:val="24"/>
              </w:rPr>
            </w:pPr>
            <w:r>
              <w:rPr>
                <w:rFonts w:hint="eastAsia" w:ascii="宋体" w:hAnsi="宋体"/>
                <w:sz w:val="24"/>
                <w:szCs w:val="24"/>
              </w:rPr>
              <w:t>测量范围：10～700mg/L（大约700mg/L的水样稀释后测定）</w:t>
            </w:r>
          </w:p>
          <w:p>
            <w:pPr>
              <w:spacing w:line="360" w:lineRule="auto"/>
              <w:ind w:firstLine="0" w:firstLineChars="0"/>
              <w:jc w:val="center"/>
              <w:rPr>
                <w:rFonts w:ascii="宋体" w:hAnsi="宋体"/>
                <w:sz w:val="24"/>
                <w:szCs w:val="24"/>
              </w:rPr>
            </w:pPr>
            <w:r>
              <w:rPr>
                <w:rFonts w:hint="eastAsia" w:ascii="宋体" w:hAnsi="宋体"/>
                <w:sz w:val="24"/>
                <w:szCs w:val="24"/>
              </w:rPr>
              <w:t>消解时间：10分钟～2小时30分钟（用户可自主选择加热时间）</w:t>
            </w:r>
          </w:p>
          <w:p>
            <w:pPr>
              <w:spacing w:line="360" w:lineRule="auto"/>
              <w:ind w:firstLine="0" w:firstLineChars="0"/>
              <w:jc w:val="center"/>
              <w:rPr>
                <w:rFonts w:ascii="宋体" w:hAnsi="宋体"/>
                <w:sz w:val="24"/>
                <w:szCs w:val="24"/>
              </w:rPr>
            </w:pPr>
            <w:r>
              <w:rPr>
                <w:rFonts w:hint="eastAsia" w:ascii="宋体" w:hAnsi="宋体"/>
                <w:sz w:val="24"/>
                <w:szCs w:val="24"/>
              </w:rPr>
              <w:t>测量误差：邻苯二甲酸氢钾标准溶液（500mg/L）、相对标准偏不大于5.0%</w:t>
            </w:r>
          </w:p>
          <w:p>
            <w:pPr>
              <w:spacing w:line="360" w:lineRule="auto"/>
              <w:ind w:firstLine="0" w:firstLineChars="0"/>
              <w:jc w:val="center"/>
              <w:rPr>
                <w:rFonts w:ascii="宋体" w:hAnsi="宋体"/>
                <w:sz w:val="24"/>
                <w:szCs w:val="24"/>
              </w:rPr>
            </w:pPr>
            <w:r>
              <w:rPr>
                <w:rFonts w:hint="eastAsia" w:ascii="宋体" w:hAnsi="宋体"/>
                <w:sz w:val="24"/>
                <w:szCs w:val="24"/>
              </w:rPr>
              <w:t>工业有机废水（500mg/L）、相对标准偏不大于8.0%</w:t>
            </w:r>
          </w:p>
          <w:p>
            <w:pPr>
              <w:spacing w:line="360" w:lineRule="auto"/>
              <w:ind w:firstLine="0" w:firstLineChars="0"/>
              <w:jc w:val="center"/>
              <w:rPr>
                <w:rFonts w:ascii="宋体" w:hAnsi="宋体"/>
                <w:sz w:val="24"/>
                <w:szCs w:val="24"/>
              </w:rPr>
            </w:pPr>
            <w:r>
              <w:rPr>
                <w:rFonts w:hint="eastAsia" w:ascii="宋体" w:hAnsi="宋体"/>
                <w:sz w:val="24"/>
                <w:szCs w:val="24"/>
              </w:rPr>
              <w:t>环境温度：5～35℃</w:t>
            </w:r>
          </w:p>
          <w:p>
            <w:pPr>
              <w:spacing w:line="360" w:lineRule="auto"/>
              <w:ind w:firstLine="0" w:firstLineChars="0"/>
              <w:jc w:val="center"/>
              <w:rPr>
                <w:rFonts w:ascii="宋体" w:hAnsi="宋体"/>
                <w:sz w:val="24"/>
                <w:szCs w:val="24"/>
              </w:rPr>
            </w:pPr>
            <w:r>
              <w:rPr>
                <w:rFonts w:hint="eastAsia" w:ascii="宋体" w:hAnsi="宋体"/>
                <w:sz w:val="24"/>
                <w:szCs w:val="24"/>
              </w:rPr>
              <w:t>消解样品数：8个（采用24#磨口的250mL锥形瓶）</w:t>
            </w:r>
          </w:p>
          <w:p>
            <w:pPr>
              <w:spacing w:line="360" w:lineRule="auto"/>
              <w:ind w:firstLine="0" w:firstLineChars="0"/>
              <w:jc w:val="center"/>
              <w:rPr>
                <w:rFonts w:ascii="宋体" w:hAnsi="宋体"/>
                <w:sz w:val="24"/>
                <w:szCs w:val="24"/>
              </w:rPr>
            </w:pPr>
            <w:r>
              <w:rPr>
                <w:rFonts w:hint="eastAsia" w:ascii="宋体" w:hAnsi="宋体"/>
                <w:sz w:val="24"/>
                <w:szCs w:val="24"/>
              </w:rPr>
              <w:t>加热功率：≤1600W（AC 220V，50Hz，用户可自主选择加热功率）</w:t>
            </w:r>
          </w:p>
          <w:p>
            <w:pPr>
              <w:spacing w:line="360" w:lineRule="auto"/>
              <w:ind w:firstLine="0" w:firstLineChars="0"/>
              <w:jc w:val="center"/>
              <w:rPr>
                <w:rFonts w:ascii="宋体" w:hAnsi="宋体"/>
                <w:color w:val="000000" w:themeColor="text1"/>
                <w:sz w:val="24"/>
                <w:szCs w:val="24"/>
                <w:shd w:val="clear" w:color="auto" w:fill="FFFFFF"/>
                <w14:textFill>
                  <w14:solidFill>
                    <w14:schemeClr w14:val="tx1"/>
                  </w14:solidFill>
                </w14:textFill>
              </w:rPr>
            </w:pPr>
            <w:r>
              <w:rPr>
                <w:rFonts w:hint="eastAsia" w:ascii="宋体" w:hAnsi="宋体"/>
                <w:sz w:val="24"/>
                <w:szCs w:val="24"/>
              </w:rPr>
              <w:t>仪器尺寸：450mm * 350mm *650mm</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w:t>
            </w:r>
          </w:p>
        </w:tc>
        <w:tc>
          <w:tcPr>
            <w:tcW w:w="997" w:type="pct"/>
            <w:tcBorders>
              <w:tl2br w:val="nil"/>
              <w:tr2bl w:val="nil"/>
            </w:tcBorders>
            <w:vAlign w:val="center"/>
          </w:tcPr>
          <w:p>
            <w:pPr>
              <w:widowControl/>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便携式溶解氧检测仪</w:t>
            </w:r>
          </w:p>
        </w:tc>
        <w:tc>
          <w:tcPr>
            <w:tcW w:w="38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2857" w:type="pct"/>
            <w:tcBorders>
              <w:tl2br w:val="nil"/>
              <w:tr2bl w:val="nil"/>
            </w:tcBorders>
            <w:vAlign w:val="center"/>
          </w:tcPr>
          <w:p>
            <w:pPr>
              <w:spacing w:line="360" w:lineRule="auto"/>
              <w:ind w:left="1235" w:hanging="1411" w:hangingChars="588"/>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1具有数据锁定显示功能</w:t>
            </w:r>
          </w:p>
          <w:p>
            <w:pPr>
              <w:spacing w:line="360" w:lineRule="auto"/>
              <w:ind w:left="1155" w:hanging="1320" w:hangingChars="55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★2显示：可同时显示如下2个电极的测量读数</w:t>
            </w:r>
          </w:p>
          <w:p>
            <w:pPr>
              <w:spacing w:line="360" w:lineRule="auto"/>
              <w:ind w:firstLine="705" w:firstLineChars="294"/>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（1）pH电极：pH、mV、温度</w:t>
            </w:r>
          </w:p>
          <w:p>
            <w:pPr>
              <w:spacing w:line="360" w:lineRule="auto"/>
              <w:ind w:firstLine="705" w:firstLineChars="294"/>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（2）电导率电极：电导率、盐度、总溶解固体、温度</w:t>
            </w:r>
          </w:p>
          <w:p>
            <w:pPr>
              <w:spacing w:line="360" w:lineRule="auto"/>
              <w:ind w:firstLine="705" w:firstLineChars="294"/>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（3）溶解氧电极：溶解氧、压力、温度</w:t>
            </w:r>
          </w:p>
          <w:p>
            <w:pPr>
              <w:spacing w:line="360" w:lineRule="auto"/>
              <w:ind w:firstLine="705" w:firstLineChars="294"/>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（4）LBOD电极：溶解氧、压力、温度</w:t>
            </w:r>
          </w:p>
          <w:p>
            <w:pPr>
              <w:spacing w:line="360" w:lineRule="auto"/>
              <w:ind w:firstLine="705" w:firstLineChars="294"/>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（5）ORP氧化还原电位：mV、温度</w:t>
            </w:r>
          </w:p>
          <w:p>
            <w:pPr>
              <w:spacing w:line="360" w:lineRule="auto"/>
              <w:ind w:firstLine="720" w:firstLineChars="30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（6）钠离子选择性电极：mg/L、温度</w:t>
            </w:r>
          </w:p>
          <w:p>
            <w:pPr>
              <w:spacing w:line="360" w:lineRule="auto"/>
              <w:ind w:firstLine="720" w:firstLineChars="30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（7）氨离子选择性电极：mg/L、温度</w:t>
            </w:r>
          </w:p>
          <w:p>
            <w:pPr>
              <w:spacing w:line="360" w:lineRule="auto"/>
              <w:ind w:firstLine="705" w:firstLineChars="294"/>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（8）铵根离子选择性电极：mg/L、温度</w:t>
            </w:r>
          </w:p>
          <w:p>
            <w:pPr>
              <w:spacing w:line="360" w:lineRule="auto"/>
              <w:ind w:firstLine="705" w:firstLineChars="294"/>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（9）氟离子选择性电极：mg/L、温度</w:t>
            </w:r>
          </w:p>
          <w:p>
            <w:pPr>
              <w:spacing w:line="360" w:lineRule="auto"/>
              <w:ind w:firstLine="705" w:firstLineChars="294"/>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（10）硝酸根离子选择性电极：mg/L、温度</w:t>
            </w:r>
          </w:p>
          <w:p>
            <w:pPr>
              <w:spacing w:line="360" w:lineRule="auto"/>
              <w:ind w:firstLine="705" w:firstLineChars="294"/>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（11）氯离子选择性电极：mg/L、温度</w:t>
            </w:r>
          </w:p>
          <w:p>
            <w:pPr>
              <w:spacing w:line="360" w:lineRule="auto"/>
              <w:ind w:left="105" w:hanging="120" w:hangingChars="5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 数据内存： 500 组数据</w:t>
            </w:r>
          </w:p>
          <w:p>
            <w:pPr>
              <w:spacing w:line="360" w:lineRule="auto"/>
              <w:ind w:left="1890" w:hanging="2160" w:hangingChars="90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 数据存储： 校准数据都存贮在日志中。在“按下即读”模式和间隔测量模式时可自动存储。在“连续读数”模式时需手动存储。</w:t>
            </w:r>
          </w:p>
          <w:p>
            <w:pPr>
              <w:spacing w:line="360" w:lineRule="auto"/>
              <w:ind w:left="105" w:hanging="120" w:hangingChars="5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 数据传输：通过USB转接下载至电脑或U盘，读数时同步传输</w:t>
            </w:r>
          </w:p>
          <w:p>
            <w:pPr>
              <w:spacing w:line="360" w:lineRule="auto"/>
              <w:ind w:left="105" w:hanging="120" w:hangingChars="5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 温度修正/ 补偿：可自动实现温度补偿</w:t>
            </w:r>
          </w:p>
          <w:p>
            <w:pPr>
              <w:spacing w:line="360" w:lineRule="auto"/>
              <w:ind w:left="105" w:hanging="120" w:hangingChars="5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 三种测量模式：即按即读、间隔读数、连续读数</w:t>
            </w:r>
          </w:p>
          <w:p>
            <w:pPr>
              <w:spacing w:line="360" w:lineRule="auto"/>
              <w:ind w:left="105" w:hanging="120" w:hangingChars="5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 自动识别校准标准</w:t>
            </w:r>
          </w:p>
          <w:p>
            <w:pPr>
              <w:spacing w:line="360" w:lineRule="auto"/>
              <w:ind w:left="105" w:hanging="120" w:hangingChars="5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 键盘：通过USB外接键盘</w:t>
            </w:r>
          </w:p>
          <w:p>
            <w:pPr>
              <w:spacing w:line="360" w:lineRule="auto"/>
              <w:ind w:left="105" w:hanging="120" w:hangingChars="5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★10防水性： 测定仪外壳可在1 米深的水中浸泡30 分钟（IP67）</w:t>
            </w:r>
          </w:p>
          <w:p>
            <w:pPr>
              <w:autoSpaceDE w:val="0"/>
              <w:autoSpaceDN w:val="0"/>
              <w:adjustRightInd w:val="0"/>
              <w:spacing w:line="360" w:lineRule="auto"/>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 尺寸：19.7×9.5厘米</w:t>
            </w:r>
          </w:p>
          <w:p>
            <w:pPr>
              <w:autoSpaceDE w:val="0"/>
              <w:autoSpaceDN w:val="0"/>
              <w:adjustRightInd w:val="0"/>
              <w:spacing w:line="360" w:lineRule="auto"/>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 重量：330 g</w:t>
            </w:r>
          </w:p>
          <w:p>
            <w:pPr>
              <w:autoSpaceDE w:val="0"/>
              <w:autoSpaceDN w:val="0"/>
              <w:adjustRightInd w:val="0"/>
              <w:spacing w:line="360" w:lineRule="auto"/>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430 g (安装了四节 AA 碱性电池)</w:t>
            </w:r>
          </w:p>
          <w:p>
            <w:pPr>
              <w:spacing w:line="360" w:lineRule="auto"/>
              <w:ind w:firstLine="0" w:firstLineChars="0"/>
              <w:jc w:val="both"/>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pacing w:val="-2"/>
                <w:sz w:val="24"/>
                <w:szCs w:val="24"/>
                <w14:textFill>
                  <w14:solidFill>
                    <w14:schemeClr w14:val="tx1"/>
                  </w14:solidFill>
                </w14:textFill>
              </w:rPr>
              <w:t>1</w:t>
            </w:r>
            <w:r>
              <w:rPr>
                <w:rFonts w:hint="eastAsia" w:ascii="宋体" w:hAnsi="宋体"/>
                <w:b/>
                <w:color w:val="000000" w:themeColor="text1"/>
                <w:spacing w:val="-2"/>
                <w:sz w:val="24"/>
                <w:szCs w:val="24"/>
                <w:lang w:val="en-US" w:eastAsia="zh-CN"/>
                <w14:textFill>
                  <w14:solidFill>
                    <w14:schemeClr w14:val="tx1"/>
                  </w14:solidFill>
                </w14:textFill>
              </w:rPr>
              <w:t>1</w:t>
            </w:r>
            <w:r>
              <w:rPr>
                <w:rFonts w:hint="eastAsia" w:ascii="宋体" w:hAnsi="宋体"/>
                <w:b/>
                <w:color w:val="000000" w:themeColor="text1"/>
                <w:spacing w:val="-2"/>
                <w:sz w:val="24"/>
                <w:szCs w:val="24"/>
                <w14:textFill>
                  <w14:solidFill>
                    <w14:schemeClr w14:val="tx1"/>
                  </w14:solidFill>
                </w14:textFill>
              </w:rPr>
              <w:t xml:space="preserve"> 仪器配置</w:t>
            </w:r>
          </w:p>
          <w:p>
            <w:pPr>
              <w:pStyle w:val="53"/>
              <w:spacing w:line="360" w:lineRule="auto"/>
              <w:ind w:firstLine="474" w:firstLineChars="200"/>
              <w:jc w:val="both"/>
              <w:rPr>
                <w:rFonts w:ascii="宋体" w:hAnsi="宋体"/>
                <w:color w:val="000000" w:themeColor="text1"/>
                <w:sz w:val="24"/>
                <w:szCs w:val="24"/>
                <w14:textFill>
                  <w14:solidFill>
                    <w14:schemeClr w14:val="tx1"/>
                  </w14:solidFill>
                </w14:textFill>
              </w:rPr>
            </w:pPr>
            <w:r>
              <w:rPr>
                <w:rFonts w:hint="eastAsia" w:ascii="宋体" w:hAnsi="宋体"/>
                <w:bCs w:val="0"/>
                <w:color w:val="000000" w:themeColor="text1"/>
                <w:sz w:val="24"/>
                <w:szCs w:val="24"/>
                <w14:textFill>
                  <w14:solidFill>
                    <w14:schemeClr w14:val="tx1"/>
                  </w14:solidFill>
                </w14:textFill>
              </w:rPr>
              <w:t>13.1 主机1台</w:t>
            </w:r>
          </w:p>
          <w:p>
            <w:pPr>
              <w:pStyle w:val="53"/>
              <w:spacing w:line="360" w:lineRule="auto"/>
              <w:ind w:firstLine="504" w:firstLineChars="200"/>
              <w:jc w:val="both"/>
              <w:rPr>
                <w:rFonts w:ascii="宋体" w:hAnsi="宋体"/>
                <w:b w:val="0"/>
                <w:bCs w:val="0"/>
                <w:color w:val="000000" w:themeColor="text1"/>
                <w:sz w:val="24"/>
                <w:szCs w:val="24"/>
                <w:lang w:val="fr-FR"/>
                <w14:textFill>
                  <w14:solidFill>
                    <w14:schemeClr w14:val="tx1"/>
                  </w14:solidFill>
                </w14:textFill>
              </w:rPr>
            </w:pPr>
            <w:r>
              <w:rPr>
                <w:rFonts w:hint="eastAsia" w:ascii="宋体" w:hAnsi="宋体"/>
                <w:b w:val="0"/>
                <w:bCs w:val="0"/>
                <w:color w:val="000000" w:themeColor="text1"/>
                <w:spacing w:val="6"/>
                <w:sz w:val="24"/>
                <w:szCs w:val="24"/>
                <w14:textFill>
                  <w14:solidFill>
                    <w14:schemeClr w14:val="tx1"/>
                  </w14:solidFill>
                </w14:textFill>
              </w:rPr>
              <w:t>★</w:t>
            </w:r>
            <w:r>
              <w:rPr>
                <w:rFonts w:hint="eastAsia" w:ascii="宋体" w:hAnsi="宋体"/>
                <w:b w:val="0"/>
                <w:bCs w:val="0"/>
                <w:color w:val="000000" w:themeColor="text1"/>
                <w:sz w:val="24"/>
                <w:szCs w:val="24"/>
                <w14:textFill>
                  <w14:solidFill>
                    <w14:schemeClr w14:val="tx1"/>
                  </w14:solidFill>
                </w14:textFill>
              </w:rPr>
              <w:t>13.2</w:t>
            </w:r>
            <w:r>
              <w:rPr>
                <w:rFonts w:hint="eastAsia" w:ascii="宋体" w:hAnsi="宋体"/>
                <w:b w:val="0"/>
                <w:bCs w:val="0"/>
                <w:color w:val="000000" w:themeColor="text1"/>
                <w:spacing w:val="0"/>
                <w:sz w:val="24"/>
                <w:szCs w:val="24"/>
                <w:lang w:val="fr-FR"/>
                <w14:textFill>
                  <w14:solidFill>
                    <w14:schemeClr w14:val="tx1"/>
                  </w14:solidFill>
                </w14:textFill>
              </w:rPr>
              <w:t>（荧光法溶解氧）电极</w:t>
            </w:r>
          </w:p>
          <w:p>
            <w:pPr>
              <w:pStyle w:val="12"/>
              <w:ind w:firstLine="480" w:firstLineChars="200"/>
              <w:jc w:val="both"/>
              <w:rPr>
                <w:bCs/>
                <w:color w:val="000000" w:themeColor="text1"/>
                <w:sz w:val="24"/>
                <w:szCs w:val="24"/>
                <w14:textFill>
                  <w14:solidFill>
                    <w14:schemeClr w14:val="tx1"/>
                  </w14:solidFill>
                </w14:textFill>
              </w:rPr>
            </w:pPr>
            <w:r>
              <w:rPr>
                <w:rFonts w:hint="eastAsia"/>
                <w:bCs/>
                <w:iCs/>
                <w:color w:val="000000" w:themeColor="text1"/>
                <w:spacing w:val="0"/>
                <w:sz w:val="24"/>
                <w:szCs w:val="24"/>
                <w:lang w:val="fr-FR"/>
                <w14:textFill>
                  <w14:solidFill>
                    <w14:schemeClr w14:val="tx1"/>
                  </w14:solidFill>
                </w14:textFill>
              </w:rPr>
              <w:t>标准型：</w:t>
            </w:r>
            <w:r>
              <w:rPr>
                <w:rFonts w:hint="eastAsia"/>
                <w:bCs/>
                <w:color w:val="000000" w:themeColor="text1"/>
                <w:spacing w:val="0"/>
                <w:sz w:val="24"/>
                <w:szCs w:val="24"/>
                <w:lang w:val="fr-FR"/>
                <w14:textFill>
                  <w14:solidFill>
                    <w14:schemeClr w14:val="tx1"/>
                  </w14:solidFill>
                </w14:textFill>
              </w:rPr>
              <w:t xml:space="preserve">  </w:t>
            </w:r>
            <w:r>
              <w:rPr>
                <w:rFonts w:hint="eastAsia"/>
                <w:color w:val="000000" w:themeColor="text1"/>
                <w:spacing w:val="0"/>
                <w:sz w:val="24"/>
                <w:szCs w:val="24"/>
                <w:lang w:val="fr-FR"/>
                <w14:textFill>
                  <w14:solidFill>
                    <w14:schemeClr w14:val="tx1"/>
                  </w14:solidFill>
                </w14:textFill>
              </w:rPr>
              <w:t>3</w:t>
            </w:r>
            <w:r>
              <w:rPr>
                <w:rFonts w:hint="eastAsia"/>
                <w:bCs/>
                <w:color w:val="000000" w:themeColor="text1"/>
                <w:sz w:val="24"/>
                <w:szCs w:val="24"/>
                <w:lang w:val="fr-FR"/>
                <w14:textFill>
                  <w14:solidFill>
                    <w14:schemeClr w14:val="tx1"/>
                  </w14:solidFill>
                </w14:textFill>
              </w:rPr>
              <w:t>米电缆</w:t>
            </w:r>
            <w:r>
              <w:rPr>
                <w:rFonts w:hint="eastAsia"/>
                <w:bCs/>
                <w:color w:val="000000" w:themeColor="text1"/>
                <w:sz w:val="24"/>
                <w:szCs w:val="24"/>
                <w14:textFill>
                  <w14:solidFill>
                    <w14:schemeClr w14:val="tx1"/>
                  </w14:solidFill>
                </w14:textFill>
              </w:rPr>
              <w:t xml:space="preserve">  1根</w:t>
            </w:r>
          </w:p>
          <w:p>
            <w:pPr>
              <w:pStyle w:val="12"/>
              <w:jc w:val="both"/>
              <w:rPr>
                <w:bCs/>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硝酸根电极  1根</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5</w:t>
            </w:r>
          </w:p>
        </w:tc>
        <w:tc>
          <w:tcPr>
            <w:tcW w:w="997" w:type="pct"/>
            <w:tcBorders>
              <w:tl2br w:val="nil"/>
              <w:tr2bl w:val="nil"/>
            </w:tcBorders>
            <w:vAlign w:val="center"/>
          </w:tcPr>
          <w:p>
            <w:pPr>
              <w:widowControl/>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台式溶解氧检测仪</w:t>
            </w:r>
          </w:p>
        </w:tc>
        <w:tc>
          <w:tcPr>
            <w:tcW w:w="38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2857" w:type="pct"/>
            <w:tcBorders>
              <w:tl2br w:val="nil"/>
              <w:tr2bl w:val="nil"/>
            </w:tcBorders>
            <w:vAlign w:val="center"/>
          </w:tcPr>
          <w:p>
            <w:pPr>
              <w:spacing w:line="360" w:lineRule="auto"/>
              <w:ind w:firstLine="0" w:firstLineChars="0"/>
              <w:jc w:val="both"/>
              <w:rPr>
                <w:rFonts w:hint="eastAsia" w:ascii="宋体" w:hAnsi="宋体"/>
                <w:bCs/>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bCs/>
                <w:color w:val="000000" w:themeColor="text1"/>
                <w:kern w:val="0"/>
                <w:sz w:val="24"/>
                <w:szCs w:val="24"/>
                <w14:textFill>
                  <w14:solidFill>
                    <w14:schemeClr w14:val="tx1"/>
                  </w14:solidFill>
                </w14:textFill>
              </w:rPr>
              <w:t>可测量pH,ORP和温度,最高分辨率0.001pH</w:t>
            </w:r>
          </w:p>
          <w:p>
            <w:pPr>
              <w:spacing w:line="360" w:lineRule="auto"/>
              <w:ind w:firstLine="0" w:firstLineChars="0"/>
              <w:jc w:val="both"/>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bCs/>
                <w:color w:val="000000" w:themeColor="text1"/>
                <w:kern w:val="0"/>
                <w:sz w:val="24"/>
                <w:szCs w:val="24"/>
                <w14:textFill>
                  <w14:solidFill>
                    <w14:schemeClr w14:val="tx1"/>
                  </w14:solidFill>
                </w14:textFill>
              </w:rPr>
              <w:t>可连接各种标准PH电极或ORP电极</w:t>
            </w:r>
            <w:r>
              <w:rPr>
                <w:rFonts w:hint="eastAsia" w:ascii="宋体" w:hAnsi="宋体"/>
                <w:bCs/>
                <w:color w:val="000000" w:themeColor="text1"/>
                <w:kern w:val="0"/>
                <w:sz w:val="24"/>
                <w:szCs w:val="24"/>
                <w14:textFill>
                  <w14:solidFill>
                    <w14:schemeClr w14:val="tx1"/>
                  </w14:solidFill>
                </w14:textFill>
              </w:rPr>
              <w:br w:type="textWrapping"/>
            </w:r>
            <w:r>
              <w:rPr>
                <w:rFonts w:hint="eastAsia" w:ascii="宋体" w:hAnsi="宋体"/>
                <w:color w:val="000000" w:themeColor="text1"/>
                <w:sz w:val="24"/>
                <w:szCs w:val="24"/>
                <w14:textFill>
                  <w14:solidFill>
                    <w14:schemeClr w14:val="tx1"/>
                  </w14:solidFill>
                </w14:textFill>
              </w:rPr>
              <w:t>●</w:t>
            </w:r>
            <w:r>
              <w:rPr>
                <w:rFonts w:hint="eastAsia" w:ascii="宋体" w:hAnsi="宋体"/>
                <w:bCs/>
                <w:color w:val="000000" w:themeColor="text1"/>
                <w:kern w:val="0"/>
                <w:sz w:val="24"/>
                <w:szCs w:val="24"/>
                <w14:textFill>
                  <w14:solidFill>
                    <w14:schemeClr w14:val="tx1"/>
                  </w14:solidFill>
                </w14:textFill>
              </w:rPr>
              <w:t>自动读数功能,确保结果的重复性</w:t>
            </w:r>
            <w:r>
              <w:rPr>
                <w:rFonts w:hint="eastAsia" w:ascii="宋体" w:hAnsi="宋体"/>
                <w:bCs/>
                <w:color w:val="000000" w:themeColor="text1"/>
                <w:kern w:val="0"/>
                <w:sz w:val="24"/>
                <w:szCs w:val="24"/>
                <w14:textFill>
                  <w14:solidFill>
                    <w14:schemeClr w14:val="tx1"/>
                  </w14:solidFill>
                </w14:textFill>
              </w:rPr>
              <w:br w:type="textWrapping"/>
            </w:r>
            <w:r>
              <w:rPr>
                <w:rFonts w:hint="eastAsia" w:ascii="宋体" w:hAnsi="宋体"/>
                <w:color w:val="000000" w:themeColor="text1"/>
                <w:sz w:val="24"/>
                <w:szCs w:val="24"/>
                <w14:textFill>
                  <w14:solidFill>
                    <w14:schemeClr w14:val="tx1"/>
                  </w14:solidFill>
                </w14:textFill>
              </w:rPr>
              <w:t>●</w:t>
            </w:r>
            <w:r>
              <w:rPr>
                <w:rFonts w:hint="eastAsia" w:ascii="宋体" w:hAnsi="宋体"/>
                <w:bCs/>
                <w:color w:val="000000" w:themeColor="text1"/>
                <w:kern w:val="0"/>
                <w:sz w:val="24"/>
                <w:szCs w:val="24"/>
                <w14:textFill>
                  <w14:solidFill>
                    <w14:schemeClr w14:val="tx1"/>
                  </w14:solidFill>
                </w14:textFill>
              </w:rPr>
              <w:t>自动1,2或3点校准</w:t>
            </w:r>
            <w:r>
              <w:rPr>
                <w:rFonts w:hint="eastAsia" w:ascii="宋体" w:hAnsi="宋体"/>
                <w:bCs/>
                <w:color w:val="000000" w:themeColor="text1"/>
                <w:kern w:val="0"/>
                <w:sz w:val="24"/>
                <w:szCs w:val="24"/>
                <w14:textFill>
                  <w14:solidFill>
                    <w14:schemeClr w14:val="tx1"/>
                  </w14:solidFill>
                </w14:textFill>
              </w:rPr>
              <w:br w:type="textWrapping"/>
            </w:r>
            <w:r>
              <w:rPr>
                <w:rFonts w:hint="eastAsia" w:ascii="宋体" w:hAnsi="宋体"/>
                <w:color w:val="000000" w:themeColor="text1"/>
                <w:sz w:val="24"/>
                <w:szCs w:val="24"/>
                <w14:textFill>
                  <w14:solidFill>
                    <w14:schemeClr w14:val="tx1"/>
                  </w14:solidFill>
                </w14:textFill>
              </w:rPr>
              <w:t>●</w:t>
            </w:r>
            <w:r>
              <w:rPr>
                <w:rFonts w:hint="eastAsia" w:ascii="宋体" w:hAnsi="宋体"/>
                <w:bCs/>
                <w:color w:val="000000" w:themeColor="text1"/>
                <w:kern w:val="0"/>
                <w:sz w:val="24"/>
                <w:szCs w:val="24"/>
                <w14:textFill>
                  <w14:solidFill>
                    <w14:schemeClr w14:val="tx1"/>
                  </w14:solidFill>
                </w14:textFill>
              </w:rPr>
              <w:t>2500小时超长电池寿命</w:t>
            </w:r>
            <w:r>
              <w:rPr>
                <w:rFonts w:hint="eastAsia" w:ascii="宋体" w:hAnsi="宋体"/>
                <w:bCs/>
                <w:color w:val="000000" w:themeColor="text1"/>
                <w:kern w:val="0"/>
                <w:sz w:val="24"/>
                <w:szCs w:val="24"/>
                <w14:textFill>
                  <w14:solidFill>
                    <w14:schemeClr w14:val="tx1"/>
                  </w14:solidFill>
                </w14:textFill>
              </w:rPr>
              <w:br w:type="textWrapping"/>
            </w:r>
            <w:r>
              <w:rPr>
                <w:rFonts w:hint="eastAsia" w:ascii="宋体" w:hAnsi="宋体"/>
                <w:color w:val="000000" w:themeColor="text1"/>
                <w:sz w:val="24"/>
                <w:szCs w:val="24"/>
                <w14:textFill>
                  <w14:solidFill>
                    <w14:schemeClr w14:val="tx1"/>
                  </w14:solidFill>
                </w14:textFill>
              </w:rPr>
              <w:t>●</w:t>
            </w:r>
            <w:r>
              <w:rPr>
                <w:rFonts w:hint="eastAsia" w:ascii="宋体" w:hAnsi="宋体"/>
                <w:bCs/>
                <w:color w:val="000000" w:themeColor="text1"/>
                <w:kern w:val="0"/>
                <w:sz w:val="24"/>
                <w:szCs w:val="24"/>
                <w14:textFill>
                  <w14:solidFill>
                    <w14:schemeClr w14:val="tx1"/>
                  </w14:solidFill>
                </w14:textFill>
              </w:rPr>
              <w:t>直观的用户界面</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6</w:t>
            </w:r>
          </w:p>
        </w:tc>
        <w:tc>
          <w:tcPr>
            <w:tcW w:w="997" w:type="pct"/>
            <w:tcBorders>
              <w:tl2br w:val="nil"/>
              <w:tr2bl w:val="nil"/>
            </w:tcBorders>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移液枪</w:t>
            </w:r>
          </w:p>
        </w:tc>
        <w:tc>
          <w:tcPr>
            <w:tcW w:w="388" w:type="pct"/>
            <w:tcBorders>
              <w:tl2br w:val="nil"/>
              <w:tr2bl w:val="nil"/>
            </w:tcBorders>
            <w:vAlign w:val="center"/>
          </w:tcPr>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支</w:t>
            </w:r>
          </w:p>
        </w:tc>
        <w:tc>
          <w:tcPr>
            <w:tcW w:w="418" w:type="pct"/>
            <w:tcBorders>
              <w:tl2br w:val="nil"/>
              <w:tr2bl w:val="nil"/>
            </w:tcBorders>
            <w:vAlign w:val="center"/>
          </w:tcPr>
          <w:p>
            <w:pPr>
              <w:spacing w:line="360" w:lineRule="auto"/>
              <w:ind w:firstLine="240" w:firstLineChars="10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c>
          <w:tcPr>
            <w:tcW w:w="2857" w:type="pct"/>
            <w:tcBorders>
              <w:tl2br w:val="nil"/>
              <w:tr2bl w:val="nil"/>
            </w:tcBorders>
            <w:vAlign w:val="center"/>
          </w:tcPr>
          <w:p>
            <w:pPr>
              <w:widowControl/>
              <w:spacing w:line="360" w:lineRule="auto"/>
              <w:ind w:firstLine="0" w:firstLineChars="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轻便且设计符合人机工效学</w:t>
            </w:r>
          </w:p>
          <w:p>
            <w:pPr>
              <w:widowControl/>
              <w:spacing w:line="360" w:lineRule="auto"/>
              <w:ind w:firstLine="0" w:firstLineChars="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数字视窗，令所设定量程一目了然</w:t>
            </w:r>
          </w:p>
          <w:p>
            <w:pPr>
              <w:widowControl/>
              <w:spacing w:line="360" w:lineRule="auto"/>
              <w:ind w:firstLine="480" w:firstLineChars="20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量程范围，20-200ul</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使用附件工具，能方便快捷地进行校准和维修</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精确的分液，每支移液器都遵照EN/ISO8655标准进行校准</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下半支可高温高压消毒</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7</w:t>
            </w:r>
          </w:p>
        </w:tc>
        <w:tc>
          <w:tcPr>
            <w:tcW w:w="997" w:type="pct"/>
            <w:tcBorders>
              <w:tl2br w:val="nil"/>
              <w:tr2bl w:val="nil"/>
            </w:tcBorders>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移液枪</w:t>
            </w:r>
          </w:p>
        </w:tc>
        <w:tc>
          <w:tcPr>
            <w:tcW w:w="388" w:type="pct"/>
            <w:tcBorders>
              <w:tl2br w:val="nil"/>
              <w:tr2bl w:val="nil"/>
            </w:tcBorders>
            <w:vAlign w:val="center"/>
          </w:tcPr>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支</w:t>
            </w:r>
          </w:p>
        </w:tc>
        <w:tc>
          <w:tcPr>
            <w:tcW w:w="418" w:type="pct"/>
            <w:tcBorders>
              <w:tl2br w:val="nil"/>
              <w:tr2bl w:val="nil"/>
            </w:tcBorders>
            <w:vAlign w:val="center"/>
          </w:tcPr>
          <w:p>
            <w:pPr>
              <w:spacing w:line="360" w:lineRule="auto"/>
              <w:ind w:firstLine="240" w:firstLineChars="10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c>
          <w:tcPr>
            <w:tcW w:w="2857" w:type="pct"/>
            <w:tcBorders>
              <w:tl2br w:val="nil"/>
              <w:tr2bl w:val="nil"/>
            </w:tcBorders>
            <w:vAlign w:val="center"/>
          </w:tcPr>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轻便且设计符合人机工效学</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数字视窗，令所设定量程一目了然</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量程范围，2000-5000ul</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使用附件工具，能方便快捷地进行校准和维修</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精确的分液，每支移液器都遵照EN/ISO8655标准进行校准</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下半支可高温高压消毒</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8</w:t>
            </w:r>
          </w:p>
        </w:tc>
        <w:tc>
          <w:tcPr>
            <w:tcW w:w="997" w:type="pct"/>
            <w:tcBorders>
              <w:tl2br w:val="nil"/>
              <w:tr2bl w:val="nil"/>
            </w:tcBorders>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移液枪</w:t>
            </w:r>
          </w:p>
        </w:tc>
        <w:tc>
          <w:tcPr>
            <w:tcW w:w="388" w:type="pct"/>
            <w:tcBorders>
              <w:tl2br w:val="nil"/>
              <w:tr2bl w:val="nil"/>
            </w:tcBorders>
            <w:vAlign w:val="center"/>
          </w:tcPr>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支</w:t>
            </w:r>
          </w:p>
        </w:tc>
        <w:tc>
          <w:tcPr>
            <w:tcW w:w="418" w:type="pct"/>
            <w:tcBorders>
              <w:tl2br w:val="nil"/>
              <w:tr2bl w:val="nil"/>
            </w:tcBorders>
            <w:vAlign w:val="center"/>
          </w:tcPr>
          <w:p>
            <w:pPr>
              <w:spacing w:line="360" w:lineRule="auto"/>
              <w:ind w:firstLine="240" w:firstLineChars="10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c>
          <w:tcPr>
            <w:tcW w:w="2857" w:type="pct"/>
            <w:tcBorders>
              <w:tl2br w:val="nil"/>
              <w:tr2bl w:val="nil"/>
            </w:tcBorders>
            <w:vAlign w:val="center"/>
          </w:tcPr>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轻便且设计符合人机工效学</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数字视窗，令所设定量程一目了然</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量程范围，</w:t>
            </w: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kern w:val="0"/>
                <w:sz w:val="24"/>
                <w:szCs w:val="24"/>
                <w14:textFill>
                  <w14:solidFill>
                    <w14:schemeClr w14:val="tx1"/>
                  </w14:solidFill>
                </w14:textFill>
              </w:rPr>
              <w:t>000-10000ul</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使用附件工具，能方便快捷地进行校准和维修</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精确的分液，每支移液器都遵照EN/ISO8655标准进行校准</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下半支可高温高压消毒</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9</w:t>
            </w:r>
          </w:p>
        </w:tc>
        <w:tc>
          <w:tcPr>
            <w:tcW w:w="997" w:type="pct"/>
            <w:tcBorders>
              <w:tl2br w:val="nil"/>
              <w:tr2bl w:val="nil"/>
            </w:tcBorders>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冷藏冰箱</w:t>
            </w:r>
          </w:p>
        </w:tc>
        <w:tc>
          <w:tcPr>
            <w:tcW w:w="388" w:type="pct"/>
            <w:tcBorders>
              <w:tl2br w:val="nil"/>
              <w:tr2bl w:val="nil"/>
            </w:tcBorders>
            <w:vAlign w:val="center"/>
          </w:tcPr>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台</w:t>
            </w:r>
          </w:p>
        </w:tc>
        <w:tc>
          <w:tcPr>
            <w:tcW w:w="418" w:type="pct"/>
            <w:tcBorders>
              <w:tl2br w:val="nil"/>
              <w:tr2bl w:val="nil"/>
            </w:tcBorders>
            <w:vAlign w:val="center"/>
          </w:tcPr>
          <w:p>
            <w:pPr>
              <w:spacing w:line="360" w:lineRule="auto"/>
              <w:ind w:firstLine="240" w:firstLineChars="10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2857" w:type="pct"/>
            <w:tcBorders>
              <w:tl2br w:val="nil"/>
              <w:tr2bl w:val="nil"/>
            </w:tcBorders>
            <w:vAlign w:val="center"/>
          </w:tcPr>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1、立式单开门，有效容积：390L。</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2、温度控制：微电脑控制，温度湿度独立显示，可通过调整设定温度使箱内温度恒定控制在2℃~8℃；</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★3安全系统：超温报警、传感器故障报警、断电报警；温控器内置电池，断电后可持续显示箱内实时温度。</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4、冷凝水自动蒸发，无需人工操作</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5、带有可锁定的底脚和门止档。</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6、电压：220V±10％</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7、所投产品的制造厂家通过ISO9001、ISO13485认证，具有医疗器械生产许可证。</w:t>
            </w:r>
          </w:p>
          <w:p>
            <w:pPr>
              <w:spacing w:line="360" w:lineRule="auto"/>
              <w:ind w:firstLine="0" w:firstLineChars="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★8、产品具有医疗器械注册证</w:t>
            </w:r>
          </w:p>
          <w:p>
            <w:pPr>
              <w:spacing w:line="360" w:lineRule="auto"/>
              <w:ind w:firstLine="0" w:firstLineChars="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9、温度调整增量为0.1℃；</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10、产品提供可加挂锁的锁扣，保证保存物品的安全。</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11、多层搁架设计，搁架间距可调，充分利用箱内空间。出厂标配6个搁架，数量可增加（需额外支付费用）；</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12、使用EBM电机和风机，保证产品部件的质量和整机可靠性</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10</w:t>
            </w:r>
          </w:p>
        </w:tc>
        <w:tc>
          <w:tcPr>
            <w:tcW w:w="997" w:type="pct"/>
            <w:tcBorders>
              <w:tl2br w:val="nil"/>
              <w:tr2bl w:val="nil"/>
            </w:tcBorders>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紫外分光光度计</w:t>
            </w:r>
          </w:p>
        </w:tc>
        <w:tc>
          <w:tcPr>
            <w:tcW w:w="38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2857" w:type="pct"/>
            <w:tcBorders>
              <w:tl2br w:val="nil"/>
              <w:tr2bl w:val="nil"/>
            </w:tcBorders>
            <w:vAlign w:val="center"/>
          </w:tcPr>
          <w:p>
            <w:pPr>
              <w:spacing w:line="360" w:lineRule="auto"/>
              <w:ind w:firstLine="0" w:firstLineChars="0"/>
              <w:jc w:val="both"/>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pacing w:val="-2"/>
                <w:sz w:val="24"/>
                <w:szCs w:val="24"/>
                <w14:textFill>
                  <w14:solidFill>
                    <w14:schemeClr w14:val="tx1"/>
                  </w14:solidFill>
                </w14:textFill>
              </w:rPr>
              <w:t>波长范围：190~1100nm</w:t>
            </w:r>
          </w:p>
          <w:p>
            <w:pPr>
              <w:spacing w:line="360" w:lineRule="auto"/>
              <w:ind w:firstLine="0" w:firstLineChars="0"/>
              <w:jc w:val="both"/>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pacing w:val="-2"/>
                <w:sz w:val="24"/>
                <w:szCs w:val="24"/>
                <w14:textFill>
                  <w14:solidFill>
                    <w14:schemeClr w14:val="tx1"/>
                  </w14:solidFill>
                </w14:textFill>
              </w:rPr>
              <w:t>波长准确度：±1nm (200-900nm)</w:t>
            </w:r>
          </w:p>
          <w:p>
            <w:pPr>
              <w:spacing w:line="360" w:lineRule="auto"/>
              <w:ind w:firstLine="0" w:firstLineChars="0"/>
              <w:jc w:val="center"/>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pacing w:val="-2"/>
                <w:sz w:val="24"/>
                <w:szCs w:val="24"/>
                <w14:textFill>
                  <w14:solidFill>
                    <w14:schemeClr w14:val="tx1"/>
                  </w14:solidFill>
                </w14:textFill>
              </w:rPr>
              <w:t>波长分辨率：0.1nm</w:t>
            </w:r>
          </w:p>
          <w:p>
            <w:pPr>
              <w:spacing w:line="360" w:lineRule="auto"/>
              <w:ind w:firstLine="0" w:firstLineChars="0"/>
              <w:jc w:val="center"/>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pacing w:val="-2"/>
                <w:sz w:val="24"/>
                <w:szCs w:val="24"/>
                <w14:textFill>
                  <w14:solidFill>
                    <w14:schemeClr w14:val="tx1"/>
                  </w14:solidFill>
                </w14:textFill>
              </w:rPr>
              <w:t>波长再现性：&lt; 0.1nm</w:t>
            </w:r>
          </w:p>
          <w:p>
            <w:pPr>
              <w:spacing w:line="360" w:lineRule="auto"/>
              <w:ind w:firstLine="0" w:firstLineChars="0"/>
              <w:jc w:val="both"/>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pacing w:val="-2"/>
                <w:sz w:val="24"/>
                <w:szCs w:val="24"/>
                <w14:textFill>
                  <w14:solidFill>
                    <w14:schemeClr w14:val="tx1"/>
                  </w14:solidFill>
                </w14:textFill>
              </w:rPr>
              <w:t>扫描速度：900nm/min (步增1nm)</w:t>
            </w:r>
          </w:p>
          <w:p>
            <w:pPr>
              <w:spacing w:line="360" w:lineRule="auto"/>
              <w:ind w:firstLine="0" w:firstLineChars="0"/>
              <w:jc w:val="center"/>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pacing w:val="-2"/>
                <w:sz w:val="24"/>
                <w:szCs w:val="24"/>
                <w14:textFill>
                  <w14:solidFill>
                    <w14:schemeClr w14:val="tx1"/>
                  </w14:solidFill>
                </w14:textFill>
              </w:rPr>
              <w:t>带宽：2nm</w:t>
            </w:r>
          </w:p>
          <w:p>
            <w:pPr>
              <w:spacing w:line="360" w:lineRule="auto"/>
              <w:ind w:firstLine="0" w:firstLineChars="0"/>
              <w:jc w:val="center"/>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pacing w:val="-2"/>
                <w:sz w:val="24"/>
                <w:szCs w:val="24"/>
                <w14:textFill>
                  <w14:solidFill>
                    <w14:schemeClr w14:val="tx1"/>
                  </w14:solidFill>
                </w14:textFill>
              </w:rPr>
              <w:t>波长校准模式：自动</w:t>
            </w:r>
          </w:p>
          <w:p>
            <w:pPr>
              <w:spacing w:line="360" w:lineRule="auto"/>
              <w:ind w:firstLine="0" w:firstLineChars="0"/>
              <w:jc w:val="both"/>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pacing w:val="-2"/>
                <w:sz w:val="24"/>
                <w:szCs w:val="24"/>
                <w14:textFill>
                  <w14:solidFill>
                    <w14:schemeClr w14:val="tx1"/>
                  </w14:solidFill>
                </w14:textFill>
              </w:rPr>
              <w:t>波长选择：</w:t>
            </w:r>
          </w:p>
          <w:p>
            <w:pPr>
              <w:spacing w:line="360" w:lineRule="auto"/>
              <w:ind w:firstLine="412"/>
              <w:jc w:val="center"/>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pacing w:val="-2"/>
                <w:sz w:val="24"/>
                <w:szCs w:val="24"/>
                <w14:textFill>
                  <w14:solidFill>
                    <w14:schemeClr w14:val="tx1"/>
                  </w14:solidFill>
                </w14:textFill>
              </w:rPr>
              <w:t>自动：基于测试方法的自动选择波长；</w:t>
            </w:r>
          </w:p>
          <w:p>
            <w:pPr>
              <w:spacing w:line="360" w:lineRule="auto"/>
              <w:ind w:firstLine="412"/>
              <w:jc w:val="center"/>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pacing w:val="-2"/>
                <w:sz w:val="24"/>
                <w:szCs w:val="24"/>
                <w14:textFill>
                  <w14:solidFill>
                    <w14:schemeClr w14:val="tx1"/>
                  </w14:solidFill>
                </w14:textFill>
              </w:rPr>
              <w:t>自动：根据TNTplus™试剂瓶上的条形码自动选择波长和测试方法；</w:t>
            </w:r>
          </w:p>
          <w:p>
            <w:pPr>
              <w:spacing w:line="360" w:lineRule="auto"/>
              <w:ind w:firstLine="412"/>
              <w:jc w:val="center"/>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pacing w:val="-2"/>
                <w:sz w:val="24"/>
                <w:szCs w:val="24"/>
                <w14:textFill>
                  <w14:solidFill>
                    <w14:schemeClr w14:val="tx1"/>
                  </w14:solidFill>
                </w14:textFill>
              </w:rPr>
              <w:t>手动：所有模式都可以使用，除了预存储程序；</w:t>
            </w:r>
          </w:p>
          <w:p>
            <w:pPr>
              <w:spacing w:line="360" w:lineRule="auto"/>
              <w:ind w:firstLine="0" w:firstLineChars="0"/>
              <w:jc w:val="center"/>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pacing w:val="-2"/>
                <w:sz w:val="24"/>
                <w:szCs w:val="24"/>
                <w14:textFill>
                  <w14:solidFill>
                    <w14:schemeClr w14:val="tx1"/>
                  </w14:solidFill>
                </w14:textFill>
              </w:rPr>
              <w:t>提醒机制：内置操作流程提示，并可提醒用户试剂的保质期，确保所使用的化学试剂是在保质期内</w:t>
            </w:r>
          </w:p>
          <w:p>
            <w:pPr>
              <w:spacing w:line="360" w:lineRule="auto"/>
              <w:ind w:firstLine="0" w:firstLineChars="0"/>
              <w:jc w:val="center"/>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pacing w:val="-2"/>
                <w:sz w:val="24"/>
                <w:szCs w:val="24"/>
                <w14:textFill>
                  <w14:solidFill>
                    <w14:schemeClr w14:val="tx1"/>
                  </w14:solidFill>
                </w14:textFill>
              </w:rPr>
              <w:t>结果分析筛选：自动。消除由刮痕、裂纹或玻璃器皿污浊引起的参数无法读取问题</w:t>
            </w:r>
          </w:p>
          <w:p>
            <w:pPr>
              <w:spacing w:line="360" w:lineRule="auto"/>
              <w:ind w:firstLine="0" w:firstLineChars="0"/>
              <w:jc w:val="both"/>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pacing w:val="-2"/>
                <w:sz w:val="24"/>
                <w:szCs w:val="24"/>
                <w14:textFill>
                  <w14:solidFill>
                    <w14:schemeClr w14:val="tx1"/>
                  </w14:solidFill>
                </w14:textFill>
              </w:rPr>
              <w:t>信息管理系统：与LIMS可以兼容</w:t>
            </w:r>
          </w:p>
          <w:p>
            <w:pPr>
              <w:autoSpaceDE w:val="0"/>
              <w:autoSpaceDN w:val="0"/>
              <w:adjustRightInd w:val="0"/>
              <w:spacing w:line="360" w:lineRule="auto"/>
              <w:ind w:firstLine="0" w:firstLineChars="0"/>
              <w:jc w:val="center"/>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pacing w:val="-2"/>
                <w:sz w:val="24"/>
                <w:szCs w:val="24"/>
                <w14:textFill>
                  <w14:solidFill>
                    <w14:schemeClr w14:val="tx1"/>
                  </w14:solidFill>
                </w14:textFill>
              </w:rPr>
              <w:t>吸光度测量范围：± 3.0 Abs （波长200~900 nm 范围内）</w:t>
            </w:r>
          </w:p>
          <w:p>
            <w:pPr>
              <w:autoSpaceDE w:val="0"/>
              <w:autoSpaceDN w:val="0"/>
              <w:adjustRightInd w:val="0"/>
              <w:spacing w:line="360" w:lineRule="auto"/>
              <w:ind w:firstLine="0" w:firstLineChars="0"/>
              <w:jc w:val="center"/>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pacing w:val="-2"/>
                <w:sz w:val="24"/>
                <w:szCs w:val="24"/>
                <w14:textFill>
                  <w14:solidFill>
                    <w14:schemeClr w14:val="tx1"/>
                  </w14:solidFill>
                </w14:textFill>
              </w:rPr>
              <w:t>吸光度测量准确度：5 mAbs （0.0~0.5 Abs）；1% （0.50~2.0 Abs）</w:t>
            </w:r>
          </w:p>
          <w:p>
            <w:pPr>
              <w:autoSpaceDE w:val="0"/>
              <w:autoSpaceDN w:val="0"/>
              <w:adjustRightInd w:val="0"/>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pacing w:val="-2"/>
                <w:sz w:val="24"/>
                <w:szCs w:val="24"/>
                <w14:textFill>
                  <w14:solidFill>
                    <w14:schemeClr w14:val="tx1"/>
                  </w14:solidFill>
                </w14:textFill>
              </w:rPr>
              <w:t>光度漂移：± 0.0034 Abs</w:t>
            </w:r>
          </w:p>
          <w:p>
            <w:pPr>
              <w:autoSpaceDE w:val="0"/>
              <w:autoSpaceDN w:val="0"/>
              <w:adjustRightInd w:val="0"/>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pacing w:val="-2"/>
                <w:sz w:val="24"/>
                <w:szCs w:val="24"/>
                <w14:textFill>
                  <w14:solidFill>
                    <w14:schemeClr w14:val="tx1"/>
                  </w14:solidFill>
                </w14:textFill>
              </w:rPr>
              <w:t>光学系统：钨灯（可见光）和氘灯（紫外光），Czerry-Turner单色器，硅光电二极管检测器</w:t>
            </w:r>
          </w:p>
          <w:p>
            <w:pPr>
              <w:autoSpaceDE w:val="0"/>
              <w:autoSpaceDN w:val="0"/>
              <w:adjustRightInd w:val="0"/>
              <w:spacing w:line="360" w:lineRule="auto"/>
              <w:ind w:firstLine="0" w:firstLineChars="0"/>
              <w:jc w:val="center"/>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pacing w:val="-2"/>
                <w:sz w:val="24"/>
                <w:szCs w:val="24"/>
                <w14:textFill>
                  <w14:solidFill>
                    <w14:schemeClr w14:val="tx1"/>
                  </w14:solidFill>
                </w14:textFill>
              </w:rPr>
              <w:t>杂散光：&lt; 3.3 Abs / &lt; 0.05%T （采用碘化钾溶液于220nm波长处测定）</w:t>
            </w:r>
          </w:p>
          <w:p>
            <w:pPr>
              <w:autoSpaceDE w:val="0"/>
              <w:autoSpaceDN w:val="0"/>
              <w:adjustRightInd w:val="0"/>
              <w:spacing w:line="360" w:lineRule="auto"/>
              <w:ind w:firstLine="0" w:firstLineChars="0"/>
              <w:jc w:val="center"/>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pacing w:val="-2"/>
                <w:sz w:val="24"/>
                <w:szCs w:val="24"/>
                <w14:textFill>
                  <w14:solidFill>
                    <w14:schemeClr w14:val="tx1"/>
                  </w14:solidFill>
                </w14:textFill>
              </w:rPr>
              <w:t>接口：3个USB接口，1个以太网接口，可连接存储设备、键盘、打印机和条形码扫描仪；可连接以太网，进行实时数据传输，并可实现对在线仪器的远程校准。</w:t>
            </w:r>
          </w:p>
          <w:p>
            <w:pPr>
              <w:autoSpaceDE w:val="0"/>
              <w:autoSpaceDN w:val="0"/>
              <w:adjustRightInd w:val="0"/>
              <w:spacing w:line="360" w:lineRule="auto"/>
              <w:ind w:firstLine="0" w:firstLineChars="0"/>
              <w:jc w:val="both"/>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pacing w:val="-2"/>
                <w:sz w:val="24"/>
                <w:szCs w:val="24"/>
                <w14:textFill>
                  <w14:solidFill>
                    <w14:schemeClr w14:val="tx1"/>
                  </w14:solidFill>
                </w14:textFill>
              </w:rPr>
              <w:t>显示：7英寸的彩色触摸屏显示</w:t>
            </w:r>
          </w:p>
          <w:p>
            <w:pPr>
              <w:autoSpaceDE w:val="0"/>
              <w:autoSpaceDN w:val="0"/>
              <w:adjustRightInd w:val="0"/>
              <w:spacing w:line="360" w:lineRule="auto"/>
              <w:ind w:firstLine="0" w:firstLineChars="0"/>
              <w:jc w:val="both"/>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pacing w:val="-2"/>
                <w:sz w:val="24"/>
                <w:szCs w:val="24"/>
                <w14:textFill>
                  <w14:solidFill>
                    <w14:schemeClr w14:val="tx1"/>
                  </w14:solidFill>
                </w14:textFill>
              </w:rPr>
              <w:t>语言：多种语言选择，其中包括中文</w:t>
            </w:r>
          </w:p>
          <w:p>
            <w:pPr>
              <w:autoSpaceDE w:val="0"/>
              <w:autoSpaceDN w:val="0"/>
              <w:adjustRightInd w:val="0"/>
              <w:spacing w:line="360" w:lineRule="auto"/>
              <w:ind w:firstLine="0" w:firstLineChars="0"/>
              <w:jc w:val="both"/>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pacing w:val="-2"/>
                <w:sz w:val="24"/>
                <w:szCs w:val="24"/>
                <w14:textFill>
                  <w14:solidFill>
                    <w14:schemeClr w14:val="tx1"/>
                  </w14:solidFill>
                </w14:textFill>
              </w:rPr>
              <w:t>显示模式：透光率（%），吸光度和浓度</w:t>
            </w:r>
          </w:p>
          <w:p>
            <w:pPr>
              <w:autoSpaceDE w:val="0"/>
              <w:autoSpaceDN w:val="0"/>
              <w:adjustRightInd w:val="0"/>
              <w:spacing w:line="360" w:lineRule="auto"/>
              <w:ind w:firstLine="0" w:firstLineChars="0"/>
              <w:jc w:val="center"/>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pacing w:val="-2"/>
                <w:sz w:val="24"/>
                <w:szCs w:val="24"/>
                <w14:textFill>
                  <w14:solidFill>
                    <w14:schemeClr w14:val="tx1"/>
                  </w14:solidFill>
                </w14:textFill>
              </w:rPr>
              <w:t>流通池模块（可选）：精准、快速、重复地吸取液体</w:t>
            </w:r>
          </w:p>
          <w:p>
            <w:pPr>
              <w:autoSpaceDE w:val="0"/>
              <w:autoSpaceDN w:val="0"/>
              <w:adjustRightInd w:val="0"/>
              <w:spacing w:line="360" w:lineRule="auto"/>
              <w:ind w:firstLine="0" w:firstLineChars="0"/>
              <w:jc w:val="center"/>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pacing w:val="-2"/>
                <w:sz w:val="24"/>
                <w:szCs w:val="24"/>
                <w14:textFill>
                  <w14:solidFill>
                    <w14:schemeClr w14:val="tx1"/>
                  </w14:solidFill>
                </w14:textFill>
              </w:rPr>
              <w:t>仪器自带AQA分析质量保证功能。并带有趋势、比例等数据处理功能。</w:t>
            </w:r>
          </w:p>
          <w:p>
            <w:pPr>
              <w:autoSpaceDE w:val="0"/>
              <w:autoSpaceDN w:val="0"/>
              <w:adjustRightInd w:val="0"/>
              <w:spacing w:line="360" w:lineRule="auto"/>
              <w:ind w:firstLine="0" w:firstLineChars="0"/>
              <w:jc w:val="both"/>
              <w:rPr>
                <w:rFonts w:ascii="宋体" w:hAnsi="宋体"/>
                <w:bCs/>
                <w:color w:val="000000" w:themeColor="text1"/>
                <w:spacing w:val="2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pacing w:val="-2"/>
                <w:sz w:val="24"/>
                <w:szCs w:val="24"/>
                <w14:textFill>
                  <w14:solidFill>
                    <w14:schemeClr w14:val="tx1"/>
                  </w14:solidFill>
                </w14:textFill>
              </w:rPr>
              <w:t>仪器带有不同光程比色皿的智能识别功能</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11</w:t>
            </w:r>
          </w:p>
        </w:tc>
        <w:tc>
          <w:tcPr>
            <w:tcW w:w="997" w:type="pct"/>
            <w:tcBorders>
              <w:tl2br w:val="nil"/>
              <w:tr2bl w:val="nil"/>
            </w:tcBorders>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sz w:val="24"/>
                <w:szCs w:val="24"/>
              </w:rPr>
              <w:t>余氯比色仪</w:t>
            </w:r>
          </w:p>
        </w:tc>
        <w:tc>
          <w:tcPr>
            <w:tcW w:w="388" w:type="pct"/>
            <w:tcBorders>
              <w:tl2br w:val="nil"/>
              <w:tr2bl w:val="nil"/>
            </w:tcBorders>
            <w:vAlign w:val="center"/>
          </w:tcPr>
          <w:p>
            <w:pPr>
              <w:widowControl/>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vAlign w:val="center"/>
          </w:tcPr>
          <w:p>
            <w:pPr>
              <w:ind w:firstLine="0" w:firstLineChars="0"/>
              <w:jc w:val="center"/>
              <w:rPr>
                <w:sz w:val="24"/>
                <w:szCs w:val="24"/>
              </w:rPr>
            </w:pPr>
            <w:r>
              <w:rPr>
                <w:rFonts w:hint="eastAsia"/>
                <w:sz w:val="24"/>
                <w:szCs w:val="24"/>
              </w:rPr>
              <w:t>1</w:t>
            </w:r>
          </w:p>
        </w:tc>
        <w:tc>
          <w:tcPr>
            <w:tcW w:w="2857" w:type="pct"/>
            <w:tcBorders>
              <w:tl2br w:val="nil"/>
              <w:tr2bl w:val="nil"/>
            </w:tcBorders>
            <w:vAlign w:val="center"/>
          </w:tcPr>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1、用途：</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便携袖珍式比色计，可用于测量水厂中水加氯消毒过程中的余氯、总氯浓度。</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2、工作条件：</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2.1 电源：4 节 AAA 碱性电池供电。</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2.2 温度：0～50℃</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2.3 湿度：0~90％相对湿度，无冷凝</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3、技术性能指标：</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★3.1 测量原理：DPD 比色法；</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3.2 测量范围：0.02~2.00mg/L；0.1~8.0mg/L；71</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★3.3 测量波长：528±2nm</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3.4 光源：LED；</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3.5 检测器：硅光电二极管；</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★3.6 显示：LCD 背光显示</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3.7 滤光器带宽：15nm；</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3.8 吸光度范围：0～2.5Abs；</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★3.9 数据存储：50 次</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★3.10 仪器防护等级：IP67；</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★3.11 CE 认证</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★3.12 重量：0.25kg</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4、系统配置：</w:t>
            </w:r>
          </w:p>
          <w:p>
            <w:pPr>
              <w:widowControl/>
              <w:spacing w:line="360" w:lineRule="auto"/>
              <w:ind w:firstLine="0" w:firstLineChars="0"/>
              <w:jc w:val="center"/>
              <w:rPr>
                <w:rFonts w:ascii="宋体" w:hAnsi="宋体"/>
                <w:sz w:val="24"/>
                <w:szCs w:val="24"/>
              </w:rPr>
            </w:pPr>
            <w:r>
              <w:rPr>
                <w:rFonts w:hint="eastAsia" w:ascii="宋体" w:hAnsi="宋体"/>
                <w:color w:val="000000"/>
                <w:kern w:val="0"/>
                <w:sz w:val="24"/>
                <w:szCs w:val="24"/>
              </w:rPr>
              <w:t>（1）标准配置：</w:t>
            </w:r>
          </w:p>
          <w:p>
            <w:pPr>
              <w:widowControl/>
              <w:spacing w:line="360" w:lineRule="auto"/>
              <w:jc w:val="center"/>
              <w:rPr>
                <w:rFonts w:ascii="宋体" w:hAnsi="宋体"/>
                <w:sz w:val="24"/>
                <w:szCs w:val="24"/>
              </w:rPr>
            </w:pPr>
            <w:r>
              <w:rPr>
                <w:rFonts w:hint="eastAsia" w:ascii="宋体" w:hAnsi="宋体"/>
                <w:color w:val="000000"/>
                <w:kern w:val="0"/>
                <w:sz w:val="24"/>
                <w:szCs w:val="24"/>
              </w:rPr>
              <w:t>比色计</w:t>
            </w:r>
          </w:p>
          <w:p>
            <w:pPr>
              <w:widowControl/>
              <w:spacing w:line="360" w:lineRule="auto"/>
              <w:jc w:val="center"/>
              <w:rPr>
                <w:rFonts w:ascii="宋体" w:hAnsi="宋体"/>
                <w:sz w:val="24"/>
                <w:szCs w:val="24"/>
              </w:rPr>
            </w:pPr>
            <w:r>
              <w:rPr>
                <w:rFonts w:hint="eastAsia" w:ascii="宋体" w:hAnsi="宋体"/>
                <w:color w:val="000000"/>
                <w:kern w:val="0"/>
                <w:sz w:val="24"/>
                <w:szCs w:val="24"/>
              </w:rPr>
              <w:t>比色皿；</w:t>
            </w:r>
          </w:p>
          <w:p>
            <w:pPr>
              <w:widowControl/>
              <w:spacing w:line="360" w:lineRule="auto"/>
              <w:jc w:val="center"/>
              <w:rPr>
                <w:rFonts w:ascii="宋体" w:hAnsi="宋体"/>
                <w:sz w:val="24"/>
                <w:szCs w:val="24"/>
              </w:rPr>
            </w:pPr>
            <w:r>
              <w:rPr>
                <w:rFonts w:hint="eastAsia" w:ascii="宋体" w:hAnsi="宋体"/>
                <w:color w:val="000000"/>
                <w:kern w:val="0"/>
                <w:sz w:val="24"/>
                <w:szCs w:val="24"/>
              </w:rPr>
              <w:t>4 节 AAA 碱性电池；</w:t>
            </w:r>
          </w:p>
          <w:p>
            <w:pPr>
              <w:widowControl/>
              <w:spacing w:line="360" w:lineRule="auto"/>
              <w:jc w:val="center"/>
              <w:rPr>
                <w:rFonts w:ascii="宋体" w:hAnsi="宋体"/>
                <w:sz w:val="24"/>
                <w:szCs w:val="24"/>
              </w:rPr>
            </w:pPr>
            <w:r>
              <w:rPr>
                <w:rFonts w:hint="eastAsia" w:ascii="宋体" w:hAnsi="宋体"/>
                <w:color w:val="000000"/>
                <w:kern w:val="0"/>
                <w:sz w:val="24"/>
                <w:szCs w:val="24"/>
              </w:rPr>
              <w:t>便携箱</w:t>
            </w:r>
          </w:p>
          <w:p>
            <w:pPr>
              <w:widowControl/>
              <w:spacing w:line="360" w:lineRule="auto"/>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kern w:val="0"/>
                <w:sz w:val="24"/>
                <w:szCs w:val="24"/>
              </w:rPr>
              <w:t>操作手册</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12</w:t>
            </w:r>
          </w:p>
        </w:tc>
        <w:tc>
          <w:tcPr>
            <w:tcW w:w="997" w:type="pct"/>
            <w:tcBorders>
              <w:tl2br w:val="nil"/>
              <w:tr2bl w:val="nil"/>
            </w:tcBorders>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六联不锈钢过滤系统</w:t>
            </w:r>
          </w:p>
        </w:tc>
        <w:tc>
          <w:tcPr>
            <w:tcW w:w="38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2857" w:type="pct"/>
            <w:tcBorders>
              <w:tl2br w:val="nil"/>
              <w:tr2bl w:val="nil"/>
            </w:tcBorders>
            <w:vAlign w:val="center"/>
          </w:tcPr>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一、产品简介</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六联抽滤装置是一种应用于化学实验室中的新型溶液过滤装置。可同时对多个样品进行过滤，或者单独进行过滤样品。提高实验工作效率。</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广泛应用于化学分析、仪器分析、卫生检验、制药工业、生物制品和农药、石油、环保监 测、自来水、污水细菌等方面液体过滤。</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二、产品特点：</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1、只需一个真空气源就可以完成全部操作，节省大量的时间，方便快捷</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2、每个滤头采用独立控制的方式，方便操作人员灵活使用；</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3、稳固的低重心设计使其不会因溶液满载而发生翻倒。</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4、采用316不锈钢材质，具有优越的耐腐蚀性能</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5、不锈钢部件采用精加工镜面抛光，表面光洁平整，便于清洁消毒；</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6、厚度高达2mm的不锈钢过滤杯，使用寿命更长</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7、采用双缸活塞泵为负压源，无油雾污染，免维护保养，抽气速率高，极限负压大。</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8、高负压、大流量、吸引速度快，吸引时所需要的负压可由负压调节装置来控制，并由 负压表显示压力。并由负压表显示压力；</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三、技术参数：</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1、过滤联数：六联(带阀门)</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2、滤杯容量：400ml</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3、滤杯材质：316不锈钢材质；66毫米口径尺寸</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4、选配滤膜直径：Φ47-Φ50（mm）</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5、滤膜材质：水系膜(标配)（需要其他材质采购时选择）</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6、滤膜孔径： 0.45μm（标配）（需要其他规格采购时选择）</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7、电源电压：AC220V±10% 50Hz</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8、抽气速度（升/分）：25</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9、负压调节范围：0.01MPa-0.08MPa</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10、负压值：≥ 0.08MPa</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11、噪音（DB）： ≤60</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12、吸液瓶容量：2500ml（带上下嘴）</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四、配置清单</w:t>
            </w:r>
          </w:p>
          <w:p>
            <w:pPr>
              <w:widowControl/>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kern w:val="0"/>
                <w:sz w:val="24"/>
                <w:szCs w:val="24"/>
                <w14:textFill>
                  <w14:solidFill>
                    <w14:schemeClr w14:val="tx1"/>
                  </w14:solidFill>
                </w14:textFill>
              </w:rPr>
              <w:t>无油真空泵 1台</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2六联过滤器：1套 阀门型</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3 </w:t>
            </w:r>
            <w:r>
              <w:rPr>
                <w:rFonts w:hint="eastAsia" w:ascii="宋体" w:hAnsi="宋体"/>
                <w:color w:val="000000" w:themeColor="text1"/>
                <w:kern w:val="0"/>
                <w:sz w:val="24"/>
                <w:szCs w:val="24"/>
                <w14:textFill>
                  <w14:solidFill>
                    <w14:schemeClr w14:val="tx1"/>
                  </w14:solidFill>
                </w14:textFill>
              </w:rPr>
              <w:t>2500ml 积液瓶 1只 （带上下嘴）</w:t>
            </w:r>
          </w:p>
          <w:p>
            <w:pPr>
              <w:widowControl/>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hint="eastAsia" w:ascii="宋体" w:hAnsi="宋体"/>
                <w:color w:val="000000" w:themeColor="text1"/>
                <w:kern w:val="0"/>
                <w:sz w:val="24"/>
                <w:szCs w:val="24"/>
                <w14:textFill>
                  <w14:solidFill>
                    <w14:schemeClr w14:val="tx1"/>
                  </w14:solidFill>
                </w14:textFill>
              </w:rPr>
              <w:t>硅胶抽滤管 2根</w:t>
            </w:r>
          </w:p>
          <w:p>
            <w:pPr>
              <w:widowControl/>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5说明书 1份</w:t>
            </w:r>
          </w:p>
          <w:p>
            <w:pPr>
              <w:widowControl/>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6保修卡 1张</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7合格证1张</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13</w:t>
            </w:r>
          </w:p>
        </w:tc>
        <w:tc>
          <w:tcPr>
            <w:tcW w:w="997" w:type="pct"/>
            <w:tcBorders>
              <w:tl2br w:val="nil"/>
              <w:tr2bl w:val="nil"/>
            </w:tcBorders>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万分之一天平</w:t>
            </w:r>
          </w:p>
        </w:tc>
        <w:tc>
          <w:tcPr>
            <w:tcW w:w="38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2857" w:type="pct"/>
            <w:tcBorders>
              <w:tl2br w:val="nil"/>
              <w:tr2bl w:val="nil"/>
            </w:tcBorders>
            <w:vAlign w:val="center"/>
          </w:tcPr>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 xml:space="preserve">①最大称量值：220g；          </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②可 读 性：0.1mg；</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③重 复 性（≤±mg）：0.1；</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④线性误差（≤±mg）：0.2；</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⑤稳定时间：2s；</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 xml:space="preserve">⑥秤盘尺寸（mm）：90 ；   </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⑦校    准：标配内置电机驱动的标准砝码，一键内部校准。</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⑧处理器：80MHz 处理器，可以快速处理运算结果。</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⑨称重传感器： Monolithic 超级单体电磁力传感器。保证了称重结果的稳定性和</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可重复性，温度依赖性低。</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⑩带衬光低温LCD 显示屏，直观的显示方式便于读取结果，反馈式操作按键，</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方便称量操作。</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⑧其他细节：</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1）金属基座、ABS外壳；</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2）防静电的侧移门和顶部移门；</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3）防风罩设计：可拆卸的五面防静电玻璃防风罩设计使操作和清洁变得更加</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方便。</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4）应用程序：计数、动态称重、百分比称量、净重求和、单位转换、合计、计算（乘、除）；</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5）超载保护不锈钢秤盘；</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6）标配232双向通讯接口；</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7）内置挂钩设计；</w:t>
            </w:r>
            <w:r>
              <w:rPr>
                <w:rFonts w:hint="eastAsia" w:ascii="宋体" w:hAnsi="宋体"/>
                <w:color w:val="000000" w:themeColor="text1"/>
                <w:kern w:val="0"/>
                <w:sz w:val="24"/>
                <w:szCs w:val="24"/>
                <w14:textFill>
                  <w14:solidFill>
                    <w14:schemeClr w14:val="tx1"/>
                  </w14:solidFill>
                </w14:textFill>
              </w:rPr>
              <w:br w:type="textWrapping"/>
            </w:r>
            <w:r>
              <w:rPr>
                <w:rFonts w:hint="eastAsia" w:ascii="宋体" w:hAnsi="宋体"/>
                <w:color w:val="000000" w:themeColor="text1"/>
                <w:kern w:val="0"/>
                <w:sz w:val="24"/>
                <w:szCs w:val="24"/>
                <w14:textFill>
                  <w14:solidFill>
                    <w14:schemeClr w14:val="tx1"/>
                  </w14:solidFill>
                </w14:textFill>
              </w:rPr>
              <w:t>8）前置式水平调节泡。</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99" w:hRule="atLeast"/>
        </w:trPr>
        <w:tc>
          <w:tcPr>
            <w:tcW w:w="339"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14</w:t>
            </w:r>
          </w:p>
        </w:tc>
        <w:tc>
          <w:tcPr>
            <w:tcW w:w="997" w:type="pct"/>
            <w:tcBorders>
              <w:tl2br w:val="nil"/>
              <w:tr2bl w:val="nil"/>
            </w:tcBorders>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百分之一天平</w:t>
            </w:r>
          </w:p>
        </w:tc>
        <w:tc>
          <w:tcPr>
            <w:tcW w:w="38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2857" w:type="pct"/>
            <w:tcBorders>
              <w:tl2br w:val="nil"/>
              <w:tr2bl w:val="nil"/>
            </w:tcBorders>
            <w:vAlign w:val="center"/>
          </w:tcPr>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最大秤量1100 g</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可读性 10 mg</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重复性 0.01 g</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线性误差0.05g 稳定时间 </w:t>
            </w:r>
            <w:r>
              <w:rPr>
                <w:rFonts w:hint="eastAsia" w:ascii="宋体" w:hAnsi="宋体"/>
                <w:color w:val="000000" w:themeColor="text1"/>
                <w:kern w:val="0"/>
                <w:sz w:val="24"/>
                <w:szCs w:val="24"/>
                <w14:textFill>
                  <w14:solidFill>
                    <w14:schemeClr w14:val="tx1"/>
                  </w14:solidFill>
                </w14:textFill>
              </w:rPr>
              <w:t>5-8s</w:t>
            </w:r>
          </w:p>
          <w:p>
            <w:pPr>
              <w:pStyle w:val="55"/>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秤盘外形尺寸170*170 mm</w:t>
            </w:r>
          </w:p>
          <w:p>
            <w:pPr>
              <w:pStyle w:val="58"/>
              <w:spacing w:after="80" w:line="360" w:lineRule="auto"/>
              <w:ind w:firstLine="0" w:firstLineChars="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可拆卸无骨架风门，方便操作及清洗</w:t>
            </w:r>
          </w:p>
          <w:p>
            <w:pPr>
              <w:pStyle w:val="58"/>
              <w:spacing w:after="80" w:line="360" w:lineRule="auto"/>
              <w:ind w:firstLine="0" w:firstLineChars="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全新外观，友好人机界面设计</w:t>
            </w:r>
          </w:p>
          <w:p>
            <w:pPr>
              <w:pStyle w:val="58"/>
              <w:spacing w:after="80" w:line="360" w:lineRule="auto"/>
              <w:ind w:firstLine="0" w:firstLineChars="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全新电路设计，满足</w:t>
            </w:r>
            <w:r>
              <w:rPr>
                <w:rFonts w:hint="eastAsia"/>
                <w:color w:val="000000" w:themeColor="text1"/>
                <w:sz w:val="24"/>
                <w:szCs w:val="24"/>
                <w:lang w:val="en-US" w:eastAsia="zh-CN" w:bidi="en-US"/>
                <w14:textFill>
                  <w14:solidFill>
                    <w14:schemeClr w14:val="tx1"/>
                  </w14:solidFill>
                </w14:textFill>
              </w:rPr>
              <w:t>EMC</w:t>
            </w:r>
            <w:r>
              <w:rPr>
                <w:rFonts w:hint="eastAsia"/>
                <w:color w:val="000000" w:themeColor="text1"/>
                <w:sz w:val="24"/>
                <w:szCs w:val="24"/>
                <w14:textFill>
                  <w14:solidFill>
                    <w14:schemeClr w14:val="tx1"/>
                  </w14:solidFill>
                </w14:textFill>
              </w:rPr>
              <w:t>抗干扰要求</w:t>
            </w:r>
          </w:p>
          <w:p>
            <w:pPr>
              <w:pStyle w:val="58"/>
              <w:spacing w:after="80" w:line="360" w:lineRule="auto"/>
              <w:ind w:firstLine="0" w:firstLineChars="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选配内校系统，确保天平始终精准</w:t>
            </w:r>
          </w:p>
          <w:p>
            <w:pPr>
              <w:pStyle w:val="58"/>
              <w:spacing w:after="80" w:line="360" w:lineRule="auto"/>
              <w:ind w:firstLine="0" w:firstLineChars="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实时时钟，中英文显示，符合</w:t>
            </w:r>
            <w:r>
              <w:rPr>
                <w:rFonts w:hint="eastAsia"/>
                <w:color w:val="000000" w:themeColor="text1"/>
                <w:sz w:val="24"/>
                <w:szCs w:val="24"/>
                <w:lang w:val="en-US" w:eastAsia="zh-CN" w:bidi="en-US"/>
                <w14:textFill>
                  <w14:solidFill>
                    <w14:schemeClr w14:val="tx1"/>
                  </w14:solidFill>
                </w14:textFill>
              </w:rPr>
              <w:t>GMP/GLP</w:t>
            </w:r>
            <w:r>
              <w:rPr>
                <w:rFonts w:hint="eastAsia"/>
                <w:color w:val="000000" w:themeColor="text1"/>
                <w:sz w:val="24"/>
                <w:szCs w:val="24"/>
                <w14:textFill>
                  <w14:solidFill>
                    <w14:schemeClr w14:val="tx1"/>
                  </w14:solidFill>
                </w14:textFill>
              </w:rPr>
              <w:t>要求，提供</w:t>
            </w:r>
            <w:r>
              <w:rPr>
                <w:rFonts w:hint="eastAsia"/>
                <w:color w:val="000000" w:themeColor="text1"/>
                <w:sz w:val="24"/>
                <w:szCs w:val="24"/>
                <w:lang w:val="en-US" w:eastAsia="zh-CN" w:bidi="en-US"/>
                <w14:textFill>
                  <w14:solidFill>
                    <w14:schemeClr w14:val="tx1"/>
                  </w14:solidFill>
                </w14:textFill>
              </w:rPr>
              <w:t>3Q</w:t>
            </w:r>
            <w:r>
              <w:rPr>
                <w:rFonts w:hint="eastAsia"/>
                <w:color w:val="000000" w:themeColor="text1"/>
                <w:sz w:val="24"/>
                <w:szCs w:val="24"/>
                <w14:textFill>
                  <w14:solidFill>
                    <w14:schemeClr w14:val="tx1"/>
                  </w14:solidFill>
                </w14:textFill>
              </w:rPr>
              <w:t>认证</w:t>
            </w:r>
          </w:p>
          <w:p>
            <w:pPr>
              <w:pStyle w:val="58"/>
              <w:spacing w:after="1300" w:line="360" w:lineRule="auto"/>
              <w:ind w:firstLine="0" w:firstLineChars="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称量数据可上传电脑</w:t>
            </w:r>
            <w:r>
              <w:rPr>
                <w:rFonts w:hint="eastAsia"/>
                <w:color w:val="000000" w:themeColor="text1"/>
                <w:sz w:val="24"/>
                <w:szCs w:val="24"/>
                <w:lang w:val="en-US" w:eastAsia="zh-CN" w:bidi="en-US"/>
                <w14:textFill>
                  <w14:solidFill>
                    <w14:schemeClr w14:val="tx1"/>
                  </w14:solidFill>
                </w14:textFill>
              </w:rPr>
              <w:t>Excel</w:t>
            </w:r>
            <w:r>
              <w:rPr>
                <w:rFonts w:hint="eastAsia"/>
                <w:color w:val="000000" w:themeColor="text1"/>
                <w:sz w:val="24"/>
                <w:szCs w:val="24"/>
                <w14:textFill>
                  <w14:solidFill>
                    <w14:schemeClr w14:val="tx1"/>
                  </w14:solidFill>
                </w14:textFill>
              </w:rPr>
              <w:t>文件(无需专用软件)</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15</w:t>
            </w:r>
          </w:p>
        </w:tc>
        <w:tc>
          <w:tcPr>
            <w:tcW w:w="997" w:type="pct"/>
            <w:tcBorders>
              <w:tl2br w:val="nil"/>
              <w:tr2bl w:val="nil"/>
            </w:tcBorders>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高压灭菌仪</w:t>
            </w:r>
          </w:p>
        </w:tc>
        <w:tc>
          <w:tcPr>
            <w:tcW w:w="38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2857" w:type="pct"/>
            <w:tcBorders>
              <w:tl2br w:val="nil"/>
              <w:tr2bl w:val="nil"/>
            </w:tcBorders>
            <w:vAlign w:val="center"/>
          </w:tcPr>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一.基本参数</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1.容量:50L，灭菌腔尺寸:Ø325x670(mm)，底部带角轮，易移动</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2.灭菌腔材料:SUS304不锈钢,</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3．功率：2600W</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4.温度范围:灭菌温度:105-135℃,</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5.时间范围:灭菌时间:1-300分钟，</w:t>
            </w:r>
          </w:p>
          <w:p>
            <w:pPr>
              <w:widowControl/>
              <w:spacing w:line="360" w:lineRule="auto"/>
              <w:ind w:firstLine="0" w:firstLineChars="0"/>
              <w:jc w:val="both"/>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6.设计压力：0.25MPA；</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7.压力表显示范围:0-0.4MPa,</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1．采用新型的微电脑智能控制系统</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2．可按选定的灭菌模式，全自动完成灭菌工作</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 可针对固体、液体模式灭菌工作</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 灭菌温度、灭菌时间、干燥时间分别专屏显示，使操作面板简捷易懂；温度、时间分别由</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专用键设置，使操作更加简便</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 具有双重压力保护装系统：采用了安全阀和过压保护系统的双重压力保护，出现压力异常，泄压，断电保护</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 系统自动监测冷空气的排放情况，确保纯蒸汽的灭菌环境，保证灭菌效果</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 闭盖检查系统：系统自动检测腔盖锁紧情况，如腔盖未锁紧，灭菌器无法启动工作</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 保温隔热门罩：既美观又防止操作者烫伤</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9.灭菌过程状态LED动态显示，进程一目了然</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 故障检测程序，实时监测仪器的正常运行</w:t>
            </w:r>
          </w:p>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11．安全装置：压力联锁装置、超温保护系统、干烧保护系统、过压保护、安全阀、过流、短路保护、闭盖检查系统、漏电保护装置、防烫安全保护、自动故障检测系统</w:t>
            </w:r>
          </w:p>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12.生产厂家具有压力容器制造许可证。</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16</w:t>
            </w:r>
          </w:p>
        </w:tc>
        <w:tc>
          <w:tcPr>
            <w:tcW w:w="997" w:type="pct"/>
            <w:tcBorders>
              <w:tl2br w:val="nil"/>
              <w:tr2bl w:val="nil"/>
            </w:tcBorders>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生化培养箱</w:t>
            </w:r>
          </w:p>
        </w:tc>
        <w:tc>
          <w:tcPr>
            <w:tcW w:w="38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2857"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采用镜面不锈钢内胆，四角半圆弧设计，易清洁，箱内搁板间距可调。</w:t>
            </w:r>
          </w:p>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国际品牌压缩机，采用环保制冷剂（R134a），高效率、低能耗、促进节能。</w:t>
            </w:r>
          </w:p>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微电脑PID温度控制器，控温精确可靠，波动少，带定时功能。</w:t>
            </w:r>
          </w:p>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循环风扇速度三档调速控制，避免了试验过程中由于风量过大而导致样品的挥发。</w:t>
            </w:r>
          </w:p>
          <w:p>
            <w:pPr>
              <w:numPr>
                <w:ilvl w:val="0"/>
                <w:numId w:val="9"/>
              </w:num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生化培养箱</w:t>
            </w:r>
          </w:p>
          <w:p>
            <w:pPr>
              <w:pStyle w:val="12"/>
              <w:ind w:firstLine="0" w:firstLineChars="0"/>
              <w:jc w:val="center"/>
              <w:rPr>
                <w:bCs/>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1.1</w:t>
            </w:r>
            <w:r>
              <w:rPr>
                <w:rFonts w:hint="eastAsia"/>
                <w:bCs/>
                <w:color w:val="000000" w:themeColor="text1"/>
                <w:sz w:val="24"/>
                <w:szCs w:val="24"/>
                <w14:textFill>
                  <w14:solidFill>
                    <w14:schemeClr w14:val="tx1"/>
                  </w14:solidFill>
                </w14:textFill>
              </w:rPr>
              <w:t>控温范围：0～60℃</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1.2温度分辨率：0.1℃</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1.3温度波动度：高温±0.5℃ 低温±1.0℃</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1.4温度均匀度：±1.5℃（测试点为25℃）</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1.5电源电压：AC220V 50HZ</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1.6工作环境温度：+5～30℃</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1.7输入功率：600W</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1.8内胆尺寸(mm)W×D×H：540×460×1000</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1.9外形尺寸(mm)W×D×H：637×662×1590</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1.10载物托架（标配）：3块</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1.11定时范围：0～9999min</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17</w:t>
            </w:r>
          </w:p>
        </w:tc>
        <w:tc>
          <w:tcPr>
            <w:tcW w:w="997" w:type="pct"/>
            <w:tcBorders>
              <w:tl2br w:val="nil"/>
              <w:tr2bl w:val="nil"/>
            </w:tcBorders>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恒温烘箱</w:t>
            </w:r>
          </w:p>
        </w:tc>
        <w:tc>
          <w:tcPr>
            <w:tcW w:w="38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2857" w:type="pct"/>
            <w:tcBorders>
              <w:tl2br w:val="nil"/>
              <w:tr2bl w:val="nil"/>
            </w:tcBorders>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一 产品特点：</w:t>
            </w:r>
          </w:p>
          <w:p>
            <w:pPr>
              <w:spacing w:line="360" w:lineRule="auto"/>
              <w:ind w:firstLine="0" w:firstLineChars="0"/>
              <w:jc w:val="center"/>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1模糊PID控制器，控温精确波动小，带定时功能，时间最大设定值为99小时59分。</w:t>
            </w:r>
          </w:p>
          <w:p>
            <w:pPr>
              <w:spacing w:line="360" w:lineRule="auto"/>
              <w:ind w:firstLine="0" w:firstLineChars="0"/>
              <w:jc w:val="center"/>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2 强制对流的风道系统能提高温度响应速度，改善温度均匀性和减少温度波动。</w:t>
            </w:r>
          </w:p>
          <w:p>
            <w:pPr>
              <w:spacing w:line="360" w:lineRule="auto"/>
              <w:ind w:firstLine="0" w:firstLineChars="0"/>
              <w:jc w:val="center"/>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3 箱门内层有一层玻璃门，观察方便明了，玻璃门打开时，微风循环和加热自动停止，无温度过冲之弊。</w:t>
            </w:r>
          </w:p>
          <w:p>
            <w:pPr>
              <w:spacing w:line="360" w:lineRule="auto"/>
              <w:ind w:firstLine="0" w:firstLineChars="0"/>
              <w:jc w:val="center"/>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4 镜面不锈钢内胆，电热管加热方式，加热速度快，使箱内均匀加热。</w:t>
            </w:r>
          </w:p>
          <w:p>
            <w:pPr>
              <w:spacing w:line="360" w:lineRule="auto"/>
              <w:ind w:firstLine="0" w:firstLineChars="0"/>
              <w:jc w:val="center"/>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5循环风扇速度自动控制</w:t>
            </w:r>
          </w:p>
          <w:p>
            <w:pPr>
              <w:spacing w:line="360" w:lineRule="auto"/>
              <w:ind w:firstLine="0" w:firstLineChars="0"/>
              <w:jc w:val="center"/>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6循环风扇速度大小可自动控制，当箱内温度处于恒温状态时，速度会减小，循环风速会调整到适宜细胞成长的风速，避免试验过程中由于风量过大造成样品的挥发。</w:t>
            </w:r>
          </w:p>
          <w:p>
            <w:pPr>
              <w:spacing w:line="360" w:lineRule="auto"/>
              <w:ind w:firstLine="0" w:firstLineChars="0"/>
              <w:jc w:val="center"/>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7安全功能</w:t>
            </w:r>
          </w:p>
          <w:p>
            <w:pPr>
              <w:spacing w:line="360" w:lineRule="auto"/>
              <w:ind w:firstLine="0" w:firstLineChars="0"/>
              <w:jc w:val="center"/>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8 温度偏高或偏低及超温报警。</w:t>
            </w:r>
          </w:p>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二 技术参数(卧式)：</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1电源电压：AC220V 50HZ</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2控温范围：RT+5～65℃</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3温度分辨率/波动度：0.1℃/±0.5℃</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4温度均匀度：±1.5℃(37℃时)</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5工作环境温度：+5～35℃</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6输入功率：400W</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7容积：80L</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8内胆尺寸(mm)W×D×H：500×400×400</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9外形尺寸(mm)W×D×H：780×530×560</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10载物托架（标配）：2块</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18</w:t>
            </w:r>
          </w:p>
        </w:tc>
        <w:tc>
          <w:tcPr>
            <w:tcW w:w="997" w:type="pct"/>
            <w:tcBorders>
              <w:tl2br w:val="nil"/>
              <w:tr2bl w:val="nil"/>
            </w:tcBorders>
            <w:shd w:val="clear" w:color="auto" w:fill="FFFFFF"/>
            <w:vAlign w:val="center"/>
          </w:tcPr>
          <w:p>
            <w:pPr>
              <w:widowControl/>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马弗炉</w:t>
            </w:r>
          </w:p>
        </w:tc>
        <w:tc>
          <w:tcPr>
            <w:tcW w:w="388" w:type="pct"/>
            <w:tcBorders>
              <w:tl2br w:val="nil"/>
              <w:tr2bl w:val="nil"/>
            </w:tcBorders>
            <w:shd w:val="clear" w:color="auto" w:fill="FFFFFF"/>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2857" w:type="pct"/>
            <w:tcBorders>
              <w:tl2br w:val="nil"/>
              <w:tr2bl w:val="nil"/>
            </w:tcBorders>
            <w:shd w:val="clear" w:color="auto" w:fill="FFFFFF"/>
            <w:vAlign w:val="center"/>
          </w:tcPr>
          <w:p>
            <w:pPr>
              <w:autoSpaceDE w:val="0"/>
              <w:autoSpaceDN w:val="0"/>
              <w:adjustRightInd w:val="0"/>
              <w:spacing w:line="360" w:lineRule="auto"/>
              <w:ind w:firstLine="0" w:firstLineChars="0"/>
              <w:jc w:val="center"/>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独特的炉门设计，使开门操作安全简便，确保炉内高温热气不外漏。</w:t>
            </w:r>
          </w:p>
          <w:p>
            <w:pPr>
              <w:autoSpaceDE w:val="0"/>
              <w:autoSpaceDN w:val="0"/>
              <w:adjustRightInd w:val="0"/>
              <w:spacing w:line="360" w:lineRule="auto"/>
              <w:ind w:firstLine="0" w:firstLineChars="0"/>
              <w:jc w:val="center"/>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微电脑PID控制器，操作简便，控温精确、可靠、安全。</w:t>
            </w:r>
          </w:p>
          <w:p>
            <w:pPr>
              <w:autoSpaceDE w:val="0"/>
              <w:autoSpaceDN w:val="0"/>
              <w:adjustRightInd w:val="0"/>
              <w:spacing w:line="360" w:lineRule="auto"/>
              <w:ind w:firstLine="0" w:firstLineChars="0"/>
              <w:jc w:val="center"/>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耐腐蚀轻质炉膛，确保经久耐用。</w:t>
            </w:r>
          </w:p>
          <w:p>
            <w:pPr>
              <w:autoSpaceDE w:val="0"/>
              <w:autoSpaceDN w:val="0"/>
              <w:adjustRightInd w:val="0"/>
              <w:spacing w:line="360" w:lineRule="auto"/>
              <w:ind w:firstLine="0" w:firstLineChars="0"/>
              <w:jc w:val="center"/>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极好的门密封使得热量损失最小，增加了炉膛内温度的均匀性。</w:t>
            </w:r>
          </w:p>
          <w:p>
            <w:pPr>
              <w:autoSpaceDE w:val="0"/>
              <w:autoSpaceDN w:val="0"/>
              <w:adjustRightInd w:val="0"/>
              <w:spacing w:line="360" w:lineRule="auto"/>
              <w:ind w:firstLine="0" w:firstLineChars="0"/>
              <w:jc w:val="center"/>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操作时只需开启炉门，炉门安全开关会自动断开加热电源，确保操作者安全。</w:t>
            </w:r>
          </w:p>
          <w:p>
            <w:pPr>
              <w:autoSpaceDE w:val="0"/>
              <w:autoSpaceDN w:val="0"/>
              <w:adjustRightInd w:val="0"/>
              <w:spacing w:line="360" w:lineRule="auto"/>
              <w:ind w:firstLine="0" w:firstLineChars="0"/>
              <w:jc w:val="center"/>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设有过流、过压、过热等多种安全保护措施，确保电炉安全使用。</w:t>
            </w:r>
          </w:p>
          <w:p>
            <w:pPr>
              <w:autoSpaceDE w:val="0"/>
              <w:autoSpaceDN w:val="0"/>
              <w:adjustRightInd w:val="0"/>
              <w:spacing w:line="360" w:lineRule="auto"/>
              <w:ind w:firstLine="0" w:firstLineChars="0"/>
              <w:jc w:val="center"/>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选用陶瓷纤维板作为隔热保温材料，具有隔热效果好，箱壳表面温度低等特点。</w:t>
            </w:r>
          </w:p>
          <w:p>
            <w:pPr>
              <w:autoSpaceDE w:val="0"/>
              <w:autoSpaceDN w:val="0"/>
              <w:adjustRightInd w:val="0"/>
              <w:spacing w:line="360" w:lineRule="auto"/>
              <w:ind w:firstLine="0" w:firstLineChars="0"/>
              <w:jc w:val="center"/>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炉膛选择(用户可根据自己需要选用)：</w:t>
            </w:r>
          </w:p>
          <w:p>
            <w:pPr>
              <w:spacing w:line="360" w:lineRule="auto"/>
              <w:ind w:firstLine="0" w:firstLineChars="0"/>
              <w:jc w:val="center"/>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耐火砖炉膛（N系列）选用传统耐火材料，应用范围广、寿命长，性价比高等特点。</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技术参数：</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1 最高温度（℃）：1000</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2 容积(L)：16</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3 炉膛尺寸W×D×H（mm）：250×400×160</w:t>
            </w:r>
          </w:p>
          <w:p>
            <w:pPr>
              <w:widowControl/>
              <w:spacing w:line="360" w:lineRule="auto"/>
              <w:ind w:firstLine="0" w:firstLineChars="0"/>
              <w:jc w:val="center"/>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4 外形尺寸W×D×H（mm）：570×810×740</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5 电源：380V/50HZ</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6 输入功率（KW）：8</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7 加热原件：优质电炉丝</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8 控温精度：±1℃</w:t>
            </w:r>
          </w:p>
          <w:p>
            <w:pPr>
              <w:pStyle w:val="12"/>
              <w:ind w:firstLine="0" w:firstLineChars="0"/>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9 温度均匀度：5℃（垂直方向）</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19</w:t>
            </w:r>
          </w:p>
        </w:tc>
        <w:tc>
          <w:tcPr>
            <w:tcW w:w="997" w:type="pct"/>
            <w:tcBorders>
              <w:tl2br w:val="nil"/>
              <w:tr2bl w:val="nil"/>
            </w:tcBorders>
            <w:shd w:val="clear" w:color="auto" w:fill="auto"/>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一体机显微镜</w:t>
            </w:r>
          </w:p>
        </w:tc>
        <w:tc>
          <w:tcPr>
            <w:tcW w:w="388" w:type="pct"/>
            <w:tcBorders>
              <w:tl2br w:val="nil"/>
              <w:tr2bl w:val="nil"/>
            </w:tcBorders>
            <w:shd w:val="clear" w:color="auto" w:fill="FFFFFF"/>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2857" w:type="pct"/>
            <w:tcBorders>
              <w:tl2br w:val="nil"/>
              <w:tr2bl w:val="nil"/>
            </w:tcBorders>
            <w:shd w:val="clear" w:color="auto" w:fill="FFFFFF"/>
            <w:vAlign w:val="center"/>
          </w:tcPr>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用途：</w:t>
            </w:r>
            <w:r>
              <w:rPr>
                <w:rFonts w:hint="eastAsia" w:ascii="宋体" w:hAnsi="宋体"/>
                <w:bCs/>
                <w:color w:val="000000" w:themeColor="text1"/>
                <w:sz w:val="24"/>
                <w:szCs w:val="24"/>
                <w14:textFill>
                  <w14:solidFill>
                    <w14:schemeClr w14:val="tx1"/>
                  </w14:solidFill>
                </w14:textFill>
              </w:rPr>
              <w:t>可用于普通染色的切片观察，以及临床、科研常规显微检验工作。</w:t>
            </w:r>
          </w:p>
          <w:p>
            <w:pPr>
              <w:spacing w:line="360" w:lineRule="auto"/>
              <w:ind w:firstLine="0" w:firstLineChars="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1工作条件</w:t>
            </w:r>
          </w:p>
          <w:p>
            <w:pPr>
              <w:numPr>
                <w:ilvl w:val="1"/>
                <w:numId w:val="10"/>
              </w:numPr>
              <w:spacing w:line="360" w:lineRule="auto"/>
              <w:ind w:left="420" w:hanging="480" w:hangingChars="200"/>
              <w:jc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适于在气温为摄氏-40℃～＋50℃的环境条件下运输和贮存，</w:t>
            </w:r>
            <w:r>
              <w:rPr>
                <w:rFonts w:hint="eastAsia" w:ascii="宋体" w:hAnsi="宋体"/>
                <w:bCs/>
                <w:color w:val="000000" w:themeColor="text1"/>
                <w:sz w:val="24"/>
                <w:szCs w:val="24"/>
                <w14:textFill>
                  <w14:solidFill>
                    <w14:schemeClr w14:val="tx1"/>
                  </w14:solidFill>
                </w14:textFill>
              </w:rPr>
              <w:t>在电</w:t>
            </w:r>
          </w:p>
          <w:p>
            <w:pPr>
              <w:spacing w:line="360" w:lineRule="auto"/>
              <w:ind w:left="-420" w:leftChars="-200"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源220V（</w:t>
            </w:r>
            <w:r>
              <w:rPr>
                <w:rFonts w:hint="eastAsia" w:ascii="宋体" w:hAnsi="宋体"/>
                <w:bCs/>
                <w:color w:val="000000" w:themeColor="text1"/>
                <w:sz w:val="24"/>
                <w:szCs w:val="24"/>
                <w14:textFill>
                  <w14:solidFill>
                    <w14:schemeClr w14:val="tx1"/>
                  </w14:solidFill>
                </w14:textFill>
              </w:rPr>
              <w:sym w:font="Symbol" w:char="F0B1"/>
            </w:r>
            <w:r>
              <w:rPr>
                <w:rFonts w:hint="eastAsia" w:ascii="宋体" w:hAnsi="宋体"/>
                <w:bCs/>
                <w:color w:val="000000" w:themeColor="text1"/>
                <w:sz w:val="24"/>
                <w:szCs w:val="24"/>
                <w14:textFill>
                  <w14:solidFill>
                    <w14:schemeClr w14:val="tx1"/>
                  </w14:solidFill>
                </w14:textFill>
              </w:rPr>
              <w:t>10%）/50Hz、气温摄氏-5℃～40℃和相对湿度85%的环境条件下运行。</w:t>
            </w:r>
          </w:p>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1.2  配置符合中国有关标准要求的插头，或提供适当的转换插座。</w:t>
            </w:r>
          </w:p>
          <w:p>
            <w:pPr>
              <w:spacing w:line="360" w:lineRule="auto"/>
              <w:ind w:firstLine="0" w:firstLineChars="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2主要技术指标</w:t>
            </w:r>
          </w:p>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 xml:space="preserve">2.1  </w:t>
            </w:r>
            <w:r>
              <w:rPr>
                <w:rFonts w:hint="eastAsia" w:ascii="宋体" w:hAnsi="宋体"/>
                <w:color w:val="000000" w:themeColor="text1"/>
                <w:sz w:val="24"/>
                <w:szCs w:val="24"/>
                <w14:textFill>
                  <w14:solidFill>
                    <w14:schemeClr w14:val="tx1"/>
                  </w14:solidFill>
                </w14:textFill>
              </w:rPr>
              <w:t>生物显微镜</w:t>
            </w:r>
          </w:p>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2.1.1  光学系统：UIS2 光学矫正系统，齐焦距离必须为国际标准45mm。</w:t>
            </w:r>
          </w:p>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2.1.2  载物台：钢丝传动，无齿条结构</w:t>
            </w:r>
          </w:p>
          <w:p>
            <w:pPr>
              <w:spacing w:line="360" w:lineRule="auto"/>
              <w:ind w:firstLine="120" w:firstLineChars="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载物台高度：140mm</w:t>
            </w:r>
          </w:p>
          <w:p>
            <w:pPr>
              <w:spacing w:line="360" w:lineRule="auto"/>
              <w:ind w:firstLine="720" w:firstLineChars="30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机械固定载物台, (W × D): 211 mm × 154 mm</w:t>
            </w:r>
          </w:p>
          <w:p>
            <w:pPr>
              <w:spacing w:line="360" w:lineRule="auto"/>
              <w:ind w:firstLine="720" w:firstLineChars="30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移动范围 (X × Y): 76 mm × 52 mm</w:t>
            </w:r>
          </w:p>
          <w:p>
            <w:pPr>
              <w:spacing w:line="360" w:lineRule="auto"/>
              <w:ind w:firstLine="720" w:firstLineChars="30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载物台XY 移动可锁定</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2.1.3  调焦机构：载物台高度调节 ( 粗调: 15 mm )，可以进行张力调节</w:t>
            </w:r>
            <w:r>
              <w:rPr>
                <w:rFonts w:hint="eastAsia" w:ascii="宋体" w:hAnsi="宋体"/>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有粗调限位，</w:t>
            </w:r>
          </w:p>
          <w:p>
            <w:pPr>
              <w:spacing w:line="360" w:lineRule="auto"/>
              <w:ind w:firstLine="720" w:firstLineChars="300"/>
              <w:jc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避免标本或物镜的损伤；</w:t>
            </w:r>
            <w:r>
              <w:rPr>
                <w:rFonts w:hint="eastAsia" w:ascii="宋体" w:hAnsi="宋体"/>
                <w:bCs/>
                <w:color w:val="000000" w:themeColor="text1"/>
                <w:sz w:val="24"/>
                <w:szCs w:val="24"/>
                <w14:textFill>
                  <w14:solidFill>
                    <w14:schemeClr w14:val="tx1"/>
                  </w14:solidFill>
                </w14:textFill>
              </w:rPr>
              <w:t>细调焦旋钮最小调节幅度: 2.5 μm。</w:t>
            </w:r>
          </w:p>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2.1.4  聚光镜：内置孔径光阑；阿贝聚光镜 NA 1.25（ 油浸时）；通用7 孔位聚光镜，</w:t>
            </w:r>
          </w:p>
          <w:p>
            <w:pPr>
              <w:spacing w:line="360" w:lineRule="auto"/>
              <w:ind w:firstLine="720" w:firstLineChars="30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分别是 BF (4-100X), 2X, DF, Ph1, Ph2, Ph3, FL；具有聚光镜孔位锁 ( 仅限BF )。</w:t>
            </w:r>
          </w:p>
          <w:p>
            <w:pPr>
              <w:spacing w:line="360" w:lineRule="auto"/>
              <w:ind w:firstLine="120" w:firstLineChars="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2.1.5  照明系统：内置LED透射光照明系统；LED光源寿命</w:t>
            </w:r>
            <w:r>
              <w:rPr>
                <w:rFonts w:hint="eastAsia" w:ascii="宋体" w:hAnsi="宋体"/>
                <w:color w:val="000000" w:themeColor="text1"/>
                <w:sz w:val="24"/>
                <w:szCs w:val="24"/>
                <w14:textFill>
                  <w14:solidFill>
                    <w14:schemeClr w14:val="tx1"/>
                  </w14:solidFill>
                </w14:textFill>
              </w:rPr>
              <w:t>60000小时。</w:t>
            </w:r>
          </w:p>
          <w:p>
            <w:pPr>
              <w:spacing w:line="360" w:lineRule="auto"/>
              <w:ind w:firstLine="120" w:firstLineChars="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2.1.6  三目观察筒：瞳距调整范围48-75mm，倾斜角度30°，带屈光度调节；</w:t>
            </w:r>
          </w:p>
          <w:p>
            <w:pPr>
              <w:spacing w:line="360" w:lineRule="auto"/>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目镜：10X，带眼罩，视场数≥20；分光：50/50固定。</w:t>
            </w:r>
          </w:p>
          <w:p>
            <w:pPr>
              <w:spacing w:line="360" w:lineRule="auto"/>
              <w:ind w:firstLine="120" w:firstLineChars="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2.1.7  物镜转盘：与显微镜机身固定的内旋式5孔物镜转盘</w:t>
            </w:r>
            <w:r>
              <w:rPr>
                <w:rFonts w:hint="eastAsia" w:ascii="宋体" w:hAnsi="宋体"/>
                <w:color w:val="000000" w:themeColor="text1"/>
                <w:sz w:val="24"/>
                <w:szCs w:val="24"/>
                <w14:textFill>
                  <w14:solidFill>
                    <w14:schemeClr w14:val="tx1"/>
                  </w14:solidFill>
                </w14:textFill>
              </w:rPr>
              <w:t>，便于放置标本。</w:t>
            </w:r>
          </w:p>
          <w:p>
            <w:pPr>
              <w:spacing w:line="360" w:lineRule="auto"/>
              <w:ind w:firstLine="120" w:firstLineChars="50"/>
              <w:jc w:val="center"/>
              <w:rPr>
                <w:rFonts w:ascii="宋体" w:hAnsi="宋体"/>
                <w:b/>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2.1.8  物镜：平场消色差物镜</w:t>
            </w:r>
          </w:p>
          <w:p>
            <w:pPr>
              <w:spacing w:line="360" w:lineRule="auto"/>
              <w:ind w:firstLine="1680" w:firstLineChars="70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4X（N.A.≥0.1 W.D≥18.5mm）、</w:t>
            </w:r>
          </w:p>
          <w:p>
            <w:pPr>
              <w:spacing w:line="360" w:lineRule="auto"/>
              <w:ind w:firstLine="1680" w:firstLineChars="70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10X（N.A.≥0.25 W.D≥10.6mm）、</w:t>
            </w:r>
          </w:p>
          <w:p>
            <w:pPr>
              <w:spacing w:line="360" w:lineRule="auto"/>
              <w:ind w:firstLine="1680" w:firstLineChars="70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20X（N.A.≥0.25 W.D≥10.6mm）、</w:t>
            </w:r>
          </w:p>
          <w:p>
            <w:pPr>
              <w:spacing w:line="360" w:lineRule="auto"/>
              <w:ind w:firstLine="1680" w:firstLineChars="70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40X（N.A.≥0.65 W.D≥0.6mm）、</w:t>
            </w:r>
          </w:p>
          <w:p>
            <w:pPr>
              <w:spacing w:line="360" w:lineRule="auto"/>
              <w:ind w:firstLine="120" w:firstLineChars="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2.1.9  防霉装置：在三目观察筒、目镜、物镜都做了抗菌、防霉处理</w:t>
            </w:r>
          </w:p>
          <w:p>
            <w:pPr>
              <w:spacing w:line="360" w:lineRule="auto"/>
              <w:ind w:firstLine="120" w:firstLineChars="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2.1.10  所采用光学元件均为环保无铅玻璃</w:t>
            </w:r>
          </w:p>
          <w:p>
            <w:pPr>
              <w:spacing w:line="360" w:lineRule="auto"/>
              <w:ind w:firstLine="0" w:firstLineChars="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3基本配置：</w:t>
            </w:r>
          </w:p>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3.1  生物显微镜主机（含聚光镜/载物台/透射光源等） 1套</w:t>
            </w:r>
          </w:p>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3.2  平场消色差物镜4X—100XO（4个） 1套</w:t>
            </w:r>
          </w:p>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3.3  必配的附件、专用工具、消耗品等</w:t>
            </w:r>
          </w:p>
          <w:p>
            <w:pPr>
              <w:spacing w:line="360" w:lineRule="auto"/>
              <w:ind w:firstLine="0" w:firstLineChars="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4可选择的附件、配件及消耗品</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 xml:space="preserve">4.1  </w:t>
            </w:r>
            <w:r>
              <w:rPr>
                <w:rFonts w:hint="eastAsia" w:ascii="宋体" w:hAnsi="宋体"/>
                <w:color w:val="000000" w:themeColor="text1"/>
                <w:sz w:val="24"/>
                <w:szCs w:val="24"/>
                <w14:textFill>
                  <w14:solidFill>
                    <w14:schemeClr w14:val="tx1"/>
                  </w14:solidFill>
                </w14:textFill>
              </w:rPr>
              <w:t>8CC镜油</w:t>
            </w:r>
          </w:p>
          <w:p>
            <w:pPr>
              <w:spacing w:line="360" w:lineRule="auto"/>
              <w:jc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4.2  </w:t>
            </w:r>
            <w:r>
              <w:rPr>
                <w:rFonts w:hint="eastAsia" w:ascii="宋体" w:hAnsi="宋体"/>
                <w:bCs/>
                <w:color w:val="000000" w:themeColor="text1"/>
                <w:sz w:val="24"/>
                <w:szCs w:val="24"/>
                <w14:textFill>
                  <w14:solidFill>
                    <w14:schemeClr w14:val="tx1"/>
                  </w14:solidFill>
                </w14:textFill>
              </w:rPr>
              <w:t>平场消色差物镜</w:t>
            </w:r>
            <w:r>
              <w:rPr>
                <w:rFonts w:hint="eastAsia" w:ascii="宋体" w:hAnsi="宋体"/>
                <w:color w:val="000000" w:themeColor="text1"/>
                <w:sz w:val="24"/>
                <w:szCs w:val="24"/>
                <w14:textFill>
                  <w14:solidFill>
                    <w14:schemeClr w14:val="tx1"/>
                  </w14:solidFill>
                </w14:textFill>
              </w:rPr>
              <w:t>2X</w:t>
            </w:r>
            <w:r>
              <w:rPr>
                <w:rFonts w:hint="eastAsia" w:ascii="宋体" w:hAnsi="宋体"/>
                <w:bCs/>
                <w:color w:val="000000" w:themeColor="text1"/>
                <w:sz w:val="24"/>
                <w:szCs w:val="24"/>
                <w14:textFill>
                  <w14:solidFill>
                    <w14:schemeClr w14:val="tx1"/>
                  </w14:solidFill>
                </w14:textFill>
              </w:rPr>
              <w:t>（N.A.≥0.06 W.D≥5.8mm）、</w:t>
            </w:r>
            <w:r>
              <w:rPr>
                <w:rFonts w:hint="eastAsia" w:ascii="宋体" w:hAnsi="宋体"/>
                <w:color w:val="000000" w:themeColor="text1"/>
                <w:sz w:val="24"/>
                <w:szCs w:val="24"/>
                <w14:textFill>
                  <w14:solidFill>
                    <w14:schemeClr w14:val="tx1"/>
                  </w14:solidFill>
                </w14:textFill>
              </w:rPr>
              <w:t>20X</w:t>
            </w:r>
            <w:r>
              <w:rPr>
                <w:rFonts w:hint="eastAsia" w:ascii="宋体" w:hAnsi="宋体"/>
                <w:bCs/>
                <w:color w:val="000000" w:themeColor="text1"/>
                <w:sz w:val="24"/>
                <w:szCs w:val="24"/>
                <w14:textFill>
                  <w14:solidFill>
                    <w14:schemeClr w14:val="tx1"/>
                  </w14:solidFill>
                </w14:textFill>
              </w:rPr>
              <w:t>（N.A.≥0.4 W.D≥1.2mm）、</w:t>
            </w:r>
          </w:p>
          <w:p>
            <w:pPr>
              <w:spacing w:line="360" w:lineRule="auto"/>
              <w:ind w:firstLine="600" w:firstLineChars="2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60X（N.A.≥0.8 W.D≥0.2mm）、100XOI（NA1.25-0.6W.D. ≥0.13mm）</w:t>
            </w:r>
          </w:p>
          <w:p>
            <w:pPr>
              <w:spacing w:line="360" w:lineRule="auto"/>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4.3  相差物镜10XPH（N.A.≥0.25 W.D≥10.6mm）、</w:t>
            </w:r>
            <w:r>
              <w:rPr>
                <w:rFonts w:hint="eastAsia" w:ascii="宋体" w:hAnsi="宋体"/>
                <w:color w:val="000000" w:themeColor="text1"/>
                <w:sz w:val="24"/>
                <w:szCs w:val="24"/>
                <w14:textFill>
                  <w14:solidFill>
                    <w14:schemeClr w14:val="tx1"/>
                  </w14:solidFill>
                </w14:textFill>
              </w:rPr>
              <w:t>20XPH</w:t>
            </w:r>
            <w:r>
              <w:rPr>
                <w:rFonts w:hint="eastAsia" w:ascii="宋体" w:hAnsi="宋体"/>
                <w:bCs/>
                <w:color w:val="000000" w:themeColor="text1"/>
                <w:sz w:val="24"/>
                <w:szCs w:val="24"/>
                <w14:textFill>
                  <w14:solidFill>
                    <w14:schemeClr w14:val="tx1"/>
                  </w14:solidFill>
                </w14:textFill>
              </w:rPr>
              <w:t>（N.A.≥0.4 W.D≥1.2mm）、</w:t>
            </w:r>
          </w:p>
          <w:p>
            <w:pPr>
              <w:spacing w:line="360" w:lineRule="auto"/>
              <w:ind w:firstLine="1320" w:firstLineChars="5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40XPH（N.A.≥0.65 W.D≥0.6mm）、100XOPH（N.A.≥1.25 W.D≥0.15mm）</w:t>
            </w:r>
          </w:p>
          <w:p>
            <w:pPr>
              <w:spacing w:line="360" w:lineRule="auto"/>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4.4  简易偏光附件</w:t>
            </w:r>
          </w:p>
          <w:p>
            <w:pPr>
              <w:spacing w:line="360" w:lineRule="auto"/>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4.5  样品夹：双样品夹或薄型样品垫</w:t>
            </w:r>
          </w:p>
          <w:p>
            <w:pPr>
              <w:spacing w:line="360" w:lineRule="auto"/>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4.6  简易荧光照明器：B激发（激发峰470nm,LED光源）</w:t>
            </w:r>
          </w:p>
          <w:p>
            <w:pPr>
              <w:spacing w:line="360" w:lineRule="auto"/>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4.7  双人共览附件</w:t>
            </w:r>
          </w:p>
          <w:p>
            <w:pPr>
              <w:spacing w:line="360" w:lineRule="auto"/>
              <w:ind w:firstLine="422"/>
              <w:jc w:val="center"/>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5. 技术资料</w:t>
            </w:r>
          </w:p>
          <w:p>
            <w:pPr>
              <w:numPr>
                <w:ilvl w:val="1"/>
                <w:numId w:val="11"/>
              </w:numPr>
              <w:spacing w:line="360" w:lineRule="auto"/>
              <w:ind w:firstLine="42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详细的中英文操作指南，仪器维护的有关资料及质量认证书</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20</w:t>
            </w:r>
          </w:p>
        </w:tc>
        <w:tc>
          <w:tcPr>
            <w:tcW w:w="997" w:type="pct"/>
            <w:tcBorders>
              <w:tl2br w:val="nil"/>
              <w:tr2bl w:val="nil"/>
            </w:tcBorders>
            <w:shd w:val="clear" w:color="auto" w:fill="FFFFFF"/>
            <w:vAlign w:val="center"/>
          </w:tcPr>
          <w:p>
            <w:pPr>
              <w:widowControl/>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耐酸碱药品柜</w:t>
            </w:r>
          </w:p>
        </w:tc>
        <w:tc>
          <w:tcPr>
            <w:tcW w:w="388" w:type="pct"/>
            <w:tcBorders>
              <w:tl2br w:val="nil"/>
              <w:tr2bl w:val="nil"/>
            </w:tcBorders>
            <w:shd w:val="clear" w:color="auto" w:fill="FFFFFF"/>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2857" w:type="pct"/>
            <w:tcBorders>
              <w:tl2br w:val="nil"/>
              <w:tr2bl w:val="nil"/>
            </w:tcBorders>
            <w:shd w:val="clear" w:color="auto" w:fill="FFFFFF"/>
            <w:vAlign w:val="center"/>
          </w:tcPr>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柜体：采用瓷白色PP（聚丙烯）板材，具有卓越的耐腐蚀性，经同色焊条无缝焊接处理，保证柜体之坚固及密封性。</w:t>
            </w:r>
            <w:r>
              <w:rPr>
                <w:rFonts w:hint="eastAsia" w:ascii="宋体" w:hAnsi="宋体"/>
                <w:color w:val="000000" w:themeColor="text1"/>
                <w:sz w:val="24"/>
                <w:szCs w:val="24"/>
                <w14:textFill>
                  <w14:solidFill>
                    <w14:schemeClr w14:val="tx1"/>
                  </w14:solidFill>
                </w14:textFill>
              </w:rPr>
              <w:br w:type="textWrapping"/>
            </w:r>
            <w:r>
              <w:rPr>
                <w:rFonts w:hint="eastAsia" w:ascii="宋体" w:hAnsi="宋体"/>
                <w:color w:val="000000" w:themeColor="text1"/>
                <w:sz w:val="24"/>
                <w:szCs w:val="24"/>
                <w14:textFill>
                  <w14:solidFill>
                    <w14:schemeClr w14:val="tx1"/>
                  </w14:solidFill>
                </w14:textFill>
              </w:rPr>
              <w:t>柜门：采用同质PP板制作</w:t>
            </w:r>
            <w:r>
              <w:rPr>
                <w:rFonts w:hint="eastAsia" w:ascii="宋体" w:hAnsi="宋体"/>
                <w:color w:val="000000" w:themeColor="text1"/>
                <w:sz w:val="24"/>
                <w:szCs w:val="24"/>
                <w14:textFill>
                  <w14:solidFill>
                    <w14:schemeClr w14:val="tx1"/>
                  </w14:solidFill>
                </w14:textFill>
              </w:rPr>
              <w:br w:type="textWrapping"/>
            </w:r>
            <w:r>
              <w:rPr>
                <w:rFonts w:hint="eastAsia" w:ascii="宋体" w:hAnsi="宋体"/>
                <w:color w:val="000000" w:themeColor="text1"/>
                <w:sz w:val="24"/>
                <w:szCs w:val="24"/>
                <w14:textFill>
                  <w14:solidFill>
                    <w14:schemeClr w14:val="tx1"/>
                  </w14:solidFill>
                </w14:textFill>
              </w:rPr>
              <w:t>视窗：采用5mmPVC板制作</w:t>
            </w:r>
            <w:r>
              <w:rPr>
                <w:rFonts w:hint="eastAsia" w:ascii="宋体" w:hAnsi="宋体"/>
                <w:color w:val="000000" w:themeColor="text1"/>
                <w:sz w:val="24"/>
                <w:szCs w:val="24"/>
                <w14:textFill>
                  <w14:solidFill>
                    <w14:schemeClr w14:val="tx1"/>
                  </w14:solidFill>
                </w14:textFill>
              </w:rPr>
              <w:br w:type="textWrapping"/>
            </w:r>
            <w:r>
              <w:rPr>
                <w:rFonts w:hint="eastAsia" w:ascii="宋体" w:hAnsi="宋体"/>
                <w:color w:val="000000" w:themeColor="text1"/>
                <w:sz w:val="24"/>
                <w:szCs w:val="24"/>
                <w14:textFill>
                  <w14:solidFill>
                    <w14:schemeClr w14:val="tx1"/>
                  </w14:solidFill>
                </w14:textFill>
              </w:rPr>
              <w:t>层板：采用瓷白色PP（聚丙烯）板材，四周有立边，里边整体焊接成型。没有任何废料拼凑。整体设计为活动式，可随意抽取放在合适的隔层，自由组合各层空间。层板正反均可放置，反方向放置，四周立边可获得一定程度防溢效果。</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外部尺寸：H1800*W900*D450mm</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w:t>
            </w:r>
          </w:p>
        </w:tc>
        <w:tc>
          <w:tcPr>
            <w:tcW w:w="997" w:type="pct"/>
            <w:tcBorders>
              <w:tl2br w:val="nil"/>
              <w:tr2bl w:val="nil"/>
            </w:tcBorders>
            <w:shd w:val="clear" w:color="auto" w:fill="FFFFFF"/>
            <w:vAlign w:val="center"/>
          </w:tcPr>
          <w:p>
            <w:pPr>
              <w:widowControl/>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冰箱</w:t>
            </w:r>
          </w:p>
        </w:tc>
        <w:tc>
          <w:tcPr>
            <w:tcW w:w="388" w:type="pct"/>
            <w:tcBorders>
              <w:tl2br w:val="nil"/>
              <w:tr2bl w:val="nil"/>
            </w:tcBorders>
            <w:shd w:val="clear" w:color="auto" w:fill="FFFFFF"/>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2857" w:type="pct"/>
            <w:tcBorders>
              <w:tl2br w:val="nil"/>
              <w:tr2bl w:val="nil"/>
            </w:tcBorders>
            <w:shd w:val="clear" w:color="auto" w:fill="FFFFFF"/>
            <w:vAlign w:val="center"/>
          </w:tcPr>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1、立式单开门，有效容积：310L。</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2、温度控制：微电脑控制，温度湿度独立显示，可通过调整设定温度使箱内温度恒定控制在2℃~8℃；</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★3安全系统：超温报警、传感器故障报警、断电报警；温控器内置电池，断电后可持续显示箱内实时温度。</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4、冷凝水自动蒸发，无需人工操作</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5、带有可锁定的底脚和门止档。</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6、电压：220V±10％</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7、所投产品的制造厂家通过ISO9001、ISO13485认证，具有医疗器械生产许可证。</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8、产品具有医疗器械注册证</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9、温度调整增量为0.1℃；</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10、产品提供可加挂锁的锁扣，保证保存物品的安全。</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11、多层搁架设计，搁架间距可调，充分利用箱内空间。出厂标配6个搁架，数量可增加（需额外支付费用）；</w:t>
            </w:r>
          </w:p>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12、使用EBM电机和风机，保证产品部件的质量和整机可靠性</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22</w:t>
            </w:r>
          </w:p>
        </w:tc>
        <w:tc>
          <w:tcPr>
            <w:tcW w:w="997" w:type="pct"/>
            <w:tcBorders>
              <w:tl2br w:val="nil"/>
              <w:tr2bl w:val="nil"/>
            </w:tcBorders>
            <w:shd w:val="clear" w:color="auto" w:fill="FFFFFF"/>
            <w:vAlign w:val="center"/>
          </w:tcPr>
          <w:p>
            <w:pPr>
              <w:widowControl/>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水浴锅</w:t>
            </w:r>
          </w:p>
        </w:tc>
        <w:tc>
          <w:tcPr>
            <w:tcW w:w="388" w:type="pct"/>
            <w:tcBorders>
              <w:tl2br w:val="nil"/>
              <w:tr2bl w:val="nil"/>
            </w:tcBorders>
            <w:shd w:val="clear" w:color="auto" w:fill="FFFFFF"/>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2857" w:type="pct"/>
            <w:tcBorders>
              <w:tl2br w:val="nil"/>
              <w:tr2bl w:val="nil"/>
            </w:tcBorders>
            <w:shd w:val="clear" w:color="auto" w:fill="FFFFFF"/>
            <w:vAlign w:val="center"/>
          </w:tcPr>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产品特点：</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1、采用不锈钢内胆、烧杯孔可任意改变大小。</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2、高精度微电脑控制器，控温精确可靠。</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3、超温声光跟踪报警，使样品得到可靠保护。</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技术参数：</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 电源电压：AC220V 50HZ</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 消耗功率：500W</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 控温范围：RT+5～99℃</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4恒温波动度：±0.5℃</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 跟踪报警：±2℃</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6 容积：4.9L</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7 内胆尺寸（mm）W*D*H：150*300*110</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8 定时范围：1～999min</w:t>
            </w:r>
          </w:p>
          <w:p>
            <w:pPr>
              <w:widowControl/>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9 二孔</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23</w:t>
            </w:r>
          </w:p>
        </w:tc>
        <w:tc>
          <w:tcPr>
            <w:tcW w:w="997" w:type="pct"/>
            <w:tcBorders>
              <w:tl2br w:val="nil"/>
              <w:tr2bl w:val="nil"/>
            </w:tcBorders>
            <w:shd w:val="clear" w:color="auto" w:fill="FFFFFF"/>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三联不锈钢过滤系统</w:t>
            </w:r>
          </w:p>
        </w:tc>
        <w:tc>
          <w:tcPr>
            <w:tcW w:w="388" w:type="pct"/>
            <w:tcBorders>
              <w:tl2br w:val="nil"/>
              <w:tr2bl w:val="nil"/>
            </w:tcBorders>
            <w:shd w:val="clear" w:color="auto" w:fill="FFFFFF"/>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2857" w:type="pct"/>
            <w:tcBorders>
              <w:tl2br w:val="nil"/>
              <w:tr2bl w:val="nil"/>
            </w:tcBorders>
            <w:shd w:val="clear" w:color="auto" w:fill="FFFFFF"/>
            <w:vAlign w:val="center"/>
          </w:tcPr>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一、产品简介</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三联抽滤装置是一种应用于化学实验室中的新型溶液过滤装置。可同时对多个样品进行过滤，或者单独进行过滤样品。提高实验工作效率。</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广泛应用于化学分析、仪器分析、卫生检验、制药工业、生物制品和农药、石油、环保监测、自来水、污水细菌等方面液体过滤。</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二、产品特点：</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1、只需一个真空气源就可以完成全部操作，节省大量的时间，方便快捷</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2、每个滤头采用独立控制的方式，方便操作人员灵活使用；</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3、稳固的低重心设计使其不会因溶液满载而发生翻倒。</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4、采用316不锈钢材质，具有优越的耐腐蚀性能</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5、不锈钢部件采用精加工镜面抛光，表面光洁平整，便于清洁消毒；</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6、厚度高达2mm的不锈钢过滤杯，使用寿命更长</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7、采用双缸活塞泵为负压源，无油雾污染，免维护保养，抽气速率高，极限负压大。</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8、高负压、大流量、吸引速度快，吸引时所需要的负压可由负压调节装置来控制，并由 负压表显示压力。并由负压表显示压力；</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三、技术参数：</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1、过滤联数：三联(带阀门)</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2、滤杯容量：400ml</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3、滤杯材质：316不锈钢材质；66毫米口径尺寸</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4、选配滤膜直径：Φ47-Φ50（mm）</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5、滤膜材质：水系膜(标配)（需要其他材质采购时选择）</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6、滤膜孔径： 0.45μm（标配）（需要其他规格采购时选择）</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7、电源电压：AC220V±10% 50Hz</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8、抽气速度（升/分）：25</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9、负压调节范围：0.01MPa-0.08MPa</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10、负压值：≥ 0.08MPa</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11、噪音（DB）： ≤60</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12、吸液瓶容量：2500ml（带上下嘴）</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四、配置清单</w:t>
            </w:r>
          </w:p>
          <w:p>
            <w:pPr>
              <w:widowControl/>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kern w:val="0"/>
                <w:sz w:val="24"/>
                <w:szCs w:val="24"/>
                <w14:textFill>
                  <w14:solidFill>
                    <w14:schemeClr w14:val="tx1"/>
                  </w14:solidFill>
                </w14:textFill>
              </w:rPr>
              <w:t>无油真空泵 1台</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2三联过滤器：1套 阀门型</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3 </w:t>
            </w:r>
            <w:r>
              <w:rPr>
                <w:rFonts w:hint="eastAsia" w:ascii="宋体" w:hAnsi="宋体"/>
                <w:color w:val="000000" w:themeColor="text1"/>
                <w:kern w:val="0"/>
                <w:sz w:val="24"/>
                <w:szCs w:val="24"/>
                <w14:textFill>
                  <w14:solidFill>
                    <w14:schemeClr w14:val="tx1"/>
                  </w14:solidFill>
                </w14:textFill>
              </w:rPr>
              <w:t>2500ml 积液瓶 1只 （带上下嘴）</w:t>
            </w:r>
          </w:p>
          <w:p>
            <w:pPr>
              <w:widowControl/>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hint="eastAsia" w:ascii="宋体" w:hAnsi="宋体"/>
                <w:color w:val="000000" w:themeColor="text1"/>
                <w:kern w:val="0"/>
                <w:sz w:val="24"/>
                <w:szCs w:val="24"/>
                <w14:textFill>
                  <w14:solidFill>
                    <w14:schemeClr w14:val="tx1"/>
                  </w14:solidFill>
                </w14:textFill>
              </w:rPr>
              <w:t>硅胶抽滤管 2根</w:t>
            </w:r>
          </w:p>
          <w:p>
            <w:pPr>
              <w:widowControl/>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5说明书 1份</w:t>
            </w:r>
          </w:p>
          <w:p>
            <w:pPr>
              <w:widowControl/>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6保修卡 1张</w:t>
            </w:r>
          </w:p>
          <w:p>
            <w:pPr>
              <w:widowControl/>
              <w:spacing w:line="360" w:lineRule="auto"/>
              <w:ind w:firstLine="0" w:firstLineChars="0"/>
              <w:jc w:val="center"/>
              <w:rPr>
                <w:rFonts w:ascii="宋体" w:hAnsi="宋体"/>
                <w:bCs/>
                <w:color w:val="000000" w:themeColor="text1"/>
                <w:spacing w:val="1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7合格证1张</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24</w:t>
            </w:r>
          </w:p>
        </w:tc>
        <w:tc>
          <w:tcPr>
            <w:tcW w:w="997" w:type="pct"/>
            <w:tcBorders>
              <w:tl2br w:val="nil"/>
              <w:tr2bl w:val="nil"/>
            </w:tcBorders>
            <w:shd w:val="clear" w:color="auto" w:fill="FFFFFF"/>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粪大肠菌群检测过滤器双孔</w:t>
            </w:r>
          </w:p>
        </w:tc>
        <w:tc>
          <w:tcPr>
            <w:tcW w:w="388" w:type="pct"/>
            <w:tcBorders>
              <w:tl2br w:val="nil"/>
              <w:tr2bl w:val="nil"/>
            </w:tcBorders>
            <w:shd w:val="clear" w:color="auto" w:fill="FFFFFF"/>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2857" w:type="pct"/>
            <w:tcBorders>
              <w:tl2br w:val="nil"/>
              <w:tr2bl w:val="nil"/>
            </w:tcBorders>
            <w:shd w:val="clear" w:color="auto" w:fill="FFFFFF"/>
            <w:vAlign w:val="center"/>
          </w:tcPr>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一、产品简介</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二联抽滤装置是一种应用于化学实验室中的新型溶液过滤装置。可同时对多个样品进行过滤，或者单独进行过滤样品。提高实验工作效率。</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广泛应用于化学分析、仪器分析、卫生检验、制药工业、生物制品和农药、石油、环保监测、自来水、污水细菌等方面液体过滤。</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二、产品特点：</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1、只需一个真空气源就可以完成全部操作，节省大量的时间，方便快捷</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2、每个滤头采用独立控制的方式，方便操作人员灵活使用；</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3、稳固的低重心设计使其不会因溶液满载而发生翻倒。</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4、采用316不锈钢材质，具有优越的耐腐蚀性能</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5、不锈钢部件采用精加工镜面抛光，表面光洁平整，便于清洁消毒；</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6、厚度高达2mm的不锈钢过滤杯，使用寿命更长</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7、采用双缸活塞泵为负压源，无油雾污染，免维护保养，抽气速率高，极限负压大。</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8、高负压、大流量、吸引速度快，吸引时所需要的负压可由负压调节装置来控制，并由 负压表显示压力。并由负压表显示压力；</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三、技术参数：</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1、过滤联数：二联(带阀门)</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2、滤杯容量：400ml</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3、滤杯材质：316不锈钢材质；66毫米口径尺寸</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4、选配滤膜直径：Φ47-Φ50（mm）</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5、滤膜材质：水系膜(标配)（需要其他材质采购时选择）</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6、滤膜孔径： 0.45μm（标配）（需要其他规格采购时选择）</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7、电源电压：AC220V±10% 50Hz</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8、抽气速度（升/分）：25</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9、负压调节范围：0.01MPa-0.08MPa</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10、负压值：≥ 0.08MPa</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11、噪音（DB）： ≤60</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12、吸液瓶容量：2500ml（带上下嘴）</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四、配置清单</w:t>
            </w:r>
          </w:p>
          <w:p>
            <w:pPr>
              <w:widowControl/>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kern w:val="0"/>
                <w:sz w:val="24"/>
                <w:szCs w:val="24"/>
                <w14:textFill>
                  <w14:solidFill>
                    <w14:schemeClr w14:val="tx1"/>
                  </w14:solidFill>
                </w14:textFill>
              </w:rPr>
              <w:t>无油真空泵 1台</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2二联过滤器：1套 阀门型</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3 </w:t>
            </w:r>
            <w:r>
              <w:rPr>
                <w:rFonts w:hint="eastAsia" w:ascii="宋体" w:hAnsi="宋体"/>
                <w:color w:val="000000" w:themeColor="text1"/>
                <w:kern w:val="0"/>
                <w:sz w:val="24"/>
                <w:szCs w:val="24"/>
                <w14:textFill>
                  <w14:solidFill>
                    <w14:schemeClr w14:val="tx1"/>
                  </w14:solidFill>
                </w14:textFill>
              </w:rPr>
              <w:t>2500ml 积液瓶 1只 （带上下嘴）</w:t>
            </w:r>
          </w:p>
          <w:p>
            <w:pPr>
              <w:widowControl/>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hint="eastAsia" w:ascii="宋体" w:hAnsi="宋体"/>
                <w:color w:val="000000" w:themeColor="text1"/>
                <w:kern w:val="0"/>
                <w:sz w:val="24"/>
                <w:szCs w:val="24"/>
                <w14:textFill>
                  <w14:solidFill>
                    <w14:schemeClr w14:val="tx1"/>
                  </w14:solidFill>
                </w14:textFill>
              </w:rPr>
              <w:t>硅胶抽滤管 2根</w:t>
            </w:r>
          </w:p>
          <w:p>
            <w:pPr>
              <w:widowControl/>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5说明书 1份</w:t>
            </w:r>
          </w:p>
          <w:p>
            <w:pPr>
              <w:widowControl/>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6保修卡 1张</w:t>
            </w:r>
          </w:p>
          <w:p>
            <w:pPr>
              <w:widowControl/>
              <w:spacing w:line="360" w:lineRule="auto"/>
              <w:ind w:firstLine="0" w:firstLineChars="0"/>
              <w:jc w:val="center"/>
              <w:rPr>
                <w:rFonts w:ascii="宋体" w:hAnsi="宋体"/>
                <w:bCs/>
                <w:color w:val="000000" w:themeColor="text1"/>
                <w:spacing w:val="1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7合格证1张</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25</w:t>
            </w:r>
          </w:p>
        </w:tc>
        <w:tc>
          <w:tcPr>
            <w:tcW w:w="997" w:type="pct"/>
            <w:tcBorders>
              <w:tl2br w:val="nil"/>
              <w:tr2bl w:val="nil"/>
            </w:tcBorders>
            <w:shd w:val="clear" w:color="auto" w:fill="FFFFFF"/>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电热鼓风干燥箱</w:t>
            </w:r>
          </w:p>
        </w:tc>
        <w:tc>
          <w:tcPr>
            <w:tcW w:w="388" w:type="pct"/>
            <w:tcBorders>
              <w:tl2br w:val="nil"/>
              <w:tr2bl w:val="nil"/>
            </w:tcBorders>
            <w:shd w:val="clear" w:color="auto" w:fill="FFFFFF"/>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台</w:t>
            </w:r>
          </w:p>
        </w:tc>
        <w:tc>
          <w:tcPr>
            <w:tcW w:w="418"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2857" w:type="pct"/>
            <w:tcBorders>
              <w:tl2br w:val="nil"/>
              <w:tr2bl w:val="nil"/>
            </w:tcBorders>
            <w:shd w:val="clear" w:color="auto" w:fill="FFFFFF"/>
            <w:vAlign w:val="center"/>
          </w:tcPr>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显示；控制方式：数显,微电脑控制</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内胆材质：镜面不锈钢内胆</w:t>
            </w:r>
          </w:p>
          <w:p>
            <w:pPr>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工作室尺寸：550×450×550mm</w:t>
            </w:r>
          </w:p>
          <w:p>
            <w:pPr>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定时范围：1-5999min</w:t>
            </w:r>
          </w:p>
          <w:p>
            <w:pPr>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外形尺寸：840×580×730mm</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温度范围：RT+10-200℃/250定制</w:t>
            </w:r>
          </w:p>
          <w:p>
            <w:pPr>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恒温波动度：±1.0℃</w:t>
            </w:r>
          </w:p>
          <w:p>
            <w:pPr>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温度分辩率：0.1℃</w:t>
            </w:r>
          </w:p>
          <w:p>
            <w:pPr>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温度均匀度：±3%（测试点为100℃）</w:t>
            </w:r>
          </w:p>
          <w:p>
            <w:pPr>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工作环境温度：+5-40℃</w:t>
            </w:r>
          </w:p>
          <w:p>
            <w:pPr>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输入功率：2050W</w:t>
            </w:r>
          </w:p>
          <w:p>
            <w:pPr>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电源电压：AC220V 50HZ</w:t>
            </w:r>
          </w:p>
          <w:p>
            <w:pPr>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载物托架（标配）：2块</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26</w:t>
            </w:r>
          </w:p>
        </w:tc>
        <w:tc>
          <w:tcPr>
            <w:tcW w:w="997" w:type="pct"/>
            <w:tcBorders>
              <w:tl2br w:val="nil"/>
              <w:tr2bl w:val="nil"/>
            </w:tcBorders>
            <w:shd w:val="clear" w:color="auto" w:fill="FFFFFF"/>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超净台</w:t>
            </w:r>
          </w:p>
        </w:tc>
        <w:tc>
          <w:tcPr>
            <w:tcW w:w="388" w:type="pct"/>
            <w:tcBorders>
              <w:tl2br w:val="nil"/>
              <w:tr2bl w:val="nil"/>
            </w:tcBorders>
            <w:shd w:val="clear" w:color="auto" w:fill="FFFFFF"/>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418" w:type="pct"/>
            <w:tcBorders>
              <w:tl2br w:val="nil"/>
              <w:tr2bl w:val="nil"/>
            </w:tcBorders>
            <w:shd w:val="clear" w:color="auto" w:fill="auto"/>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2857" w:type="pct"/>
            <w:tcBorders>
              <w:tl2br w:val="nil"/>
              <w:tr2bl w:val="nil"/>
            </w:tcBorders>
            <w:shd w:val="clear" w:color="auto" w:fill="FFFFFF"/>
            <w:vAlign w:val="center"/>
          </w:tcPr>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1、具备医疗器械注册证</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2、气流模式：垂直层流</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3、外形长度：≤1370mm</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4、工作区长度：≥1300mm</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5、工作台面高度：770±10mm</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6、工作区洁净度：100级</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7、操作台面平均菌落数≤0.5CFU（皿●0.5h）</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8、工作区风速：0.2-0.5m/s可调</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9、工作区内部照度：≥600LX</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10、噪声：≤60分贝</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11、采用知名品牌防潮、阻燃玻璃纤维高效过滤器（HEAP）</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12、具有初效预过滤器，不使用工具即可更换，有效延长高效过滤器寿命</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13、前窗钢化玻璃材质，厚度≥6mm</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14、工作台面选用304不锈钢材质，外缘凸起设计，防止液体倾洒时溢出</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15、内嵌式照明，眼睛不疲劳：采用内嵌式照明，避免日光灯对眼睛照射，眼睛不疲劳</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16、2个电源插座，具有防溅功能，防水防尘等级不低于IP44</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17、三位互锁，紫外灯与照明灯、前窗三位互锁功能，屏蔽误操作风险</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18、具有联动功能，开门后自动开启荧光灯，方便实验准备工作；关门后风机自动关闭，防止风机空转不对外做功而产生过热现象</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19、紫外杀菌延时启动，远离紫外线伤害：紫外灯开关按下后，声光提醒操作者及时离开，延时10秒钟后紫外灯点亮，保护操作者免受紫外照射伤害</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20、可预设紫外灯自动点亮时间，方便班前班后自动消毒</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21、紫外灯延时启动时间、杀菌时间长短、预约启动时间、风机档位等可按用户使用习惯自行设置；设置完成后，微电脑自动记忆用户使用习惯，方便用户使用</w:t>
            </w:r>
          </w:p>
          <w:p>
            <w:pPr>
              <w:pStyle w:val="27"/>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22、电控元件全部布置在正面面板内，与人体视线等高，使用简单的常规工具即可开启，维修保养时无需移动设备</w:t>
            </w:r>
          </w:p>
          <w:p>
            <w:pPr>
              <w:pStyle w:val="27"/>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23、底座设有4个万向脚轮和固定底脚，方便移动和定位</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27</w:t>
            </w:r>
          </w:p>
        </w:tc>
        <w:tc>
          <w:tcPr>
            <w:tcW w:w="997" w:type="pct"/>
            <w:tcBorders>
              <w:tl2br w:val="nil"/>
              <w:tr2bl w:val="nil"/>
            </w:tcBorders>
            <w:shd w:val="clear" w:color="auto" w:fill="FFFFFF"/>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瓶口分离器</w:t>
            </w:r>
          </w:p>
        </w:tc>
        <w:tc>
          <w:tcPr>
            <w:tcW w:w="388" w:type="pct"/>
            <w:tcBorders>
              <w:tl2br w:val="nil"/>
              <w:tr2bl w:val="nil"/>
            </w:tcBorders>
            <w:shd w:val="clear" w:color="auto" w:fill="FFFFFF"/>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只</w:t>
            </w:r>
          </w:p>
        </w:tc>
        <w:tc>
          <w:tcPr>
            <w:tcW w:w="418" w:type="pct"/>
            <w:tcBorders>
              <w:tl2br w:val="nil"/>
              <w:tr2bl w:val="nil"/>
            </w:tcBorders>
            <w:shd w:val="clear" w:color="auto" w:fill="auto"/>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w:t>
            </w:r>
          </w:p>
        </w:tc>
        <w:tc>
          <w:tcPr>
            <w:tcW w:w="2857" w:type="pct"/>
            <w:tcBorders>
              <w:tl2br w:val="nil"/>
              <w:tr2bl w:val="nil"/>
            </w:tcBorders>
            <w:shd w:val="clear" w:color="auto" w:fill="FFFFFF"/>
            <w:vAlign w:val="center"/>
          </w:tcPr>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具有极强的化学耐受性</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可高温消毒灭菌</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容量范围</w:t>
            </w:r>
            <w:r>
              <w:rPr>
                <w:rFonts w:hint="eastAsia" w:ascii="宋体" w:hAnsi="宋体"/>
                <w:bCs/>
                <w:color w:val="000000" w:themeColor="text1"/>
                <w:sz w:val="24"/>
                <w:szCs w:val="24"/>
                <w14:textFill>
                  <w14:solidFill>
                    <w14:schemeClr w14:val="tx1"/>
                  </w14:solidFill>
                </w14:textFill>
              </w:rPr>
              <w:t>2.5-25ml</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方便的设计，保证了对分液器进行简单和经济的清洁和保养  采用PTFE、FEP、BSG、 PP等材料制成</w:t>
            </w:r>
          </w:p>
          <w:p>
            <w:pPr>
              <w:widowControl/>
              <w:spacing w:line="360" w:lineRule="auto"/>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最大耐压500mbar，最大耐粘性500mm2/s，最大耐液体温度为40℃，</w:t>
            </w:r>
          </w:p>
          <w:p>
            <w:pPr>
              <w:widowControl/>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最大耐液体密度2.2g/cm3</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28</w:t>
            </w:r>
          </w:p>
        </w:tc>
        <w:tc>
          <w:tcPr>
            <w:tcW w:w="997" w:type="pct"/>
            <w:tcBorders>
              <w:tl2br w:val="nil"/>
              <w:tr2bl w:val="nil"/>
            </w:tcBorders>
            <w:shd w:val="clear" w:color="auto" w:fill="FFFFFF"/>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气流烘干器</w:t>
            </w:r>
          </w:p>
        </w:tc>
        <w:tc>
          <w:tcPr>
            <w:tcW w:w="388" w:type="pct"/>
            <w:tcBorders>
              <w:tl2br w:val="nil"/>
              <w:tr2bl w:val="nil"/>
            </w:tcBorders>
            <w:shd w:val="clear" w:color="auto" w:fill="FFFFFF"/>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只</w:t>
            </w:r>
          </w:p>
        </w:tc>
        <w:tc>
          <w:tcPr>
            <w:tcW w:w="418" w:type="pct"/>
            <w:tcBorders>
              <w:tl2br w:val="nil"/>
              <w:tr2bl w:val="nil"/>
            </w:tcBorders>
            <w:shd w:val="clear" w:color="auto" w:fill="auto"/>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2857" w:type="pct"/>
            <w:tcBorders>
              <w:tl2br w:val="nil"/>
              <w:tr2bl w:val="nil"/>
            </w:tcBorders>
            <w:shd w:val="clear" w:color="auto" w:fill="FFFFFF"/>
            <w:vAlign w:val="center"/>
          </w:tcPr>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玻璃气流烘干器是各实验室、化验室干燥玻璃仪器的理想设备。它具有快速、节能、无水渍、使用方便、不锈钢风管。</w:t>
            </w:r>
          </w:p>
          <w:p>
            <w:pPr>
              <w:pStyle w:val="12"/>
              <w:ind w:firstLine="0" w:firstLineChars="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功率：800W</w:t>
            </w:r>
          </w:p>
          <w:p>
            <w:pPr>
              <w:pStyle w:val="12"/>
              <w:ind w:firstLine="0" w:firstLineChars="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电源：220V</w:t>
            </w:r>
          </w:p>
          <w:p>
            <w:pPr>
              <w:pStyle w:val="12"/>
              <w:ind w:firstLine="0" w:firstLineChars="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出风管长度：1700-200mm</w:t>
            </w:r>
          </w:p>
          <w:p>
            <w:pPr>
              <w:pStyle w:val="12"/>
              <w:ind w:firstLine="0" w:firstLineChars="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风管数量：20</w:t>
            </w:r>
          </w:p>
          <w:p>
            <w:pPr>
              <w:pStyle w:val="12"/>
              <w:ind w:firstLine="0" w:firstLineChars="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调温范围：40-120℃</w:t>
            </w:r>
          </w:p>
          <w:p>
            <w:pPr>
              <w:pStyle w:val="12"/>
              <w:ind w:firstLine="0" w:firstLineChars="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外形尺寸：¢400*h40</w:t>
            </w:r>
          </w:p>
          <w:p>
            <w:pPr>
              <w:pStyle w:val="12"/>
              <w:ind w:firstLine="0" w:firstLineChars="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重量：8Kg</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339" w:type="pct"/>
            <w:tcBorders>
              <w:tl2br w:val="nil"/>
              <w:tr2bl w:val="nil"/>
            </w:tcBorders>
            <w:shd w:val="clear" w:color="auto" w:fill="auto"/>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29</w:t>
            </w:r>
          </w:p>
        </w:tc>
        <w:tc>
          <w:tcPr>
            <w:tcW w:w="997" w:type="pct"/>
            <w:tcBorders>
              <w:tl2br w:val="nil"/>
              <w:tr2bl w:val="nil"/>
            </w:tcBorders>
            <w:shd w:val="clear" w:color="auto" w:fill="FFFFFF"/>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小型红外电磁炉</w:t>
            </w:r>
          </w:p>
        </w:tc>
        <w:tc>
          <w:tcPr>
            <w:tcW w:w="388" w:type="pct"/>
            <w:tcBorders>
              <w:tl2br w:val="nil"/>
              <w:tr2bl w:val="nil"/>
            </w:tcBorders>
            <w:shd w:val="clear" w:color="auto" w:fill="FFFFFF"/>
            <w:vAlign w:val="center"/>
          </w:tcPr>
          <w:p>
            <w:pPr>
              <w:spacing w:line="360" w:lineRule="auto"/>
              <w:ind w:firstLine="0" w:firstLineChars="0"/>
              <w:jc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台</w:t>
            </w:r>
          </w:p>
        </w:tc>
        <w:tc>
          <w:tcPr>
            <w:tcW w:w="418" w:type="pct"/>
            <w:tcBorders>
              <w:tl2br w:val="nil"/>
              <w:tr2bl w:val="nil"/>
            </w:tcBorders>
            <w:shd w:val="clear" w:color="auto" w:fill="auto"/>
            <w:vAlign w:val="center"/>
          </w:tcPr>
          <w:p>
            <w:pPr>
              <w:widowControl/>
              <w:spacing w:line="360" w:lineRule="auto"/>
              <w:ind w:firstLine="0" w:firstLineChars="0"/>
              <w:jc w:val="center"/>
              <w:textAlignment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w:t>
            </w:r>
          </w:p>
        </w:tc>
        <w:tc>
          <w:tcPr>
            <w:tcW w:w="2857" w:type="pct"/>
            <w:tcBorders>
              <w:tl2br w:val="nil"/>
              <w:tr2bl w:val="nil"/>
            </w:tcBorders>
            <w:shd w:val="clear" w:color="auto" w:fill="FFFFFF"/>
            <w:vAlign w:val="center"/>
          </w:tcPr>
          <w:p>
            <w:pPr>
              <w:widowControl/>
              <w:spacing w:line="360" w:lineRule="auto"/>
              <w:ind w:firstLine="0" w:firstLineChars="0"/>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电磁炉面板类型: 微晶面板</w:t>
            </w:r>
          </w:p>
          <w:p>
            <w:pPr>
              <w:pStyle w:val="12"/>
              <w:ind w:firstLine="0" w:firstLineChars="0"/>
              <w:jc w:val="center"/>
              <w:rPr>
                <w:color w:val="000000" w:themeColor="text1"/>
                <w:spacing w:val="0"/>
                <w:sz w:val="24"/>
                <w:szCs w:val="24"/>
                <w:shd w:val="clear" w:color="auto" w:fill="FFFFFF"/>
                <w14:textFill>
                  <w14:solidFill>
                    <w14:schemeClr w14:val="tx1"/>
                  </w14:solidFill>
                </w14:textFill>
              </w:rPr>
            </w:pPr>
            <w:r>
              <w:rPr>
                <w:rFonts w:hint="eastAsia"/>
                <w:color w:val="000000" w:themeColor="text1"/>
                <w:spacing w:val="0"/>
                <w:sz w:val="24"/>
                <w:szCs w:val="24"/>
                <w:shd w:val="clear" w:color="auto" w:fill="FFFFFF"/>
                <w14:textFill>
                  <w14:solidFill>
                    <w14:schemeClr w14:val="tx1"/>
                  </w14:solidFill>
                </w14:textFill>
              </w:rPr>
              <w:t>操作方式: 触摸式</w:t>
            </w:r>
          </w:p>
          <w:p>
            <w:pPr>
              <w:pStyle w:val="12"/>
              <w:ind w:firstLine="0" w:firstLineChars="0"/>
              <w:jc w:val="center"/>
              <w:rPr>
                <w:color w:val="000000" w:themeColor="text1"/>
                <w:spacing w:val="0"/>
                <w:sz w:val="24"/>
                <w:szCs w:val="24"/>
                <w:shd w:val="clear" w:color="auto" w:fill="FFFFFF"/>
                <w14:textFill>
                  <w14:solidFill>
                    <w14:schemeClr w14:val="tx1"/>
                  </w14:solidFill>
                </w14:textFill>
              </w:rPr>
            </w:pPr>
            <w:r>
              <w:rPr>
                <w:rFonts w:hint="eastAsia"/>
                <w:color w:val="000000" w:themeColor="text1"/>
                <w:spacing w:val="0"/>
                <w:sz w:val="24"/>
                <w:szCs w:val="24"/>
                <w:shd w:val="clear" w:color="auto" w:fill="FFFFFF"/>
                <w14:textFill>
                  <w14:solidFill>
                    <w14:schemeClr w14:val="tx1"/>
                  </w14:solidFill>
                </w14:textFill>
              </w:rPr>
              <w:t>电磁炉炉头: 1个</w:t>
            </w:r>
          </w:p>
          <w:p>
            <w:pPr>
              <w:pStyle w:val="12"/>
              <w:ind w:firstLine="0" w:firstLineChars="0"/>
              <w:jc w:val="center"/>
              <w:rPr>
                <w:color w:val="000000" w:themeColor="text1"/>
                <w:spacing w:val="0"/>
                <w:sz w:val="24"/>
                <w:szCs w:val="24"/>
                <w:shd w:val="clear" w:color="auto" w:fill="FFFFFF"/>
                <w14:textFill>
                  <w14:solidFill>
                    <w14:schemeClr w14:val="tx1"/>
                  </w14:solidFill>
                </w14:textFill>
              </w:rPr>
            </w:pPr>
            <w:r>
              <w:rPr>
                <w:rFonts w:hint="eastAsia"/>
                <w:color w:val="000000" w:themeColor="text1"/>
                <w:spacing w:val="0"/>
                <w:sz w:val="24"/>
                <w:szCs w:val="24"/>
                <w:shd w:val="clear" w:color="auto" w:fill="FFFFFF"/>
                <w14:textFill>
                  <w14:solidFill>
                    <w14:schemeClr w14:val="tx1"/>
                  </w14:solidFill>
                </w14:textFill>
              </w:rPr>
              <w:t>档位: 10档</w:t>
            </w:r>
          </w:p>
          <w:p>
            <w:pPr>
              <w:pStyle w:val="12"/>
              <w:ind w:firstLine="0" w:firstLineChars="0"/>
              <w:jc w:val="center"/>
              <w:rPr>
                <w:color w:val="000000" w:themeColor="text1"/>
                <w:spacing w:val="0"/>
                <w:sz w:val="24"/>
                <w:szCs w:val="24"/>
                <w:shd w:val="clear" w:color="auto" w:fill="FFFFFF"/>
                <w14:textFill>
                  <w14:solidFill>
                    <w14:schemeClr w14:val="tx1"/>
                  </w14:solidFill>
                </w14:textFill>
              </w:rPr>
            </w:pPr>
            <w:r>
              <w:rPr>
                <w:rFonts w:hint="eastAsia"/>
                <w:color w:val="000000" w:themeColor="text1"/>
                <w:spacing w:val="0"/>
                <w:sz w:val="24"/>
                <w:szCs w:val="24"/>
                <w:shd w:val="clear" w:color="auto" w:fill="FFFFFF"/>
                <w14:textFill>
                  <w14:solidFill>
                    <w14:schemeClr w14:val="tx1"/>
                  </w14:solidFill>
                </w14:textFill>
              </w:rPr>
              <w:t>线圈盘：230mm</w:t>
            </w:r>
          </w:p>
          <w:p>
            <w:pPr>
              <w:pStyle w:val="12"/>
              <w:ind w:firstLine="0" w:firstLineChars="0"/>
              <w:jc w:val="center"/>
              <w:rPr>
                <w:color w:val="000000" w:themeColor="text1"/>
                <w:spacing w:val="0"/>
                <w:sz w:val="24"/>
                <w:szCs w:val="24"/>
                <w:shd w:val="clear" w:color="auto" w:fill="FFFFFF"/>
                <w14:textFill>
                  <w14:solidFill>
                    <w14:schemeClr w14:val="tx1"/>
                  </w14:solidFill>
                </w14:textFill>
              </w:rPr>
            </w:pPr>
            <w:r>
              <w:rPr>
                <w:rFonts w:hint="eastAsia"/>
                <w:color w:val="000000" w:themeColor="text1"/>
                <w:spacing w:val="0"/>
                <w:sz w:val="24"/>
                <w:szCs w:val="24"/>
                <w:shd w:val="clear" w:color="auto" w:fill="FFFFFF"/>
                <w14:textFill>
                  <w14:solidFill>
                    <w14:schemeClr w14:val="tx1"/>
                  </w14:solidFill>
                </w14:textFill>
              </w:rPr>
              <w:t>功率：2200W</w:t>
            </w:r>
          </w:p>
        </w:tc>
      </w:tr>
    </w:tbl>
    <w:p>
      <w:pPr>
        <w:ind w:firstLine="0" w:firstLineChars="0"/>
      </w:pPr>
    </w:p>
    <w:p>
      <w:pPr>
        <w:pStyle w:val="56"/>
        <w:spacing w:line="360" w:lineRule="auto"/>
        <w:ind w:left="0" w:firstLine="0" w:firstLineChars="0"/>
        <w:rPr>
          <w:rFonts w:ascii="宋体" w:hAnsi="宋体"/>
          <w:b/>
          <w:sz w:val="24"/>
          <w:szCs w:val="24"/>
          <w:lang w:eastAsia="zh-CN"/>
        </w:rPr>
      </w:pPr>
      <w:r>
        <w:rPr>
          <w:rFonts w:hint="eastAsia" w:ascii="宋体" w:hAnsi="宋体"/>
          <w:sz w:val="24"/>
          <w:szCs w:val="24"/>
          <w:lang w:eastAsia="zh-CN"/>
        </w:rPr>
        <w:t>四、</w:t>
      </w:r>
      <w:r>
        <w:rPr>
          <w:rFonts w:hint="eastAsia" w:ascii="宋体" w:hAnsi="宋体"/>
          <w:b/>
          <w:bCs/>
          <w:sz w:val="24"/>
          <w:szCs w:val="24"/>
          <w:lang w:eastAsia="zh-CN"/>
        </w:rPr>
        <w:t>其它</w:t>
      </w:r>
    </w:p>
    <w:p>
      <w:pPr>
        <w:spacing w:line="360" w:lineRule="auto"/>
        <w:jc w:val="left"/>
        <w:rPr>
          <w:rFonts w:ascii="宋体" w:hAnsi="宋体"/>
          <w:sz w:val="24"/>
          <w:szCs w:val="24"/>
        </w:rPr>
      </w:pPr>
      <w:r>
        <w:rPr>
          <w:rFonts w:hint="eastAsia" w:ascii="宋体" w:hAnsi="宋体"/>
          <w:sz w:val="24"/>
          <w:szCs w:val="24"/>
        </w:rPr>
        <w:t>1、交货：合同签订之日起60日内供货至采购人指定地点，仪器到达后，在五个工作日内，由供应商安排合格工程师到仪器使用现场，免费安装调试设备；安装调试期间产生的一切费用（安装、人工、运输搬运、交通、打孔、安全防护设施、打孔后防水恢复等）由中标人负责。</w:t>
      </w:r>
    </w:p>
    <w:p>
      <w:pPr>
        <w:spacing w:line="360" w:lineRule="auto"/>
        <w:jc w:val="left"/>
        <w:rPr>
          <w:rFonts w:ascii="宋体" w:hAnsi="宋体"/>
          <w:sz w:val="24"/>
          <w:szCs w:val="24"/>
        </w:rPr>
      </w:pPr>
      <w:r>
        <w:rPr>
          <w:rFonts w:hint="eastAsia" w:ascii="宋体" w:hAnsi="宋体"/>
          <w:sz w:val="24"/>
          <w:szCs w:val="24"/>
        </w:rPr>
        <w:t>2、保修：本项目保修期为二年，从仪器验收签字之日起算，在质保期内，所有服务及配件全部免费；并终身提供保修服务。超出质保期，投标人对本项目维护年度收费进行报价。</w:t>
      </w:r>
    </w:p>
    <w:p>
      <w:pPr>
        <w:spacing w:line="360" w:lineRule="auto"/>
        <w:jc w:val="left"/>
        <w:rPr>
          <w:rFonts w:ascii="宋体" w:hAnsi="宋体"/>
          <w:sz w:val="24"/>
          <w:szCs w:val="24"/>
        </w:rPr>
      </w:pPr>
      <w:r>
        <w:rPr>
          <w:rFonts w:hint="eastAsia" w:ascii="宋体" w:hAnsi="宋体"/>
          <w:sz w:val="24"/>
          <w:szCs w:val="24"/>
        </w:rPr>
        <w:t>3、维修：中标人及制造商（生产者）提供免费电话，为采购人提供免费的电话咨询及技术服务，并协助采购人进行方法开发。并配有专职的维修工程师及应用工程师有效保证售后维修的及时、快捷，并负责提供技术支持。中标人及制造商（生产者）在接到采购人维修电话后的2小时内须响应，如通过电话解决不了，28小时内到达现场，并提供售后响应方案，提供承诺书。</w:t>
      </w:r>
    </w:p>
    <w:p>
      <w:pPr>
        <w:spacing w:line="360" w:lineRule="auto"/>
        <w:jc w:val="left"/>
        <w:rPr>
          <w:rFonts w:ascii="宋体" w:hAnsi="宋体"/>
          <w:sz w:val="24"/>
          <w:szCs w:val="24"/>
        </w:rPr>
      </w:pPr>
      <w:r>
        <w:rPr>
          <w:rFonts w:hint="eastAsia" w:ascii="宋体" w:hAnsi="宋体"/>
          <w:sz w:val="24"/>
          <w:szCs w:val="24"/>
        </w:rPr>
        <w:t>●4、培训：安装调试合格后,由中标人安排工程师为采购人操作人员2-4名做现场基本操作培训，保证相关人员能独立上机进行基本操作和数据处理；供应商须免费提供现场技术培训及4人次的制造商（生产者）集中培训，提供详细的培训计划、培训大纲，保证使用人员正常操作设备，后期针对使用方法，质保期内外均可提供免费的应用培训。</w:t>
      </w:r>
    </w:p>
    <w:p>
      <w:pPr>
        <w:numPr>
          <w:ilvl w:val="0"/>
          <w:numId w:val="12"/>
        </w:numPr>
        <w:spacing w:line="360" w:lineRule="auto"/>
        <w:jc w:val="left"/>
        <w:rPr>
          <w:rFonts w:ascii="宋体" w:hAnsi="宋体"/>
          <w:sz w:val="24"/>
          <w:szCs w:val="24"/>
        </w:rPr>
      </w:pPr>
      <w:r>
        <w:rPr>
          <w:rFonts w:hint="eastAsia" w:ascii="宋体" w:hAnsi="宋体"/>
          <w:sz w:val="24"/>
          <w:szCs w:val="24"/>
        </w:rPr>
        <w:t>文件资料：由中标人提供每台设备应附有单机和系统的中文（或英文）的纸质及使用说明书（包括软件使用说明书），使用及安装、调试、维修手册，并附有装箱单。</w:t>
      </w:r>
      <w:r>
        <w:rPr>
          <w:rFonts w:hint="eastAsia" w:ascii="宋体" w:hAnsi="宋体"/>
          <w:sz w:val="24"/>
          <w:szCs w:val="24"/>
        </w:rPr>
        <w:br w:type="textWrapping"/>
      </w:r>
      <w:r>
        <w:rPr>
          <w:rFonts w:hint="eastAsia" w:ascii="宋体" w:hAnsi="宋体"/>
          <w:sz w:val="24"/>
          <w:szCs w:val="24"/>
        </w:rPr>
        <w:t xml:space="preserve">    6、验收：安装调试结束后，供应商必需在使用者的实验室内安装调试仪器直至用户认可仪器无偏离技术性能为止，并出具仪器无偏离报告，根据制造商（生产者）主机及附件样本各项技术指标以及招标文件的要求作验收试验。如不能通过验收，采购人有权拒绝验收要求退还货物并追究中标人的法律责任。</w:t>
      </w:r>
    </w:p>
    <w:p>
      <w:pPr>
        <w:numPr>
          <w:ilvl w:val="0"/>
          <w:numId w:val="12"/>
        </w:numPr>
        <w:spacing w:line="360" w:lineRule="auto"/>
        <w:jc w:val="left"/>
        <w:rPr>
          <w:rFonts w:ascii="宋体" w:hAnsi="宋体"/>
          <w:sz w:val="24"/>
          <w:szCs w:val="24"/>
        </w:rPr>
      </w:pPr>
      <w:r>
        <w:rPr>
          <w:rFonts w:hint="eastAsia" w:ascii="宋体" w:hAnsi="宋体"/>
          <w:sz w:val="24"/>
          <w:szCs w:val="24"/>
        </w:rPr>
        <w:t>招标文件中如涉及品牌型号均为参考，供应商所投货物需满足清单中的参数要求。如投标选择其他品牌，需提供优于或相当于参考品牌的证明材料。</w:t>
      </w:r>
    </w:p>
    <w:p>
      <w:pPr>
        <w:numPr>
          <w:ilvl w:val="0"/>
          <w:numId w:val="12"/>
        </w:numPr>
        <w:spacing w:line="360" w:lineRule="auto"/>
        <w:jc w:val="left"/>
        <w:rPr>
          <w:rFonts w:ascii="宋体" w:hAnsi="宋体"/>
          <w:sz w:val="24"/>
          <w:szCs w:val="24"/>
        </w:rPr>
      </w:pPr>
      <w:r>
        <w:rPr>
          <w:rFonts w:hint="eastAsia" w:ascii="宋体" w:hAnsi="宋体"/>
          <w:sz w:val="24"/>
          <w:szCs w:val="24"/>
        </w:rPr>
        <w:t>中标人需配合发标人取得计量部门出具计量检定报告、核准报告等，如提供的设备无法取得，则中标人无条件退货。</w:t>
      </w:r>
    </w:p>
    <w:p>
      <w:pPr>
        <w:spacing w:line="360" w:lineRule="auto"/>
        <w:jc w:val="left"/>
        <w:rPr>
          <w:rFonts w:ascii="宋体" w:hAnsi="宋体"/>
          <w:sz w:val="24"/>
          <w:szCs w:val="24"/>
        </w:rPr>
      </w:pPr>
      <w:r>
        <w:rPr>
          <w:rFonts w:hint="eastAsia" w:ascii="宋体" w:hAnsi="宋体"/>
          <w:sz w:val="24"/>
          <w:szCs w:val="24"/>
        </w:rPr>
        <w:t>8、在本实验室的后续工程中，中标人须为招标人就本次招标采购货物相关的工程图纸审核、施工方案内容审核等提供技术支持。</w:t>
      </w:r>
    </w:p>
    <w:p>
      <w:pPr>
        <w:pStyle w:val="36"/>
      </w:pPr>
      <w:bookmarkStart w:id="80" w:name="_Toc17774"/>
    </w:p>
    <w:bookmarkEnd w:id="80"/>
    <w:p>
      <w:pPr>
        <w:pStyle w:val="4"/>
        <w:rPr>
          <w:rFonts w:hint="eastAsia"/>
        </w:rPr>
      </w:pPr>
      <w:bookmarkStart w:id="81" w:name="_Toc14166"/>
    </w:p>
    <w:p>
      <w:pPr>
        <w:pStyle w:val="4"/>
        <w:rPr>
          <w:rFonts w:hint="eastAsia"/>
        </w:rPr>
      </w:pPr>
    </w:p>
    <w:p>
      <w:pPr>
        <w:pStyle w:val="4"/>
        <w:rPr>
          <w:rFonts w:hint="eastAsia"/>
        </w:rPr>
      </w:pPr>
    </w:p>
    <w:p>
      <w:pPr>
        <w:pStyle w:val="4"/>
        <w:jc w:val="both"/>
        <w:rPr>
          <w:rFonts w:hint="eastAsia"/>
        </w:rPr>
      </w:pPr>
    </w:p>
    <w:p>
      <w:pPr>
        <w:rPr>
          <w:rFonts w:hint="eastAsia"/>
        </w:rPr>
      </w:pPr>
    </w:p>
    <w:p>
      <w:pPr>
        <w:pStyle w:val="35"/>
        <w:rPr>
          <w:rFonts w:hint="eastAsia"/>
        </w:rPr>
      </w:pPr>
    </w:p>
    <w:p>
      <w:pPr>
        <w:pStyle w:val="36"/>
        <w:rPr>
          <w:rFonts w:hint="eastAsia"/>
        </w:rPr>
      </w:pPr>
    </w:p>
    <w:p>
      <w:pPr>
        <w:pStyle w:val="4"/>
      </w:pPr>
      <w:r>
        <w:rPr>
          <w:rFonts w:hint="eastAsia"/>
        </w:rPr>
        <w:t>第六章</w:t>
      </w:r>
      <w:r>
        <w:rPr>
          <w:rFonts w:hint="eastAsia"/>
          <w:lang w:val="en-US" w:eastAsia="zh-CN"/>
        </w:rPr>
        <w:t xml:space="preserve"> </w:t>
      </w:r>
      <w:r>
        <w:rPr>
          <w:rFonts w:hint="eastAsia"/>
        </w:rPr>
        <w:t>投标文件格式</w:t>
      </w:r>
      <w:bookmarkEnd w:id="81"/>
    </w:p>
    <w:p>
      <w:pPr>
        <w:pStyle w:val="6"/>
        <w:jc w:val="center"/>
      </w:pPr>
      <w:bookmarkStart w:id="82" w:name="_Toc29728"/>
      <w:r>
        <w:t>封面</w:t>
      </w:r>
      <w:bookmarkEnd w:id="82"/>
    </w:p>
    <w:p>
      <w:pPr>
        <w:jc w:val="right"/>
      </w:pPr>
      <w:r>
        <w:t>正本</w:t>
      </w:r>
      <w:r>
        <w:rPr>
          <w:rFonts w:hint="eastAsia"/>
        </w:rPr>
        <w:t>/副本</w:t>
      </w:r>
    </w:p>
    <w:p/>
    <w:p/>
    <w:p/>
    <w:p>
      <w:pPr>
        <w:spacing w:line="360" w:lineRule="auto"/>
        <w:ind w:firstLine="0" w:firstLineChars="0"/>
        <w:jc w:val="center"/>
        <w:rPr>
          <w:rFonts w:ascii="黑体" w:hAnsi="黑体" w:eastAsia="黑体"/>
          <w:kern w:val="10"/>
          <w:sz w:val="36"/>
          <w:szCs w:val="36"/>
        </w:rPr>
      </w:pPr>
      <w:r>
        <w:rPr>
          <w:rFonts w:hint="eastAsia" w:ascii="黑体" w:hAnsi="黑体" w:eastAsia="黑体"/>
          <w:kern w:val="10"/>
          <w:sz w:val="36"/>
          <w:szCs w:val="36"/>
        </w:rPr>
        <w:t>扬州市洁源排水有限公司</w:t>
      </w:r>
    </w:p>
    <w:p>
      <w:pPr>
        <w:spacing w:line="360" w:lineRule="auto"/>
        <w:ind w:firstLine="0" w:firstLineChars="0"/>
        <w:jc w:val="center"/>
        <w:rPr>
          <w:rFonts w:ascii="黑体" w:hAnsi="黑体" w:eastAsia="黑体"/>
          <w:kern w:val="10"/>
          <w:sz w:val="36"/>
          <w:szCs w:val="36"/>
        </w:rPr>
      </w:pPr>
      <w:r>
        <w:rPr>
          <w:rFonts w:hint="eastAsia" w:ascii="黑体" w:hAnsi="黑体" w:eastAsia="黑体"/>
          <w:kern w:val="10"/>
          <w:sz w:val="36"/>
          <w:szCs w:val="36"/>
          <w:lang w:eastAsia="zh-CN"/>
        </w:rPr>
        <w:t>北山污水处理厂</w:t>
      </w:r>
      <w:r>
        <w:rPr>
          <w:rFonts w:hint="eastAsia" w:ascii="黑体" w:hAnsi="黑体" w:eastAsia="黑体"/>
          <w:kern w:val="10"/>
          <w:sz w:val="36"/>
          <w:szCs w:val="36"/>
        </w:rPr>
        <w:t>化验室设备及耗材采购项目</w:t>
      </w:r>
    </w:p>
    <w:p>
      <w:pPr>
        <w:ind w:firstLine="560"/>
        <w:jc w:val="center"/>
        <w:rPr>
          <w:rFonts w:ascii="黑体" w:hAnsi="黑体" w:eastAsia="黑体" w:cs="黑体"/>
          <w:color w:val="FF0000"/>
          <w:sz w:val="28"/>
          <w:szCs w:val="28"/>
        </w:rPr>
      </w:pPr>
    </w:p>
    <w:p/>
    <w:p/>
    <w:p>
      <w:pPr>
        <w:ind w:firstLine="600"/>
        <w:jc w:val="center"/>
        <w:rPr>
          <w:rFonts w:ascii="黑体" w:hAnsi="黑体" w:eastAsia="黑体" w:cs="黑体"/>
          <w:sz w:val="30"/>
          <w:szCs w:val="30"/>
        </w:rPr>
      </w:pPr>
      <w:r>
        <w:rPr>
          <w:rFonts w:hint="eastAsia" w:ascii="黑体" w:hAnsi="黑体" w:eastAsia="黑体" w:cs="黑体"/>
          <w:sz w:val="30"/>
          <w:szCs w:val="30"/>
        </w:rPr>
        <w:t>投 标 文 件</w:t>
      </w:r>
    </w:p>
    <w:p>
      <w:pPr>
        <w:ind w:firstLine="562"/>
        <w:jc w:val="center"/>
        <w:rPr>
          <w:rFonts w:ascii="黑体" w:hAnsi="黑体" w:eastAsia="黑体"/>
          <w:b/>
          <w:sz w:val="28"/>
          <w:szCs w:val="28"/>
        </w:rPr>
      </w:pPr>
      <w:r>
        <w:rPr>
          <w:rFonts w:hint="eastAsia" w:ascii="黑体" w:hAnsi="黑体" w:eastAsia="黑体"/>
          <w:b/>
          <w:sz w:val="28"/>
          <w:szCs w:val="28"/>
        </w:rPr>
        <w:t>（投标报价部分）</w:t>
      </w:r>
    </w:p>
    <w:p/>
    <w:p/>
    <w:p/>
    <w:p/>
    <w:p/>
    <w:p/>
    <w:p/>
    <w:p/>
    <w:p/>
    <w:p/>
    <w:p/>
    <w:p/>
    <w:p/>
    <w:p/>
    <w:p/>
    <w:p/>
    <w:p/>
    <w:p>
      <w:pPr>
        <w:ind w:firstLine="0" w:firstLineChars="0"/>
        <w:jc w:val="center"/>
        <w:rPr>
          <w:sz w:val="24"/>
          <w:szCs w:val="24"/>
        </w:rPr>
      </w:pPr>
      <w:r>
        <w:rPr>
          <w:rFonts w:hint="eastAsia"/>
          <w:sz w:val="24"/>
          <w:szCs w:val="24"/>
        </w:rPr>
        <w:t>投标人：</w:t>
      </w:r>
      <w:r>
        <w:rPr>
          <w:rFonts w:hint="eastAsia"/>
          <w:sz w:val="24"/>
          <w:szCs w:val="24"/>
          <w:u w:val="single"/>
        </w:rPr>
        <w:tab/>
      </w:r>
      <w:r>
        <w:rPr>
          <w:rFonts w:hint="eastAsia"/>
          <w:sz w:val="24"/>
          <w:szCs w:val="24"/>
        </w:rPr>
        <w:t>（盖单位章）</w:t>
      </w:r>
    </w:p>
    <w:p>
      <w:pPr>
        <w:ind w:firstLine="0" w:firstLineChars="0"/>
        <w:jc w:val="center"/>
        <w:rPr>
          <w:sz w:val="24"/>
          <w:szCs w:val="24"/>
        </w:rPr>
      </w:pPr>
      <w:r>
        <w:rPr>
          <w:rFonts w:hint="eastAsia"/>
          <w:sz w:val="24"/>
          <w:szCs w:val="24"/>
        </w:rPr>
        <w:t>法定代表人（单位负责人）或其委托代理人：</w:t>
      </w:r>
      <w:r>
        <w:rPr>
          <w:rFonts w:hint="eastAsia"/>
          <w:sz w:val="24"/>
          <w:szCs w:val="24"/>
          <w:u w:val="single"/>
        </w:rPr>
        <w:tab/>
      </w:r>
      <w:r>
        <w:rPr>
          <w:rFonts w:hint="eastAsia"/>
          <w:sz w:val="24"/>
          <w:szCs w:val="24"/>
          <w:u w:val="single"/>
        </w:rPr>
        <w:tab/>
      </w:r>
      <w:r>
        <w:rPr>
          <w:rFonts w:hint="eastAsia"/>
          <w:sz w:val="24"/>
          <w:szCs w:val="24"/>
        </w:rPr>
        <w:t>（签字）</w:t>
      </w:r>
    </w:p>
    <w:p>
      <w:pPr>
        <w:rPr>
          <w:sz w:val="24"/>
          <w:szCs w:val="24"/>
        </w:rPr>
      </w:pPr>
    </w:p>
    <w:p>
      <w:pPr>
        <w:jc w:val="center"/>
        <w:rPr>
          <w:sz w:val="24"/>
          <w:szCs w:val="24"/>
        </w:rPr>
      </w:pPr>
      <w:r>
        <w:rPr>
          <w:rFonts w:hint="eastAsia"/>
          <w:sz w:val="24"/>
          <w:szCs w:val="24"/>
        </w:rPr>
        <w:t xml:space="preserve">年 </w:t>
      </w:r>
      <w:r>
        <w:rPr>
          <w:rFonts w:hint="eastAsia"/>
          <w:sz w:val="24"/>
          <w:szCs w:val="24"/>
        </w:rPr>
        <w:tab/>
      </w:r>
      <w:r>
        <w:rPr>
          <w:rFonts w:hint="eastAsia"/>
          <w:sz w:val="24"/>
          <w:szCs w:val="24"/>
        </w:rPr>
        <w:t xml:space="preserve">月 </w:t>
      </w:r>
      <w:r>
        <w:rPr>
          <w:rFonts w:hint="eastAsia"/>
          <w:sz w:val="24"/>
          <w:szCs w:val="24"/>
        </w:rPr>
        <w:tab/>
      </w:r>
      <w:r>
        <w:rPr>
          <w:rFonts w:hint="eastAsia"/>
          <w:sz w:val="24"/>
          <w:szCs w:val="24"/>
        </w:rPr>
        <w:t>日</w:t>
      </w:r>
    </w:p>
    <w:p>
      <w:r>
        <w:br w:type="page"/>
      </w:r>
    </w:p>
    <w:p>
      <w:pPr>
        <w:pStyle w:val="6"/>
        <w:jc w:val="center"/>
        <w:rPr>
          <w:sz w:val="24"/>
          <w:szCs w:val="24"/>
        </w:rPr>
      </w:pPr>
      <w:bookmarkStart w:id="83" w:name="_Toc10346"/>
      <w:r>
        <w:rPr>
          <w:rFonts w:hint="eastAsia"/>
          <w:sz w:val="24"/>
          <w:szCs w:val="24"/>
        </w:rPr>
        <w:t>目录</w:t>
      </w:r>
      <w:bookmarkEnd w:id="83"/>
    </w:p>
    <w:p>
      <w:pPr>
        <w:spacing w:line="360" w:lineRule="auto"/>
        <w:rPr>
          <w:sz w:val="24"/>
          <w:szCs w:val="24"/>
        </w:rPr>
      </w:pPr>
      <w:r>
        <w:rPr>
          <w:rFonts w:hint="eastAsia"/>
          <w:sz w:val="24"/>
          <w:szCs w:val="24"/>
        </w:rPr>
        <w:t>一、投标函</w:t>
      </w:r>
    </w:p>
    <w:p>
      <w:pPr>
        <w:spacing w:line="360" w:lineRule="auto"/>
        <w:rPr>
          <w:sz w:val="24"/>
          <w:szCs w:val="24"/>
        </w:rPr>
      </w:pPr>
      <w:r>
        <w:rPr>
          <w:rFonts w:hint="eastAsia"/>
          <w:sz w:val="24"/>
          <w:szCs w:val="24"/>
        </w:rPr>
        <w:t>二、报价表</w:t>
      </w:r>
    </w:p>
    <w:p/>
    <w:p/>
    <w:p/>
    <w:p>
      <w:r>
        <w:br w:type="page"/>
      </w:r>
    </w:p>
    <w:p>
      <w:pPr>
        <w:pStyle w:val="6"/>
        <w:jc w:val="center"/>
        <w:rPr>
          <w:sz w:val="24"/>
          <w:szCs w:val="24"/>
        </w:rPr>
      </w:pPr>
      <w:bookmarkStart w:id="84" w:name="_Toc9478"/>
      <w:r>
        <w:rPr>
          <w:rFonts w:hint="eastAsia"/>
          <w:sz w:val="24"/>
          <w:szCs w:val="24"/>
        </w:rPr>
        <w:t>一、投标函</w:t>
      </w:r>
      <w:bookmarkEnd w:id="84"/>
    </w:p>
    <w:p>
      <w:pPr>
        <w:rPr>
          <w:sz w:val="24"/>
          <w:szCs w:val="24"/>
        </w:rPr>
      </w:pPr>
    </w:p>
    <w:p>
      <w:pPr>
        <w:ind w:firstLine="0" w:firstLineChars="0"/>
        <w:rPr>
          <w:sz w:val="24"/>
          <w:szCs w:val="24"/>
        </w:rPr>
      </w:pPr>
      <w:r>
        <w:rPr>
          <w:rFonts w:hint="eastAsia"/>
          <w:sz w:val="24"/>
          <w:szCs w:val="24"/>
          <w:u w:val="single"/>
        </w:rPr>
        <w:tab/>
      </w:r>
      <w:r>
        <w:rPr>
          <w:rFonts w:hint="eastAsia"/>
          <w:sz w:val="24"/>
          <w:szCs w:val="24"/>
        </w:rPr>
        <w:t>（招标人名称）：</w:t>
      </w:r>
    </w:p>
    <w:p>
      <w:pPr>
        <w:rPr>
          <w:sz w:val="24"/>
          <w:szCs w:val="24"/>
        </w:rPr>
      </w:pPr>
    </w:p>
    <w:p>
      <w:pPr>
        <w:rPr>
          <w:sz w:val="24"/>
          <w:szCs w:val="24"/>
        </w:rPr>
      </w:pPr>
      <w:r>
        <w:rPr>
          <w:rFonts w:hint="eastAsia"/>
          <w:sz w:val="24"/>
          <w:szCs w:val="24"/>
        </w:rPr>
        <w:t>1．我方已仔细研究了</w:t>
      </w:r>
      <w:r>
        <w:rPr>
          <w:rFonts w:hint="eastAsia"/>
          <w:sz w:val="24"/>
          <w:szCs w:val="24"/>
          <w:u w:val="single"/>
        </w:rPr>
        <w:tab/>
      </w:r>
      <w:r>
        <w:rPr>
          <w:rFonts w:hint="eastAsia"/>
          <w:sz w:val="24"/>
          <w:szCs w:val="24"/>
        </w:rPr>
        <w:t>（项目名称）设备采购招标项目招标文件的全部内容，愿意以人民币（大写）</w:t>
      </w:r>
      <w:r>
        <w:rPr>
          <w:rFonts w:hint="eastAsia"/>
          <w:sz w:val="24"/>
          <w:szCs w:val="24"/>
          <w:u w:val="single"/>
        </w:rPr>
        <w:tab/>
      </w:r>
      <w:r>
        <w:rPr>
          <w:rFonts w:hint="eastAsia"/>
          <w:sz w:val="24"/>
          <w:szCs w:val="24"/>
          <w:u w:val="single"/>
        </w:rPr>
        <w:t xml:space="preserve">    </w:t>
      </w:r>
      <w:r>
        <w:rPr>
          <w:rFonts w:hint="eastAsia"/>
          <w:sz w:val="24"/>
          <w:szCs w:val="24"/>
        </w:rPr>
        <w:t>（¥</w:t>
      </w:r>
      <w:r>
        <w:rPr>
          <w:rFonts w:hint="eastAsia"/>
          <w:sz w:val="24"/>
          <w:szCs w:val="24"/>
          <w:u w:val="single"/>
        </w:rPr>
        <w:tab/>
      </w:r>
      <w:r>
        <w:rPr>
          <w:rFonts w:hint="eastAsia"/>
          <w:sz w:val="24"/>
          <w:szCs w:val="24"/>
          <w:u w:val="single"/>
        </w:rPr>
        <w:t xml:space="preserve">        </w:t>
      </w:r>
      <w:r>
        <w:rPr>
          <w:rFonts w:hint="eastAsia"/>
          <w:sz w:val="24"/>
          <w:szCs w:val="24"/>
        </w:rPr>
        <w:t>）的投标总报价（其中，增值税税率为</w:t>
      </w:r>
      <w:r>
        <w:rPr>
          <w:rFonts w:hint="eastAsia"/>
          <w:sz w:val="24"/>
          <w:szCs w:val="24"/>
          <w:u w:val="single"/>
        </w:rPr>
        <w:tab/>
      </w:r>
      <w:r>
        <w:rPr>
          <w:rFonts w:hint="eastAsia"/>
          <w:sz w:val="24"/>
          <w:szCs w:val="24"/>
        </w:rPr>
        <w:t>）提供</w:t>
      </w:r>
      <w:r>
        <w:rPr>
          <w:rFonts w:hint="eastAsia"/>
          <w:sz w:val="24"/>
          <w:szCs w:val="24"/>
          <w:u w:val="single"/>
        </w:rPr>
        <w:tab/>
      </w:r>
      <w:r>
        <w:rPr>
          <w:rFonts w:hint="eastAsia"/>
          <w:sz w:val="24"/>
          <w:szCs w:val="24"/>
        </w:rPr>
        <w:t>（设备名称及技术服务和质保期服务），并按合同约定履行义务。</w:t>
      </w:r>
    </w:p>
    <w:p>
      <w:pPr>
        <w:rPr>
          <w:sz w:val="24"/>
          <w:szCs w:val="24"/>
        </w:rPr>
      </w:pPr>
      <w:r>
        <w:rPr>
          <w:rFonts w:hint="eastAsia"/>
          <w:sz w:val="24"/>
          <w:szCs w:val="24"/>
        </w:rPr>
        <w:t>2．我方的投标文件包括下列内容：</w:t>
      </w:r>
    </w:p>
    <w:p>
      <w:pPr>
        <w:rPr>
          <w:sz w:val="24"/>
          <w:szCs w:val="24"/>
        </w:rPr>
      </w:pPr>
      <w:r>
        <w:rPr>
          <w:rFonts w:hint="eastAsia"/>
          <w:sz w:val="24"/>
          <w:szCs w:val="24"/>
        </w:rPr>
        <w:t>（1）投标函；</w:t>
      </w:r>
    </w:p>
    <w:p>
      <w:pPr>
        <w:rPr>
          <w:sz w:val="24"/>
          <w:szCs w:val="24"/>
        </w:rPr>
      </w:pPr>
      <w:r>
        <w:rPr>
          <w:rFonts w:hint="eastAsia"/>
          <w:sz w:val="24"/>
          <w:szCs w:val="24"/>
        </w:rPr>
        <w:t>（2）法定代表人（单位负责人）身份证明</w:t>
      </w:r>
    </w:p>
    <w:p>
      <w:pPr>
        <w:rPr>
          <w:sz w:val="24"/>
          <w:szCs w:val="24"/>
        </w:rPr>
      </w:pPr>
      <w:r>
        <w:rPr>
          <w:rFonts w:hint="eastAsia"/>
          <w:sz w:val="24"/>
          <w:szCs w:val="24"/>
        </w:rPr>
        <w:t>（3）授权委托书；</w:t>
      </w:r>
    </w:p>
    <w:p>
      <w:pPr>
        <w:rPr>
          <w:sz w:val="24"/>
          <w:szCs w:val="24"/>
        </w:rPr>
      </w:pPr>
      <w:r>
        <w:rPr>
          <w:rFonts w:hint="eastAsia"/>
          <w:sz w:val="24"/>
          <w:szCs w:val="24"/>
        </w:rPr>
        <w:t>（4）联合体协议书（如有）；</w:t>
      </w:r>
    </w:p>
    <w:p>
      <w:pPr>
        <w:rPr>
          <w:sz w:val="24"/>
          <w:szCs w:val="24"/>
        </w:rPr>
      </w:pPr>
      <w:r>
        <w:rPr>
          <w:rFonts w:hint="eastAsia"/>
          <w:sz w:val="24"/>
          <w:szCs w:val="24"/>
        </w:rPr>
        <w:t>（5）投标保证金（如有）；</w:t>
      </w:r>
    </w:p>
    <w:p>
      <w:pPr>
        <w:rPr>
          <w:sz w:val="24"/>
          <w:szCs w:val="24"/>
        </w:rPr>
      </w:pPr>
      <w:r>
        <w:rPr>
          <w:rFonts w:hint="eastAsia"/>
          <w:sz w:val="24"/>
          <w:szCs w:val="24"/>
        </w:rPr>
        <w:t>（6）商务和技术偏差表；</w:t>
      </w:r>
    </w:p>
    <w:p>
      <w:pPr>
        <w:rPr>
          <w:sz w:val="24"/>
          <w:szCs w:val="24"/>
        </w:rPr>
      </w:pPr>
      <w:r>
        <w:rPr>
          <w:rFonts w:hint="eastAsia"/>
          <w:sz w:val="24"/>
          <w:szCs w:val="24"/>
        </w:rPr>
        <w:t>（7）分项报价表；</w:t>
      </w:r>
    </w:p>
    <w:p>
      <w:pPr>
        <w:rPr>
          <w:sz w:val="24"/>
          <w:szCs w:val="24"/>
        </w:rPr>
      </w:pPr>
      <w:r>
        <w:rPr>
          <w:rFonts w:hint="eastAsia"/>
          <w:sz w:val="24"/>
          <w:szCs w:val="24"/>
        </w:rPr>
        <w:t>（8）资格审查资料；</w:t>
      </w:r>
    </w:p>
    <w:p>
      <w:pPr>
        <w:rPr>
          <w:sz w:val="24"/>
          <w:szCs w:val="24"/>
        </w:rPr>
      </w:pPr>
      <w:r>
        <w:rPr>
          <w:rFonts w:hint="eastAsia"/>
          <w:sz w:val="24"/>
          <w:szCs w:val="24"/>
        </w:rPr>
        <w:t>（9）投标设备技术性能指标的详细描述；</w:t>
      </w:r>
    </w:p>
    <w:p>
      <w:pPr>
        <w:rPr>
          <w:sz w:val="24"/>
          <w:szCs w:val="24"/>
        </w:rPr>
      </w:pPr>
      <w:r>
        <w:rPr>
          <w:rFonts w:hint="eastAsia"/>
          <w:sz w:val="24"/>
          <w:szCs w:val="24"/>
        </w:rPr>
        <w:t>（10）技术支持资料；</w:t>
      </w:r>
    </w:p>
    <w:p>
      <w:pPr>
        <w:rPr>
          <w:sz w:val="24"/>
          <w:szCs w:val="24"/>
        </w:rPr>
      </w:pPr>
      <w:r>
        <w:rPr>
          <w:rFonts w:hint="eastAsia"/>
          <w:sz w:val="24"/>
          <w:szCs w:val="24"/>
        </w:rPr>
        <w:t>（11）技术服务和质保期服务计划；</w:t>
      </w:r>
    </w:p>
    <w:p>
      <w:pPr>
        <w:rPr>
          <w:sz w:val="24"/>
          <w:szCs w:val="24"/>
        </w:rPr>
      </w:pPr>
      <w:r>
        <w:rPr>
          <w:sz w:val="24"/>
          <w:szCs w:val="24"/>
        </w:rPr>
        <w:t>（</w:t>
      </w:r>
      <w:r>
        <w:rPr>
          <w:rFonts w:hint="eastAsia"/>
          <w:sz w:val="24"/>
          <w:szCs w:val="24"/>
        </w:rPr>
        <w:t>12</w:t>
      </w:r>
      <w:r>
        <w:rPr>
          <w:sz w:val="24"/>
          <w:szCs w:val="24"/>
        </w:rPr>
        <w:t>）</w:t>
      </w:r>
      <w:r>
        <w:rPr>
          <w:rFonts w:hint="eastAsia"/>
          <w:sz w:val="24"/>
          <w:szCs w:val="24"/>
        </w:rPr>
        <w:t>其它</w:t>
      </w:r>
      <w:r>
        <w:rPr>
          <w:sz w:val="24"/>
          <w:szCs w:val="24"/>
        </w:rPr>
        <w:t>资料；</w:t>
      </w:r>
    </w:p>
    <w:p>
      <w:pPr>
        <w:rPr>
          <w:sz w:val="24"/>
          <w:szCs w:val="24"/>
        </w:rPr>
      </w:pPr>
      <w:r>
        <w:rPr>
          <w:rFonts w:hint="eastAsia"/>
          <w:sz w:val="24"/>
          <w:szCs w:val="24"/>
        </w:rPr>
        <w:t>投标文件的上述组成部分如存在内容不一致的，以投标函为准。</w:t>
      </w:r>
    </w:p>
    <w:p>
      <w:pPr>
        <w:rPr>
          <w:sz w:val="24"/>
          <w:szCs w:val="24"/>
        </w:rPr>
      </w:pPr>
      <w:r>
        <w:rPr>
          <w:rFonts w:hint="eastAsia"/>
          <w:sz w:val="24"/>
          <w:szCs w:val="24"/>
        </w:rPr>
        <w:t>3．我方承诺除商务和技术偏差表列出的偏差外，我方响应招标文件的全部要求。</w:t>
      </w:r>
    </w:p>
    <w:p>
      <w:pPr>
        <w:rPr>
          <w:sz w:val="24"/>
          <w:szCs w:val="24"/>
        </w:rPr>
      </w:pPr>
      <w:r>
        <w:rPr>
          <w:rFonts w:hint="eastAsia"/>
          <w:sz w:val="24"/>
          <w:szCs w:val="24"/>
        </w:rPr>
        <w:t>4．我方承诺在招标文件规定的投标有效期内不撤销投标文件。</w:t>
      </w:r>
    </w:p>
    <w:p>
      <w:pPr>
        <w:rPr>
          <w:sz w:val="24"/>
          <w:szCs w:val="24"/>
        </w:rPr>
      </w:pPr>
      <w:r>
        <w:rPr>
          <w:rFonts w:hint="eastAsia"/>
          <w:sz w:val="24"/>
          <w:szCs w:val="24"/>
        </w:rPr>
        <w:t>5．如我方中标，我方承诺：</w:t>
      </w:r>
    </w:p>
    <w:p>
      <w:pPr>
        <w:rPr>
          <w:sz w:val="24"/>
          <w:szCs w:val="24"/>
        </w:rPr>
      </w:pPr>
      <w:r>
        <w:rPr>
          <w:rFonts w:hint="eastAsia"/>
          <w:sz w:val="24"/>
          <w:szCs w:val="24"/>
        </w:rPr>
        <w:t>（1）在收到中标通知书后，在中标通知书规定的期限内与你方签订合同；</w:t>
      </w:r>
    </w:p>
    <w:p>
      <w:pPr>
        <w:rPr>
          <w:sz w:val="24"/>
          <w:szCs w:val="24"/>
        </w:rPr>
      </w:pPr>
      <w:r>
        <w:rPr>
          <w:rFonts w:hint="eastAsia"/>
          <w:sz w:val="24"/>
          <w:szCs w:val="24"/>
        </w:rPr>
        <w:t>（2）在签订合同时不向你方提出附加条件；</w:t>
      </w:r>
    </w:p>
    <w:p>
      <w:pPr>
        <w:rPr>
          <w:sz w:val="24"/>
          <w:szCs w:val="24"/>
        </w:rPr>
      </w:pPr>
      <w:r>
        <w:rPr>
          <w:rFonts w:hint="eastAsia"/>
          <w:sz w:val="24"/>
          <w:szCs w:val="24"/>
        </w:rPr>
        <w:t>（3）按照招标文件要求提交履约保证金；</w:t>
      </w:r>
    </w:p>
    <w:p>
      <w:pPr>
        <w:rPr>
          <w:sz w:val="24"/>
          <w:szCs w:val="24"/>
        </w:rPr>
      </w:pPr>
      <w:r>
        <w:rPr>
          <w:rFonts w:hint="eastAsia"/>
          <w:sz w:val="24"/>
          <w:szCs w:val="24"/>
        </w:rPr>
        <w:t>（4）在合同约定的期限内完成合同规定的全部义务。</w:t>
      </w:r>
    </w:p>
    <w:p>
      <w:pPr>
        <w:rPr>
          <w:sz w:val="24"/>
          <w:szCs w:val="24"/>
        </w:rPr>
      </w:pPr>
      <w:r>
        <w:rPr>
          <w:rFonts w:hint="eastAsia"/>
          <w:sz w:val="24"/>
          <w:szCs w:val="24"/>
        </w:rPr>
        <w:t>6．我方在此声明，所递交的投标文件及有关资料内容完整、真实和准确，且不存在第二章 “投标人须知”第1.4.3项规定的任何一种情形。</w:t>
      </w:r>
    </w:p>
    <w:p>
      <w:pPr>
        <w:rPr>
          <w:sz w:val="24"/>
          <w:szCs w:val="24"/>
        </w:rPr>
      </w:pPr>
      <w:r>
        <w:rPr>
          <w:rFonts w:hint="eastAsia"/>
          <w:sz w:val="24"/>
          <w:szCs w:val="24"/>
        </w:rPr>
        <w:t>7．投标保证金的递交情况：（形式）（金额）；交货期：；</w:t>
      </w:r>
    </w:p>
    <w:p>
      <w:pPr>
        <w:ind w:firstLine="0" w:firstLineChars="0"/>
        <w:rPr>
          <w:sz w:val="24"/>
          <w:szCs w:val="24"/>
        </w:rPr>
      </w:pPr>
      <w:r>
        <w:rPr>
          <w:rFonts w:hint="eastAsia"/>
          <w:sz w:val="24"/>
          <w:szCs w:val="24"/>
        </w:rPr>
        <w:t>交货地点：。</w:t>
      </w:r>
    </w:p>
    <w:p>
      <w:pPr>
        <w:rPr>
          <w:sz w:val="24"/>
          <w:szCs w:val="24"/>
        </w:rPr>
      </w:pPr>
      <w:r>
        <w:rPr>
          <w:rFonts w:hint="eastAsia"/>
          <w:sz w:val="24"/>
          <w:szCs w:val="24"/>
        </w:rPr>
        <w:t>8.</w:t>
      </w:r>
      <w:r>
        <w:rPr>
          <w:sz w:val="24"/>
          <w:szCs w:val="24"/>
        </w:rPr>
        <w:t>其他补充说明）。</w:t>
      </w:r>
    </w:p>
    <w:p>
      <w:pPr>
        <w:ind w:firstLine="2880" w:firstLineChars="1200"/>
        <w:rPr>
          <w:sz w:val="24"/>
          <w:szCs w:val="24"/>
        </w:rPr>
      </w:pPr>
      <w:r>
        <w:rPr>
          <w:rFonts w:hint="eastAsia"/>
          <w:sz w:val="24"/>
          <w:szCs w:val="24"/>
        </w:rPr>
        <w:t>投 标 人：</w:t>
      </w:r>
      <w:r>
        <w:rPr>
          <w:rFonts w:hint="eastAsia"/>
          <w:sz w:val="24"/>
          <w:szCs w:val="24"/>
          <w:u w:val="single"/>
        </w:rPr>
        <w:tab/>
      </w:r>
      <w:r>
        <w:rPr>
          <w:rFonts w:hint="eastAsia"/>
          <w:sz w:val="24"/>
          <w:szCs w:val="24"/>
        </w:rPr>
        <w:t>（盖单位章）</w:t>
      </w:r>
    </w:p>
    <w:p>
      <w:pPr>
        <w:ind w:firstLine="3360" w:firstLineChars="1400"/>
        <w:rPr>
          <w:sz w:val="24"/>
          <w:szCs w:val="24"/>
        </w:rPr>
      </w:pPr>
      <w:r>
        <w:rPr>
          <w:rFonts w:hint="eastAsia"/>
          <w:sz w:val="24"/>
          <w:szCs w:val="24"/>
        </w:rPr>
        <w:t>法定代表人（单位负责人）或其委托代理人：</w:t>
      </w:r>
      <w:r>
        <w:rPr>
          <w:rFonts w:hint="eastAsia"/>
          <w:sz w:val="24"/>
          <w:szCs w:val="24"/>
          <w:u w:val="single"/>
        </w:rPr>
        <w:tab/>
      </w:r>
      <w:r>
        <w:rPr>
          <w:rFonts w:hint="eastAsia"/>
          <w:sz w:val="24"/>
          <w:szCs w:val="24"/>
        </w:rPr>
        <w:t>（签字）</w:t>
      </w:r>
    </w:p>
    <w:p>
      <w:pPr>
        <w:ind w:firstLine="3360" w:firstLineChars="1400"/>
        <w:rPr>
          <w:sz w:val="24"/>
          <w:szCs w:val="24"/>
        </w:rPr>
      </w:pPr>
      <w:r>
        <w:rPr>
          <w:rFonts w:hint="eastAsia"/>
          <w:sz w:val="24"/>
          <w:szCs w:val="24"/>
        </w:rPr>
        <w:t>地</w:t>
      </w:r>
      <w:r>
        <w:rPr>
          <w:rFonts w:hint="eastAsia"/>
          <w:sz w:val="24"/>
          <w:szCs w:val="24"/>
        </w:rPr>
        <w:tab/>
      </w:r>
      <w:r>
        <w:rPr>
          <w:rFonts w:hint="eastAsia"/>
          <w:sz w:val="24"/>
          <w:szCs w:val="24"/>
        </w:rPr>
        <w:t xml:space="preserve">址： </w:t>
      </w:r>
      <w:r>
        <w:rPr>
          <w:rFonts w:hint="eastAsia"/>
          <w:sz w:val="24"/>
          <w:szCs w:val="24"/>
        </w:rPr>
        <w:tab/>
      </w:r>
    </w:p>
    <w:p>
      <w:pPr>
        <w:ind w:firstLine="3360" w:firstLineChars="1400"/>
        <w:rPr>
          <w:sz w:val="24"/>
          <w:szCs w:val="24"/>
        </w:rPr>
      </w:pPr>
      <w:r>
        <w:rPr>
          <w:rFonts w:hint="eastAsia"/>
          <w:sz w:val="24"/>
          <w:szCs w:val="24"/>
        </w:rPr>
        <w:t>网</w:t>
      </w:r>
      <w:r>
        <w:rPr>
          <w:rFonts w:hint="eastAsia"/>
          <w:sz w:val="24"/>
          <w:szCs w:val="24"/>
        </w:rPr>
        <w:tab/>
      </w:r>
      <w:r>
        <w:rPr>
          <w:rFonts w:hint="eastAsia"/>
          <w:sz w:val="24"/>
          <w:szCs w:val="24"/>
        </w:rPr>
        <w:t xml:space="preserve">址： </w:t>
      </w:r>
      <w:r>
        <w:rPr>
          <w:rFonts w:hint="eastAsia"/>
          <w:sz w:val="24"/>
          <w:szCs w:val="24"/>
        </w:rPr>
        <w:tab/>
      </w:r>
    </w:p>
    <w:p>
      <w:pPr>
        <w:ind w:firstLine="3360" w:firstLineChars="1400"/>
        <w:rPr>
          <w:sz w:val="24"/>
          <w:szCs w:val="24"/>
        </w:rPr>
      </w:pPr>
      <w:r>
        <w:rPr>
          <w:rFonts w:hint="eastAsia"/>
          <w:sz w:val="24"/>
          <w:szCs w:val="24"/>
        </w:rPr>
        <w:t>电</w:t>
      </w:r>
      <w:r>
        <w:rPr>
          <w:rFonts w:hint="eastAsia"/>
          <w:sz w:val="24"/>
          <w:szCs w:val="24"/>
        </w:rPr>
        <w:tab/>
      </w:r>
      <w:r>
        <w:rPr>
          <w:rFonts w:hint="eastAsia"/>
          <w:sz w:val="24"/>
          <w:szCs w:val="24"/>
        </w:rPr>
        <w:t xml:space="preserve">话： </w:t>
      </w:r>
      <w:r>
        <w:rPr>
          <w:rFonts w:hint="eastAsia"/>
          <w:sz w:val="24"/>
          <w:szCs w:val="24"/>
        </w:rPr>
        <w:tab/>
      </w:r>
    </w:p>
    <w:p>
      <w:pPr>
        <w:ind w:firstLine="3360" w:firstLineChars="1400"/>
        <w:rPr>
          <w:sz w:val="24"/>
          <w:szCs w:val="24"/>
        </w:rPr>
      </w:pPr>
      <w:r>
        <w:rPr>
          <w:rFonts w:hint="eastAsia"/>
          <w:sz w:val="24"/>
          <w:szCs w:val="24"/>
        </w:rPr>
        <w:t>传</w:t>
      </w:r>
      <w:r>
        <w:rPr>
          <w:rFonts w:hint="eastAsia"/>
          <w:sz w:val="24"/>
          <w:szCs w:val="24"/>
        </w:rPr>
        <w:tab/>
      </w:r>
      <w:r>
        <w:rPr>
          <w:rFonts w:hint="eastAsia"/>
          <w:sz w:val="24"/>
          <w:szCs w:val="24"/>
        </w:rPr>
        <w:t xml:space="preserve">真： </w:t>
      </w:r>
      <w:r>
        <w:rPr>
          <w:rFonts w:hint="eastAsia"/>
          <w:sz w:val="24"/>
          <w:szCs w:val="24"/>
        </w:rPr>
        <w:tab/>
      </w:r>
    </w:p>
    <w:p>
      <w:pPr>
        <w:ind w:firstLine="3360" w:firstLineChars="1400"/>
        <w:rPr>
          <w:sz w:val="24"/>
          <w:szCs w:val="24"/>
        </w:rPr>
      </w:pPr>
      <w:r>
        <w:rPr>
          <w:rFonts w:hint="eastAsia"/>
          <w:sz w:val="24"/>
          <w:szCs w:val="24"/>
        </w:rPr>
        <w:t xml:space="preserve">邮政编码： </w:t>
      </w:r>
      <w:r>
        <w:rPr>
          <w:rFonts w:hint="eastAsia"/>
          <w:sz w:val="24"/>
          <w:szCs w:val="24"/>
        </w:rPr>
        <w:tab/>
      </w:r>
    </w:p>
    <w:p>
      <w:pPr>
        <w:rPr>
          <w:sz w:val="24"/>
          <w:szCs w:val="24"/>
        </w:rPr>
      </w:pPr>
    </w:p>
    <w:p>
      <w:pPr>
        <w:pStyle w:val="35"/>
        <w:ind w:firstLine="482"/>
        <w:rPr>
          <w:sz w:val="24"/>
          <w:szCs w:val="24"/>
        </w:rPr>
      </w:pPr>
    </w:p>
    <w:p>
      <w:pPr>
        <w:ind w:firstLine="482"/>
        <w:jc w:val="center"/>
        <w:rPr>
          <w:b/>
          <w:sz w:val="24"/>
          <w:szCs w:val="24"/>
        </w:rPr>
      </w:pPr>
      <w:r>
        <w:rPr>
          <w:rFonts w:hint="eastAsia"/>
          <w:b/>
          <w:sz w:val="24"/>
          <w:szCs w:val="24"/>
        </w:rPr>
        <w:t>二、投标报价汇总表</w:t>
      </w:r>
    </w:p>
    <w:tbl>
      <w:tblPr>
        <w:tblStyle w:val="28"/>
        <w:tblW w:w="9272" w:type="dxa"/>
        <w:jc w:val="center"/>
        <w:tblLayout w:type="fixed"/>
        <w:tblCellMar>
          <w:top w:w="0" w:type="dxa"/>
          <w:left w:w="108" w:type="dxa"/>
          <w:bottom w:w="0" w:type="dxa"/>
          <w:right w:w="108" w:type="dxa"/>
        </w:tblCellMar>
      </w:tblPr>
      <w:tblGrid>
        <w:gridCol w:w="696"/>
        <w:gridCol w:w="136"/>
        <w:gridCol w:w="1595"/>
        <w:gridCol w:w="1129"/>
        <w:gridCol w:w="1795"/>
        <w:gridCol w:w="1307"/>
        <w:gridCol w:w="1307"/>
        <w:gridCol w:w="1307"/>
      </w:tblGrid>
      <w:tr>
        <w:tblPrEx>
          <w:tblCellMar>
            <w:top w:w="0" w:type="dxa"/>
            <w:left w:w="108" w:type="dxa"/>
            <w:bottom w:w="0" w:type="dxa"/>
            <w:right w:w="108" w:type="dxa"/>
          </w:tblCellMar>
        </w:tblPrEx>
        <w:trPr>
          <w:trHeight w:val="23" w:hRule="atLeast"/>
          <w:jc w:val="center"/>
        </w:trPr>
        <w:tc>
          <w:tcPr>
            <w:tcW w:w="832"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r>
              <w:rPr>
                <w:rFonts w:hint="eastAsia" w:ascii="宋体" w:hAnsi="宋体"/>
                <w:kern w:val="0"/>
                <w:sz w:val="24"/>
                <w:szCs w:val="24"/>
              </w:rPr>
              <w:t>序号</w:t>
            </w:r>
          </w:p>
        </w:tc>
        <w:tc>
          <w:tcPr>
            <w:tcW w:w="15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r>
              <w:rPr>
                <w:rFonts w:hint="eastAsia" w:ascii="宋体" w:hAnsi="宋体"/>
                <w:kern w:val="0"/>
                <w:sz w:val="24"/>
                <w:szCs w:val="24"/>
              </w:rPr>
              <w:t>名称</w:t>
            </w: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b/>
                <w:bCs/>
                <w:kern w:val="0"/>
                <w:sz w:val="24"/>
                <w:szCs w:val="24"/>
              </w:rPr>
            </w:pPr>
            <w:r>
              <w:rPr>
                <w:rFonts w:hint="eastAsia" w:ascii="宋体" w:hAnsi="宋体"/>
                <w:b/>
                <w:bCs/>
                <w:kern w:val="0"/>
                <w:sz w:val="24"/>
                <w:szCs w:val="24"/>
              </w:rPr>
              <w:t>规格</w:t>
            </w: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r>
              <w:rPr>
                <w:rFonts w:hint="eastAsia" w:ascii="宋体" w:hAnsi="宋体"/>
                <w:kern w:val="0"/>
                <w:sz w:val="24"/>
                <w:szCs w:val="24"/>
              </w:rPr>
              <w:t>单价（万元）</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r>
              <w:rPr>
                <w:rFonts w:hint="eastAsia" w:ascii="宋体" w:hAnsi="宋体"/>
                <w:kern w:val="0"/>
                <w:sz w:val="24"/>
                <w:szCs w:val="24"/>
              </w:rPr>
              <w:t>数量</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r>
              <w:rPr>
                <w:rFonts w:hint="eastAsia" w:ascii="宋体" w:hAnsi="宋体"/>
                <w:kern w:val="0"/>
                <w:sz w:val="24"/>
                <w:szCs w:val="24"/>
              </w:rPr>
              <w:t>总价（万元）</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r>
              <w:rPr>
                <w:rFonts w:hint="eastAsia" w:ascii="宋体" w:hAnsi="宋体"/>
                <w:kern w:val="0"/>
                <w:sz w:val="24"/>
                <w:szCs w:val="24"/>
              </w:rPr>
              <w:t>备注</w:t>
            </w: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lang w:val="zh-CN"/>
              </w:rPr>
            </w:pPr>
            <w:r>
              <w:rPr>
                <w:rFonts w:hint="eastAsia" w:ascii="宋体" w:hAnsi="宋体"/>
                <w:bCs/>
                <w:sz w:val="24"/>
                <w:szCs w:val="24"/>
                <w:lang w:val="zh-CN"/>
              </w:rPr>
              <w:t>1</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lang w:val="zh-CN"/>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lang w:val="zh-CN"/>
              </w:rPr>
              <w:t>2</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lang w:val="zh-CN"/>
              </w:rPr>
              <w:t>3</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lang w:val="zh-CN"/>
              </w:rPr>
              <w:t>4</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lang w:val="zh-CN"/>
              </w:rPr>
              <w:t>5</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lang w:val="zh-CN"/>
              </w:rPr>
              <w:t>6</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lang w:val="zh-CN"/>
              </w:rPr>
              <w:t>7</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rPr>
              <w:t>8</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rPr>
              <w:t>9</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rPr>
              <w:t>10</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rPr>
              <w:t>11</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rPr>
              <w:t>12</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rPr>
              <w:t>13</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rPr>
              <w:t>14</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rPr>
              <w:t>15</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rPr>
              <w:t>16</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rPr>
              <w:t>17</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rPr>
              <w:t>18</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rPr>
              <w:t>19</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rPr>
              <w:t>20</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rPr>
              <w:t>21</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rPr>
              <w:t>22</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firstLine="0" w:firstLineChars="0"/>
              <w:jc w:val="center"/>
              <w:rPr>
                <w:rFonts w:ascii="宋体" w:hAnsi="宋体"/>
                <w:bCs/>
                <w:sz w:val="24"/>
                <w:szCs w:val="24"/>
              </w:rPr>
            </w:pPr>
            <w:r>
              <w:rPr>
                <w:rFonts w:hint="eastAsia" w:ascii="宋体" w:hAnsi="宋体"/>
                <w:bCs/>
                <w:sz w:val="24"/>
                <w:szCs w:val="24"/>
              </w:rPr>
              <w:t>23</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2427" w:type="dxa"/>
            <w:gridSpan w:val="3"/>
            <w:vMerge w:val="restart"/>
            <w:tcBorders>
              <w:top w:val="single" w:color="auto" w:sz="4" w:space="0"/>
              <w:left w:val="single" w:color="auto" w:sz="4" w:space="0"/>
              <w:right w:val="single" w:color="auto" w:sz="4" w:space="0"/>
            </w:tcBorders>
            <w:vAlign w:val="center"/>
          </w:tcPr>
          <w:p>
            <w:pPr>
              <w:widowControl/>
              <w:ind w:firstLine="0" w:firstLineChars="0"/>
              <w:jc w:val="center"/>
              <w:textAlignment w:val="center"/>
              <w:rPr>
                <w:rFonts w:ascii="宋体" w:hAnsi="宋体"/>
                <w:color w:val="000000"/>
                <w:kern w:val="0"/>
                <w:sz w:val="24"/>
                <w:szCs w:val="24"/>
              </w:rPr>
            </w:pPr>
            <w:r>
              <w:rPr>
                <w:rFonts w:hint="eastAsia" w:ascii="宋体" w:hAnsi="宋体"/>
                <w:color w:val="000000"/>
                <w:kern w:val="0"/>
                <w:sz w:val="24"/>
                <w:szCs w:val="24"/>
              </w:rPr>
              <w:t>合计</w:t>
            </w:r>
          </w:p>
        </w:tc>
        <w:tc>
          <w:tcPr>
            <w:tcW w:w="6845" w:type="dxa"/>
            <w:gridSpan w:val="5"/>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kern w:val="0"/>
                <w:sz w:val="24"/>
                <w:szCs w:val="24"/>
              </w:rPr>
            </w:pPr>
            <w:r>
              <w:rPr>
                <w:rFonts w:hint="eastAsia" w:ascii="宋体" w:hAnsi="宋体"/>
                <w:kern w:val="0"/>
                <w:sz w:val="24"/>
                <w:szCs w:val="24"/>
              </w:rPr>
              <w:t>（大写）</w:t>
            </w:r>
          </w:p>
        </w:tc>
      </w:tr>
      <w:tr>
        <w:tblPrEx>
          <w:tblCellMar>
            <w:top w:w="0" w:type="dxa"/>
            <w:left w:w="108" w:type="dxa"/>
            <w:bottom w:w="0" w:type="dxa"/>
            <w:right w:w="108" w:type="dxa"/>
          </w:tblCellMar>
        </w:tblPrEx>
        <w:trPr>
          <w:trHeight w:val="23" w:hRule="atLeast"/>
          <w:jc w:val="center"/>
        </w:trPr>
        <w:tc>
          <w:tcPr>
            <w:tcW w:w="2427" w:type="dxa"/>
            <w:gridSpan w:val="3"/>
            <w:vMerge w:val="continue"/>
            <w:tcBorders>
              <w:left w:val="single" w:color="auto" w:sz="4" w:space="0"/>
              <w:bottom w:val="single" w:color="auto" w:sz="4" w:space="0"/>
              <w:right w:val="single" w:color="auto" w:sz="4" w:space="0"/>
            </w:tcBorders>
            <w:vAlign w:val="center"/>
          </w:tcPr>
          <w:p>
            <w:pPr>
              <w:widowControl/>
              <w:ind w:firstLine="0" w:firstLineChars="0"/>
              <w:jc w:val="center"/>
              <w:textAlignment w:val="center"/>
              <w:rPr>
                <w:rFonts w:ascii="宋体" w:hAnsi="宋体"/>
                <w:color w:val="000000"/>
                <w:kern w:val="0"/>
                <w:sz w:val="24"/>
                <w:szCs w:val="24"/>
              </w:rPr>
            </w:pPr>
          </w:p>
        </w:tc>
        <w:tc>
          <w:tcPr>
            <w:tcW w:w="6845" w:type="dxa"/>
            <w:gridSpan w:val="5"/>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kern w:val="0"/>
                <w:sz w:val="24"/>
                <w:szCs w:val="24"/>
              </w:rPr>
            </w:pPr>
            <w:r>
              <w:rPr>
                <w:rFonts w:hint="eastAsia" w:ascii="宋体" w:hAnsi="宋体"/>
                <w:kern w:val="0"/>
                <w:sz w:val="24"/>
                <w:szCs w:val="24"/>
              </w:rPr>
              <w:t>（小写）</w:t>
            </w:r>
          </w:p>
        </w:tc>
      </w:tr>
    </w:tbl>
    <w:p>
      <w:pPr>
        <w:rPr>
          <w:sz w:val="24"/>
          <w:szCs w:val="24"/>
        </w:rPr>
      </w:pPr>
      <w:r>
        <w:rPr>
          <w:rFonts w:hint="eastAsia"/>
          <w:sz w:val="24"/>
          <w:szCs w:val="24"/>
        </w:rPr>
        <w:t>交货地点：___</w:t>
      </w:r>
    </w:p>
    <w:p>
      <w:pPr>
        <w:rPr>
          <w:sz w:val="24"/>
          <w:szCs w:val="24"/>
        </w:rPr>
      </w:pPr>
      <w:r>
        <w:rPr>
          <w:rFonts w:hint="eastAsia"/>
          <w:sz w:val="24"/>
          <w:szCs w:val="24"/>
        </w:rPr>
        <w:t>交货期：___</w:t>
      </w:r>
    </w:p>
    <w:p>
      <w:pPr>
        <w:rPr>
          <w:sz w:val="24"/>
          <w:szCs w:val="24"/>
        </w:rPr>
      </w:pPr>
    </w:p>
    <w:p>
      <w:pPr>
        <w:rPr>
          <w:sz w:val="24"/>
          <w:szCs w:val="24"/>
        </w:rPr>
      </w:pPr>
      <w:r>
        <w:rPr>
          <w:rFonts w:hint="eastAsia" w:ascii="宋体" w:hAnsi="宋体"/>
          <w:sz w:val="24"/>
          <w:szCs w:val="24"/>
        </w:rPr>
        <w:t>2.本项目维护年收费</w:t>
      </w:r>
    </w:p>
    <w:tbl>
      <w:tblPr>
        <w:tblStyle w:val="28"/>
        <w:tblW w:w="6845" w:type="dxa"/>
        <w:jc w:val="center"/>
        <w:tblLayout w:type="fixed"/>
        <w:tblCellMar>
          <w:top w:w="0" w:type="dxa"/>
          <w:left w:w="108" w:type="dxa"/>
          <w:bottom w:w="0" w:type="dxa"/>
          <w:right w:w="108" w:type="dxa"/>
        </w:tblCellMar>
      </w:tblPr>
      <w:tblGrid>
        <w:gridCol w:w="6845"/>
      </w:tblGrid>
      <w:tr>
        <w:tblPrEx>
          <w:tblCellMar>
            <w:top w:w="0" w:type="dxa"/>
            <w:left w:w="108" w:type="dxa"/>
            <w:bottom w:w="0" w:type="dxa"/>
            <w:right w:w="108" w:type="dxa"/>
          </w:tblCellMar>
        </w:tblPrEx>
        <w:trPr>
          <w:trHeight w:val="23" w:hRule="atLeast"/>
          <w:jc w:val="center"/>
        </w:trPr>
        <w:tc>
          <w:tcPr>
            <w:tcW w:w="684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kern w:val="0"/>
                <w:sz w:val="24"/>
                <w:szCs w:val="24"/>
              </w:rPr>
            </w:pPr>
            <w:r>
              <w:rPr>
                <w:rFonts w:hint="eastAsia" w:ascii="宋体" w:hAnsi="宋体"/>
                <w:kern w:val="0"/>
                <w:sz w:val="24"/>
                <w:szCs w:val="24"/>
              </w:rPr>
              <w:t>（大写）                     每年</w:t>
            </w:r>
          </w:p>
        </w:tc>
      </w:tr>
      <w:tr>
        <w:tblPrEx>
          <w:tblCellMar>
            <w:top w:w="0" w:type="dxa"/>
            <w:left w:w="108" w:type="dxa"/>
            <w:bottom w:w="0" w:type="dxa"/>
            <w:right w:w="108" w:type="dxa"/>
          </w:tblCellMar>
        </w:tblPrEx>
        <w:trPr>
          <w:trHeight w:val="23" w:hRule="atLeast"/>
          <w:jc w:val="center"/>
        </w:trPr>
        <w:tc>
          <w:tcPr>
            <w:tcW w:w="684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kern w:val="0"/>
                <w:sz w:val="24"/>
                <w:szCs w:val="24"/>
              </w:rPr>
            </w:pPr>
            <w:r>
              <w:rPr>
                <w:rFonts w:hint="eastAsia" w:ascii="宋体" w:hAnsi="宋体"/>
                <w:kern w:val="0"/>
                <w:sz w:val="24"/>
                <w:szCs w:val="24"/>
              </w:rPr>
              <w:t>（小写）                     /年</w:t>
            </w:r>
          </w:p>
        </w:tc>
      </w:tr>
    </w:tbl>
    <w:p>
      <w:pPr>
        <w:ind w:left="0" w:leftChars="0" w:firstLine="0" w:firstLineChars="0"/>
        <w:rPr>
          <w:sz w:val="24"/>
          <w:szCs w:val="24"/>
        </w:rPr>
      </w:pPr>
    </w:p>
    <w:p>
      <w:pPr>
        <w:pStyle w:val="35"/>
        <w:ind w:firstLine="482"/>
        <w:rPr>
          <w:sz w:val="24"/>
          <w:szCs w:val="24"/>
        </w:rPr>
      </w:pPr>
    </w:p>
    <w:p>
      <w:pPr>
        <w:ind w:firstLine="6240" w:firstLineChars="2600"/>
      </w:pPr>
      <w:r>
        <w:rPr>
          <w:rFonts w:hint="eastAsia"/>
          <w:sz w:val="24"/>
          <w:szCs w:val="24"/>
        </w:rPr>
        <w:t xml:space="preserve">年 </w:t>
      </w:r>
      <w:r>
        <w:rPr>
          <w:rFonts w:hint="eastAsia"/>
          <w:sz w:val="24"/>
          <w:szCs w:val="24"/>
        </w:rPr>
        <w:tab/>
      </w:r>
      <w:r>
        <w:rPr>
          <w:rFonts w:hint="eastAsia"/>
          <w:sz w:val="24"/>
          <w:szCs w:val="24"/>
        </w:rPr>
        <w:t xml:space="preserve">月 </w:t>
      </w:r>
      <w:r>
        <w:rPr>
          <w:rFonts w:hint="eastAsia"/>
          <w:sz w:val="24"/>
          <w:szCs w:val="24"/>
        </w:rPr>
        <w:tab/>
      </w:r>
      <w:r>
        <w:rPr>
          <w:rFonts w:hint="eastAsia"/>
          <w:sz w:val="24"/>
          <w:szCs w:val="24"/>
        </w:rPr>
        <w:t>日</w:t>
      </w:r>
      <w:r>
        <w:br w:type="page"/>
      </w:r>
    </w:p>
    <w:p>
      <w:pPr>
        <w:pStyle w:val="6"/>
        <w:jc w:val="center"/>
      </w:pPr>
      <w:bookmarkStart w:id="85" w:name="_Toc5751"/>
    </w:p>
    <w:p>
      <w:pPr>
        <w:pStyle w:val="6"/>
        <w:jc w:val="center"/>
      </w:pPr>
      <w:r>
        <w:t>封面</w:t>
      </w:r>
    </w:p>
    <w:p>
      <w:pPr>
        <w:jc w:val="right"/>
      </w:pPr>
      <w:r>
        <w:t>正本</w:t>
      </w:r>
      <w:r>
        <w:rPr>
          <w:rFonts w:hint="eastAsia"/>
        </w:rPr>
        <w:t>/副本</w:t>
      </w:r>
    </w:p>
    <w:p/>
    <w:p/>
    <w:p/>
    <w:p>
      <w:pPr>
        <w:spacing w:line="360" w:lineRule="auto"/>
        <w:ind w:firstLine="720"/>
        <w:jc w:val="center"/>
        <w:rPr>
          <w:rFonts w:ascii="黑体" w:hAnsi="黑体" w:eastAsia="黑体"/>
          <w:kern w:val="10"/>
          <w:sz w:val="36"/>
          <w:szCs w:val="36"/>
        </w:rPr>
      </w:pPr>
      <w:r>
        <w:rPr>
          <w:rFonts w:hint="eastAsia" w:ascii="黑体" w:hAnsi="黑体" w:eastAsia="黑体"/>
          <w:kern w:val="10"/>
          <w:sz w:val="36"/>
          <w:szCs w:val="36"/>
        </w:rPr>
        <w:t>扬州市洁源排水有限公司</w:t>
      </w:r>
    </w:p>
    <w:p>
      <w:pPr>
        <w:ind w:firstLine="720"/>
        <w:jc w:val="center"/>
        <w:rPr>
          <w:rFonts w:ascii="黑体" w:hAnsi="黑体" w:eastAsia="黑体"/>
          <w:kern w:val="10"/>
          <w:sz w:val="36"/>
          <w:szCs w:val="36"/>
        </w:rPr>
      </w:pPr>
      <w:r>
        <w:rPr>
          <w:rFonts w:hint="eastAsia" w:ascii="黑体" w:hAnsi="黑体" w:eastAsia="黑体"/>
          <w:kern w:val="10"/>
          <w:sz w:val="36"/>
          <w:szCs w:val="36"/>
          <w:lang w:eastAsia="zh-CN"/>
        </w:rPr>
        <w:t>北山污水处理厂</w:t>
      </w:r>
      <w:r>
        <w:rPr>
          <w:rFonts w:hint="eastAsia" w:ascii="黑体" w:hAnsi="黑体" w:eastAsia="黑体"/>
          <w:kern w:val="10"/>
          <w:sz w:val="36"/>
          <w:szCs w:val="36"/>
        </w:rPr>
        <w:t>化验室设备及耗材采购项目</w:t>
      </w:r>
    </w:p>
    <w:p/>
    <w:p/>
    <w:p>
      <w:pPr>
        <w:ind w:firstLine="600"/>
        <w:jc w:val="center"/>
        <w:rPr>
          <w:rFonts w:ascii="黑体" w:hAnsi="黑体" w:eastAsia="黑体" w:cs="黑体"/>
          <w:sz w:val="30"/>
          <w:szCs w:val="30"/>
        </w:rPr>
      </w:pPr>
      <w:r>
        <w:rPr>
          <w:rFonts w:hint="eastAsia" w:ascii="黑体" w:hAnsi="黑体" w:eastAsia="黑体" w:cs="黑体"/>
          <w:sz w:val="30"/>
          <w:szCs w:val="30"/>
        </w:rPr>
        <w:t>投 标 文 件</w:t>
      </w:r>
    </w:p>
    <w:p>
      <w:pPr>
        <w:ind w:firstLine="562"/>
        <w:jc w:val="center"/>
        <w:outlineLvl w:val="1"/>
        <w:rPr>
          <w:rFonts w:ascii="黑体" w:hAnsi="黑体" w:eastAsia="黑体"/>
          <w:b/>
          <w:sz w:val="28"/>
          <w:szCs w:val="28"/>
        </w:rPr>
      </w:pPr>
      <w:r>
        <w:rPr>
          <w:rFonts w:hint="eastAsia" w:ascii="黑体" w:hAnsi="黑体" w:eastAsia="黑体"/>
          <w:b/>
          <w:sz w:val="28"/>
          <w:szCs w:val="28"/>
        </w:rPr>
        <w:t>（技术商务部分）</w:t>
      </w:r>
    </w:p>
    <w:p/>
    <w:p/>
    <w:p/>
    <w:p/>
    <w:p/>
    <w:p/>
    <w:p/>
    <w:p/>
    <w:p/>
    <w:p/>
    <w:p/>
    <w:p/>
    <w:p/>
    <w:p/>
    <w:p/>
    <w:p/>
    <w:p/>
    <w:p/>
    <w:p>
      <w:pPr>
        <w:rPr>
          <w:sz w:val="24"/>
          <w:szCs w:val="24"/>
        </w:rPr>
      </w:pPr>
    </w:p>
    <w:p>
      <w:pPr>
        <w:rPr>
          <w:sz w:val="24"/>
          <w:szCs w:val="24"/>
        </w:rPr>
      </w:pPr>
    </w:p>
    <w:p>
      <w:pPr>
        <w:ind w:firstLine="0" w:firstLineChars="0"/>
        <w:jc w:val="center"/>
        <w:rPr>
          <w:sz w:val="24"/>
          <w:szCs w:val="24"/>
        </w:rPr>
      </w:pPr>
      <w:r>
        <w:rPr>
          <w:rFonts w:hint="eastAsia"/>
          <w:sz w:val="24"/>
          <w:szCs w:val="24"/>
        </w:rPr>
        <w:t>投标人：</w:t>
      </w:r>
      <w:r>
        <w:rPr>
          <w:rFonts w:hint="eastAsia"/>
          <w:sz w:val="24"/>
          <w:szCs w:val="24"/>
          <w:u w:val="single"/>
        </w:rPr>
        <w:tab/>
      </w:r>
      <w:r>
        <w:rPr>
          <w:rFonts w:hint="eastAsia"/>
          <w:sz w:val="24"/>
          <w:szCs w:val="24"/>
        </w:rPr>
        <w:t>（盖单位章）</w:t>
      </w:r>
    </w:p>
    <w:p>
      <w:pPr>
        <w:ind w:firstLine="0" w:firstLineChars="0"/>
        <w:jc w:val="center"/>
      </w:pPr>
      <w:r>
        <w:rPr>
          <w:rFonts w:hint="eastAsia"/>
          <w:sz w:val="24"/>
          <w:szCs w:val="24"/>
        </w:rPr>
        <w:t>法定代表人（单位负责人）或其委托代理人：</w:t>
      </w:r>
      <w:r>
        <w:rPr>
          <w:rFonts w:hint="eastAsia"/>
          <w:sz w:val="24"/>
          <w:szCs w:val="24"/>
          <w:u w:val="single"/>
        </w:rPr>
        <w:tab/>
      </w:r>
      <w:r>
        <w:rPr>
          <w:rFonts w:hint="eastAsia"/>
          <w:sz w:val="24"/>
          <w:szCs w:val="24"/>
          <w:u w:val="single"/>
        </w:rPr>
        <w:tab/>
      </w:r>
      <w:r>
        <w:rPr>
          <w:rFonts w:hint="eastAsia"/>
          <w:sz w:val="24"/>
          <w:szCs w:val="24"/>
        </w:rPr>
        <w:t>（签字）</w:t>
      </w:r>
    </w:p>
    <w:p>
      <w:pPr>
        <w:pStyle w:val="6"/>
        <w:jc w:val="both"/>
      </w:pPr>
    </w:p>
    <w:p>
      <w:pPr>
        <w:pStyle w:val="6"/>
        <w:jc w:val="center"/>
      </w:pPr>
      <w:r>
        <w:rPr>
          <w:rFonts w:hint="eastAsia"/>
        </w:rPr>
        <w:t>目录</w:t>
      </w:r>
    </w:p>
    <w:p>
      <w:pPr>
        <w:spacing w:line="360" w:lineRule="auto"/>
        <w:rPr>
          <w:sz w:val="24"/>
          <w:szCs w:val="24"/>
        </w:rPr>
      </w:pPr>
      <w:r>
        <w:rPr>
          <w:rFonts w:hint="eastAsia"/>
          <w:sz w:val="24"/>
          <w:szCs w:val="24"/>
        </w:rPr>
        <w:t>一、法定代表人（单位负责人）身份证明</w:t>
      </w:r>
    </w:p>
    <w:p>
      <w:pPr>
        <w:spacing w:line="360" w:lineRule="auto"/>
        <w:rPr>
          <w:sz w:val="24"/>
          <w:szCs w:val="24"/>
        </w:rPr>
      </w:pPr>
      <w:r>
        <w:rPr>
          <w:rFonts w:hint="eastAsia"/>
          <w:sz w:val="24"/>
          <w:szCs w:val="24"/>
        </w:rPr>
        <w:t>二、授权委托书（适用于有委托代理人的情况）</w:t>
      </w:r>
    </w:p>
    <w:p>
      <w:pPr>
        <w:spacing w:line="360" w:lineRule="auto"/>
        <w:rPr>
          <w:sz w:val="24"/>
          <w:szCs w:val="24"/>
        </w:rPr>
      </w:pPr>
      <w:r>
        <w:rPr>
          <w:rFonts w:hint="eastAsia"/>
          <w:sz w:val="24"/>
          <w:szCs w:val="24"/>
        </w:rPr>
        <w:t>三、投标保证金</w:t>
      </w:r>
    </w:p>
    <w:p>
      <w:pPr>
        <w:spacing w:line="360" w:lineRule="auto"/>
        <w:rPr>
          <w:sz w:val="24"/>
          <w:szCs w:val="24"/>
        </w:rPr>
      </w:pPr>
      <w:r>
        <w:rPr>
          <w:rFonts w:hint="eastAsia"/>
          <w:sz w:val="24"/>
          <w:szCs w:val="24"/>
        </w:rPr>
        <w:t>四、商务和技术偏差表</w:t>
      </w:r>
    </w:p>
    <w:p>
      <w:pPr>
        <w:spacing w:line="360" w:lineRule="auto"/>
        <w:rPr>
          <w:sz w:val="24"/>
          <w:szCs w:val="24"/>
        </w:rPr>
      </w:pPr>
      <w:r>
        <w:rPr>
          <w:rFonts w:hint="eastAsia"/>
          <w:sz w:val="24"/>
          <w:szCs w:val="24"/>
        </w:rPr>
        <w:t>五、报价表</w:t>
      </w:r>
    </w:p>
    <w:p>
      <w:pPr>
        <w:spacing w:line="360" w:lineRule="auto"/>
        <w:rPr>
          <w:sz w:val="24"/>
          <w:szCs w:val="24"/>
        </w:rPr>
      </w:pPr>
      <w:r>
        <w:rPr>
          <w:rFonts w:hint="eastAsia"/>
          <w:sz w:val="24"/>
          <w:szCs w:val="24"/>
        </w:rPr>
        <w:t>六、资格审查资料</w:t>
      </w:r>
    </w:p>
    <w:p>
      <w:pPr>
        <w:spacing w:line="360" w:lineRule="auto"/>
        <w:rPr>
          <w:sz w:val="24"/>
          <w:szCs w:val="24"/>
        </w:rPr>
      </w:pPr>
      <w:r>
        <w:rPr>
          <w:rFonts w:hint="eastAsia"/>
          <w:sz w:val="24"/>
          <w:szCs w:val="24"/>
        </w:rPr>
        <w:t>七、投标设备技术性能指标的详细描述</w:t>
      </w:r>
    </w:p>
    <w:p>
      <w:pPr>
        <w:spacing w:line="360" w:lineRule="auto"/>
        <w:rPr>
          <w:sz w:val="24"/>
          <w:szCs w:val="24"/>
        </w:rPr>
      </w:pPr>
      <w:r>
        <w:rPr>
          <w:rFonts w:hint="eastAsia"/>
          <w:sz w:val="24"/>
          <w:szCs w:val="24"/>
        </w:rPr>
        <w:t>八、技术支持资料</w:t>
      </w:r>
    </w:p>
    <w:p>
      <w:pPr>
        <w:spacing w:line="360" w:lineRule="auto"/>
        <w:rPr>
          <w:sz w:val="24"/>
          <w:szCs w:val="24"/>
        </w:rPr>
      </w:pPr>
      <w:r>
        <w:rPr>
          <w:rFonts w:hint="eastAsia"/>
          <w:sz w:val="24"/>
          <w:szCs w:val="24"/>
        </w:rPr>
        <w:t>九、技术服务和质保期服务计划</w:t>
      </w:r>
    </w:p>
    <w:p>
      <w:pPr>
        <w:spacing w:line="360" w:lineRule="auto"/>
        <w:rPr>
          <w:sz w:val="24"/>
          <w:szCs w:val="24"/>
        </w:rPr>
      </w:pPr>
      <w:r>
        <w:rPr>
          <w:rFonts w:hint="eastAsia"/>
          <w:sz w:val="24"/>
          <w:szCs w:val="24"/>
        </w:rPr>
        <w:t>十、其他资料</w:t>
      </w:r>
    </w:p>
    <w:p/>
    <w:p>
      <w:pPr>
        <w:pStyle w:val="35"/>
        <w:ind w:firstLine="482"/>
      </w:pPr>
    </w:p>
    <w:p>
      <w:pPr>
        <w:pStyle w:val="36"/>
      </w:pPr>
    </w:p>
    <w:p>
      <w:pPr>
        <w:pStyle w:val="36"/>
      </w:pPr>
    </w:p>
    <w:p>
      <w:pPr>
        <w:pStyle w:val="36"/>
      </w:pPr>
    </w:p>
    <w:p>
      <w:pPr>
        <w:pStyle w:val="36"/>
      </w:pPr>
    </w:p>
    <w:p>
      <w:pPr>
        <w:pStyle w:val="36"/>
      </w:pPr>
    </w:p>
    <w:p>
      <w:pPr>
        <w:pStyle w:val="36"/>
      </w:pPr>
    </w:p>
    <w:p>
      <w:pPr>
        <w:pStyle w:val="36"/>
      </w:pPr>
    </w:p>
    <w:p>
      <w:pPr>
        <w:pStyle w:val="36"/>
      </w:pPr>
    </w:p>
    <w:p>
      <w:pPr>
        <w:pStyle w:val="36"/>
      </w:pPr>
    </w:p>
    <w:p>
      <w:pPr>
        <w:pStyle w:val="36"/>
      </w:pPr>
    </w:p>
    <w:p>
      <w:pPr>
        <w:pStyle w:val="36"/>
      </w:pPr>
    </w:p>
    <w:p>
      <w:pPr>
        <w:pStyle w:val="36"/>
      </w:pPr>
    </w:p>
    <w:p>
      <w:pPr>
        <w:pStyle w:val="36"/>
      </w:pPr>
    </w:p>
    <w:p>
      <w:pPr>
        <w:pStyle w:val="6"/>
        <w:jc w:val="center"/>
        <w:rPr>
          <w:sz w:val="24"/>
          <w:szCs w:val="24"/>
        </w:rPr>
      </w:pPr>
    </w:p>
    <w:p>
      <w:pPr>
        <w:pStyle w:val="6"/>
        <w:jc w:val="center"/>
        <w:rPr>
          <w:sz w:val="24"/>
          <w:szCs w:val="24"/>
        </w:rPr>
      </w:pPr>
      <w:r>
        <w:rPr>
          <w:rFonts w:hint="eastAsia"/>
          <w:sz w:val="24"/>
          <w:szCs w:val="24"/>
        </w:rPr>
        <w:t>一、法定代表人（单位负责人）身份证明</w:t>
      </w:r>
      <w:bookmarkEnd w:id="85"/>
    </w:p>
    <w:p>
      <w:pPr>
        <w:rPr>
          <w:sz w:val="24"/>
          <w:szCs w:val="24"/>
          <w:u w:val="single"/>
        </w:rPr>
      </w:pPr>
      <w:r>
        <w:rPr>
          <w:rFonts w:hint="eastAsia"/>
          <w:sz w:val="24"/>
          <w:szCs w:val="24"/>
        </w:rPr>
        <w:t>投标人名称：</w:t>
      </w:r>
      <w:r>
        <w:rPr>
          <w:rFonts w:hint="eastAsia"/>
          <w:sz w:val="24"/>
          <w:szCs w:val="24"/>
          <w:u w:val="single"/>
        </w:rPr>
        <w:tab/>
      </w:r>
    </w:p>
    <w:p>
      <w:pPr>
        <w:rPr>
          <w:sz w:val="24"/>
          <w:szCs w:val="24"/>
        </w:rPr>
      </w:pPr>
    </w:p>
    <w:p>
      <w:pPr>
        <w:rPr>
          <w:sz w:val="24"/>
          <w:szCs w:val="24"/>
        </w:rPr>
      </w:pPr>
      <w:r>
        <w:rPr>
          <w:rFonts w:hint="eastAsia"/>
          <w:sz w:val="24"/>
          <w:szCs w:val="24"/>
        </w:rPr>
        <w:t>姓名：</w:t>
      </w:r>
      <w:r>
        <w:rPr>
          <w:rFonts w:hint="eastAsia"/>
          <w:sz w:val="24"/>
          <w:szCs w:val="24"/>
          <w:u w:val="single"/>
        </w:rPr>
        <w:tab/>
      </w:r>
      <w:r>
        <w:rPr>
          <w:rFonts w:hint="eastAsia"/>
          <w:sz w:val="24"/>
          <w:szCs w:val="24"/>
        </w:rPr>
        <w:t>性别：</w:t>
      </w:r>
      <w:r>
        <w:rPr>
          <w:rFonts w:hint="eastAsia"/>
          <w:sz w:val="24"/>
          <w:szCs w:val="24"/>
          <w:u w:val="single"/>
        </w:rPr>
        <w:tab/>
      </w:r>
      <w:r>
        <w:rPr>
          <w:rFonts w:hint="eastAsia"/>
          <w:sz w:val="24"/>
          <w:szCs w:val="24"/>
        </w:rPr>
        <w:t>年龄：</w:t>
      </w:r>
      <w:r>
        <w:rPr>
          <w:rFonts w:hint="eastAsia"/>
          <w:sz w:val="24"/>
          <w:szCs w:val="24"/>
          <w:u w:val="single"/>
        </w:rPr>
        <w:tab/>
      </w:r>
      <w:r>
        <w:rPr>
          <w:rFonts w:hint="eastAsia"/>
          <w:sz w:val="24"/>
          <w:szCs w:val="24"/>
        </w:rPr>
        <w:t>职务：</w:t>
      </w:r>
      <w:r>
        <w:rPr>
          <w:rFonts w:hint="eastAsia"/>
          <w:sz w:val="24"/>
          <w:szCs w:val="24"/>
        </w:rPr>
        <w:tab/>
      </w:r>
    </w:p>
    <w:p>
      <w:pPr>
        <w:rPr>
          <w:sz w:val="24"/>
          <w:szCs w:val="24"/>
        </w:rPr>
      </w:pPr>
    </w:p>
    <w:p>
      <w:pPr>
        <w:rPr>
          <w:sz w:val="24"/>
          <w:szCs w:val="24"/>
        </w:rPr>
      </w:pPr>
      <w:r>
        <w:rPr>
          <w:rFonts w:hint="eastAsia"/>
          <w:sz w:val="24"/>
          <w:szCs w:val="24"/>
        </w:rPr>
        <w:t>系</w:t>
      </w:r>
      <w:r>
        <w:rPr>
          <w:rFonts w:hint="eastAsia"/>
          <w:sz w:val="24"/>
          <w:szCs w:val="24"/>
          <w:u w:val="single"/>
        </w:rPr>
        <w:tab/>
      </w:r>
      <w:r>
        <w:rPr>
          <w:rFonts w:hint="eastAsia"/>
          <w:sz w:val="24"/>
          <w:szCs w:val="24"/>
        </w:rPr>
        <w:t>（投标人名称）的法定代表人（单位负责人）。</w:t>
      </w:r>
    </w:p>
    <w:p>
      <w:pPr>
        <w:rPr>
          <w:sz w:val="24"/>
          <w:szCs w:val="24"/>
        </w:rPr>
      </w:pPr>
    </w:p>
    <w:p>
      <w:pPr>
        <w:rPr>
          <w:sz w:val="24"/>
          <w:szCs w:val="24"/>
        </w:rPr>
      </w:pPr>
      <w:r>
        <w:rPr>
          <w:rFonts w:hint="eastAsia"/>
          <w:sz w:val="24"/>
          <w:szCs w:val="24"/>
        </w:rPr>
        <w:t>特此证明。</w:t>
      </w:r>
    </w:p>
    <w:p>
      <w:pPr>
        <w:rPr>
          <w:sz w:val="24"/>
          <w:szCs w:val="24"/>
        </w:rPr>
      </w:pPr>
    </w:p>
    <w:p>
      <w:pPr>
        <w:rPr>
          <w:sz w:val="24"/>
          <w:szCs w:val="24"/>
        </w:rPr>
      </w:pPr>
      <w:r>
        <w:rPr>
          <w:rFonts w:hint="eastAsia"/>
          <w:sz w:val="24"/>
          <w:szCs w:val="24"/>
        </w:rPr>
        <w:t>附：法定代表人（单位负责人）身份证原件复印件或扫描件。</w:t>
      </w:r>
    </w:p>
    <w:p>
      <w:pPr>
        <w:rPr>
          <w:sz w:val="24"/>
          <w:szCs w:val="24"/>
        </w:rPr>
      </w:pPr>
    </w:p>
    <w:p>
      <w:pPr>
        <w:rPr>
          <w:sz w:val="24"/>
          <w:szCs w:val="24"/>
        </w:rPr>
      </w:pPr>
      <w:r>
        <w:rPr>
          <w:rFonts w:hint="eastAsia"/>
          <w:sz w:val="24"/>
          <w:szCs w:val="24"/>
        </w:rPr>
        <w:t>注：本身份证明需由投标人加盖单位公章。</w:t>
      </w:r>
    </w:p>
    <w:p>
      <w:pPr>
        <w:rPr>
          <w:sz w:val="24"/>
          <w:szCs w:val="24"/>
        </w:rPr>
      </w:pPr>
    </w:p>
    <w:p>
      <w:pPr>
        <w:ind w:firstLine="5520" w:firstLineChars="2300"/>
        <w:rPr>
          <w:sz w:val="24"/>
          <w:szCs w:val="24"/>
        </w:rPr>
      </w:pPr>
      <w:r>
        <w:rPr>
          <w:rFonts w:hint="eastAsia"/>
          <w:sz w:val="24"/>
          <w:szCs w:val="24"/>
        </w:rPr>
        <w:t>投标人：</w:t>
      </w:r>
      <w:r>
        <w:rPr>
          <w:rFonts w:hint="eastAsia"/>
          <w:sz w:val="24"/>
          <w:szCs w:val="24"/>
          <w:u w:val="single"/>
        </w:rPr>
        <w:tab/>
      </w:r>
      <w:r>
        <w:rPr>
          <w:rFonts w:hint="eastAsia"/>
          <w:sz w:val="24"/>
          <w:szCs w:val="24"/>
        </w:rPr>
        <w:t>（单位公章）</w:t>
      </w:r>
    </w:p>
    <w:p>
      <w:pPr>
        <w:rPr>
          <w:sz w:val="24"/>
          <w:szCs w:val="24"/>
        </w:rPr>
      </w:pPr>
    </w:p>
    <w:p>
      <w:pPr>
        <w:ind w:firstLine="6480" w:firstLineChars="2700"/>
        <w:rPr>
          <w:sz w:val="24"/>
          <w:szCs w:val="24"/>
        </w:rPr>
      </w:pPr>
      <w:r>
        <w:rPr>
          <w:rFonts w:hint="eastAsia"/>
          <w:sz w:val="24"/>
          <w:szCs w:val="24"/>
        </w:rPr>
        <w:tab/>
      </w:r>
      <w:r>
        <w:rPr>
          <w:rFonts w:hint="eastAsia"/>
          <w:sz w:val="24"/>
          <w:szCs w:val="24"/>
        </w:rPr>
        <w:t xml:space="preserve">年 </w:t>
      </w:r>
      <w:r>
        <w:rPr>
          <w:rFonts w:hint="eastAsia"/>
          <w:sz w:val="24"/>
          <w:szCs w:val="24"/>
        </w:rPr>
        <w:tab/>
      </w:r>
      <w:r>
        <w:rPr>
          <w:rFonts w:hint="eastAsia"/>
          <w:sz w:val="24"/>
          <w:szCs w:val="24"/>
        </w:rPr>
        <w:t xml:space="preserve">月 </w:t>
      </w:r>
      <w:r>
        <w:rPr>
          <w:rFonts w:hint="eastAsia"/>
          <w:sz w:val="24"/>
          <w:szCs w:val="24"/>
        </w:rPr>
        <w:tab/>
      </w:r>
      <w:r>
        <w:rPr>
          <w:rFonts w:hint="eastAsia"/>
          <w:sz w:val="24"/>
          <w:szCs w:val="24"/>
        </w:rPr>
        <w:t>日</w:t>
      </w:r>
    </w:p>
    <w:p>
      <w:pPr>
        <w:rPr>
          <w:sz w:val="24"/>
          <w:szCs w:val="24"/>
        </w:rPr>
      </w:pPr>
    </w:p>
    <w:p>
      <w:pPr>
        <w:pStyle w:val="6"/>
        <w:jc w:val="center"/>
      </w:pPr>
      <w:r>
        <w:rPr>
          <w:rFonts w:hint="eastAsia"/>
        </w:rPr>
        <w:br w:type="page"/>
      </w:r>
    </w:p>
    <w:p>
      <w:pPr>
        <w:pStyle w:val="6"/>
        <w:jc w:val="center"/>
        <w:rPr>
          <w:sz w:val="24"/>
          <w:szCs w:val="24"/>
        </w:rPr>
      </w:pPr>
      <w:bookmarkStart w:id="86" w:name="_Toc12614"/>
      <w:r>
        <w:rPr>
          <w:rFonts w:hint="eastAsia"/>
          <w:sz w:val="24"/>
          <w:szCs w:val="24"/>
        </w:rPr>
        <w:t>二、授权委托书</w:t>
      </w:r>
      <w:bookmarkEnd w:id="86"/>
    </w:p>
    <w:p>
      <w:pPr>
        <w:rPr>
          <w:sz w:val="24"/>
          <w:szCs w:val="24"/>
        </w:rPr>
      </w:pPr>
      <w:r>
        <w:rPr>
          <w:rFonts w:hint="eastAsia"/>
          <w:sz w:val="24"/>
          <w:szCs w:val="24"/>
        </w:rPr>
        <w:t>本人</w:t>
      </w:r>
      <w:r>
        <w:rPr>
          <w:rFonts w:hint="eastAsia"/>
          <w:sz w:val="24"/>
          <w:szCs w:val="24"/>
          <w:u w:val="single"/>
        </w:rPr>
        <w:tab/>
      </w:r>
      <w:r>
        <w:rPr>
          <w:rFonts w:hint="eastAsia"/>
          <w:sz w:val="24"/>
          <w:szCs w:val="24"/>
        </w:rPr>
        <w:t>（姓名）系</w:t>
      </w:r>
      <w:r>
        <w:rPr>
          <w:rFonts w:hint="eastAsia"/>
          <w:sz w:val="24"/>
          <w:szCs w:val="24"/>
          <w:u w:val="single"/>
        </w:rPr>
        <w:tab/>
      </w:r>
      <w:r>
        <w:rPr>
          <w:rFonts w:hint="eastAsia"/>
          <w:sz w:val="24"/>
          <w:szCs w:val="24"/>
        </w:rPr>
        <w:t>（投标人名称）的法定代表人（单位负责人），现委托</w:t>
      </w:r>
      <w:r>
        <w:rPr>
          <w:rFonts w:hint="eastAsia"/>
          <w:sz w:val="24"/>
          <w:szCs w:val="24"/>
          <w:u w:val="single"/>
        </w:rPr>
        <w:tab/>
      </w:r>
      <w:r>
        <w:rPr>
          <w:rFonts w:hint="eastAsia"/>
          <w:sz w:val="24"/>
          <w:szCs w:val="24"/>
        </w:rPr>
        <w:t>（姓名）为我方代理人。代理人根据授权，以我方名义签署、澄清确认、递交、撤回、修改设备采购招标项目投标文件、签订合同和处理有关事宜，其法律 后果由我方承担。</w:t>
      </w:r>
    </w:p>
    <w:p>
      <w:pPr>
        <w:rPr>
          <w:sz w:val="24"/>
          <w:szCs w:val="24"/>
        </w:rPr>
      </w:pPr>
      <w:r>
        <w:rPr>
          <w:rFonts w:hint="eastAsia"/>
          <w:sz w:val="24"/>
          <w:szCs w:val="24"/>
        </w:rPr>
        <w:t>委托期限：</w:t>
      </w:r>
      <w:r>
        <w:rPr>
          <w:rFonts w:hint="eastAsia"/>
          <w:sz w:val="24"/>
          <w:szCs w:val="24"/>
          <w:u w:val="single"/>
        </w:rPr>
        <w:tab/>
      </w:r>
      <w:r>
        <w:rPr>
          <w:rFonts w:hint="eastAsia"/>
          <w:sz w:val="24"/>
          <w:szCs w:val="24"/>
        </w:rPr>
        <w:t>。</w:t>
      </w:r>
    </w:p>
    <w:p>
      <w:pPr>
        <w:rPr>
          <w:sz w:val="24"/>
          <w:szCs w:val="24"/>
        </w:rPr>
      </w:pPr>
    </w:p>
    <w:p>
      <w:pPr>
        <w:rPr>
          <w:sz w:val="24"/>
          <w:szCs w:val="24"/>
        </w:rPr>
      </w:pPr>
      <w:r>
        <w:rPr>
          <w:rFonts w:hint="eastAsia"/>
          <w:sz w:val="24"/>
          <w:szCs w:val="24"/>
        </w:rPr>
        <w:t>代理人无转委托权。</w:t>
      </w:r>
    </w:p>
    <w:p>
      <w:pPr>
        <w:rPr>
          <w:sz w:val="24"/>
          <w:szCs w:val="24"/>
        </w:rPr>
      </w:pPr>
    </w:p>
    <w:p>
      <w:pPr>
        <w:rPr>
          <w:sz w:val="24"/>
          <w:szCs w:val="24"/>
        </w:rPr>
      </w:pPr>
      <w:r>
        <w:rPr>
          <w:rFonts w:hint="eastAsia"/>
          <w:sz w:val="24"/>
          <w:szCs w:val="24"/>
        </w:rPr>
        <w:t>附：法定代表人（单位负责人）身份证原件复印件或扫描件及委托代理人身份证原件复印件或扫描件</w:t>
      </w:r>
    </w:p>
    <w:p>
      <w:pPr>
        <w:rPr>
          <w:sz w:val="24"/>
          <w:szCs w:val="24"/>
        </w:rPr>
      </w:pPr>
    </w:p>
    <w:p>
      <w:pPr>
        <w:rPr>
          <w:sz w:val="24"/>
          <w:szCs w:val="24"/>
        </w:rPr>
      </w:pPr>
      <w:r>
        <w:rPr>
          <w:rFonts w:hint="eastAsia"/>
          <w:sz w:val="24"/>
          <w:szCs w:val="24"/>
        </w:rPr>
        <w:t>注：本授权委托书需由投标人加盖单位公章并由其法定代表人（单位负责人）和委托代理人签字。</w:t>
      </w:r>
    </w:p>
    <w:p>
      <w:pPr>
        <w:rPr>
          <w:sz w:val="24"/>
          <w:szCs w:val="24"/>
        </w:rPr>
      </w:pPr>
    </w:p>
    <w:p>
      <w:pPr>
        <w:ind w:firstLine="4800" w:firstLineChars="2000"/>
        <w:rPr>
          <w:sz w:val="24"/>
          <w:szCs w:val="24"/>
        </w:rPr>
      </w:pPr>
      <w:r>
        <w:rPr>
          <w:rFonts w:hint="eastAsia"/>
          <w:sz w:val="24"/>
          <w:szCs w:val="24"/>
        </w:rPr>
        <w:t>投</w:t>
      </w:r>
      <w:r>
        <w:rPr>
          <w:rFonts w:hint="eastAsia"/>
          <w:sz w:val="24"/>
          <w:szCs w:val="24"/>
        </w:rPr>
        <w:tab/>
      </w:r>
      <w:r>
        <w:rPr>
          <w:rFonts w:hint="eastAsia"/>
          <w:sz w:val="24"/>
          <w:szCs w:val="24"/>
        </w:rPr>
        <w:t>标</w:t>
      </w:r>
      <w:r>
        <w:rPr>
          <w:rFonts w:hint="eastAsia"/>
          <w:sz w:val="24"/>
          <w:szCs w:val="24"/>
        </w:rPr>
        <w:tab/>
      </w:r>
      <w:r>
        <w:rPr>
          <w:rFonts w:hint="eastAsia"/>
          <w:sz w:val="24"/>
          <w:szCs w:val="24"/>
        </w:rPr>
        <w:t>人：</w:t>
      </w:r>
      <w:r>
        <w:rPr>
          <w:rFonts w:hint="eastAsia"/>
          <w:sz w:val="24"/>
          <w:szCs w:val="24"/>
          <w:u w:val="single"/>
        </w:rPr>
        <w:tab/>
      </w:r>
      <w:r>
        <w:rPr>
          <w:rFonts w:hint="eastAsia"/>
          <w:sz w:val="24"/>
          <w:szCs w:val="24"/>
        </w:rPr>
        <w:t>（单位公章）</w:t>
      </w:r>
    </w:p>
    <w:p>
      <w:pPr>
        <w:rPr>
          <w:sz w:val="24"/>
          <w:szCs w:val="24"/>
        </w:rPr>
      </w:pPr>
    </w:p>
    <w:p>
      <w:pPr>
        <w:ind w:firstLine="3840" w:firstLineChars="1600"/>
        <w:rPr>
          <w:sz w:val="24"/>
          <w:szCs w:val="24"/>
        </w:rPr>
      </w:pPr>
      <w:r>
        <w:rPr>
          <w:rFonts w:hint="eastAsia"/>
          <w:sz w:val="24"/>
          <w:szCs w:val="24"/>
        </w:rPr>
        <w:t>法定代表人（单位负责人）：</w:t>
      </w:r>
      <w:r>
        <w:rPr>
          <w:rFonts w:hint="eastAsia"/>
          <w:sz w:val="24"/>
          <w:szCs w:val="24"/>
          <w:u w:val="single"/>
        </w:rPr>
        <w:tab/>
      </w:r>
      <w:r>
        <w:rPr>
          <w:rFonts w:hint="eastAsia"/>
          <w:sz w:val="24"/>
          <w:szCs w:val="24"/>
        </w:rPr>
        <w:t>（签字）</w:t>
      </w:r>
    </w:p>
    <w:p>
      <w:pPr>
        <w:rPr>
          <w:sz w:val="24"/>
          <w:szCs w:val="24"/>
        </w:rPr>
      </w:pPr>
    </w:p>
    <w:p>
      <w:pPr>
        <w:ind w:firstLine="5280" w:firstLineChars="2200"/>
        <w:rPr>
          <w:sz w:val="24"/>
          <w:szCs w:val="24"/>
        </w:rPr>
      </w:pPr>
      <w:r>
        <w:rPr>
          <w:rFonts w:hint="eastAsia"/>
          <w:sz w:val="24"/>
          <w:szCs w:val="24"/>
        </w:rPr>
        <w:t xml:space="preserve">身份证号码： </w:t>
      </w:r>
      <w:r>
        <w:rPr>
          <w:rFonts w:hint="eastAsia"/>
          <w:sz w:val="24"/>
          <w:szCs w:val="24"/>
        </w:rPr>
        <w:tab/>
      </w:r>
    </w:p>
    <w:p>
      <w:pPr>
        <w:rPr>
          <w:sz w:val="24"/>
          <w:szCs w:val="24"/>
        </w:rPr>
      </w:pPr>
    </w:p>
    <w:p>
      <w:pPr>
        <w:ind w:firstLine="5280" w:firstLineChars="2200"/>
        <w:rPr>
          <w:sz w:val="24"/>
          <w:szCs w:val="24"/>
        </w:rPr>
      </w:pPr>
      <w:r>
        <w:rPr>
          <w:rFonts w:hint="eastAsia"/>
          <w:sz w:val="24"/>
          <w:szCs w:val="24"/>
        </w:rPr>
        <w:t>委托代理人：</w:t>
      </w:r>
      <w:r>
        <w:rPr>
          <w:rFonts w:hint="eastAsia"/>
          <w:sz w:val="24"/>
          <w:szCs w:val="24"/>
          <w:u w:val="single"/>
        </w:rPr>
        <w:tab/>
      </w:r>
      <w:r>
        <w:rPr>
          <w:rFonts w:hint="eastAsia"/>
          <w:sz w:val="24"/>
          <w:szCs w:val="24"/>
        </w:rPr>
        <w:t>（签字）</w:t>
      </w:r>
    </w:p>
    <w:p>
      <w:pPr>
        <w:rPr>
          <w:sz w:val="24"/>
          <w:szCs w:val="24"/>
        </w:rPr>
      </w:pPr>
    </w:p>
    <w:p>
      <w:pPr>
        <w:ind w:firstLine="5280" w:firstLineChars="2200"/>
        <w:rPr>
          <w:sz w:val="24"/>
          <w:szCs w:val="24"/>
        </w:rPr>
      </w:pPr>
      <w:r>
        <w:rPr>
          <w:rFonts w:hint="eastAsia"/>
          <w:sz w:val="24"/>
          <w:szCs w:val="24"/>
        </w:rPr>
        <w:t xml:space="preserve">身份证号码： </w:t>
      </w:r>
      <w:r>
        <w:rPr>
          <w:rFonts w:hint="eastAsia"/>
          <w:sz w:val="24"/>
          <w:szCs w:val="24"/>
        </w:rPr>
        <w:tab/>
      </w:r>
    </w:p>
    <w:p>
      <w:pPr>
        <w:rPr>
          <w:sz w:val="24"/>
          <w:szCs w:val="24"/>
        </w:rPr>
      </w:pPr>
    </w:p>
    <w:p>
      <w:pPr>
        <w:ind w:firstLine="6240" w:firstLineChars="2600"/>
        <w:rPr>
          <w:sz w:val="24"/>
          <w:szCs w:val="24"/>
        </w:rPr>
      </w:pPr>
      <w:r>
        <w:rPr>
          <w:rFonts w:hint="eastAsia"/>
          <w:sz w:val="24"/>
          <w:szCs w:val="24"/>
        </w:rPr>
        <w:tab/>
      </w:r>
      <w:r>
        <w:rPr>
          <w:rFonts w:hint="eastAsia"/>
          <w:sz w:val="24"/>
          <w:szCs w:val="24"/>
        </w:rPr>
        <w:t xml:space="preserve">年 </w:t>
      </w:r>
      <w:r>
        <w:rPr>
          <w:rFonts w:hint="eastAsia"/>
          <w:sz w:val="24"/>
          <w:szCs w:val="24"/>
        </w:rPr>
        <w:tab/>
      </w:r>
      <w:r>
        <w:rPr>
          <w:rFonts w:hint="eastAsia"/>
          <w:sz w:val="24"/>
          <w:szCs w:val="24"/>
        </w:rPr>
        <w:t xml:space="preserve">月 </w:t>
      </w:r>
      <w:r>
        <w:rPr>
          <w:rFonts w:hint="eastAsia"/>
          <w:sz w:val="24"/>
          <w:szCs w:val="24"/>
        </w:rPr>
        <w:tab/>
      </w:r>
      <w:r>
        <w:rPr>
          <w:rFonts w:hint="eastAsia"/>
          <w:sz w:val="24"/>
          <w:szCs w:val="24"/>
        </w:rPr>
        <w:t>日</w:t>
      </w:r>
    </w:p>
    <w:p>
      <w:r>
        <w:br w:type="page"/>
      </w:r>
    </w:p>
    <w:p>
      <w:pPr>
        <w:pStyle w:val="6"/>
        <w:jc w:val="center"/>
        <w:rPr>
          <w:sz w:val="24"/>
          <w:szCs w:val="24"/>
        </w:rPr>
      </w:pPr>
      <w:bookmarkStart w:id="87" w:name="_Toc2977"/>
      <w:r>
        <w:rPr>
          <w:rFonts w:hint="eastAsia"/>
          <w:sz w:val="24"/>
          <w:szCs w:val="24"/>
        </w:rPr>
        <w:t>三、投标保证金</w:t>
      </w:r>
      <w:bookmarkEnd w:id="87"/>
    </w:p>
    <w:p>
      <w:pPr>
        <w:rPr>
          <w:sz w:val="24"/>
          <w:szCs w:val="24"/>
        </w:rPr>
      </w:pPr>
    </w:p>
    <w:p>
      <w:pPr>
        <w:rPr>
          <w:sz w:val="24"/>
          <w:szCs w:val="24"/>
        </w:rPr>
      </w:pPr>
      <w:r>
        <w:rPr>
          <w:rFonts w:hint="eastAsia"/>
          <w:sz w:val="24"/>
          <w:szCs w:val="24"/>
        </w:rPr>
        <w:t>投标人应在此提供汇款凭证的复印件。（原件带至现场）</w:t>
      </w:r>
    </w:p>
    <w:p>
      <w:pPr>
        <w:rPr>
          <w:sz w:val="24"/>
          <w:szCs w:val="24"/>
        </w:rPr>
      </w:pPr>
    </w:p>
    <w:p/>
    <w:p/>
    <w:p>
      <w:pPr>
        <w:pStyle w:val="6"/>
        <w:jc w:val="center"/>
      </w:pPr>
      <w:bookmarkStart w:id="88" w:name="_Toc11794"/>
    </w:p>
    <w:p>
      <w:pPr>
        <w:pStyle w:val="6"/>
        <w:jc w:val="center"/>
      </w:pPr>
    </w:p>
    <w:p>
      <w:pPr>
        <w:pStyle w:val="6"/>
        <w:jc w:val="center"/>
      </w:pPr>
    </w:p>
    <w:p>
      <w:pPr>
        <w:pStyle w:val="6"/>
        <w:jc w:val="center"/>
      </w:pPr>
    </w:p>
    <w:p>
      <w:pPr>
        <w:pStyle w:val="6"/>
        <w:jc w:val="center"/>
      </w:pPr>
    </w:p>
    <w:p>
      <w:pPr>
        <w:pStyle w:val="6"/>
        <w:jc w:val="center"/>
      </w:pPr>
    </w:p>
    <w:p>
      <w:pPr>
        <w:pStyle w:val="6"/>
        <w:jc w:val="center"/>
        <w:rPr>
          <w:sz w:val="24"/>
          <w:szCs w:val="24"/>
        </w:rPr>
      </w:pPr>
      <w:r>
        <w:rPr>
          <w:rFonts w:hint="eastAsia"/>
          <w:sz w:val="24"/>
          <w:szCs w:val="24"/>
        </w:rPr>
        <w:t>四、商务和技术偏差表</w:t>
      </w:r>
      <w:bookmarkEnd w:id="88"/>
    </w:p>
    <w:tbl>
      <w:tblPr>
        <w:tblStyle w:val="2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2410"/>
        <w:gridCol w:w="2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ind w:firstLine="0" w:firstLineChars="0"/>
              <w:jc w:val="center"/>
              <w:rPr>
                <w:b/>
                <w:sz w:val="24"/>
                <w:szCs w:val="24"/>
              </w:rPr>
            </w:pPr>
            <w:r>
              <w:rPr>
                <w:rFonts w:hint="eastAsia"/>
                <w:b/>
                <w:sz w:val="24"/>
                <w:szCs w:val="24"/>
              </w:rPr>
              <w:t>序号</w:t>
            </w:r>
          </w:p>
        </w:tc>
        <w:tc>
          <w:tcPr>
            <w:tcW w:w="2410" w:type="dxa"/>
            <w:vAlign w:val="center"/>
          </w:tcPr>
          <w:p>
            <w:pPr>
              <w:ind w:firstLine="0" w:firstLineChars="0"/>
              <w:jc w:val="center"/>
              <w:rPr>
                <w:b/>
                <w:sz w:val="24"/>
                <w:szCs w:val="24"/>
              </w:rPr>
            </w:pPr>
            <w:r>
              <w:rPr>
                <w:rFonts w:hint="eastAsia"/>
                <w:b/>
                <w:sz w:val="24"/>
                <w:szCs w:val="24"/>
              </w:rPr>
              <w:t>招标文件章节及条款号</w:t>
            </w:r>
          </w:p>
        </w:tc>
        <w:tc>
          <w:tcPr>
            <w:tcW w:w="2410" w:type="dxa"/>
            <w:vAlign w:val="center"/>
          </w:tcPr>
          <w:p>
            <w:pPr>
              <w:ind w:firstLine="0" w:firstLineChars="0"/>
              <w:jc w:val="center"/>
              <w:rPr>
                <w:b/>
                <w:sz w:val="24"/>
                <w:szCs w:val="24"/>
              </w:rPr>
            </w:pPr>
            <w:r>
              <w:rPr>
                <w:rFonts w:hint="eastAsia"/>
                <w:b/>
                <w:sz w:val="24"/>
                <w:szCs w:val="24"/>
              </w:rPr>
              <w:t>投标文件章节及条款号</w:t>
            </w:r>
          </w:p>
        </w:tc>
        <w:tc>
          <w:tcPr>
            <w:tcW w:w="2891" w:type="dxa"/>
            <w:vAlign w:val="center"/>
          </w:tcPr>
          <w:p>
            <w:pPr>
              <w:ind w:firstLine="0" w:firstLineChars="0"/>
              <w:jc w:val="center"/>
              <w:rPr>
                <w:b/>
                <w:sz w:val="24"/>
                <w:szCs w:val="24"/>
              </w:rPr>
            </w:pPr>
            <w:r>
              <w:rPr>
                <w:rFonts w:hint="eastAsia"/>
                <w:b/>
                <w:sz w:val="24"/>
                <w:szCs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ind w:firstLine="0" w:firstLineChars="0"/>
              <w:jc w:val="center"/>
              <w:rPr>
                <w:sz w:val="24"/>
                <w:szCs w:val="24"/>
              </w:rPr>
            </w:pPr>
            <w:r>
              <w:rPr>
                <w:sz w:val="24"/>
                <w:szCs w:val="24"/>
              </w:rPr>
              <w:t>1</w:t>
            </w:r>
          </w:p>
        </w:tc>
        <w:tc>
          <w:tcPr>
            <w:tcW w:w="2410" w:type="dxa"/>
            <w:vAlign w:val="center"/>
          </w:tcPr>
          <w:p>
            <w:pPr>
              <w:ind w:firstLine="0" w:firstLineChars="0"/>
              <w:jc w:val="center"/>
              <w:rPr>
                <w:sz w:val="24"/>
                <w:szCs w:val="24"/>
              </w:rPr>
            </w:pPr>
          </w:p>
        </w:tc>
        <w:tc>
          <w:tcPr>
            <w:tcW w:w="2410" w:type="dxa"/>
            <w:vAlign w:val="center"/>
          </w:tcPr>
          <w:p>
            <w:pPr>
              <w:ind w:firstLine="0" w:firstLineChars="0"/>
              <w:jc w:val="center"/>
              <w:rPr>
                <w:sz w:val="24"/>
                <w:szCs w:val="24"/>
              </w:rPr>
            </w:pPr>
          </w:p>
        </w:tc>
        <w:tc>
          <w:tcPr>
            <w:tcW w:w="2891" w:type="dxa"/>
            <w:vAlign w:val="center"/>
          </w:tcPr>
          <w:p>
            <w:pPr>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ind w:firstLine="0" w:firstLineChars="0"/>
              <w:jc w:val="center"/>
              <w:rPr>
                <w:sz w:val="24"/>
                <w:szCs w:val="24"/>
              </w:rPr>
            </w:pPr>
            <w:r>
              <w:rPr>
                <w:sz w:val="24"/>
                <w:szCs w:val="24"/>
              </w:rPr>
              <w:t>2</w:t>
            </w:r>
          </w:p>
        </w:tc>
        <w:tc>
          <w:tcPr>
            <w:tcW w:w="2410" w:type="dxa"/>
            <w:vAlign w:val="center"/>
          </w:tcPr>
          <w:p>
            <w:pPr>
              <w:ind w:firstLine="0" w:firstLineChars="0"/>
              <w:jc w:val="center"/>
              <w:rPr>
                <w:sz w:val="24"/>
                <w:szCs w:val="24"/>
              </w:rPr>
            </w:pPr>
          </w:p>
        </w:tc>
        <w:tc>
          <w:tcPr>
            <w:tcW w:w="2410" w:type="dxa"/>
            <w:vAlign w:val="center"/>
          </w:tcPr>
          <w:p>
            <w:pPr>
              <w:ind w:firstLine="0" w:firstLineChars="0"/>
              <w:jc w:val="center"/>
              <w:rPr>
                <w:sz w:val="24"/>
                <w:szCs w:val="24"/>
              </w:rPr>
            </w:pPr>
          </w:p>
        </w:tc>
        <w:tc>
          <w:tcPr>
            <w:tcW w:w="2891" w:type="dxa"/>
            <w:vAlign w:val="center"/>
          </w:tcPr>
          <w:p>
            <w:pPr>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ind w:firstLine="0" w:firstLineChars="0"/>
              <w:jc w:val="center"/>
              <w:rPr>
                <w:sz w:val="24"/>
                <w:szCs w:val="24"/>
              </w:rPr>
            </w:pPr>
            <w:r>
              <w:rPr>
                <w:sz w:val="24"/>
                <w:szCs w:val="24"/>
              </w:rPr>
              <w:t>3</w:t>
            </w:r>
          </w:p>
        </w:tc>
        <w:tc>
          <w:tcPr>
            <w:tcW w:w="2410" w:type="dxa"/>
            <w:vAlign w:val="center"/>
          </w:tcPr>
          <w:p>
            <w:pPr>
              <w:ind w:firstLine="0" w:firstLineChars="0"/>
              <w:jc w:val="center"/>
              <w:rPr>
                <w:sz w:val="24"/>
                <w:szCs w:val="24"/>
              </w:rPr>
            </w:pPr>
          </w:p>
        </w:tc>
        <w:tc>
          <w:tcPr>
            <w:tcW w:w="2410" w:type="dxa"/>
            <w:vAlign w:val="center"/>
          </w:tcPr>
          <w:p>
            <w:pPr>
              <w:ind w:firstLine="0" w:firstLineChars="0"/>
              <w:jc w:val="center"/>
              <w:rPr>
                <w:sz w:val="24"/>
                <w:szCs w:val="24"/>
              </w:rPr>
            </w:pPr>
          </w:p>
        </w:tc>
        <w:tc>
          <w:tcPr>
            <w:tcW w:w="2891" w:type="dxa"/>
            <w:vAlign w:val="center"/>
          </w:tcPr>
          <w:p>
            <w:pPr>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ind w:firstLine="0" w:firstLineChars="0"/>
              <w:jc w:val="center"/>
              <w:rPr>
                <w:sz w:val="24"/>
                <w:szCs w:val="24"/>
              </w:rPr>
            </w:pPr>
            <w:r>
              <w:rPr>
                <w:sz w:val="24"/>
                <w:szCs w:val="24"/>
              </w:rPr>
              <w:t>4</w:t>
            </w:r>
          </w:p>
        </w:tc>
        <w:tc>
          <w:tcPr>
            <w:tcW w:w="2410" w:type="dxa"/>
            <w:vAlign w:val="center"/>
          </w:tcPr>
          <w:p>
            <w:pPr>
              <w:ind w:firstLine="0" w:firstLineChars="0"/>
              <w:jc w:val="center"/>
              <w:rPr>
                <w:sz w:val="24"/>
                <w:szCs w:val="24"/>
              </w:rPr>
            </w:pPr>
          </w:p>
        </w:tc>
        <w:tc>
          <w:tcPr>
            <w:tcW w:w="2410" w:type="dxa"/>
            <w:vAlign w:val="center"/>
          </w:tcPr>
          <w:p>
            <w:pPr>
              <w:ind w:firstLine="0" w:firstLineChars="0"/>
              <w:jc w:val="center"/>
              <w:rPr>
                <w:sz w:val="24"/>
                <w:szCs w:val="24"/>
              </w:rPr>
            </w:pPr>
          </w:p>
        </w:tc>
        <w:tc>
          <w:tcPr>
            <w:tcW w:w="2891" w:type="dxa"/>
            <w:vAlign w:val="center"/>
          </w:tcPr>
          <w:p>
            <w:pPr>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ind w:firstLine="0" w:firstLineChars="0"/>
              <w:jc w:val="center"/>
              <w:rPr>
                <w:sz w:val="24"/>
                <w:szCs w:val="24"/>
              </w:rPr>
            </w:pPr>
            <w:r>
              <w:rPr>
                <w:sz w:val="24"/>
                <w:szCs w:val="24"/>
              </w:rPr>
              <w:t>5</w:t>
            </w:r>
          </w:p>
        </w:tc>
        <w:tc>
          <w:tcPr>
            <w:tcW w:w="2410" w:type="dxa"/>
            <w:vAlign w:val="center"/>
          </w:tcPr>
          <w:p>
            <w:pPr>
              <w:ind w:firstLine="0" w:firstLineChars="0"/>
              <w:jc w:val="center"/>
              <w:rPr>
                <w:sz w:val="24"/>
                <w:szCs w:val="24"/>
              </w:rPr>
            </w:pPr>
          </w:p>
        </w:tc>
        <w:tc>
          <w:tcPr>
            <w:tcW w:w="2410" w:type="dxa"/>
            <w:vAlign w:val="center"/>
          </w:tcPr>
          <w:p>
            <w:pPr>
              <w:ind w:firstLine="0" w:firstLineChars="0"/>
              <w:jc w:val="center"/>
              <w:rPr>
                <w:sz w:val="24"/>
                <w:szCs w:val="24"/>
              </w:rPr>
            </w:pPr>
          </w:p>
        </w:tc>
        <w:tc>
          <w:tcPr>
            <w:tcW w:w="2891" w:type="dxa"/>
            <w:vAlign w:val="center"/>
          </w:tcPr>
          <w:p>
            <w:pPr>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ind w:firstLine="0" w:firstLineChars="0"/>
              <w:jc w:val="center"/>
              <w:rPr>
                <w:sz w:val="24"/>
                <w:szCs w:val="24"/>
              </w:rPr>
            </w:pPr>
            <w:r>
              <w:rPr>
                <w:rFonts w:hint="eastAsia"/>
                <w:sz w:val="24"/>
                <w:szCs w:val="24"/>
              </w:rPr>
              <w:t>……</w:t>
            </w:r>
          </w:p>
        </w:tc>
        <w:tc>
          <w:tcPr>
            <w:tcW w:w="2410" w:type="dxa"/>
            <w:vAlign w:val="center"/>
          </w:tcPr>
          <w:p>
            <w:pPr>
              <w:ind w:firstLine="0" w:firstLineChars="0"/>
              <w:jc w:val="center"/>
              <w:rPr>
                <w:sz w:val="24"/>
                <w:szCs w:val="24"/>
              </w:rPr>
            </w:pPr>
          </w:p>
        </w:tc>
        <w:tc>
          <w:tcPr>
            <w:tcW w:w="2410" w:type="dxa"/>
            <w:vAlign w:val="center"/>
          </w:tcPr>
          <w:p>
            <w:pPr>
              <w:ind w:firstLine="0" w:firstLineChars="0"/>
              <w:jc w:val="center"/>
              <w:rPr>
                <w:sz w:val="24"/>
                <w:szCs w:val="24"/>
              </w:rPr>
            </w:pPr>
          </w:p>
        </w:tc>
        <w:tc>
          <w:tcPr>
            <w:tcW w:w="2891" w:type="dxa"/>
            <w:vAlign w:val="center"/>
          </w:tcPr>
          <w:p>
            <w:pPr>
              <w:ind w:firstLine="0" w:firstLineChars="0"/>
              <w:jc w:val="center"/>
              <w:rPr>
                <w:sz w:val="24"/>
                <w:szCs w:val="24"/>
              </w:rPr>
            </w:pPr>
          </w:p>
        </w:tc>
      </w:tr>
    </w:tbl>
    <w:p>
      <w:pPr>
        <w:rPr>
          <w:sz w:val="24"/>
          <w:szCs w:val="24"/>
        </w:rPr>
      </w:pPr>
    </w:p>
    <w:p>
      <w:pPr>
        <w:rPr>
          <w:sz w:val="24"/>
          <w:szCs w:val="24"/>
        </w:rPr>
      </w:pPr>
      <w:r>
        <w:rPr>
          <w:rFonts w:hint="eastAsia"/>
          <w:sz w:val="24"/>
          <w:szCs w:val="24"/>
        </w:rPr>
        <w:t>投标人保证：除商务和技术偏差表列出的偏差外，投标人响应招标文件的全部要求。</w:t>
      </w:r>
    </w:p>
    <w:p>
      <w:pPr>
        <w:rPr>
          <w:sz w:val="24"/>
          <w:szCs w:val="24"/>
        </w:rPr>
      </w:pPr>
    </w:p>
    <w:p>
      <w:pPr>
        <w:pStyle w:val="6"/>
        <w:jc w:val="center"/>
      </w:pPr>
      <w:r>
        <w:rPr>
          <w:rFonts w:hint="eastAsia"/>
        </w:rPr>
        <w:br w:type="page"/>
      </w:r>
    </w:p>
    <w:p>
      <w:pPr>
        <w:pStyle w:val="6"/>
        <w:jc w:val="center"/>
        <w:rPr>
          <w:sz w:val="24"/>
          <w:szCs w:val="24"/>
        </w:rPr>
      </w:pPr>
      <w:bookmarkStart w:id="89" w:name="_Toc7298"/>
      <w:r>
        <w:rPr>
          <w:rFonts w:hint="eastAsia"/>
          <w:sz w:val="24"/>
          <w:szCs w:val="24"/>
        </w:rPr>
        <w:t>五、资格审查资料</w:t>
      </w:r>
      <w:bookmarkEnd w:id="89"/>
    </w:p>
    <w:p>
      <w:pPr>
        <w:pStyle w:val="7"/>
        <w:rPr>
          <w:sz w:val="24"/>
          <w:szCs w:val="24"/>
        </w:rPr>
      </w:pPr>
      <w:bookmarkStart w:id="90" w:name="_Toc11845"/>
      <w:r>
        <w:rPr>
          <w:rFonts w:hint="eastAsia"/>
          <w:sz w:val="24"/>
          <w:szCs w:val="24"/>
        </w:rPr>
        <w:t>（一）基本情况表</w:t>
      </w:r>
      <w:bookmarkEnd w:id="90"/>
    </w:p>
    <w:tbl>
      <w:tblPr>
        <w:tblStyle w:val="29"/>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175"/>
        <w:gridCol w:w="1706"/>
        <w:gridCol w:w="1706"/>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pPr>
              <w:ind w:firstLine="0" w:firstLineChars="0"/>
              <w:jc w:val="center"/>
              <w:rPr>
                <w:sz w:val="24"/>
                <w:szCs w:val="24"/>
              </w:rPr>
            </w:pPr>
            <w:r>
              <w:rPr>
                <w:rFonts w:hint="eastAsia"/>
                <w:sz w:val="24"/>
                <w:szCs w:val="24"/>
              </w:rPr>
              <w:t>投标人名称</w:t>
            </w:r>
          </w:p>
        </w:tc>
        <w:tc>
          <w:tcPr>
            <w:tcW w:w="6293" w:type="dxa"/>
            <w:gridSpan w:val="4"/>
            <w:vAlign w:val="center"/>
          </w:tcPr>
          <w:p>
            <w:pPr>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pPr>
              <w:ind w:firstLine="0" w:firstLineChars="0"/>
              <w:jc w:val="center"/>
              <w:rPr>
                <w:sz w:val="24"/>
                <w:szCs w:val="24"/>
              </w:rPr>
            </w:pPr>
            <w:r>
              <w:rPr>
                <w:rFonts w:hint="eastAsia"/>
                <w:sz w:val="24"/>
                <w:szCs w:val="24"/>
              </w:rPr>
              <w:t>注册资金</w:t>
            </w:r>
          </w:p>
        </w:tc>
        <w:tc>
          <w:tcPr>
            <w:tcW w:w="2881" w:type="dxa"/>
            <w:gridSpan w:val="2"/>
            <w:vAlign w:val="center"/>
          </w:tcPr>
          <w:p>
            <w:pPr>
              <w:ind w:firstLine="0" w:firstLineChars="0"/>
              <w:jc w:val="center"/>
              <w:rPr>
                <w:sz w:val="24"/>
                <w:szCs w:val="24"/>
              </w:rPr>
            </w:pPr>
          </w:p>
        </w:tc>
        <w:tc>
          <w:tcPr>
            <w:tcW w:w="1706" w:type="dxa"/>
            <w:vAlign w:val="center"/>
          </w:tcPr>
          <w:p>
            <w:pPr>
              <w:ind w:firstLine="0" w:firstLineChars="0"/>
              <w:jc w:val="center"/>
              <w:rPr>
                <w:sz w:val="24"/>
                <w:szCs w:val="24"/>
              </w:rPr>
            </w:pPr>
            <w:r>
              <w:rPr>
                <w:rFonts w:hint="eastAsia"/>
                <w:sz w:val="24"/>
                <w:szCs w:val="24"/>
              </w:rPr>
              <w:t>成立时间</w:t>
            </w:r>
          </w:p>
        </w:tc>
        <w:tc>
          <w:tcPr>
            <w:tcW w:w="1706" w:type="dxa"/>
            <w:vAlign w:val="center"/>
          </w:tcPr>
          <w:p>
            <w:pPr>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pPr>
              <w:ind w:firstLine="0" w:firstLineChars="0"/>
              <w:jc w:val="center"/>
              <w:rPr>
                <w:sz w:val="24"/>
                <w:szCs w:val="24"/>
              </w:rPr>
            </w:pPr>
            <w:r>
              <w:rPr>
                <w:rFonts w:hint="eastAsia"/>
                <w:sz w:val="24"/>
                <w:szCs w:val="24"/>
              </w:rPr>
              <w:t>注册地址</w:t>
            </w:r>
          </w:p>
        </w:tc>
        <w:tc>
          <w:tcPr>
            <w:tcW w:w="6293" w:type="dxa"/>
            <w:gridSpan w:val="4"/>
            <w:vAlign w:val="center"/>
          </w:tcPr>
          <w:p>
            <w:pPr>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35" w:type="dxa"/>
            <w:vAlign w:val="center"/>
          </w:tcPr>
          <w:p>
            <w:pPr>
              <w:ind w:firstLine="0" w:firstLineChars="0"/>
              <w:jc w:val="center"/>
              <w:rPr>
                <w:sz w:val="24"/>
                <w:szCs w:val="24"/>
              </w:rPr>
            </w:pPr>
            <w:r>
              <w:rPr>
                <w:rFonts w:hint="eastAsia"/>
                <w:sz w:val="24"/>
                <w:szCs w:val="24"/>
              </w:rPr>
              <w:t>邮政编码</w:t>
            </w:r>
          </w:p>
        </w:tc>
        <w:tc>
          <w:tcPr>
            <w:tcW w:w="2881" w:type="dxa"/>
            <w:gridSpan w:val="2"/>
            <w:vAlign w:val="center"/>
          </w:tcPr>
          <w:p>
            <w:pPr>
              <w:ind w:firstLine="0" w:firstLineChars="0"/>
              <w:jc w:val="center"/>
              <w:rPr>
                <w:sz w:val="24"/>
                <w:szCs w:val="24"/>
              </w:rPr>
            </w:pPr>
          </w:p>
        </w:tc>
        <w:tc>
          <w:tcPr>
            <w:tcW w:w="1706" w:type="dxa"/>
            <w:vAlign w:val="center"/>
          </w:tcPr>
          <w:p>
            <w:pPr>
              <w:ind w:firstLine="0" w:firstLineChars="0"/>
              <w:jc w:val="center"/>
              <w:rPr>
                <w:sz w:val="24"/>
                <w:szCs w:val="24"/>
              </w:rPr>
            </w:pPr>
            <w:r>
              <w:rPr>
                <w:rFonts w:hint="eastAsia"/>
                <w:sz w:val="24"/>
                <w:szCs w:val="24"/>
              </w:rPr>
              <w:t>员工总数</w:t>
            </w:r>
          </w:p>
        </w:tc>
        <w:tc>
          <w:tcPr>
            <w:tcW w:w="1706" w:type="dxa"/>
            <w:vAlign w:val="center"/>
          </w:tcPr>
          <w:p>
            <w:pPr>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Merge w:val="restart"/>
            <w:vAlign w:val="center"/>
          </w:tcPr>
          <w:p>
            <w:pPr>
              <w:ind w:firstLine="0" w:firstLineChars="0"/>
              <w:jc w:val="center"/>
              <w:rPr>
                <w:sz w:val="24"/>
                <w:szCs w:val="24"/>
              </w:rPr>
            </w:pPr>
            <w:r>
              <w:rPr>
                <w:rFonts w:hint="eastAsia"/>
                <w:sz w:val="24"/>
                <w:szCs w:val="24"/>
              </w:rPr>
              <w:t>联系方式</w:t>
            </w:r>
          </w:p>
        </w:tc>
        <w:tc>
          <w:tcPr>
            <w:tcW w:w="1175" w:type="dxa"/>
            <w:vAlign w:val="center"/>
          </w:tcPr>
          <w:p>
            <w:pPr>
              <w:ind w:firstLine="0" w:firstLineChars="0"/>
              <w:jc w:val="center"/>
              <w:rPr>
                <w:sz w:val="24"/>
                <w:szCs w:val="24"/>
              </w:rPr>
            </w:pPr>
            <w:r>
              <w:rPr>
                <w:rFonts w:hint="eastAsia"/>
                <w:sz w:val="24"/>
                <w:szCs w:val="24"/>
              </w:rPr>
              <w:t>联系人</w:t>
            </w:r>
          </w:p>
        </w:tc>
        <w:tc>
          <w:tcPr>
            <w:tcW w:w="1706" w:type="dxa"/>
            <w:vAlign w:val="center"/>
          </w:tcPr>
          <w:p>
            <w:pPr>
              <w:ind w:firstLine="0" w:firstLineChars="0"/>
              <w:jc w:val="center"/>
              <w:rPr>
                <w:sz w:val="24"/>
                <w:szCs w:val="24"/>
              </w:rPr>
            </w:pPr>
          </w:p>
        </w:tc>
        <w:tc>
          <w:tcPr>
            <w:tcW w:w="1706" w:type="dxa"/>
            <w:vAlign w:val="center"/>
          </w:tcPr>
          <w:p>
            <w:pPr>
              <w:ind w:firstLine="0" w:firstLineChars="0"/>
              <w:jc w:val="center"/>
              <w:rPr>
                <w:sz w:val="24"/>
                <w:szCs w:val="24"/>
              </w:rPr>
            </w:pPr>
            <w:r>
              <w:rPr>
                <w:rFonts w:hint="eastAsia"/>
                <w:sz w:val="24"/>
                <w:szCs w:val="24"/>
              </w:rPr>
              <w:t>电话</w:t>
            </w:r>
          </w:p>
        </w:tc>
        <w:tc>
          <w:tcPr>
            <w:tcW w:w="1706" w:type="dxa"/>
            <w:vAlign w:val="center"/>
          </w:tcPr>
          <w:p>
            <w:pPr>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Merge w:val="continue"/>
            <w:vAlign w:val="center"/>
          </w:tcPr>
          <w:p>
            <w:pPr>
              <w:ind w:firstLine="0" w:firstLineChars="0"/>
              <w:jc w:val="center"/>
              <w:rPr>
                <w:sz w:val="24"/>
                <w:szCs w:val="24"/>
              </w:rPr>
            </w:pPr>
          </w:p>
        </w:tc>
        <w:tc>
          <w:tcPr>
            <w:tcW w:w="1175" w:type="dxa"/>
            <w:vAlign w:val="center"/>
          </w:tcPr>
          <w:p>
            <w:pPr>
              <w:ind w:firstLine="0" w:firstLineChars="0"/>
              <w:jc w:val="center"/>
              <w:rPr>
                <w:sz w:val="24"/>
                <w:szCs w:val="24"/>
              </w:rPr>
            </w:pPr>
            <w:r>
              <w:rPr>
                <w:rFonts w:hint="eastAsia"/>
                <w:sz w:val="24"/>
                <w:szCs w:val="24"/>
              </w:rPr>
              <w:t>网址</w:t>
            </w:r>
          </w:p>
        </w:tc>
        <w:tc>
          <w:tcPr>
            <w:tcW w:w="1706" w:type="dxa"/>
            <w:vAlign w:val="center"/>
          </w:tcPr>
          <w:p>
            <w:pPr>
              <w:ind w:firstLine="0" w:firstLineChars="0"/>
              <w:jc w:val="center"/>
              <w:rPr>
                <w:sz w:val="24"/>
                <w:szCs w:val="24"/>
              </w:rPr>
            </w:pPr>
          </w:p>
        </w:tc>
        <w:tc>
          <w:tcPr>
            <w:tcW w:w="1706" w:type="dxa"/>
            <w:vAlign w:val="center"/>
          </w:tcPr>
          <w:p>
            <w:pPr>
              <w:ind w:firstLine="0" w:firstLineChars="0"/>
              <w:jc w:val="center"/>
              <w:rPr>
                <w:sz w:val="24"/>
                <w:szCs w:val="24"/>
              </w:rPr>
            </w:pPr>
            <w:r>
              <w:rPr>
                <w:rFonts w:hint="eastAsia"/>
                <w:sz w:val="24"/>
                <w:szCs w:val="24"/>
              </w:rPr>
              <w:t>传真</w:t>
            </w:r>
          </w:p>
        </w:tc>
        <w:tc>
          <w:tcPr>
            <w:tcW w:w="1706" w:type="dxa"/>
            <w:vAlign w:val="center"/>
          </w:tcPr>
          <w:p>
            <w:pPr>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pPr>
              <w:ind w:firstLine="0" w:firstLineChars="0"/>
              <w:jc w:val="center"/>
              <w:rPr>
                <w:sz w:val="24"/>
                <w:szCs w:val="24"/>
              </w:rPr>
            </w:pPr>
            <w:r>
              <w:rPr>
                <w:rFonts w:hint="eastAsia"/>
                <w:sz w:val="24"/>
                <w:szCs w:val="24"/>
              </w:rPr>
              <w:t>法定代表人</w:t>
            </w:r>
          </w:p>
          <w:p>
            <w:pPr>
              <w:ind w:firstLine="0" w:firstLineChars="0"/>
              <w:jc w:val="center"/>
              <w:rPr>
                <w:sz w:val="24"/>
                <w:szCs w:val="24"/>
              </w:rPr>
            </w:pPr>
            <w:r>
              <w:rPr>
                <w:rFonts w:hint="eastAsia"/>
                <w:sz w:val="24"/>
                <w:szCs w:val="24"/>
              </w:rPr>
              <w:t>（单位负责人）</w:t>
            </w:r>
          </w:p>
        </w:tc>
        <w:tc>
          <w:tcPr>
            <w:tcW w:w="1175" w:type="dxa"/>
            <w:vAlign w:val="center"/>
          </w:tcPr>
          <w:p>
            <w:pPr>
              <w:ind w:firstLine="0" w:firstLineChars="0"/>
              <w:jc w:val="center"/>
              <w:rPr>
                <w:sz w:val="24"/>
                <w:szCs w:val="24"/>
              </w:rPr>
            </w:pPr>
            <w:r>
              <w:rPr>
                <w:rFonts w:hint="eastAsia"/>
                <w:sz w:val="24"/>
                <w:szCs w:val="24"/>
              </w:rPr>
              <w:t>姓名</w:t>
            </w:r>
          </w:p>
        </w:tc>
        <w:tc>
          <w:tcPr>
            <w:tcW w:w="1706" w:type="dxa"/>
            <w:vAlign w:val="center"/>
          </w:tcPr>
          <w:p>
            <w:pPr>
              <w:ind w:firstLine="0" w:firstLineChars="0"/>
              <w:jc w:val="center"/>
              <w:rPr>
                <w:sz w:val="24"/>
                <w:szCs w:val="24"/>
              </w:rPr>
            </w:pPr>
          </w:p>
        </w:tc>
        <w:tc>
          <w:tcPr>
            <w:tcW w:w="1706" w:type="dxa"/>
            <w:vAlign w:val="center"/>
          </w:tcPr>
          <w:p>
            <w:pPr>
              <w:ind w:firstLine="0" w:firstLineChars="0"/>
              <w:jc w:val="center"/>
              <w:rPr>
                <w:sz w:val="24"/>
                <w:szCs w:val="24"/>
              </w:rPr>
            </w:pPr>
            <w:r>
              <w:rPr>
                <w:rFonts w:hint="eastAsia"/>
                <w:sz w:val="24"/>
                <w:szCs w:val="24"/>
              </w:rPr>
              <w:t>电话</w:t>
            </w:r>
          </w:p>
        </w:tc>
        <w:tc>
          <w:tcPr>
            <w:tcW w:w="1706" w:type="dxa"/>
            <w:vAlign w:val="center"/>
          </w:tcPr>
          <w:p>
            <w:pPr>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35" w:type="dxa"/>
            <w:vAlign w:val="center"/>
          </w:tcPr>
          <w:p>
            <w:pPr>
              <w:ind w:firstLine="0" w:firstLineChars="0"/>
              <w:jc w:val="center"/>
              <w:rPr>
                <w:sz w:val="24"/>
                <w:szCs w:val="24"/>
              </w:rPr>
            </w:pPr>
            <w:r>
              <w:rPr>
                <w:rFonts w:hint="eastAsia"/>
                <w:sz w:val="24"/>
                <w:szCs w:val="24"/>
              </w:rPr>
              <w:t>投标人须知要求投标人需具有的资质证书</w:t>
            </w:r>
          </w:p>
        </w:tc>
        <w:tc>
          <w:tcPr>
            <w:tcW w:w="6293" w:type="dxa"/>
            <w:gridSpan w:val="4"/>
            <w:vAlign w:val="center"/>
          </w:tcPr>
          <w:p>
            <w:pPr>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pPr>
              <w:ind w:firstLine="0" w:firstLineChars="0"/>
              <w:jc w:val="center"/>
              <w:rPr>
                <w:sz w:val="24"/>
                <w:szCs w:val="24"/>
              </w:rPr>
            </w:pPr>
            <w:r>
              <w:rPr>
                <w:rFonts w:hint="eastAsia"/>
                <w:sz w:val="24"/>
                <w:szCs w:val="24"/>
              </w:rPr>
              <w:t>基本账户开户银行</w:t>
            </w:r>
          </w:p>
        </w:tc>
        <w:tc>
          <w:tcPr>
            <w:tcW w:w="6293" w:type="dxa"/>
            <w:gridSpan w:val="4"/>
            <w:vAlign w:val="center"/>
          </w:tcPr>
          <w:p>
            <w:pPr>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pPr>
              <w:ind w:firstLine="0" w:firstLineChars="0"/>
              <w:jc w:val="center"/>
              <w:rPr>
                <w:sz w:val="24"/>
                <w:szCs w:val="24"/>
              </w:rPr>
            </w:pPr>
            <w:r>
              <w:rPr>
                <w:rFonts w:hint="eastAsia"/>
                <w:sz w:val="24"/>
                <w:szCs w:val="24"/>
              </w:rPr>
              <w:t>基本账户银行账号</w:t>
            </w:r>
          </w:p>
        </w:tc>
        <w:tc>
          <w:tcPr>
            <w:tcW w:w="6293" w:type="dxa"/>
            <w:gridSpan w:val="4"/>
            <w:vAlign w:val="center"/>
          </w:tcPr>
          <w:p>
            <w:pPr>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pPr>
              <w:ind w:firstLine="0" w:firstLineChars="0"/>
              <w:jc w:val="center"/>
              <w:rPr>
                <w:sz w:val="24"/>
                <w:szCs w:val="24"/>
              </w:rPr>
            </w:pPr>
            <w:r>
              <w:rPr>
                <w:rFonts w:hint="eastAsia"/>
                <w:sz w:val="24"/>
                <w:szCs w:val="24"/>
              </w:rPr>
              <w:t>近三年营业额</w:t>
            </w:r>
          </w:p>
        </w:tc>
        <w:tc>
          <w:tcPr>
            <w:tcW w:w="6293" w:type="dxa"/>
            <w:gridSpan w:val="4"/>
            <w:vAlign w:val="center"/>
          </w:tcPr>
          <w:p>
            <w:pPr>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35" w:type="dxa"/>
            <w:vAlign w:val="center"/>
          </w:tcPr>
          <w:p>
            <w:pPr>
              <w:ind w:firstLine="0" w:firstLineChars="0"/>
              <w:jc w:val="center"/>
              <w:rPr>
                <w:sz w:val="24"/>
                <w:szCs w:val="24"/>
              </w:rPr>
            </w:pPr>
            <w:r>
              <w:rPr>
                <w:rFonts w:hint="eastAsia"/>
                <w:sz w:val="24"/>
                <w:szCs w:val="24"/>
              </w:rPr>
              <w:t>投标人关联企业情况（包括但不限于与投标人法定代表人（单位负责人）为同一人或者存在控股、管理关系的不同单位）</w:t>
            </w:r>
          </w:p>
        </w:tc>
        <w:tc>
          <w:tcPr>
            <w:tcW w:w="6293" w:type="dxa"/>
            <w:gridSpan w:val="4"/>
            <w:vAlign w:val="center"/>
          </w:tcPr>
          <w:p>
            <w:pPr>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pPr>
              <w:ind w:firstLine="0" w:firstLineChars="0"/>
              <w:jc w:val="center"/>
              <w:rPr>
                <w:sz w:val="24"/>
                <w:szCs w:val="24"/>
              </w:rPr>
            </w:pPr>
            <w:r>
              <w:rPr>
                <w:rFonts w:hint="eastAsia"/>
                <w:sz w:val="24"/>
                <w:szCs w:val="24"/>
              </w:rPr>
              <w:t>投标设备制造商名称</w:t>
            </w:r>
          </w:p>
        </w:tc>
        <w:tc>
          <w:tcPr>
            <w:tcW w:w="6293" w:type="dxa"/>
            <w:gridSpan w:val="4"/>
            <w:vAlign w:val="center"/>
          </w:tcPr>
          <w:p>
            <w:pPr>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pPr>
              <w:ind w:firstLine="0" w:firstLineChars="0"/>
              <w:jc w:val="center"/>
              <w:rPr>
                <w:sz w:val="24"/>
                <w:szCs w:val="24"/>
              </w:rPr>
            </w:pPr>
            <w:r>
              <w:rPr>
                <w:rFonts w:hint="eastAsia"/>
                <w:sz w:val="24"/>
                <w:szCs w:val="24"/>
              </w:rPr>
              <w:t>备注</w:t>
            </w:r>
          </w:p>
        </w:tc>
        <w:tc>
          <w:tcPr>
            <w:tcW w:w="6293" w:type="dxa"/>
            <w:gridSpan w:val="4"/>
            <w:vAlign w:val="center"/>
          </w:tcPr>
          <w:p>
            <w:pPr>
              <w:ind w:firstLine="0" w:firstLineChars="0"/>
              <w:jc w:val="center"/>
              <w:rPr>
                <w:sz w:val="24"/>
                <w:szCs w:val="24"/>
              </w:rPr>
            </w:pPr>
          </w:p>
        </w:tc>
      </w:tr>
    </w:tbl>
    <w:p>
      <w:r>
        <w:rPr>
          <w:rFonts w:hint="eastAsia"/>
        </w:rPr>
        <w:tab/>
      </w:r>
    </w:p>
    <w:p>
      <w:r>
        <w:rPr>
          <w:rFonts w:hint="eastAsia"/>
        </w:rPr>
        <w:tab/>
      </w:r>
    </w:p>
    <w:p>
      <w:r>
        <w:rPr>
          <w:rFonts w:hint="eastAsia"/>
        </w:rPr>
        <w:tab/>
      </w:r>
    </w:p>
    <w:p>
      <w:r>
        <w:rPr>
          <w:rFonts w:hint="eastAsia"/>
        </w:rPr>
        <w:tab/>
      </w:r>
    </w:p>
    <w:p>
      <w:pPr>
        <w:rPr>
          <w:sz w:val="24"/>
          <w:szCs w:val="24"/>
        </w:rPr>
      </w:pPr>
      <w:r>
        <w:rPr>
          <w:rFonts w:hint="eastAsia"/>
          <w:sz w:val="24"/>
          <w:szCs w:val="24"/>
        </w:rPr>
        <w:t>注：1.投标人应根据投标人须知第3.5.1项的要求在本表后附相关证明材料。境内投标人以现金或者支票形式提交投标保证金的，还应附基本账户开户许可证复印件。</w:t>
      </w:r>
    </w:p>
    <w:p>
      <w:pPr>
        <w:rPr>
          <w:sz w:val="24"/>
          <w:szCs w:val="24"/>
        </w:rPr>
      </w:pPr>
      <w:r>
        <w:rPr>
          <w:rFonts w:hint="eastAsia"/>
          <w:sz w:val="24"/>
          <w:szCs w:val="24"/>
        </w:rPr>
        <w:t>2.如果投标人须知第1.4.1项对投标设备制造商的资质提出了要求，投标人应根据投标人须知第3.5.1项的要求在本表后附相关资质证书复印件。</w:t>
      </w:r>
    </w:p>
    <w:p>
      <w:pPr>
        <w:rPr>
          <w:sz w:val="24"/>
          <w:szCs w:val="24"/>
        </w:rPr>
      </w:pPr>
    </w:p>
    <w:p>
      <w:pPr>
        <w:rPr>
          <w:sz w:val="24"/>
          <w:szCs w:val="24"/>
        </w:rPr>
      </w:pPr>
    </w:p>
    <w:p>
      <w:pPr>
        <w:pStyle w:val="35"/>
      </w:pPr>
    </w:p>
    <w:p>
      <w:pPr>
        <w:rPr>
          <w:sz w:val="24"/>
          <w:szCs w:val="24"/>
        </w:rPr>
      </w:pPr>
    </w:p>
    <w:p>
      <w:pPr>
        <w:pStyle w:val="7"/>
        <w:rPr>
          <w:sz w:val="24"/>
          <w:szCs w:val="24"/>
        </w:rPr>
      </w:pPr>
      <w:bookmarkStart w:id="91" w:name="_Toc2405"/>
      <w:bookmarkStart w:id="92" w:name="_Toc506205344"/>
      <w:bookmarkStart w:id="93" w:name="_Toc503983072"/>
      <w:bookmarkStart w:id="94" w:name="_Toc10408"/>
      <w:r>
        <w:rPr>
          <w:rFonts w:hint="eastAsia"/>
          <w:sz w:val="24"/>
          <w:szCs w:val="24"/>
        </w:rPr>
        <w:t>（二）法人资格证明</w:t>
      </w:r>
      <w:bookmarkEnd w:id="91"/>
      <w:bookmarkEnd w:id="92"/>
      <w:bookmarkEnd w:id="93"/>
      <w:bookmarkEnd w:id="94"/>
    </w:p>
    <w:p>
      <w:pPr>
        <w:rPr>
          <w:sz w:val="24"/>
          <w:szCs w:val="24"/>
        </w:rPr>
      </w:pPr>
      <w:r>
        <w:rPr>
          <w:rFonts w:hint="eastAsia"/>
          <w:sz w:val="24"/>
          <w:szCs w:val="24"/>
        </w:rPr>
        <w:t>（依法设立的法人或其他组织资格证明文件，如企业法人营业执照等）</w:t>
      </w:r>
      <w:bookmarkStart w:id="95" w:name="_Toc3006"/>
      <w:bookmarkStart w:id="96" w:name="_Toc503983073"/>
      <w:bookmarkStart w:id="97" w:name="_Toc506205345"/>
    </w:p>
    <w:p/>
    <w:p/>
    <w:p>
      <w:pPr>
        <w:pStyle w:val="7"/>
        <w:rPr>
          <w:sz w:val="24"/>
          <w:szCs w:val="24"/>
        </w:rPr>
      </w:pPr>
      <w:bookmarkStart w:id="98" w:name="_Toc21862"/>
      <w:r>
        <w:rPr>
          <w:rFonts w:hint="eastAsia"/>
          <w:sz w:val="24"/>
          <w:szCs w:val="24"/>
        </w:rPr>
        <w:t>（三）制造商授权书</w:t>
      </w:r>
      <w:bookmarkEnd w:id="95"/>
      <w:bookmarkEnd w:id="96"/>
      <w:bookmarkEnd w:id="97"/>
      <w:bookmarkEnd w:id="98"/>
    </w:p>
    <w:p>
      <w:pPr>
        <w:jc w:val="center"/>
        <w:rPr>
          <w:sz w:val="24"/>
          <w:szCs w:val="24"/>
        </w:rPr>
      </w:pPr>
      <w:r>
        <w:rPr>
          <w:rFonts w:hint="eastAsia"/>
          <w:sz w:val="24"/>
          <w:szCs w:val="24"/>
        </w:rPr>
        <w:t>制造商授权书</w:t>
      </w:r>
    </w:p>
    <w:p>
      <w:pPr>
        <w:jc w:val="center"/>
        <w:rPr>
          <w:sz w:val="24"/>
          <w:szCs w:val="24"/>
        </w:rPr>
      </w:pPr>
      <w:r>
        <w:rPr>
          <w:rFonts w:hint="eastAsia"/>
          <w:sz w:val="24"/>
          <w:szCs w:val="24"/>
        </w:rPr>
        <w:t>（如果有的话）（原件）</w:t>
      </w:r>
    </w:p>
    <w:p>
      <w:pPr>
        <w:rPr>
          <w:sz w:val="24"/>
          <w:szCs w:val="24"/>
        </w:rPr>
      </w:pPr>
    </w:p>
    <w:p>
      <w:pPr>
        <w:rPr>
          <w:sz w:val="24"/>
          <w:szCs w:val="24"/>
        </w:rPr>
      </w:pPr>
      <w:r>
        <w:rPr>
          <w:rFonts w:hint="eastAsia"/>
          <w:sz w:val="24"/>
          <w:szCs w:val="24"/>
        </w:rPr>
        <w:t>致：______________</w:t>
      </w:r>
      <w:r>
        <w:rPr>
          <w:rFonts w:hint="eastAsia"/>
          <w:sz w:val="24"/>
          <w:szCs w:val="24"/>
        </w:rPr>
        <w:tab/>
      </w:r>
      <w:r>
        <w:rPr>
          <w:rFonts w:hint="eastAsia"/>
          <w:sz w:val="24"/>
          <w:szCs w:val="24"/>
        </w:rPr>
        <w:t>（招标人）</w:t>
      </w:r>
    </w:p>
    <w:p>
      <w:pPr>
        <w:rPr>
          <w:sz w:val="24"/>
          <w:szCs w:val="24"/>
        </w:rPr>
      </w:pPr>
      <w:r>
        <w:rPr>
          <w:rFonts w:hint="eastAsia"/>
          <w:sz w:val="24"/>
          <w:szCs w:val="24"/>
        </w:rPr>
        <w:t>我单位______________（制造商名称）是按______________</w:t>
      </w:r>
      <w:r>
        <w:rPr>
          <w:rFonts w:hint="eastAsia"/>
          <w:sz w:val="24"/>
          <w:szCs w:val="24"/>
        </w:rPr>
        <w:tab/>
      </w:r>
      <w:r>
        <w:rPr>
          <w:rFonts w:hint="eastAsia"/>
          <w:sz w:val="24"/>
          <w:szCs w:val="24"/>
        </w:rPr>
        <w:t>（国家／地区名称）法律成立的一家制造商，主要营业地点设在______________（制造商地址）。兹授权按______________（国家／区名称）的法律正式成立的，主要营业地点设在______________（投标人的单位地址）的______________（投标人名称）以我单位制造的______________（设备名称）进行______________（项目名称）投标活动。我单位同意按照中标合同供货，并对产品质量承担责任。</w:t>
      </w:r>
    </w:p>
    <w:p>
      <w:pPr>
        <w:rPr>
          <w:sz w:val="24"/>
          <w:szCs w:val="24"/>
        </w:rPr>
      </w:pPr>
      <w:r>
        <w:rPr>
          <w:rFonts w:hint="eastAsia"/>
          <w:sz w:val="24"/>
          <w:szCs w:val="24"/>
        </w:rPr>
        <w:t>授权期限：______________。</w:t>
      </w:r>
    </w:p>
    <w:p>
      <w:pPr>
        <w:rPr>
          <w:sz w:val="24"/>
          <w:szCs w:val="24"/>
        </w:rPr>
      </w:pPr>
      <w:r>
        <w:rPr>
          <w:rFonts w:hint="eastAsia"/>
          <w:sz w:val="24"/>
          <w:szCs w:val="24"/>
        </w:rPr>
        <w:t>投标人名称：________（盖单位章）</w:t>
      </w:r>
      <w:r>
        <w:rPr>
          <w:rFonts w:hint="eastAsia"/>
          <w:sz w:val="24"/>
          <w:szCs w:val="24"/>
        </w:rPr>
        <w:tab/>
      </w:r>
      <w:r>
        <w:rPr>
          <w:rFonts w:hint="eastAsia"/>
          <w:sz w:val="24"/>
          <w:szCs w:val="24"/>
        </w:rPr>
        <w:t>制造商名称：_____（盖单位章）</w:t>
      </w:r>
    </w:p>
    <w:p>
      <w:pPr>
        <w:rPr>
          <w:sz w:val="24"/>
          <w:szCs w:val="24"/>
        </w:rPr>
      </w:pPr>
      <w:r>
        <w:rPr>
          <w:rFonts w:hint="eastAsia"/>
          <w:sz w:val="24"/>
          <w:szCs w:val="24"/>
        </w:rPr>
        <w:t>签字人职务：______________      签字人职务______________</w:t>
      </w:r>
    </w:p>
    <w:p>
      <w:pPr>
        <w:rPr>
          <w:sz w:val="24"/>
          <w:szCs w:val="24"/>
        </w:rPr>
      </w:pPr>
      <w:r>
        <w:rPr>
          <w:rFonts w:hint="eastAsia"/>
          <w:sz w:val="24"/>
          <w:szCs w:val="24"/>
        </w:rPr>
        <w:t>签字人姓名：______________      签字人姓名：______________</w:t>
      </w:r>
    </w:p>
    <w:p>
      <w:pPr>
        <w:rPr>
          <w:sz w:val="24"/>
          <w:szCs w:val="24"/>
        </w:rPr>
      </w:pPr>
      <w:r>
        <w:rPr>
          <w:rFonts w:hint="eastAsia"/>
          <w:sz w:val="24"/>
          <w:szCs w:val="24"/>
        </w:rPr>
        <w:t>签字人签名：______________       签字人签名：______________</w:t>
      </w:r>
    </w:p>
    <w:p>
      <w:pPr>
        <w:rPr>
          <w:sz w:val="24"/>
          <w:szCs w:val="24"/>
        </w:rPr>
      </w:pPr>
      <w:r>
        <w:rPr>
          <w:rFonts w:hint="eastAsia"/>
          <w:sz w:val="24"/>
          <w:szCs w:val="24"/>
        </w:rPr>
        <w:t>联系人电话：    ____________       联系人电话：______________</w:t>
      </w:r>
    </w:p>
    <w:p>
      <w:pPr>
        <w:pStyle w:val="7"/>
        <w:rPr>
          <w:sz w:val="24"/>
          <w:szCs w:val="24"/>
        </w:rPr>
      </w:pPr>
    </w:p>
    <w:p>
      <w:pPr>
        <w:pStyle w:val="7"/>
        <w:rPr>
          <w:sz w:val="24"/>
          <w:szCs w:val="24"/>
        </w:rPr>
      </w:pPr>
      <w:bookmarkStart w:id="99" w:name="_Toc15019"/>
      <w:bookmarkStart w:id="100" w:name="_Toc503961406"/>
      <w:bookmarkStart w:id="101" w:name="_Toc503983075"/>
      <w:bookmarkStart w:id="102" w:name="_Toc10429"/>
      <w:bookmarkStart w:id="103" w:name="_Toc506205347"/>
      <w:r>
        <w:rPr>
          <w:rFonts w:hint="eastAsia"/>
          <w:sz w:val="24"/>
          <w:szCs w:val="24"/>
        </w:rPr>
        <w:t>（四）银行资信证明</w:t>
      </w:r>
      <w:bookmarkEnd w:id="99"/>
      <w:bookmarkEnd w:id="100"/>
      <w:bookmarkEnd w:id="101"/>
      <w:bookmarkEnd w:id="102"/>
      <w:bookmarkEnd w:id="103"/>
    </w:p>
    <w:p>
      <w:pPr>
        <w:rPr>
          <w:sz w:val="24"/>
          <w:szCs w:val="24"/>
        </w:rPr>
      </w:pPr>
      <w:r>
        <w:rPr>
          <w:rFonts w:hint="eastAsia"/>
          <w:sz w:val="24"/>
          <w:szCs w:val="24"/>
        </w:rPr>
        <w:t>(如果有的话)</w:t>
      </w:r>
    </w:p>
    <w:p>
      <w:pPr>
        <w:pStyle w:val="7"/>
        <w:rPr>
          <w:sz w:val="24"/>
          <w:szCs w:val="24"/>
        </w:rPr>
      </w:pPr>
      <w:bookmarkStart w:id="104" w:name="_Toc503983076"/>
      <w:bookmarkStart w:id="105" w:name="_Toc29176"/>
      <w:bookmarkStart w:id="106" w:name="_Toc506205348"/>
    </w:p>
    <w:p>
      <w:pPr>
        <w:pStyle w:val="7"/>
        <w:rPr>
          <w:sz w:val="24"/>
          <w:szCs w:val="24"/>
        </w:rPr>
      </w:pPr>
      <w:bookmarkStart w:id="107" w:name="_Toc19155"/>
      <w:r>
        <w:rPr>
          <w:rFonts w:hint="eastAsia"/>
          <w:sz w:val="24"/>
          <w:szCs w:val="24"/>
        </w:rPr>
        <w:t>（五）</w:t>
      </w:r>
      <w:bookmarkStart w:id="108" w:name="_Toc503961407"/>
      <w:r>
        <w:rPr>
          <w:rFonts w:hint="eastAsia"/>
          <w:sz w:val="24"/>
          <w:szCs w:val="24"/>
        </w:rPr>
        <w:t>货物的制造及验收标准</w:t>
      </w:r>
      <w:bookmarkEnd w:id="104"/>
      <w:bookmarkEnd w:id="105"/>
      <w:bookmarkEnd w:id="106"/>
      <w:bookmarkEnd w:id="107"/>
      <w:bookmarkEnd w:id="108"/>
    </w:p>
    <w:p>
      <w:pPr>
        <w:rPr>
          <w:sz w:val="24"/>
          <w:szCs w:val="24"/>
        </w:rPr>
      </w:pPr>
      <w:r>
        <w:rPr>
          <w:rFonts w:hint="eastAsia"/>
          <w:sz w:val="24"/>
          <w:szCs w:val="24"/>
        </w:rPr>
        <w:t>(如果有的话)</w:t>
      </w:r>
    </w:p>
    <w:p>
      <w:pPr>
        <w:pStyle w:val="7"/>
      </w:pPr>
    </w:p>
    <w:p>
      <w:pPr>
        <w:pStyle w:val="7"/>
        <w:rPr>
          <w:sz w:val="24"/>
          <w:szCs w:val="24"/>
        </w:rPr>
      </w:pPr>
      <w:bookmarkStart w:id="109" w:name="_Toc17731"/>
      <w:bookmarkStart w:id="110" w:name="_Toc503983078"/>
      <w:bookmarkStart w:id="111" w:name="_Toc26035"/>
      <w:bookmarkStart w:id="112" w:name="_Toc503961409"/>
      <w:bookmarkStart w:id="113" w:name="_Toc506205350"/>
      <w:r>
        <w:rPr>
          <w:rFonts w:hint="eastAsia"/>
          <w:sz w:val="24"/>
          <w:szCs w:val="24"/>
        </w:rPr>
        <w:t>（六）投标货物检测报告、鉴定证书</w:t>
      </w:r>
      <w:bookmarkEnd w:id="109"/>
      <w:bookmarkEnd w:id="110"/>
      <w:bookmarkEnd w:id="111"/>
      <w:bookmarkEnd w:id="112"/>
      <w:bookmarkEnd w:id="113"/>
    </w:p>
    <w:p>
      <w:pPr>
        <w:rPr>
          <w:sz w:val="24"/>
          <w:szCs w:val="24"/>
        </w:rPr>
      </w:pPr>
      <w:r>
        <w:rPr>
          <w:rFonts w:hint="eastAsia"/>
          <w:sz w:val="24"/>
          <w:szCs w:val="24"/>
        </w:rPr>
        <w:t>(如果有的话)</w:t>
      </w:r>
    </w:p>
    <w:p>
      <w:pPr>
        <w:pStyle w:val="7"/>
        <w:rPr>
          <w:sz w:val="24"/>
          <w:szCs w:val="24"/>
        </w:rPr>
      </w:pPr>
    </w:p>
    <w:p>
      <w:pPr>
        <w:pStyle w:val="7"/>
        <w:rPr>
          <w:sz w:val="24"/>
          <w:szCs w:val="24"/>
        </w:rPr>
      </w:pPr>
      <w:bookmarkStart w:id="114" w:name="_Toc503961410"/>
      <w:bookmarkStart w:id="115" w:name="_Toc16934"/>
      <w:bookmarkStart w:id="116" w:name="_Toc503983079"/>
      <w:bookmarkStart w:id="117" w:name="_Toc27044"/>
      <w:bookmarkStart w:id="118" w:name="_Toc506205351"/>
      <w:r>
        <w:rPr>
          <w:rFonts w:hint="eastAsia"/>
          <w:sz w:val="24"/>
          <w:szCs w:val="24"/>
        </w:rPr>
        <w:t>（七）ISO认证证书</w:t>
      </w:r>
      <w:bookmarkEnd w:id="114"/>
      <w:bookmarkEnd w:id="115"/>
      <w:bookmarkEnd w:id="116"/>
      <w:bookmarkEnd w:id="117"/>
      <w:bookmarkEnd w:id="118"/>
    </w:p>
    <w:p>
      <w:pPr>
        <w:rPr>
          <w:sz w:val="24"/>
          <w:szCs w:val="24"/>
        </w:rPr>
      </w:pPr>
      <w:r>
        <w:rPr>
          <w:rFonts w:hint="eastAsia"/>
          <w:sz w:val="24"/>
          <w:szCs w:val="24"/>
        </w:rPr>
        <w:t>(如果有的话)</w:t>
      </w:r>
    </w:p>
    <w:p>
      <w:pPr>
        <w:rPr>
          <w:sz w:val="24"/>
          <w:szCs w:val="24"/>
        </w:rPr>
      </w:pPr>
    </w:p>
    <w:p>
      <w:pPr>
        <w:pStyle w:val="7"/>
        <w:rPr>
          <w:sz w:val="24"/>
          <w:szCs w:val="24"/>
        </w:rPr>
      </w:pPr>
      <w:bookmarkStart w:id="119" w:name="_Toc21345"/>
      <w:bookmarkStart w:id="120" w:name="_Toc7857"/>
      <w:bookmarkStart w:id="121" w:name="_Toc506205353"/>
      <w:bookmarkStart w:id="122" w:name="_Toc503983081"/>
      <w:bookmarkStart w:id="123" w:name="_Toc503961412"/>
      <w:r>
        <w:rPr>
          <w:rFonts w:hint="eastAsia"/>
          <w:sz w:val="24"/>
          <w:szCs w:val="24"/>
        </w:rPr>
        <w:t>（八）产品说明、产品样本</w:t>
      </w:r>
      <w:bookmarkEnd w:id="119"/>
      <w:bookmarkEnd w:id="120"/>
      <w:bookmarkEnd w:id="121"/>
      <w:bookmarkEnd w:id="122"/>
      <w:bookmarkEnd w:id="123"/>
    </w:p>
    <w:p>
      <w:pPr>
        <w:rPr>
          <w:sz w:val="24"/>
          <w:szCs w:val="24"/>
        </w:rPr>
      </w:pPr>
      <w:r>
        <w:rPr>
          <w:rFonts w:hint="eastAsia"/>
          <w:sz w:val="24"/>
          <w:szCs w:val="24"/>
        </w:rPr>
        <w:t>(如果有的话</w:t>
      </w:r>
    </w:p>
    <w:p>
      <w:pPr>
        <w:rPr>
          <w:sz w:val="24"/>
          <w:szCs w:val="24"/>
        </w:rPr>
      </w:pPr>
    </w:p>
    <w:p>
      <w:pPr>
        <w:rPr>
          <w:sz w:val="24"/>
          <w:szCs w:val="24"/>
        </w:rPr>
      </w:pPr>
    </w:p>
    <w:p>
      <w:pPr>
        <w:pStyle w:val="7"/>
        <w:rPr>
          <w:sz w:val="24"/>
          <w:szCs w:val="24"/>
        </w:rPr>
      </w:pPr>
      <w:bookmarkStart w:id="124" w:name="_Toc17892"/>
      <w:bookmarkStart w:id="125" w:name="_Toc506205355"/>
      <w:bookmarkStart w:id="126" w:name="_Toc24039"/>
      <w:bookmarkStart w:id="127" w:name="_Toc503983083"/>
      <w:r>
        <w:rPr>
          <w:rFonts w:hint="eastAsia"/>
          <w:sz w:val="24"/>
          <w:szCs w:val="24"/>
        </w:rPr>
        <w:t>（九）近年完成的类似项目情况表</w:t>
      </w:r>
      <w:bookmarkEnd w:id="124"/>
      <w:bookmarkEnd w:id="125"/>
      <w:bookmarkEnd w:id="126"/>
      <w:bookmarkEnd w:id="127"/>
    </w:p>
    <w:tbl>
      <w:tblPr>
        <w:tblStyle w:val="49"/>
        <w:tblW w:w="8176" w:type="dxa"/>
        <w:jc w:val="center"/>
        <w:tblLayout w:type="fixed"/>
        <w:tblCellMar>
          <w:top w:w="0" w:type="dxa"/>
          <w:left w:w="0" w:type="dxa"/>
          <w:bottom w:w="0" w:type="dxa"/>
          <w:right w:w="0" w:type="dxa"/>
        </w:tblCellMar>
      </w:tblPr>
      <w:tblGrid>
        <w:gridCol w:w="2177"/>
        <w:gridCol w:w="5999"/>
      </w:tblGrid>
      <w:tr>
        <w:tblPrEx>
          <w:tblCellMar>
            <w:top w:w="0" w:type="dxa"/>
            <w:left w:w="0" w:type="dxa"/>
            <w:bottom w:w="0" w:type="dxa"/>
            <w:right w:w="0" w:type="dxa"/>
          </w:tblCellMar>
        </w:tblPrEx>
        <w:trPr>
          <w:trHeight w:val="672" w:hRule="exact"/>
          <w:jc w:val="center"/>
        </w:trPr>
        <w:tc>
          <w:tcPr>
            <w:tcW w:w="2177" w:type="dxa"/>
            <w:tcBorders>
              <w:top w:val="single" w:color="000000" w:sz="4" w:space="0"/>
              <w:left w:val="single" w:color="000000" w:sz="4" w:space="0"/>
              <w:bottom w:val="single" w:color="000000" w:sz="4" w:space="0"/>
              <w:right w:val="single" w:color="000000" w:sz="4" w:space="0"/>
            </w:tcBorders>
          </w:tcPr>
          <w:p>
            <w:pPr>
              <w:ind w:firstLine="440"/>
              <w:jc w:val="center"/>
              <w:rPr>
                <w:sz w:val="24"/>
                <w:szCs w:val="24"/>
                <w:lang w:eastAsia="zh-CN"/>
              </w:rPr>
            </w:pPr>
          </w:p>
          <w:p>
            <w:pPr>
              <w:ind w:firstLine="0" w:firstLineChars="0"/>
              <w:jc w:val="center"/>
              <w:rPr>
                <w:sz w:val="24"/>
                <w:szCs w:val="24"/>
                <w:lang w:eastAsia="en-US"/>
              </w:rPr>
            </w:pPr>
            <w:r>
              <w:rPr>
                <w:rFonts w:hint="eastAsia"/>
                <w:sz w:val="24"/>
                <w:szCs w:val="24"/>
                <w:lang w:eastAsia="en-US"/>
              </w:rPr>
              <w:t>产品名称</w:t>
            </w:r>
          </w:p>
        </w:tc>
        <w:tc>
          <w:tcPr>
            <w:tcW w:w="5999" w:type="dxa"/>
            <w:tcBorders>
              <w:top w:val="single" w:color="000000" w:sz="4" w:space="0"/>
              <w:left w:val="single" w:color="000000" w:sz="4" w:space="0"/>
              <w:bottom w:val="single" w:color="000000" w:sz="4" w:space="0"/>
              <w:right w:val="single" w:color="000000" w:sz="4" w:space="0"/>
            </w:tcBorders>
          </w:tcPr>
          <w:p>
            <w:pPr>
              <w:ind w:firstLine="440"/>
              <w:rPr>
                <w:sz w:val="24"/>
                <w:szCs w:val="24"/>
                <w:lang w:eastAsia="en-US"/>
              </w:rPr>
            </w:pPr>
          </w:p>
        </w:tc>
      </w:tr>
      <w:tr>
        <w:tblPrEx>
          <w:tblCellMar>
            <w:top w:w="0" w:type="dxa"/>
            <w:left w:w="0" w:type="dxa"/>
            <w:bottom w:w="0" w:type="dxa"/>
            <w:right w:w="0" w:type="dxa"/>
          </w:tblCellMar>
        </w:tblPrEx>
        <w:trPr>
          <w:trHeight w:val="611" w:hRule="exact"/>
          <w:jc w:val="center"/>
        </w:trPr>
        <w:tc>
          <w:tcPr>
            <w:tcW w:w="2177" w:type="dxa"/>
            <w:tcBorders>
              <w:top w:val="single" w:color="000000" w:sz="4" w:space="0"/>
              <w:left w:val="single" w:color="000000" w:sz="4" w:space="0"/>
              <w:bottom w:val="single" w:color="000000" w:sz="4" w:space="0"/>
              <w:right w:val="single" w:color="000000" w:sz="4" w:space="0"/>
            </w:tcBorders>
          </w:tcPr>
          <w:p>
            <w:pPr>
              <w:ind w:firstLine="440"/>
              <w:jc w:val="center"/>
              <w:rPr>
                <w:sz w:val="24"/>
                <w:szCs w:val="24"/>
                <w:lang w:eastAsia="en-US"/>
              </w:rPr>
            </w:pPr>
          </w:p>
          <w:p>
            <w:pPr>
              <w:ind w:firstLine="0" w:firstLineChars="0"/>
              <w:jc w:val="center"/>
              <w:rPr>
                <w:sz w:val="24"/>
                <w:szCs w:val="24"/>
                <w:lang w:eastAsia="en-US"/>
              </w:rPr>
            </w:pPr>
            <w:r>
              <w:rPr>
                <w:sz w:val="24"/>
                <w:szCs w:val="24"/>
                <w:lang w:eastAsia="en-US"/>
              </w:rPr>
              <w:t>规格和型号</w:t>
            </w:r>
          </w:p>
        </w:tc>
        <w:tc>
          <w:tcPr>
            <w:tcW w:w="5999" w:type="dxa"/>
            <w:tcBorders>
              <w:top w:val="single" w:color="000000" w:sz="4" w:space="0"/>
              <w:left w:val="single" w:color="000000" w:sz="4" w:space="0"/>
              <w:bottom w:val="single" w:color="000000" w:sz="4" w:space="0"/>
              <w:right w:val="single" w:color="000000" w:sz="4" w:space="0"/>
            </w:tcBorders>
          </w:tcPr>
          <w:p>
            <w:pPr>
              <w:ind w:firstLine="440"/>
              <w:rPr>
                <w:sz w:val="24"/>
                <w:szCs w:val="24"/>
                <w:lang w:eastAsia="en-US"/>
              </w:rPr>
            </w:pPr>
          </w:p>
        </w:tc>
      </w:tr>
      <w:tr>
        <w:tblPrEx>
          <w:tblCellMar>
            <w:top w:w="0" w:type="dxa"/>
            <w:left w:w="0" w:type="dxa"/>
            <w:bottom w:w="0" w:type="dxa"/>
            <w:right w:w="0" w:type="dxa"/>
          </w:tblCellMar>
        </w:tblPrEx>
        <w:trPr>
          <w:trHeight w:val="618" w:hRule="exact"/>
          <w:jc w:val="center"/>
        </w:trPr>
        <w:tc>
          <w:tcPr>
            <w:tcW w:w="2177" w:type="dxa"/>
            <w:tcBorders>
              <w:top w:val="single" w:color="000000" w:sz="4" w:space="0"/>
              <w:left w:val="single" w:color="000000" w:sz="4" w:space="0"/>
              <w:bottom w:val="single" w:color="000000" w:sz="4" w:space="0"/>
              <w:right w:val="single" w:color="000000" w:sz="4" w:space="0"/>
            </w:tcBorders>
          </w:tcPr>
          <w:p>
            <w:pPr>
              <w:ind w:firstLine="0" w:firstLineChars="0"/>
              <w:jc w:val="center"/>
              <w:rPr>
                <w:sz w:val="24"/>
                <w:szCs w:val="24"/>
                <w:lang w:eastAsia="en-US"/>
              </w:rPr>
            </w:pPr>
          </w:p>
          <w:p>
            <w:pPr>
              <w:ind w:firstLine="0" w:firstLineChars="0"/>
              <w:jc w:val="center"/>
              <w:rPr>
                <w:sz w:val="24"/>
                <w:szCs w:val="24"/>
                <w:lang w:eastAsia="en-US"/>
              </w:rPr>
            </w:pPr>
            <w:r>
              <w:rPr>
                <w:sz w:val="24"/>
                <w:szCs w:val="24"/>
                <w:lang w:eastAsia="en-US"/>
              </w:rPr>
              <w:t>项目名称</w:t>
            </w:r>
          </w:p>
        </w:tc>
        <w:tc>
          <w:tcPr>
            <w:tcW w:w="5999" w:type="dxa"/>
            <w:tcBorders>
              <w:top w:val="single" w:color="000000" w:sz="4" w:space="0"/>
              <w:left w:val="single" w:color="000000" w:sz="4" w:space="0"/>
              <w:bottom w:val="single" w:color="000000" w:sz="4" w:space="0"/>
              <w:right w:val="single" w:color="000000" w:sz="4" w:space="0"/>
            </w:tcBorders>
          </w:tcPr>
          <w:p>
            <w:pPr>
              <w:ind w:firstLine="440"/>
              <w:rPr>
                <w:sz w:val="24"/>
                <w:szCs w:val="24"/>
                <w:lang w:eastAsia="en-US"/>
              </w:rPr>
            </w:pPr>
          </w:p>
        </w:tc>
      </w:tr>
      <w:tr>
        <w:tblPrEx>
          <w:tblCellMar>
            <w:top w:w="0" w:type="dxa"/>
            <w:left w:w="0" w:type="dxa"/>
            <w:bottom w:w="0" w:type="dxa"/>
            <w:right w:w="0" w:type="dxa"/>
          </w:tblCellMar>
        </w:tblPrEx>
        <w:trPr>
          <w:trHeight w:val="614" w:hRule="exact"/>
          <w:jc w:val="center"/>
        </w:trPr>
        <w:tc>
          <w:tcPr>
            <w:tcW w:w="2177" w:type="dxa"/>
            <w:tcBorders>
              <w:top w:val="single" w:color="000000" w:sz="4" w:space="0"/>
              <w:left w:val="single" w:color="000000" w:sz="4" w:space="0"/>
              <w:bottom w:val="single" w:color="000000" w:sz="4" w:space="0"/>
              <w:right w:val="single" w:color="000000" w:sz="4" w:space="0"/>
            </w:tcBorders>
          </w:tcPr>
          <w:p>
            <w:pPr>
              <w:ind w:firstLine="440"/>
              <w:jc w:val="center"/>
              <w:rPr>
                <w:sz w:val="24"/>
                <w:szCs w:val="24"/>
                <w:lang w:eastAsia="en-US"/>
              </w:rPr>
            </w:pPr>
          </w:p>
          <w:p>
            <w:pPr>
              <w:ind w:firstLine="0" w:firstLineChars="0"/>
              <w:jc w:val="center"/>
              <w:rPr>
                <w:sz w:val="24"/>
                <w:szCs w:val="24"/>
                <w:lang w:eastAsia="en-US"/>
              </w:rPr>
            </w:pPr>
            <w:r>
              <w:rPr>
                <w:sz w:val="24"/>
                <w:szCs w:val="24"/>
                <w:lang w:eastAsia="en-US"/>
              </w:rPr>
              <w:t>买方名称</w:t>
            </w:r>
          </w:p>
        </w:tc>
        <w:tc>
          <w:tcPr>
            <w:tcW w:w="5999" w:type="dxa"/>
            <w:tcBorders>
              <w:top w:val="single" w:color="000000" w:sz="4" w:space="0"/>
              <w:left w:val="single" w:color="000000" w:sz="4" w:space="0"/>
              <w:bottom w:val="single" w:color="000000" w:sz="4" w:space="0"/>
              <w:right w:val="single" w:color="000000" w:sz="4" w:space="0"/>
            </w:tcBorders>
          </w:tcPr>
          <w:p>
            <w:pPr>
              <w:ind w:firstLine="440"/>
              <w:rPr>
                <w:sz w:val="24"/>
                <w:szCs w:val="24"/>
                <w:lang w:eastAsia="en-US"/>
              </w:rPr>
            </w:pPr>
          </w:p>
        </w:tc>
      </w:tr>
      <w:tr>
        <w:tblPrEx>
          <w:tblCellMar>
            <w:top w:w="0" w:type="dxa"/>
            <w:left w:w="0" w:type="dxa"/>
            <w:bottom w:w="0" w:type="dxa"/>
            <w:right w:w="0" w:type="dxa"/>
          </w:tblCellMar>
        </w:tblPrEx>
        <w:trPr>
          <w:trHeight w:val="618" w:hRule="exact"/>
          <w:jc w:val="center"/>
        </w:trPr>
        <w:tc>
          <w:tcPr>
            <w:tcW w:w="2177" w:type="dxa"/>
            <w:tcBorders>
              <w:top w:val="single" w:color="000000" w:sz="4" w:space="0"/>
              <w:left w:val="single" w:color="000000" w:sz="4" w:space="0"/>
              <w:bottom w:val="single" w:color="000000" w:sz="4" w:space="0"/>
              <w:right w:val="single" w:color="000000" w:sz="4" w:space="0"/>
            </w:tcBorders>
          </w:tcPr>
          <w:p>
            <w:pPr>
              <w:ind w:firstLine="440"/>
              <w:jc w:val="center"/>
              <w:rPr>
                <w:sz w:val="24"/>
                <w:szCs w:val="24"/>
                <w:lang w:eastAsia="en-US"/>
              </w:rPr>
            </w:pPr>
          </w:p>
          <w:p>
            <w:pPr>
              <w:ind w:firstLine="0" w:firstLineChars="0"/>
              <w:jc w:val="center"/>
              <w:rPr>
                <w:sz w:val="24"/>
                <w:szCs w:val="24"/>
                <w:lang w:eastAsia="en-US"/>
              </w:rPr>
            </w:pPr>
            <w:r>
              <w:rPr>
                <w:sz w:val="24"/>
                <w:szCs w:val="24"/>
                <w:lang w:eastAsia="en-US"/>
              </w:rPr>
              <w:t>买方联系人及电话</w:t>
            </w:r>
          </w:p>
        </w:tc>
        <w:tc>
          <w:tcPr>
            <w:tcW w:w="5999" w:type="dxa"/>
            <w:tcBorders>
              <w:top w:val="single" w:color="000000" w:sz="4" w:space="0"/>
              <w:left w:val="single" w:color="000000" w:sz="4" w:space="0"/>
              <w:bottom w:val="single" w:color="000000" w:sz="4" w:space="0"/>
              <w:right w:val="single" w:color="000000" w:sz="4" w:space="0"/>
            </w:tcBorders>
          </w:tcPr>
          <w:p>
            <w:pPr>
              <w:ind w:firstLine="440"/>
              <w:rPr>
                <w:sz w:val="24"/>
                <w:szCs w:val="24"/>
                <w:lang w:eastAsia="en-US"/>
              </w:rPr>
            </w:pPr>
          </w:p>
        </w:tc>
      </w:tr>
      <w:tr>
        <w:tblPrEx>
          <w:tblCellMar>
            <w:top w:w="0" w:type="dxa"/>
            <w:left w:w="0" w:type="dxa"/>
            <w:bottom w:w="0" w:type="dxa"/>
            <w:right w:w="0" w:type="dxa"/>
          </w:tblCellMar>
        </w:tblPrEx>
        <w:trPr>
          <w:trHeight w:val="616" w:hRule="exact"/>
          <w:jc w:val="center"/>
        </w:trPr>
        <w:tc>
          <w:tcPr>
            <w:tcW w:w="2177" w:type="dxa"/>
            <w:tcBorders>
              <w:top w:val="single" w:color="000000" w:sz="4" w:space="0"/>
              <w:left w:val="single" w:color="000000" w:sz="4" w:space="0"/>
              <w:bottom w:val="single" w:color="000000" w:sz="4" w:space="0"/>
              <w:right w:val="single" w:color="000000" w:sz="4" w:space="0"/>
            </w:tcBorders>
          </w:tcPr>
          <w:p>
            <w:pPr>
              <w:ind w:firstLine="440"/>
              <w:jc w:val="center"/>
              <w:rPr>
                <w:sz w:val="24"/>
                <w:szCs w:val="24"/>
                <w:lang w:eastAsia="en-US"/>
              </w:rPr>
            </w:pPr>
          </w:p>
          <w:p>
            <w:pPr>
              <w:ind w:firstLine="0" w:firstLineChars="0"/>
              <w:jc w:val="center"/>
              <w:rPr>
                <w:sz w:val="24"/>
                <w:szCs w:val="24"/>
                <w:lang w:eastAsia="en-US"/>
              </w:rPr>
            </w:pPr>
            <w:r>
              <w:rPr>
                <w:sz w:val="24"/>
                <w:szCs w:val="24"/>
                <w:lang w:eastAsia="en-US"/>
              </w:rPr>
              <w:t>合同价格</w:t>
            </w:r>
          </w:p>
        </w:tc>
        <w:tc>
          <w:tcPr>
            <w:tcW w:w="5999" w:type="dxa"/>
            <w:tcBorders>
              <w:top w:val="single" w:color="000000" w:sz="4" w:space="0"/>
              <w:left w:val="single" w:color="000000" w:sz="4" w:space="0"/>
              <w:bottom w:val="single" w:color="000000" w:sz="4" w:space="0"/>
              <w:right w:val="single" w:color="000000" w:sz="4" w:space="0"/>
            </w:tcBorders>
          </w:tcPr>
          <w:p>
            <w:pPr>
              <w:ind w:firstLine="440"/>
              <w:rPr>
                <w:sz w:val="24"/>
                <w:szCs w:val="24"/>
                <w:lang w:eastAsia="en-US"/>
              </w:rPr>
            </w:pPr>
          </w:p>
        </w:tc>
      </w:tr>
      <w:tr>
        <w:tblPrEx>
          <w:tblCellMar>
            <w:top w:w="0" w:type="dxa"/>
            <w:left w:w="0" w:type="dxa"/>
            <w:bottom w:w="0" w:type="dxa"/>
            <w:right w:w="0" w:type="dxa"/>
          </w:tblCellMar>
        </w:tblPrEx>
        <w:trPr>
          <w:trHeight w:val="1853" w:hRule="exact"/>
          <w:jc w:val="center"/>
        </w:trPr>
        <w:tc>
          <w:tcPr>
            <w:tcW w:w="2177"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sz w:val="24"/>
                <w:szCs w:val="24"/>
                <w:lang w:eastAsia="zh-CN"/>
              </w:rPr>
            </w:pPr>
            <w:r>
              <w:rPr>
                <w:sz w:val="24"/>
                <w:szCs w:val="24"/>
                <w:lang w:eastAsia="zh-CN"/>
              </w:rPr>
              <w:t>项目概况及投标人履约情况</w:t>
            </w:r>
          </w:p>
        </w:tc>
        <w:tc>
          <w:tcPr>
            <w:tcW w:w="5999" w:type="dxa"/>
            <w:tcBorders>
              <w:top w:val="single" w:color="000000" w:sz="4" w:space="0"/>
              <w:left w:val="single" w:color="000000" w:sz="4" w:space="0"/>
              <w:bottom w:val="single" w:color="000000" w:sz="4" w:space="0"/>
              <w:right w:val="single" w:color="000000" w:sz="4" w:space="0"/>
            </w:tcBorders>
          </w:tcPr>
          <w:p>
            <w:pPr>
              <w:ind w:firstLine="440"/>
              <w:rPr>
                <w:sz w:val="24"/>
                <w:szCs w:val="24"/>
                <w:lang w:eastAsia="zh-CN"/>
              </w:rPr>
            </w:pPr>
          </w:p>
        </w:tc>
      </w:tr>
      <w:tr>
        <w:tblPrEx>
          <w:tblCellMar>
            <w:top w:w="0" w:type="dxa"/>
            <w:left w:w="0" w:type="dxa"/>
            <w:bottom w:w="0" w:type="dxa"/>
            <w:right w:w="0" w:type="dxa"/>
          </w:tblCellMar>
        </w:tblPrEx>
        <w:trPr>
          <w:trHeight w:val="632" w:hRule="exact"/>
          <w:jc w:val="center"/>
        </w:trPr>
        <w:tc>
          <w:tcPr>
            <w:tcW w:w="2177" w:type="dxa"/>
            <w:tcBorders>
              <w:top w:val="single" w:color="000000" w:sz="4" w:space="0"/>
              <w:left w:val="single" w:color="000000" w:sz="4" w:space="0"/>
              <w:bottom w:val="single" w:color="000000" w:sz="4" w:space="0"/>
              <w:right w:val="single" w:color="000000" w:sz="4" w:space="0"/>
            </w:tcBorders>
          </w:tcPr>
          <w:p>
            <w:pPr>
              <w:ind w:firstLine="440"/>
              <w:jc w:val="center"/>
              <w:rPr>
                <w:sz w:val="24"/>
                <w:szCs w:val="24"/>
                <w:lang w:eastAsia="zh-CN"/>
              </w:rPr>
            </w:pPr>
          </w:p>
          <w:p>
            <w:pPr>
              <w:ind w:firstLine="0" w:firstLineChars="0"/>
              <w:jc w:val="center"/>
              <w:rPr>
                <w:sz w:val="24"/>
                <w:szCs w:val="24"/>
                <w:lang w:eastAsia="en-US"/>
              </w:rPr>
            </w:pPr>
            <w:r>
              <w:rPr>
                <w:sz w:val="24"/>
                <w:szCs w:val="24"/>
                <w:lang w:eastAsia="en-US"/>
              </w:rPr>
              <w:t>备注</w:t>
            </w:r>
          </w:p>
        </w:tc>
        <w:tc>
          <w:tcPr>
            <w:tcW w:w="5999" w:type="dxa"/>
            <w:tcBorders>
              <w:top w:val="single" w:color="000000" w:sz="4" w:space="0"/>
              <w:left w:val="single" w:color="000000" w:sz="4" w:space="0"/>
              <w:bottom w:val="single" w:color="000000" w:sz="4" w:space="0"/>
              <w:right w:val="single" w:color="000000" w:sz="4" w:space="0"/>
            </w:tcBorders>
          </w:tcPr>
          <w:p>
            <w:pPr>
              <w:ind w:firstLine="440"/>
              <w:rPr>
                <w:sz w:val="24"/>
                <w:szCs w:val="24"/>
                <w:lang w:eastAsia="en-US"/>
              </w:rPr>
            </w:pPr>
          </w:p>
        </w:tc>
      </w:tr>
    </w:tbl>
    <w:p>
      <w:pPr>
        <w:rPr>
          <w:sz w:val="24"/>
          <w:szCs w:val="24"/>
        </w:rPr>
      </w:pPr>
      <w:r>
        <w:rPr>
          <w:rFonts w:hint="eastAsia"/>
          <w:sz w:val="24"/>
          <w:szCs w:val="24"/>
        </w:rPr>
        <w:t>注：1. 投标人应根据投标人须知第3.5.3项的要求在本表后附相关证明材料。</w:t>
      </w:r>
    </w:p>
    <w:p>
      <w:pPr>
        <w:ind w:firstLine="960" w:firstLineChars="400"/>
        <w:rPr>
          <w:sz w:val="24"/>
          <w:szCs w:val="24"/>
        </w:rPr>
      </w:pPr>
      <w:r>
        <w:rPr>
          <w:rFonts w:hint="eastAsia"/>
          <w:sz w:val="24"/>
          <w:szCs w:val="24"/>
        </w:rPr>
        <w:t>2.  投标人为代理经销商的，投标人须知第1.4.1项要求投标人提供投标设备的业绩的，投标人应按照上表的格式提供投标设备的业绩情况并根据投标人须知第3.5.3项的要求在本表后 附相关证明材料。</w:t>
      </w:r>
    </w:p>
    <w:p>
      <w:pPr>
        <w:pStyle w:val="7"/>
        <w:rPr>
          <w:sz w:val="24"/>
          <w:szCs w:val="24"/>
        </w:rPr>
      </w:pPr>
      <w:bookmarkStart w:id="128" w:name="_Toc503983084"/>
      <w:bookmarkStart w:id="129" w:name="_Toc17752"/>
      <w:bookmarkStart w:id="130" w:name="_Toc506205356"/>
      <w:bookmarkStart w:id="131" w:name="_Toc12746"/>
      <w:r>
        <w:rPr>
          <w:rFonts w:hint="eastAsia"/>
          <w:sz w:val="24"/>
          <w:szCs w:val="24"/>
        </w:rPr>
        <w:t>（十）正在供货和新承接的项目情况表</w:t>
      </w:r>
      <w:bookmarkEnd w:id="128"/>
      <w:bookmarkEnd w:id="129"/>
      <w:bookmarkEnd w:id="130"/>
      <w:bookmarkEnd w:id="131"/>
    </w:p>
    <w:tbl>
      <w:tblPr>
        <w:tblStyle w:val="49"/>
        <w:tblW w:w="8522" w:type="dxa"/>
        <w:tblInd w:w="155" w:type="dxa"/>
        <w:tblLayout w:type="fixed"/>
        <w:tblCellMar>
          <w:top w:w="0" w:type="dxa"/>
          <w:left w:w="0" w:type="dxa"/>
          <w:bottom w:w="0" w:type="dxa"/>
          <w:right w:w="0" w:type="dxa"/>
        </w:tblCellMar>
      </w:tblPr>
      <w:tblGrid>
        <w:gridCol w:w="2269"/>
        <w:gridCol w:w="6253"/>
      </w:tblGrid>
      <w:tr>
        <w:trPr>
          <w:trHeight w:val="679" w:hRule="exact"/>
        </w:trPr>
        <w:tc>
          <w:tcPr>
            <w:tcW w:w="2269" w:type="dxa"/>
            <w:tcBorders>
              <w:top w:val="single" w:color="000000" w:sz="4" w:space="0"/>
              <w:left w:val="single" w:color="000000" w:sz="4" w:space="0"/>
              <w:bottom w:val="single" w:color="000000" w:sz="4" w:space="0"/>
              <w:right w:val="single" w:color="000000" w:sz="4" w:space="0"/>
            </w:tcBorders>
          </w:tcPr>
          <w:p>
            <w:pPr>
              <w:ind w:firstLine="0" w:firstLineChars="0"/>
              <w:jc w:val="center"/>
              <w:rPr>
                <w:sz w:val="24"/>
                <w:szCs w:val="24"/>
                <w:lang w:eastAsia="en-US"/>
              </w:rPr>
            </w:pPr>
            <w:r>
              <w:rPr>
                <w:rFonts w:hint="eastAsia"/>
                <w:sz w:val="24"/>
                <w:szCs w:val="24"/>
                <w:lang w:eastAsia="en-US"/>
              </w:rPr>
              <w:t>产品名称</w:t>
            </w:r>
          </w:p>
        </w:tc>
        <w:tc>
          <w:tcPr>
            <w:tcW w:w="6253" w:type="dxa"/>
            <w:tcBorders>
              <w:top w:val="single" w:color="000000" w:sz="4" w:space="0"/>
              <w:left w:val="single" w:color="000000" w:sz="4" w:space="0"/>
              <w:bottom w:val="single" w:color="000000" w:sz="4" w:space="0"/>
              <w:right w:val="single" w:color="000000" w:sz="4" w:space="0"/>
            </w:tcBorders>
          </w:tcPr>
          <w:p>
            <w:pPr>
              <w:pStyle w:val="7"/>
              <w:outlineLvl w:val="4"/>
              <w:rPr>
                <w:sz w:val="24"/>
                <w:szCs w:val="24"/>
                <w:lang w:eastAsia="en-US"/>
              </w:rPr>
            </w:pPr>
          </w:p>
        </w:tc>
      </w:tr>
      <w:tr>
        <w:tblPrEx>
          <w:tblCellMar>
            <w:top w:w="0" w:type="dxa"/>
            <w:left w:w="0" w:type="dxa"/>
            <w:bottom w:w="0" w:type="dxa"/>
            <w:right w:w="0" w:type="dxa"/>
          </w:tblCellMar>
        </w:tblPrEx>
        <w:trPr>
          <w:trHeight w:val="617" w:hRule="exact"/>
        </w:trPr>
        <w:tc>
          <w:tcPr>
            <w:tcW w:w="2269" w:type="dxa"/>
            <w:tcBorders>
              <w:top w:val="single" w:color="000000" w:sz="4" w:space="0"/>
              <w:left w:val="single" w:color="000000" w:sz="4" w:space="0"/>
              <w:bottom w:val="single" w:color="000000" w:sz="4" w:space="0"/>
              <w:right w:val="single" w:color="000000" w:sz="4" w:space="0"/>
            </w:tcBorders>
          </w:tcPr>
          <w:p>
            <w:pPr>
              <w:ind w:firstLine="440"/>
              <w:jc w:val="center"/>
              <w:rPr>
                <w:sz w:val="24"/>
                <w:szCs w:val="24"/>
                <w:lang w:eastAsia="en-US"/>
              </w:rPr>
            </w:pPr>
          </w:p>
          <w:p>
            <w:pPr>
              <w:ind w:firstLine="0" w:firstLineChars="0"/>
              <w:jc w:val="center"/>
              <w:rPr>
                <w:sz w:val="24"/>
                <w:szCs w:val="24"/>
                <w:lang w:eastAsia="en-US"/>
              </w:rPr>
            </w:pPr>
            <w:r>
              <w:rPr>
                <w:sz w:val="24"/>
                <w:szCs w:val="24"/>
                <w:lang w:eastAsia="en-US"/>
              </w:rPr>
              <w:t>规格和型号</w:t>
            </w:r>
          </w:p>
        </w:tc>
        <w:tc>
          <w:tcPr>
            <w:tcW w:w="6253" w:type="dxa"/>
            <w:tcBorders>
              <w:top w:val="single" w:color="000000" w:sz="4" w:space="0"/>
              <w:left w:val="single" w:color="000000" w:sz="4" w:space="0"/>
              <w:bottom w:val="single" w:color="000000" w:sz="4" w:space="0"/>
              <w:right w:val="single" w:color="000000" w:sz="4" w:space="0"/>
            </w:tcBorders>
          </w:tcPr>
          <w:p>
            <w:pPr>
              <w:pStyle w:val="7"/>
              <w:outlineLvl w:val="4"/>
              <w:rPr>
                <w:sz w:val="24"/>
                <w:szCs w:val="24"/>
                <w:lang w:eastAsia="en-US"/>
              </w:rPr>
            </w:pPr>
          </w:p>
        </w:tc>
      </w:tr>
      <w:tr>
        <w:tblPrEx>
          <w:tblCellMar>
            <w:top w:w="0" w:type="dxa"/>
            <w:left w:w="0" w:type="dxa"/>
            <w:bottom w:w="0" w:type="dxa"/>
            <w:right w:w="0" w:type="dxa"/>
          </w:tblCellMar>
        </w:tblPrEx>
        <w:trPr>
          <w:trHeight w:val="797" w:hRule="exact"/>
        </w:trPr>
        <w:tc>
          <w:tcPr>
            <w:tcW w:w="2269" w:type="dxa"/>
            <w:tcBorders>
              <w:top w:val="single" w:color="000000" w:sz="4" w:space="0"/>
              <w:left w:val="single" w:color="000000" w:sz="4" w:space="0"/>
              <w:bottom w:val="single" w:color="000000" w:sz="4" w:space="0"/>
              <w:right w:val="single" w:color="000000" w:sz="4" w:space="0"/>
            </w:tcBorders>
          </w:tcPr>
          <w:p>
            <w:pPr>
              <w:ind w:firstLine="0" w:firstLineChars="0"/>
              <w:jc w:val="center"/>
              <w:rPr>
                <w:sz w:val="24"/>
                <w:szCs w:val="24"/>
                <w:lang w:eastAsia="en-US"/>
              </w:rPr>
            </w:pPr>
          </w:p>
          <w:p>
            <w:pPr>
              <w:ind w:firstLine="0" w:firstLineChars="0"/>
              <w:jc w:val="center"/>
              <w:rPr>
                <w:sz w:val="24"/>
                <w:szCs w:val="24"/>
                <w:lang w:eastAsia="en-US"/>
              </w:rPr>
            </w:pPr>
            <w:r>
              <w:rPr>
                <w:sz w:val="24"/>
                <w:szCs w:val="24"/>
                <w:lang w:eastAsia="en-US"/>
              </w:rPr>
              <w:t>项目名称</w:t>
            </w:r>
          </w:p>
        </w:tc>
        <w:tc>
          <w:tcPr>
            <w:tcW w:w="6253" w:type="dxa"/>
            <w:tcBorders>
              <w:top w:val="single" w:color="000000" w:sz="4" w:space="0"/>
              <w:left w:val="single" w:color="000000" w:sz="4" w:space="0"/>
              <w:bottom w:val="single" w:color="000000" w:sz="4" w:space="0"/>
              <w:right w:val="single" w:color="000000" w:sz="4" w:space="0"/>
            </w:tcBorders>
          </w:tcPr>
          <w:p>
            <w:pPr>
              <w:pStyle w:val="7"/>
              <w:outlineLvl w:val="4"/>
              <w:rPr>
                <w:sz w:val="24"/>
                <w:szCs w:val="24"/>
                <w:lang w:eastAsia="en-US"/>
              </w:rPr>
            </w:pPr>
          </w:p>
        </w:tc>
      </w:tr>
      <w:tr>
        <w:tblPrEx>
          <w:tblCellMar>
            <w:top w:w="0" w:type="dxa"/>
            <w:left w:w="0" w:type="dxa"/>
            <w:bottom w:w="0" w:type="dxa"/>
            <w:right w:w="0" w:type="dxa"/>
          </w:tblCellMar>
        </w:tblPrEx>
        <w:trPr>
          <w:trHeight w:val="617" w:hRule="exact"/>
        </w:trPr>
        <w:tc>
          <w:tcPr>
            <w:tcW w:w="2269" w:type="dxa"/>
            <w:tcBorders>
              <w:top w:val="single" w:color="000000" w:sz="4" w:space="0"/>
              <w:left w:val="single" w:color="000000" w:sz="4" w:space="0"/>
              <w:bottom w:val="single" w:color="000000" w:sz="4" w:space="0"/>
              <w:right w:val="single" w:color="000000" w:sz="4" w:space="0"/>
            </w:tcBorders>
          </w:tcPr>
          <w:p>
            <w:pPr>
              <w:ind w:firstLine="440"/>
              <w:jc w:val="center"/>
              <w:rPr>
                <w:sz w:val="24"/>
                <w:szCs w:val="24"/>
                <w:lang w:eastAsia="en-US"/>
              </w:rPr>
            </w:pPr>
          </w:p>
          <w:p>
            <w:pPr>
              <w:ind w:firstLine="0" w:firstLineChars="0"/>
              <w:jc w:val="center"/>
              <w:rPr>
                <w:sz w:val="24"/>
                <w:szCs w:val="24"/>
                <w:lang w:eastAsia="en-US"/>
              </w:rPr>
            </w:pPr>
            <w:r>
              <w:rPr>
                <w:sz w:val="24"/>
                <w:szCs w:val="24"/>
                <w:lang w:eastAsia="en-US"/>
              </w:rPr>
              <w:t>买方名称</w:t>
            </w:r>
          </w:p>
        </w:tc>
        <w:tc>
          <w:tcPr>
            <w:tcW w:w="6253" w:type="dxa"/>
            <w:tcBorders>
              <w:top w:val="single" w:color="000000" w:sz="4" w:space="0"/>
              <w:left w:val="single" w:color="000000" w:sz="4" w:space="0"/>
              <w:bottom w:val="single" w:color="000000" w:sz="4" w:space="0"/>
              <w:right w:val="single" w:color="000000" w:sz="4" w:space="0"/>
            </w:tcBorders>
          </w:tcPr>
          <w:p>
            <w:pPr>
              <w:pStyle w:val="7"/>
              <w:outlineLvl w:val="4"/>
              <w:rPr>
                <w:sz w:val="24"/>
                <w:szCs w:val="24"/>
                <w:lang w:eastAsia="en-US"/>
              </w:rPr>
            </w:pPr>
          </w:p>
        </w:tc>
      </w:tr>
      <w:tr>
        <w:trPr>
          <w:trHeight w:val="626" w:hRule="exact"/>
        </w:trPr>
        <w:tc>
          <w:tcPr>
            <w:tcW w:w="2269" w:type="dxa"/>
            <w:tcBorders>
              <w:top w:val="single" w:color="000000" w:sz="4" w:space="0"/>
              <w:left w:val="single" w:color="000000" w:sz="4" w:space="0"/>
              <w:bottom w:val="single" w:color="000000" w:sz="4" w:space="0"/>
              <w:right w:val="single" w:color="000000" w:sz="4" w:space="0"/>
            </w:tcBorders>
          </w:tcPr>
          <w:p>
            <w:pPr>
              <w:ind w:firstLine="440"/>
              <w:jc w:val="center"/>
              <w:rPr>
                <w:sz w:val="24"/>
                <w:szCs w:val="24"/>
                <w:lang w:eastAsia="en-US"/>
              </w:rPr>
            </w:pPr>
          </w:p>
          <w:p>
            <w:pPr>
              <w:ind w:firstLine="0" w:firstLineChars="0"/>
              <w:jc w:val="center"/>
              <w:rPr>
                <w:sz w:val="24"/>
                <w:szCs w:val="24"/>
                <w:lang w:eastAsia="en-US"/>
              </w:rPr>
            </w:pPr>
            <w:r>
              <w:rPr>
                <w:sz w:val="24"/>
                <w:szCs w:val="24"/>
                <w:lang w:eastAsia="en-US"/>
              </w:rPr>
              <w:t>买方联系人及电话</w:t>
            </w:r>
          </w:p>
        </w:tc>
        <w:tc>
          <w:tcPr>
            <w:tcW w:w="6253" w:type="dxa"/>
            <w:tcBorders>
              <w:top w:val="single" w:color="000000" w:sz="4" w:space="0"/>
              <w:left w:val="single" w:color="000000" w:sz="4" w:space="0"/>
              <w:bottom w:val="single" w:color="000000" w:sz="4" w:space="0"/>
              <w:right w:val="single" w:color="000000" w:sz="4" w:space="0"/>
            </w:tcBorders>
          </w:tcPr>
          <w:p>
            <w:pPr>
              <w:pStyle w:val="7"/>
              <w:outlineLvl w:val="4"/>
              <w:rPr>
                <w:sz w:val="24"/>
                <w:szCs w:val="24"/>
                <w:lang w:eastAsia="en-US"/>
              </w:rPr>
            </w:pPr>
          </w:p>
        </w:tc>
      </w:tr>
      <w:tr>
        <w:trPr>
          <w:trHeight w:val="619" w:hRule="exact"/>
        </w:trPr>
        <w:tc>
          <w:tcPr>
            <w:tcW w:w="2269" w:type="dxa"/>
            <w:tcBorders>
              <w:top w:val="single" w:color="000000" w:sz="4" w:space="0"/>
              <w:left w:val="single" w:color="000000" w:sz="4" w:space="0"/>
              <w:bottom w:val="single" w:color="000000" w:sz="4" w:space="0"/>
              <w:right w:val="single" w:color="000000" w:sz="4" w:space="0"/>
            </w:tcBorders>
          </w:tcPr>
          <w:p>
            <w:pPr>
              <w:ind w:firstLine="440"/>
              <w:jc w:val="center"/>
              <w:rPr>
                <w:sz w:val="24"/>
                <w:szCs w:val="24"/>
                <w:lang w:eastAsia="en-US"/>
              </w:rPr>
            </w:pPr>
          </w:p>
          <w:p>
            <w:pPr>
              <w:ind w:firstLine="0" w:firstLineChars="0"/>
              <w:jc w:val="center"/>
              <w:rPr>
                <w:sz w:val="24"/>
                <w:szCs w:val="24"/>
                <w:lang w:eastAsia="en-US"/>
              </w:rPr>
            </w:pPr>
            <w:r>
              <w:rPr>
                <w:sz w:val="24"/>
                <w:szCs w:val="24"/>
                <w:lang w:eastAsia="en-US"/>
              </w:rPr>
              <w:t>合同价格</w:t>
            </w:r>
          </w:p>
        </w:tc>
        <w:tc>
          <w:tcPr>
            <w:tcW w:w="6253" w:type="dxa"/>
            <w:tcBorders>
              <w:top w:val="single" w:color="000000" w:sz="4" w:space="0"/>
              <w:left w:val="single" w:color="000000" w:sz="4" w:space="0"/>
              <w:bottom w:val="single" w:color="000000" w:sz="4" w:space="0"/>
              <w:right w:val="single" w:color="000000" w:sz="4" w:space="0"/>
            </w:tcBorders>
          </w:tcPr>
          <w:p>
            <w:pPr>
              <w:pStyle w:val="7"/>
              <w:outlineLvl w:val="4"/>
              <w:rPr>
                <w:sz w:val="24"/>
                <w:szCs w:val="24"/>
                <w:lang w:eastAsia="en-US"/>
              </w:rPr>
            </w:pPr>
          </w:p>
        </w:tc>
      </w:tr>
      <w:tr>
        <w:trPr>
          <w:trHeight w:val="2832" w:hRule="exact"/>
        </w:trPr>
        <w:tc>
          <w:tcPr>
            <w:tcW w:w="2269"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sz w:val="24"/>
                <w:szCs w:val="24"/>
                <w:lang w:eastAsia="zh-CN"/>
              </w:rPr>
            </w:pPr>
            <w:r>
              <w:rPr>
                <w:sz w:val="24"/>
                <w:szCs w:val="24"/>
                <w:lang w:eastAsia="zh-CN"/>
              </w:rPr>
              <w:t>项目概况及投标人履约情况</w:t>
            </w:r>
          </w:p>
        </w:tc>
        <w:tc>
          <w:tcPr>
            <w:tcW w:w="6253" w:type="dxa"/>
            <w:tcBorders>
              <w:top w:val="single" w:color="000000" w:sz="4" w:space="0"/>
              <w:left w:val="single" w:color="000000" w:sz="4" w:space="0"/>
              <w:bottom w:val="single" w:color="000000" w:sz="4" w:space="0"/>
              <w:right w:val="single" w:color="000000" w:sz="4" w:space="0"/>
            </w:tcBorders>
          </w:tcPr>
          <w:p>
            <w:pPr>
              <w:pStyle w:val="7"/>
              <w:outlineLvl w:val="4"/>
              <w:rPr>
                <w:sz w:val="24"/>
                <w:szCs w:val="24"/>
                <w:lang w:eastAsia="zh-CN"/>
              </w:rPr>
            </w:pPr>
          </w:p>
        </w:tc>
      </w:tr>
      <w:tr>
        <w:trPr>
          <w:trHeight w:val="636" w:hRule="exact"/>
        </w:trPr>
        <w:tc>
          <w:tcPr>
            <w:tcW w:w="2269" w:type="dxa"/>
            <w:tcBorders>
              <w:top w:val="single" w:color="000000" w:sz="4" w:space="0"/>
              <w:left w:val="single" w:color="000000" w:sz="4" w:space="0"/>
              <w:bottom w:val="single" w:color="000000" w:sz="4" w:space="0"/>
              <w:right w:val="single" w:color="000000" w:sz="4" w:space="0"/>
            </w:tcBorders>
          </w:tcPr>
          <w:p>
            <w:pPr>
              <w:ind w:firstLine="440"/>
              <w:jc w:val="center"/>
              <w:rPr>
                <w:sz w:val="24"/>
                <w:szCs w:val="24"/>
                <w:lang w:eastAsia="zh-CN"/>
              </w:rPr>
            </w:pPr>
          </w:p>
          <w:p>
            <w:pPr>
              <w:ind w:firstLine="0" w:firstLineChars="0"/>
              <w:jc w:val="center"/>
              <w:rPr>
                <w:sz w:val="24"/>
                <w:szCs w:val="24"/>
                <w:lang w:eastAsia="en-US"/>
              </w:rPr>
            </w:pPr>
            <w:r>
              <w:rPr>
                <w:sz w:val="24"/>
                <w:szCs w:val="24"/>
                <w:lang w:eastAsia="en-US"/>
              </w:rPr>
              <w:t>备注</w:t>
            </w:r>
          </w:p>
        </w:tc>
        <w:tc>
          <w:tcPr>
            <w:tcW w:w="6253" w:type="dxa"/>
            <w:tcBorders>
              <w:top w:val="single" w:color="000000" w:sz="4" w:space="0"/>
              <w:left w:val="single" w:color="000000" w:sz="4" w:space="0"/>
              <w:bottom w:val="single" w:color="000000" w:sz="4" w:space="0"/>
              <w:right w:val="single" w:color="000000" w:sz="4" w:space="0"/>
            </w:tcBorders>
          </w:tcPr>
          <w:p>
            <w:pPr>
              <w:pStyle w:val="7"/>
              <w:outlineLvl w:val="4"/>
              <w:rPr>
                <w:sz w:val="24"/>
                <w:szCs w:val="24"/>
                <w:lang w:eastAsia="en-US"/>
              </w:rPr>
            </w:pPr>
          </w:p>
        </w:tc>
      </w:tr>
    </w:tbl>
    <w:p>
      <w:pPr>
        <w:ind w:firstLine="960" w:firstLineChars="400"/>
        <w:rPr>
          <w:sz w:val="24"/>
          <w:szCs w:val="24"/>
        </w:rPr>
      </w:pPr>
      <w:r>
        <w:rPr>
          <w:rFonts w:hint="eastAsia"/>
          <w:sz w:val="24"/>
          <w:szCs w:val="24"/>
        </w:rPr>
        <w:t>注：投标人应根据投标人须知第3.5.4项的要求在本表后附相关证明材料。</w:t>
      </w:r>
    </w:p>
    <w:p>
      <w:pPr>
        <w:pStyle w:val="7"/>
        <w:rPr>
          <w:sz w:val="24"/>
          <w:szCs w:val="24"/>
        </w:rPr>
      </w:pPr>
    </w:p>
    <w:p>
      <w:pPr>
        <w:pStyle w:val="7"/>
        <w:rPr>
          <w:sz w:val="24"/>
          <w:szCs w:val="24"/>
        </w:rPr>
      </w:pPr>
      <w:bookmarkStart w:id="132" w:name="_Toc503983085"/>
      <w:bookmarkStart w:id="133" w:name="_Toc25277"/>
      <w:bookmarkStart w:id="134" w:name="_Toc26597"/>
      <w:bookmarkStart w:id="135" w:name="_Toc506205357"/>
      <w:r>
        <w:rPr>
          <w:rFonts w:hint="eastAsia"/>
          <w:sz w:val="24"/>
          <w:szCs w:val="24"/>
        </w:rPr>
        <w:t>（十一）近年发生的诉讼及仲裁情况</w:t>
      </w:r>
      <w:bookmarkEnd w:id="132"/>
      <w:bookmarkEnd w:id="133"/>
      <w:bookmarkEnd w:id="134"/>
      <w:bookmarkEnd w:id="135"/>
    </w:p>
    <w:tbl>
      <w:tblPr>
        <w:tblStyle w:val="29"/>
        <w:tblW w:w="8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593" w:type="dxa"/>
          </w:tcPr>
          <w:p>
            <w:pPr>
              <w:ind w:firstLine="0" w:firstLineChars="0"/>
              <w:jc w:val="center"/>
              <w:rPr>
                <w:sz w:val="24"/>
                <w:szCs w:val="24"/>
              </w:rPr>
            </w:pPr>
            <w:r>
              <w:rPr>
                <w:rFonts w:hint="eastAsia"/>
                <w:sz w:val="24"/>
                <w:szCs w:val="24"/>
              </w:rPr>
              <w:t>发生年份</w:t>
            </w:r>
          </w:p>
        </w:tc>
        <w:tc>
          <w:tcPr>
            <w:tcW w:w="5750"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593" w:type="dxa"/>
          </w:tcPr>
          <w:p>
            <w:pPr>
              <w:ind w:firstLine="0" w:firstLineChars="0"/>
              <w:jc w:val="center"/>
              <w:rPr>
                <w:sz w:val="24"/>
                <w:szCs w:val="24"/>
              </w:rPr>
            </w:pPr>
            <w:r>
              <w:rPr>
                <w:rFonts w:hint="eastAsia"/>
                <w:sz w:val="24"/>
                <w:szCs w:val="24"/>
              </w:rPr>
              <w:t>诉讼及仲裁事项</w:t>
            </w:r>
          </w:p>
        </w:tc>
        <w:tc>
          <w:tcPr>
            <w:tcW w:w="5750"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593" w:type="dxa"/>
          </w:tcPr>
          <w:p>
            <w:pPr>
              <w:ind w:firstLine="0" w:firstLineChars="0"/>
              <w:jc w:val="center"/>
              <w:rPr>
                <w:sz w:val="24"/>
                <w:szCs w:val="24"/>
              </w:rPr>
            </w:pPr>
            <w:r>
              <w:rPr>
                <w:rFonts w:hint="eastAsia"/>
                <w:sz w:val="24"/>
                <w:szCs w:val="24"/>
              </w:rPr>
              <w:t>裁决及判决机构</w:t>
            </w:r>
          </w:p>
        </w:tc>
        <w:tc>
          <w:tcPr>
            <w:tcW w:w="5750"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593" w:type="dxa"/>
          </w:tcPr>
          <w:p>
            <w:pPr>
              <w:ind w:firstLine="0" w:firstLineChars="0"/>
              <w:jc w:val="center"/>
              <w:rPr>
                <w:sz w:val="24"/>
                <w:szCs w:val="24"/>
              </w:rPr>
            </w:pPr>
            <w:r>
              <w:rPr>
                <w:rFonts w:hint="eastAsia"/>
                <w:sz w:val="24"/>
                <w:szCs w:val="24"/>
              </w:rPr>
              <w:t>裁决及判决结论</w:t>
            </w:r>
          </w:p>
        </w:tc>
        <w:tc>
          <w:tcPr>
            <w:tcW w:w="5750"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593" w:type="dxa"/>
          </w:tcPr>
          <w:p>
            <w:pPr>
              <w:ind w:firstLine="0" w:firstLineChars="0"/>
              <w:jc w:val="center"/>
              <w:rPr>
                <w:sz w:val="24"/>
                <w:szCs w:val="24"/>
              </w:rPr>
            </w:pPr>
            <w:r>
              <w:rPr>
                <w:rFonts w:hint="eastAsia"/>
                <w:sz w:val="24"/>
                <w:szCs w:val="24"/>
              </w:rPr>
              <w:t>备注</w:t>
            </w:r>
          </w:p>
        </w:tc>
        <w:tc>
          <w:tcPr>
            <w:tcW w:w="5750" w:type="dxa"/>
          </w:tcPr>
          <w:p>
            <w:pPr>
              <w:rPr>
                <w:sz w:val="24"/>
                <w:szCs w:val="24"/>
              </w:rPr>
            </w:pPr>
          </w:p>
        </w:tc>
      </w:tr>
    </w:tbl>
    <w:p>
      <w:pPr>
        <w:rPr>
          <w:sz w:val="24"/>
          <w:szCs w:val="24"/>
        </w:rPr>
      </w:pPr>
      <w:r>
        <w:rPr>
          <w:rFonts w:hint="eastAsia"/>
          <w:sz w:val="24"/>
          <w:szCs w:val="24"/>
        </w:rPr>
        <w:t>注：1. 如有，应根据投标人须知第 3.5.5 项的要求附相关证明材料。</w:t>
      </w:r>
    </w:p>
    <w:p>
      <w:pPr>
        <w:ind w:firstLine="960" w:firstLineChars="400"/>
        <w:rPr>
          <w:sz w:val="24"/>
          <w:szCs w:val="24"/>
        </w:rPr>
      </w:pPr>
      <w:r>
        <w:rPr>
          <w:rFonts w:hint="eastAsia"/>
          <w:sz w:val="24"/>
          <w:szCs w:val="24"/>
        </w:rPr>
        <w:t>2. 如无，请在表格中填“无”。</w:t>
      </w:r>
    </w:p>
    <w:p>
      <w:pPr>
        <w:rPr>
          <w:sz w:val="24"/>
          <w:szCs w:val="24"/>
        </w:rPr>
      </w:pPr>
    </w:p>
    <w:p>
      <w:pPr>
        <w:pStyle w:val="6"/>
        <w:jc w:val="center"/>
        <w:rPr>
          <w:sz w:val="24"/>
          <w:szCs w:val="24"/>
        </w:rPr>
      </w:pPr>
      <w:bookmarkStart w:id="136" w:name="_Toc25378"/>
    </w:p>
    <w:p>
      <w:pPr>
        <w:pStyle w:val="6"/>
        <w:jc w:val="center"/>
        <w:rPr>
          <w:sz w:val="24"/>
          <w:szCs w:val="24"/>
        </w:rPr>
      </w:pPr>
      <w:r>
        <w:rPr>
          <w:rFonts w:hint="eastAsia"/>
          <w:sz w:val="24"/>
          <w:szCs w:val="24"/>
        </w:rPr>
        <w:t>六、投标设备技术性能指标的详细描述</w:t>
      </w:r>
      <w:bookmarkEnd w:id="136"/>
    </w:p>
    <w:p>
      <w:pPr>
        <w:rPr>
          <w:sz w:val="24"/>
          <w:szCs w:val="24"/>
        </w:rPr>
      </w:pP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012"/>
        <w:gridCol w:w="2693"/>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90" w:type="dxa"/>
          </w:tcPr>
          <w:p>
            <w:pPr>
              <w:ind w:firstLine="0" w:firstLineChars="0"/>
              <w:jc w:val="center"/>
              <w:rPr>
                <w:sz w:val="24"/>
                <w:szCs w:val="24"/>
              </w:rPr>
            </w:pPr>
            <w:r>
              <w:rPr>
                <w:rFonts w:hint="eastAsia"/>
                <w:sz w:val="24"/>
                <w:szCs w:val="24"/>
              </w:rPr>
              <w:t>序号</w:t>
            </w:r>
          </w:p>
        </w:tc>
        <w:tc>
          <w:tcPr>
            <w:tcW w:w="2012" w:type="dxa"/>
          </w:tcPr>
          <w:p>
            <w:pPr>
              <w:ind w:firstLine="0" w:firstLineChars="0"/>
              <w:jc w:val="center"/>
              <w:rPr>
                <w:sz w:val="24"/>
                <w:szCs w:val="24"/>
              </w:rPr>
            </w:pPr>
            <w:r>
              <w:rPr>
                <w:rFonts w:hint="eastAsia"/>
                <w:sz w:val="24"/>
                <w:szCs w:val="24"/>
              </w:rPr>
              <w:t>设备名称</w:t>
            </w:r>
          </w:p>
        </w:tc>
        <w:tc>
          <w:tcPr>
            <w:tcW w:w="2693" w:type="dxa"/>
          </w:tcPr>
          <w:p>
            <w:pPr>
              <w:ind w:firstLine="0" w:firstLineChars="0"/>
              <w:jc w:val="center"/>
              <w:rPr>
                <w:sz w:val="24"/>
                <w:szCs w:val="24"/>
              </w:rPr>
            </w:pPr>
            <w:r>
              <w:rPr>
                <w:rFonts w:hint="eastAsia"/>
                <w:sz w:val="24"/>
                <w:szCs w:val="24"/>
              </w:rPr>
              <w:t>招标技术参数及要求</w:t>
            </w:r>
          </w:p>
        </w:tc>
        <w:tc>
          <w:tcPr>
            <w:tcW w:w="3027" w:type="dxa"/>
          </w:tcPr>
          <w:p>
            <w:pPr>
              <w:ind w:firstLine="0" w:firstLineChars="0"/>
              <w:jc w:val="center"/>
              <w:rPr>
                <w:sz w:val="24"/>
                <w:szCs w:val="24"/>
              </w:rPr>
            </w:pPr>
            <w:r>
              <w:rPr>
                <w:rFonts w:hint="eastAsia"/>
                <w:sz w:val="24"/>
                <w:szCs w:val="24"/>
              </w:rPr>
              <w:t>投标设备技术性能指标的详细描述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90" w:type="dxa"/>
          </w:tcPr>
          <w:p>
            <w:pPr>
              <w:ind w:firstLine="0" w:firstLineChars="0"/>
              <w:jc w:val="center"/>
              <w:rPr>
                <w:sz w:val="24"/>
                <w:szCs w:val="24"/>
              </w:rPr>
            </w:pPr>
            <w:r>
              <w:rPr>
                <w:rFonts w:hint="eastAsia"/>
                <w:sz w:val="24"/>
                <w:szCs w:val="24"/>
              </w:rPr>
              <w:t>1</w:t>
            </w:r>
          </w:p>
        </w:tc>
        <w:tc>
          <w:tcPr>
            <w:tcW w:w="2012" w:type="dxa"/>
          </w:tcPr>
          <w:p>
            <w:pPr>
              <w:rPr>
                <w:sz w:val="24"/>
                <w:szCs w:val="24"/>
              </w:rPr>
            </w:pPr>
          </w:p>
        </w:tc>
        <w:tc>
          <w:tcPr>
            <w:tcW w:w="2693" w:type="dxa"/>
          </w:tcPr>
          <w:p>
            <w:pPr>
              <w:rPr>
                <w:sz w:val="24"/>
                <w:szCs w:val="24"/>
              </w:rPr>
            </w:pPr>
          </w:p>
        </w:tc>
        <w:tc>
          <w:tcPr>
            <w:tcW w:w="3027"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90" w:type="dxa"/>
          </w:tcPr>
          <w:p>
            <w:pPr>
              <w:ind w:firstLine="0" w:firstLineChars="0"/>
              <w:jc w:val="center"/>
              <w:rPr>
                <w:sz w:val="24"/>
                <w:szCs w:val="24"/>
              </w:rPr>
            </w:pPr>
            <w:r>
              <w:rPr>
                <w:rFonts w:hint="eastAsia"/>
                <w:sz w:val="24"/>
                <w:szCs w:val="24"/>
              </w:rPr>
              <w:t>2</w:t>
            </w:r>
          </w:p>
        </w:tc>
        <w:tc>
          <w:tcPr>
            <w:tcW w:w="2012" w:type="dxa"/>
          </w:tcPr>
          <w:p>
            <w:pPr>
              <w:rPr>
                <w:sz w:val="24"/>
                <w:szCs w:val="24"/>
              </w:rPr>
            </w:pPr>
          </w:p>
        </w:tc>
        <w:tc>
          <w:tcPr>
            <w:tcW w:w="2693" w:type="dxa"/>
          </w:tcPr>
          <w:p>
            <w:pPr>
              <w:rPr>
                <w:sz w:val="24"/>
                <w:szCs w:val="24"/>
              </w:rPr>
            </w:pPr>
          </w:p>
        </w:tc>
        <w:tc>
          <w:tcPr>
            <w:tcW w:w="3027"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0" w:type="dxa"/>
          </w:tcPr>
          <w:p>
            <w:pPr>
              <w:ind w:firstLine="0" w:firstLineChars="0"/>
              <w:jc w:val="center"/>
              <w:rPr>
                <w:sz w:val="24"/>
                <w:szCs w:val="24"/>
              </w:rPr>
            </w:pPr>
            <w:r>
              <w:rPr>
                <w:rFonts w:hint="eastAsia"/>
                <w:sz w:val="24"/>
                <w:szCs w:val="24"/>
              </w:rPr>
              <w:t>…</w:t>
            </w:r>
          </w:p>
        </w:tc>
        <w:tc>
          <w:tcPr>
            <w:tcW w:w="2012" w:type="dxa"/>
          </w:tcPr>
          <w:p>
            <w:pPr>
              <w:rPr>
                <w:sz w:val="24"/>
                <w:szCs w:val="24"/>
              </w:rPr>
            </w:pPr>
          </w:p>
        </w:tc>
        <w:tc>
          <w:tcPr>
            <w:tcW w:w="2693" w:type="dxa"/>
          </w:tcPr>
          <w:p>
            <w:pPr>
              <w:rPr>
                <w:sz w:val="24"/>
                <w:szCs w:val="24"/>
              </w:rPr>
            </w:pPr>
          </w:p>
        </w:tc>
        <w:tc>
          <w:tcPr>
            <w:tcW w:w="3027" w:type="dxa"/>
          </w:tcPr>
          <w:p>
            <w:pPr>
              <w:rPr>
                <w:sz w:val="24"/>
                <w:szCs w:val="24"/>
              </w:rPr>
            </w:pPr>
          </w:p>
        </w:tc>
      </w:tr>
    </w:tbl>
    <w:p>
      <w:r>
        <w:br w:type="page"/>
      </w:r>
    </w:p>
    <w:p>
      <w:pPr>
        <w:pStyle w:val="6"/>
        <w:jc w:val="center"/>
      </w:pPr>
      <w:bookmarkStart w:id="137" w:name="_Toc8493"/>
      <w:r>
        <w:rPr>
          <w:rFonts w:hint="eastAsia"/>
        </w:rPr>
        <w:t>七、技术支持资料</w:t>
      </w:r>
      <w:bookmarkEnd w:id="137"/>
    </w:p>
    <w:p/>
    <w:p/>
    <w:p/>
    <w:p>
      <w:pPr>
        <w:widowControl/>
        <w:ind w:firstLine="0" w:firstLineChars="0"/>
        <w:jc w:val="left"/>
      </w:pPr>
      <w:r>
        <w:br w:type="page"/>
      </w:r>
    </w:p>
    <w:p>
      <w:pPr>
        <w:pStyle w:val="6"/>
        <w:jc w:val="center"/>
      </w:pPr>
      <w:bookmarkStart w:id="138" w:name="_Toc24457"/>
      <w:r>
        <w:rPr>
          <w:rFonts w:hint="eastAsia"/>
        </w:rPr>
        <w:t>八、技术服务和质保期服务计划</w:t>
      </w:r>
      <w:bookmarkEnd w:id="138"/>
    </w:p>
    <w:p>
      <w:r>
        <w:rPr>
          <w:rFonts w:hint="eastAsia"/>
        </w:rPr>
        <w:t>（该栏内可包含：包装和运输方案、安装服务方案、售后服务方案、质保期服务等内容）</w:t>
      </w:r>
    </w:p>
    <w:p/>
    <w:p/>
    <w:p/>
    <w:p>
      <w:pPr>
        <w:widowControl/>
        <w:ind w:firstLine="0" w:firstLineChars="0"/>
        <w:jc w:val="left"/>
      </w:pPr>
      <w:r>
        <w:br w:type="page"/>
      </w:r>
    </w:p>
    <w:p>
      <w:pPr>
        <w:pStyle w:val="6"/>
        <w:jc w:val="center"/>
        <w:rPr>
          <w:sz w:val="24"/>
          <w:szCs w:val="24"/>
        </w:rPr>
      </w:pPr>
      <w:bookmarkStart w:id="139" w:name="_Toc5678"/>
      <w:r>
        <w:rPr>
          <w:rFonts w:hint="eastAsia"/>
          <w:sz w:val="24"/>
          <w:szCs w:val="24"/>
        </w:rPr>
        <w:t>九、其他资料</w:t>
      </w:r>
      <w:bookmarkEnd w:id="139"/>
    </w:p>
    <w:p>
      <w:pPr>
        <w:pStyle w:val="7"/>
        <w:rPr>
          <w:sz w:val="24"/>
          <w:szCs w:val="24"/>
        </w:rPr>
      </w:pPr>
      <w:bookmarkStart w:id="140" w:name="_Toc503983091"/>
      <w:bookmarkStart w:id="141" w:name="_Toc506205363"/>
      <w:bookmarkStart w:id="142" w:name="_Toc19333"/>
      <w:bookmarkStart w:id="143" w:name="_Toc17488"/>
      <w:r>
        <w:rPr>
          <w:rFonts w:hint="eastAsia"/>
          <w:sz w:val="24"/>
          <w:szCs w:val="24"/>
        </w:rPr>
        <w:t>（一）承诺书</w:t>
      </w:r>
      <w:bookmarkEnd w:id="140"/>
      <w:bookmarkEnd w:id="141"/>
      <w:bookmarkEnd w:id="142"/>
      <w:bookmarkEnd w:id="143"/>
    </w:p>
    <w:p>
      <w:pPr>
        <w:rPr>
          <w:sz w:val="24"/>
          <w:szCs w:val="24"/>
        </w:rPr>
      </w:pPr>
      <w:r>
        <w:rPr>
          <w:rFonts w:hint="eastAsia"/>
          <w:sz w:val="24"/>
          <w:szCs w:val="24"/>
        </w:rPr>
        <w:t>______________（招标人名称）:</w:t>
      </w:r>
    </w:p>
    <w:p>
      <w:pPr>
        <w:rPr>
          <w:sz w:val="24"/>
          <w:szCs w:val="24"/>
        </w:rPr>
      </w:pPr>
      <w:r>
        <w:rPr>
          <w:rFonts w:hint="eastAsia"/>
          <w:sz w:val="24"/>
          <w:szCs w:val="24"/>
        </w:rPr>
        <w:t>我方将参加_______（项目名称）_______（招标编号）的投标现承诺如下：</w:t>
      </w:r>
    </w:p>
    <w:p>
      <w:pPr>
        <w:rPr>
          <w:sz w:val="24"/>
          <w:szCs w:val="24"/>
        </w:rPr>
      </w:pPr>
      <w:bookmarkStart w:id="144" w:name="_Toc503961423"/>
      <w:r>
        <w:rPr>
          <w:rFonts w:hint="eastAsia"/>
          <w:sz w:val="24"/>
          <w:szCs w:val="24"/>
        </w:rPr>
        <w:t>1、投标文件中的重要内容没有失实或者弄虚作假；</w:t>
      </w:r>
      <w:bookmarkEnd w:id="144"/>
    </w:p>
    <w:p>
      <w:pPr>
        <w:rPr>
          <w:sz w:val="24"/>
          <w:szCs w:val="24"/>
        </w:rPr>
      </w:pPr>
      <w:r>
        <w:rPr>
          <w:rFonts w:hint="eastAsia"/>
          <w:sz w:val="24"/>
          <w:szCs w:val="24"/>
        </w:rPr>
        <w:t>2、我方未处于被责令停业、投标资格被取消或者财产被接管、冻结和破产状态；</w:t>
      </w:r>
    </w:p>
    <w:p>
      <w:pPr>
        <w:rPr>
          <w:sz w:val="24"/>
          <w:szCs w:val="24"/>
        </w:rPr>
      </w:pPr>
      <w:bookmarkStart w:id="145" w:name="_Toc503961424"/>
      <w:r>
        <w:rPr>
          <w:rFonts w:hint="eastAsia"/>
          <w:sz w:val="24"/>
          <w:szCs w:val="24"/>
        </w:rPr>
        <w:t>3、我方没有因骗取中标或者严重违约以及发生重大工程质量、安全生产事故等问题，被</w:t>
      </w:r>
      <w:bookmarkEnd w:id="145"/>
      <w:r>
        <w:rPr>
          <w:rFonts w:hint="eastAsia"/>
          <w:sz w:val="24"/>
          <w:szCs w:val="24"/>
        </w:rPr>
        <w:t>有关部门暂停投标资格并在暂停期内的；</w:t>
      </w:r>
    </w:p>
    <w:p>
      <w:pPr>
        <w:rPr>
          <w:sz w:val="24"/>
          <w:szCs w:val="24"/>
        </w:rPr>
      </w:pPr>
      <w:r>
        <w:rPr>
          <w:rFonts w:hint="eastAsia"/>
          <w:sz w:val="24"/>
          <w:szCs w:val="24"/>
        </w:rPr>
        <w:t>4、我方没有因违反法律、法规行为，依法被取消投标资格且期限未满的；</w:t>
      </w:r>
    </w:p>
    <w:p>
      <w:pPr>
        <w:rPr>
          <w:sz w:val="24"/>
          <w:szCs w:val="24"/>
        </w:rPr>
      </w:pPr>
      <w:r>
        <w:rPr>
          <w:rFonts w:hint="eastAsia"/>
          <w:sz w:val="24"/>
          <w:szCs w:val="24"/>
        </w:rPr>
        <w:t>5、 我方没有因招投标活动中有违法违规和不良行为，被有关招投标行政监督部门公示且期限未满的。</w:t>
      </w:r>
    </w:p>
    <w:p>
      <w:pPr>
        <w:jc w:val="right"/>
        <w:rPr>
          <w:sz w:val="24"/>
          <w:szCs w:val="24"/>
        </w:rPr>
      </w:pPr>
      <w:r>
        <w:rPr>
          <w:rFonts w:hint="eastAsia"/>
          <w:sz w:val="24"/>
          <w:szCs w:val="24"/>
        </w:rPr>
        <w:t>投标人（单位公章）：______________</w:t>
      </w:r>
    </w:p>
    <w:p>
      <w:pPr>
        <w:rPr>
          <w:sz w:val="24"/>
          <w:szCs w:val="24"/>
        </w:rPr>
      </w:pPr>
    </w:p>
    <w:p>
      <w:pPr>
        <w:jc w:val="right"/>
        <w:rPr>
          <w:sz w:val="24"/>
          <w:szCs w:val="24"/>
        </w:rPr>
      </w:pPr>
      <w:r>
        <w:rPr>
          <w:rFonts w:hint="eastAsia"/>
          <w:sz w:val="24"/>
          <w:szCs w:val="24"/>
        </w:rPr>
        <w:t>法定代表人（签字）：______________</w:t>
      </w:r>
    </w:p>
    <w:p>
      <w:pPr>
        <w:rPr>
          <w:sz w:val="24"/>
          <w:szCs w:val="24"/>
        </w:rPr>
      </w:pPr>
    </w:p>
    <w:p>
      <w:pPr>
        <w:jc w:val="right"/>
        <w:rPr>
          <w:sz w:val="24"/>
          <w:szCs w:val="24"/>
        </w:rPr>
      </w:pPr>
      <w:r>
        <w:rPr>
          <w:rFonts w:hint="eastAsia"/>
          <w:sz w:val="24"/>
          <w:szCs w:val="24"/>
        </w:rPr>
        <w:t xml:space="preserve">   日期：    年   月   日</w:t>
      </w:r>
    </w:p>
    <w:p>
      <w:pPr>
        <w:rPr>
          <w:sz w:val="24"/>
          <w:szCs w:val="24"/>
        </w:rPr>
      </w:pPr>
    </w:p>
    <w:p>
      <w:pPr>
        <w:rPr>
          <w:sz w:val="24"/>
          <w:szCs w:val="24"/>
        </w:rPr>
      </w:pPr>
    </w:p>
    <w:p>
      <w:pPr>
        <w:pStyle w:val="7"/>
        <w:rPr>
          <w:sz w:val="24"/>
          <w:szCs w:val="24"/>
        </w:rPr>
      </w:pPr>
      <w:bookmarkStart w:id="146" w:name="_Toc503983092"/>
      <w:bookmarkStart w:id="147" w:name="_Toc503961425"/>
      <w:bookmarkStart w:id="148" w:name="_Toc506205364"/>
      <w:bookmarkStart w:id="149" w:name="_Toc21600"/>
      <w:bookmarkStart w:id="150" w:name="_Toc28203"/>
      <w:r>
        <w:rPr>
          <w:rFonts w:hint="eastAsia"/>
          <w:sz w:val="24"/>
          <w:szCs w:val="24"/>
        </w:rPr>
        <w:t>（二）开户许可证</w:t>
      </w:r>
      <w:bookmarkEnd w:id="146"/>
      <w:bookmarkEnd w:id="147"/>
      <w:bookmarkEnd w:id="148"/>
      <w:r>
        <w:rPr>
          <w:rFonts w:hint="eastAsia"/>
          <w:sz w:val="24"/>
          <w:szCs w:val="24"/>
        </w:rPr>
        <w:t>（基本账户）</w:t>
      </w:r>
      <w:bookmarkEnd w:id="149"/>
      <w:bookmarkEnd w:id="150"/>
    </w:p>
    <w:p>
      <w:pPr>
        <w:rPr>
          <w:sz w:val="24"/>
          <w:szCs w:val="24"/>
        </w:rPr>
      </w:pPr>
    </w:p>
    <w:p>
      <w:pPr>
        <w:rPr>
          <w:sz w:val="24"/>
          <w:szCs w:val="24"/>
        </w:rPr>
      </w:pPr>
    </w:p>
    <w:p>
      <w:pPr>
        <w:rPr>
          <w:sz w:val="24"/>
          <w:szCs w:val="24"/>
        </w:rPr>
      </w:pPr>
    </w:p>
    <w:p>
      <w:pPr>
        <w:rPr>
          <w:sz w:val="24"/>
          <w:szCs w:val="24"/>
        </w:rPr>
      </w:pPr>
    </w:p>
    <w:p>
      <w:pPr>
        <w:pStyle w:val="7"/>
        <w:rPr>
          <w:sz w:val="24"/>
          <w:szCs w:val="24"/>
        </w:rPr>
      </w:pPr>
      <w:bookmarkStart w:id="151" w:name="_Toc503961426"/>
      <w:bookmarkStart w:id="152" w:name="_Toc503983093"/>
      <w:bookmarkStart w:id="153" w:name="_Toc25512"/>
      <w:bookmarkStart w:id="154" w:name="_Toc24863"/>
      <w:bookmarkStart w:id="155" w:name="_Toc506205365"/>
      <w:r>
        <w:rPr>
          <w:rFonts w:hint="eastAsia"/>
          <w:sz w:val="24"/>
          <w:szCs w:val="24"/>
        </w:rPr>
        <w:t>（三）全国企业信用信息公示系统严重违法失信企业名单查询页面截图</w:t>
      </w:r>
      <w:bookmarkEnd w:id="151"/>
      <w:bookmarkEnd w:id="152"/>
      <w:bookmarkEnd w:id="153"/>
      <w:bookmarkEnd w:id="154"/>
      <w:bookmarkEnd w:id="155"/>
    </w:p>
    <w:p>
      <w:pPr>
        <w:rPr>
          <w:sz w:val="24"/>
          <w:szCs w:val="24"/>
        </w:rPr>
      </w:pPr>
    </w:p>
    <w:p>
      <w:pPr>
        <w:rPr>
          <w:sz w:val="24"/>
          <w:szCs w:val="24"/>
        </w:rPr>
      </w:pPr>
    </w:p>
    <w:p>
      <w:pPr>
        <w:rPr>
          <w:sz w:val="24"/>
          <w:szCs w:val="24"/>
        </w:rPr>
      </w:pPr>
    </w:p>
    <w:p>
      <w:pPr>
        <w:rPr>
          <w:sz w:val="24"/>
          <w:szCs w:val="24"/>
        </w:rPr>
      </w:pPr>
    </w:p>
    <w:p>
      <w:pPr>
        <w:pStyle w:val="7"/>
        <w:rPr>
          <w:sz w:val="24"/>
          <w:szCs w:val="24"/>
        </w:rPr>
      </w:pPr>
      <w:bookmarkStart w:id="156" w:name="_Toc7967"/>
      <w:bookmarkStart w:id="157" w:name="_Toc503961427"/>
      <w:bookmarkStart w:id="158" w:name="_Toc506205366"/>
      <w:bookmarkStart w:id="159" w:name="_Toc503983094"/>
      <w:bookmarkStart w:id="160" w:name="_Toc21107"/>
      <w:r>
        <w:rPr>
          <w:rFonts w:hint="eastAsia"/>
          <w:sz w:val="24"/>
          <w:szCs w:val="24"/>
        </w:rPr>
        <w:t>（四）“信用中国”网站或各级信用信息共享平台失信被执行人名单查询页面截图</w:t>
      </w:r>
      <w:bookmarkEnd w:id="156"/>
      <w:bookmarkEnd w:id="157"/>
      <w:bookmarkEnd w:id="158"/>
      <w:bookmarkEnd w:id="159"/>
      <w:bookmarkEnd w:id="160"/>
    </w:p>
    <w:p>
      <w:pPr>
        <w:rPr>
          <w:sz w:val="24"/>
          <w:szCs w:val="24"/>
        </w:rPr>
      </w:pPr>
    </w:p>
    <w:p>
      <w:pPr>
        <w:ind w:left="0" w:leftChars="0" w:firstLine="0" w:firstLineChars="0"/>
        <w:rPr>
          <w:sz w:val="24"/>
          <w:szCs w:val="24"/>
        </w:rPr>
      </w:pPr>
    </w:p>
    <w:p>
      <w:pPr>
        <w:pStyle w:val="7"/>
        <w:rPr>
          <w:sz w:val="24"/>
          <w:szCs w:val="24"/>
        </w:rPr>
      </w:pPr>
      <w:bookmarkStart w:id="161" w:name="_Toc24318"/>
      <w:bookmarkStart w:id="162" w:name="_Toc27095"/>
      <w:bookmarkStart w:id="163" w:name="_Toc503961429"/>
      <w:bookmarkStart w:id="164" w:name="_Toc503983096"/>
      <w:bookmarkStart w:id="165" w:name="_Toc506205368"/>
      <w:r>
        <w:rPr>
          <w:rFonts w:hint="eastAsia"/>
          <w:sz w:val="24"/>
          <w:szCs w:val="24"/>
        </w:rPr>
        <w:t>（五）其他</w:t>
      </w:r>
      <w:bookmarkEnd w:id="161"/>
      <w:bookmarkEnd w:id="162"/>
      <w:bookmarkEnd w:id="163"/>
      <w:bookmarkEnd w:id="164"/>
      <w:bookmarkEnd w:id="165"/>
    </w:p>
    <w:p>
      <w:pPr>
        <w:rPr>
          <w:sz w:val="24"/>
          <w:szCs w:val="24"/>
        </w:rPr>
      </w:pPr>
    </w:p>
    <w:sectPr>
      <w:headerReference r:id="rId12" w:type="default"/>
      <w:footerReference r:id="rId13" w:type="default"/>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pPr>
    <w:r>
      <w:fldChar w:fldCharType="begin"/>
    </w:r>
    <w:r>
      <w:instrText xml:space="preserve">PAGE   \* MERGEFORMAT</w:instrText>
    </w:r>
    <w:r>
      <w:fldChar w:fldCharType="separate"/>
    </w:r>
    <w:r>
      <w:rPr>
        <w:lang w:val="zh-CN"/>
      </w:rPr>
      <w:t>i</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pPr>
    <w:r>
      <w:fldChar w:fldCharType="begin"/>
    </w:r>
    <w:r>
      <w:instrText xml:space="preserve">PAGE   \* MERGEFORMAT</w:instrText>
    </w:r>
    <w:r>
      <w:fldChar w:fldCharType="separate"/>
    </w:r>
    <w:r>
      <w:rPr>
        <w:lang w:val="zh-CN"/>
      </w:rPr>
      <w:t>8</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04E16"/>
    <w:multiLevelType w:val="singleLevel"/>
    <w:tmpl w:val="8D404E16"/>
    <w:lvl w:ilvl="0" w:tentative="0">
      <w:start w:val="5"/>
      <w:numFmt w:val="decimal"/>
      <w:suff w:val="nothing"/>
      <w:lvlText w:val="%1、"/>
      <w:lvlJc w:val="left"/>
    </w:lvl>
  </w:abstractNum>
  <w:abstractNum w:abstractNumId="1">
    <w:nsid w:val="00000005"/>
    <w:multiLevelType w:val="singleLevel"/>
    <w:tmpl w:val="00000005"/>
    <w:lvl w:ilvl="0" w:tentative="0">
      <w:start w:val="1"/>
      <w:numFmt w:val="decimal"/>
      <w:lvlText w:val="(%1)"/>
      <w:lvlJc w:val="left"/>
      <w:pPr>
        <w:ind w:left="425" w:hanging="425"/>
      </w:pPr>
      <w:rPr>
        <w:rFonts w:hint="default"/>
      </w:rPr>
    </w:lvl>
  </w:abstractNum>
  <w:abstractNum w:abstractNumId="2">
    <w:nsid w:val="00000006"/>
    <w:multiLevelType w:val="singleLevel"/>
    <w:tmpl w:val="00000006"/>
    <w:lvl w:ilvl="0" w:tentative="0">
      <w:start w:val="1"/>
      <w:numFmt w:val="decimal"/>
      <w:lvlText w:val="(%1)"/>
      <w:lvlJc w:val="left"/>
      <w:pPr>
        <w:ind w:left="425" w:hanging="425"/>
      </w:pPr>
      <w:rPr>
        <w:rFonts w:hint="default"/>
      </w:rPr>
    </w:lvl>
  </w:abstractNum>
  <w:abstractNum w:abstractNumId="3">
    <w:nsid w:val="0000000A"/>
    <w:multiLevelType w:val="singleLevel"/>
    <w:tmpl w:val="0000000A"/>
    <w:lvl w:ilvl="0" w:tentative="0">
      <w:start w:val="1"/>
      <w:numFmt w:val="chineseCounting"/>
      <w:suff w:val="nothing"/>
      <w:lvlText w:val="%1、"/>
      <w:lvlJc w:val="left"/>
      <w:rPr>
        <w:rFonts w:hint="eastAsia"/>
      </w:rPr>
    </w:lvl>
  </w:abstractNum>
  <w:abstractNum w:abstractNumId="4">
    <w:nsid w:val="0000000B"/>
    <w:multiLevelType w:val="singleLevel"/>
    <w:tmpl w:val="0000000B"/>
    <w:lvl w:ilvl="0" w:tentative="0">
      <w:start w:val="1"/>
      <w:numFmt w:val="decimal"/>
      <w:lvlText w:val="(%1)"/>
      <w:lvlJc w:val="left"/>
      <w:pPr>
        <w:ind w:left="425" w:hanging="425"/>
      </w:pPr>
      <w:rPr>
        <w:rFonts w:hint="default"/>
      </w:rPr>
    </w:lvl>
  </w:abstractNum>
  <w:abstractNum w:abstractNumId="5">
    <w:nsid w:val="0000000C"/>
    <w:multiLevelType w:val="singleLevel"/>
    <w:tmpl w:val="0000000C"/>
    <w:lvl w:ilvl="0" w:tentative="0">
      <w:start w:val="3"/>
      <w:numFmt w:val="chineseCounting"/>
      <w:suff w:val="nothing"/>
      <w:lvlText w:val="%1、"/>
      <w:lvlJc w:val="left"/>
      <w:rPr>
        <w:rFonts w:hint="eastAsia"/>
      </w:rPr>
    </w:lvl>
  </w:abstractNum>
  <w:abstractNum w:abstractNumId="6">
    <w:nsid w:val="0CDA2DA5"/>
    <w:multiLevelType w:val="multilevel"/>
    <w:tmpl w:val="0CDA2DA5"/>
    <w:lvl w:ilvl="0" w:tentative="0">
      <w:start w:val="5"/>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7">
    <w:nsid w:val="21160757"/>
    <w:multiLevelType w:val="singleLevel"/>
    <w:tmpl w:val="21160757"/>
    <w:lvl w:ilvl="0" w:tentative="0">
      <w:start w:val="1"/>
      <w:numFmt w:val="decimal"/>
      <w:lvlText w:val="(%1)"/>
      <w:lvlJc w:val="left"/>
      <w:pPr>
        <w:ind w:left="425" w:hanging="425"/>
      </w:pPr>
      <w:rPr>
        <w:rFonts w:hint="default"/>
      </w:rPr>
    </w:lvl>
  </w:abstractNum>
  <w:abstractNum w:abstractNumId="8">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9">
    <w:nsid w:val="46B74215"/>
    <w:multiLevelType w:val="multilevel"/>
    <w:tmpl w:val="46B74215"/>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0">
    <w:nsid w:val="5F2BF3D5"/>
    <w:multiLevelType w:val="singleLevel"/>
    <w:tmpl w:val="5F2BF3D5"/>
    <w:lvl w:ilvl="0" w:tentative="0">
      <w:start w:val="6"/>
      <w:numFmt w:val="decimal"/>
      <w:suff w:val="nothing"/>
      <w:lvlText w:val="%1、"/>
      <w:lvlJc w:val="left"/>
    </w:lvl>
  </w:abstractNum>
  <w:abstractNum w:abstractNumId="11">
    <w:nsid w:val="7E00E85D"/>
    <w:multiLevelType w:val="singleLevel"/>
    <w:tmpl w:val="7E00E85D"/>
    <w:lvl w:ilvl="0" w:tentative="0">
      <w:start w:val="1"/>
      <w:numFmt w:val="decimal"/>
      <w:suff w:val="nothing"/>
      <w:lvlText w:val="%1．"/>
      <w:lvlJc w:val="left"/>
    </w:lvl>
  </w:abstractNum>
  <w:num w:numId="1">
    <w:abstractNumId w:val="8"/>
  </w:num>
  <w:num w:numId="2">
    <w:abstractNumId w:val="5"/>
  </w:num>
  <w:num w:numId="3">
    <w:abstractNumId w:val="2"/>
  </w:num>
  <w:num w:numId="4">
    <w:abstractNumId w:val="7"/>
  </w:num>
  <w:num w:numId="5">
    <w:abstractNumId w:val="4"/>
  </w:num>
  <w:num w:numId="6">
    <w:abstractNumId w:val="1"/>
  </w:num>
  <w:num w:numId="7">
    <w:abstractNumId w:val="10"/>
  </w:num>
  <w:num w:numId="8">
    <w:abstractNumId w:val="3"/>
  </w:num>
  <w:num w:numId="9">
    <w:abstractNumId w:val="11"/>
  </w:num>
  <w:num w:numId="10">
    <w:abstractNumId w:val="9"/>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8FB"/>
    <w:rsid w:val="00004181"/>
    <w:rsid w:val="00012207"/>
    <w:rsid w:val="0003186C"/>
    <w:rsid w:val="000354C4"/>
    <w:rsid w:val="00045778"/>
    <w:rsid w:val="00050E84"/>
    <w:rsid w:val="00086DE7"/>
    <w:rsid w:val="000A7D9E"/>
    <w:rsid w:val="000D0B37"/>
    <w:rsid w:val="000E3789"/>
    <w:rsid w:val="00102B9F"/>
    <w:rsid w:val="00106981"/>
    <w:rsid w:val="00124C26"/>
    <w:rsid w:val="001463EA"/>
    <w:rsid w:val="001840B1"/>
    <w:rsid w:val="001854F3"/>
    <w:rsid w:val="00195ACB"/>
    <w:rsid w:val="001A751A"/>
    <w:rsid w:val="001C3F3C"/>
    <w:rsid w:val="001D56DF"/>
    <w:rsid w:val="001E654E"/>
    <w:rsid w:val="001F05D0"/>
    <w:rsid w:val="001F5191"/>
    <w:rsid w:val="002047D8"/>
    <w:rsid w:val="0021484B"/>
    <w:rsid w:val="002204A4"/>
    <w:rsid w:val="00230205"/>
    <w:rsid w:val="002352DD"/>
    <w:rsid w:val="002B3C1E"/>
    <w:rsid w:val="002E026A"/>
    <w:rsid w:val="002E24C1"/>
    <w:rsid w:val="00303A06"/>
    <w:rsid w:val="003061F4"/>
    <w:rsid w:val="00357E52"/>
    <w:rsid w:val="00361E5C"/>
    <w:rsid w:val="00365E64"/>
    <w:rsid w:val="00380EFA"/>
    <w:rsid w:val="003901FB"/>
    <w:rsid w:val="00391760"/>
    <w:rsid w:val="003B7FF0"/>
    <w:rsid w:val="003C004D"/>
    <w:rsid w:val="003C61BE"/>
    <w:rsid w:val="003E2D5C"/>
    <w:rsid w:val="003E7628"/>
    <w:rsid w:val="00405470"/>
    <w:rsid w:val="0040553F"/>
    <w:rsid w:val="00406CAB"/>
    <w:rsid w:val="004300F8"/>
    <w:rsid w:val="00456294"/>
    <w:rsid w:val="00466AA4"/>
    <w:rsid w:val="004705DB"/>
    <w:rsid w:val="0048688C"/>
    <w:rsid w:val="00493DE6"/>
    <w:rsid w:val="004A5AD3"/>
    <w:rsid w:val="004B2F30"/>
    <w:rsid w:val="004C7C5F"/>
    <w:rsid w:val="004D1004"/>
    <w:rsid w:val="004F2B19"/>
    <w:rsid w:val="005021C5"/>
    <w:rsid w:val="0050512D"/>
    <w:rsid w:val="005102EB"/>
    <w:rsid w:val="005251B4"/>
    <w:rsid w:val="005261E9"/>
    <w:rsid w:val="0053126C"/>
    <w:rsid w:val="005532D0"/>
    <w:rsid w:val="00563D02"/>
    <w:rsid w:val="00565ABD"/>
    <w:rsid w:val="00576D1D"/>
    <w:rsid w:val="00582C39"/>
    <w:rsid w:val="00591AF8"/>
    <w:rsid w:val="005A2B93"/>
    <w:rsid w:val="005B2E13"/>
    <w:rsid w:val="005B42C3"/>
    <w:rsid w:val="005C638D"/>
    <w:rsid w:val="005E6E39"/>
    <w:rsid w:val="006024ED"/>
    <w:rsid w:val="00602F2C"/>
    <w:rsid w:val="006078DE"/>
    <w:rsid w:val="00613F40"/>
    <w:rsid w:val="00620AE7"/>
    <w:rsid w:val="00673248"/>
    <w:rsid w:val="006751E7"/>
    <w:rsid w:val="006800B5"/>
    <w:rsid w:val="00684124"/>
    <w:rsid w:val="006D43E5"/>
    <w:rsid w:val="006D7CC8"/>
    <w:rsid w:val="006E3813"/>
    <w:rsid w:val="006E6D4C"/>
    <w:rsid w:val="006F00D2"/>
    <w:rsid w:val="006F1539"/>
    <w:rsid w:val="00710345"/>
    <w:rsid w:val="007323AC"/>
    <w:rsid w:val="0077396E"/>
    <w:rsid w:val="00785CC6"/>
    <w:rsid w:val="007C0E13"/>
    <w:rsid w:val="007E4939"/>
    <w:rsid w:val="0086651A"/>
    <w:rsid w:val="00870811"/>
    <w:rsid w:val="008A55C3"/>
    <w:rsid w:val="008D0033"/>
    <w:rsid w:val="008D4C4A"/>
    <w:rsid w:val="009047D3"/>
    <w:rsid w:val="009252ED"/>
    <w:rsid w:val="0092764B"/>
    <w:rsid w:val="009513F5"/>
    <w:rsid w:val="00955DAA"/>
    <w:rsid w:val="009606EF"/>
    <w:rsid w:val="009620DE"/>
    <w:rsid w:val="009774CA"/>
    <w:rsid w:val="009A7343"/>
    <w:rsid w:val="009E38A0"/>
    <w:rsid w:val="009F022C"/>
    <w:rsid w:val="00A17F9F"/>
    <w:rsid w:val="00A2414B"/>
    <w:rsid w:val="00A24F36"/>
    <w:rsid w:val="00A332F7"/>
    <w:rsid w:val="00A54A95"/>
    <w:rsid w:val="00A5564C"/>
    <w:rsid w:val="00A647A1"/>
    <w:rsid w:val="00A75EAA"/>
    <w:rsid w:val="00AC2840"/>
    <w:rsid w:val="00AE0800"/>
    <w:rsid w:val="00AE2D6C"/>
    <w:rsid w:val="00AE7693"/>
    <w:rsid w:val="00B16D35"/>
    <w:rsid w:val="00B34A41"/>
    <w:rsid w:val="00B5225D"/>
    <w:rsid w:val="00B533FD"/>
    <w:rsid w:val="00B84776"/>
    <w:rsid w:val="00B85FE2"/>
    <w:rsid w:val="00BA740A"/>
    <w:rsid w:val="00BB6810"/>
    <w:rsid w:val="00BC1D2B"/>
    <w:rsid w:val="00BC3332"/>
    <w:rsid w:val="00BC56BE"/>
    <w:rsid w:val="00BD433E"/>
    <w:rsid w:val="00BF1101"/>
    <w:rsid w:val="00C55B67"/>
    <w:rsid w:val="00C77403"/>
    <w:rsid w:val="00CA7D35"/>
    <w:rsid w:val="00CB0D1F"/>
    <w:rsid w:val="00CB425F"/>
    <w:rsid w:val="00CB4ECC"/>
    <w:rsid w:val="00D46188"/>
    <w:rsid w:val="00D54531"/>
    <w:rsid w:val="00D80C5E"/>
    <w:rsid w:val="00D862BC"/>
    <w:rsid w:val="00D93E68"/>
    <w:rsid w:val="00DC3BFC"/>
    <w:rsid w:val="00DE2799"/>
    <w:rsid w:val="00DE4519"/>
    <w:rsid w:val="00E02779"/>
    <w:rsid w:val="00E23395"/>
    <w:rsid w:val="00E24EC3"/>
    <w:rsid w:val="00E3157E"/>
    <w:rsid w:val="00E32C72"/>
    <w:rsid w:val="00EB204B"/>
    <w:rsid w:val="00EE2533"/>
    <w:rsid w:val="00EF1B5E"/>
    <w:rsid w:val="00F01B1C"/>
    <w:rsid w:val="00F04648"/>
    <w:rsid w:val="00F44D07"/>
    <w:rsid w:val="00FA18FB"/>
    <w:rsid w:val="00FA7B64"/>
    <w:rsid w:val="00FC03FC"/>
    <w:rsid w:val="00FF0309"/>
    <w:rsid w:val="00FF0BDE"/>
    <w:rsid w:val="00FF17B3"/>
    <w:rsid w:val="0136114C"/>
    <w:rsid w:val="03B36AF4"/>
    <w:rsid w:val="03F7479E"/>
    <w:rsid w:val="07FD7DF3"/>
    <w:rsid w:val="080A3738"/>
    <w:rsid w:val="0A1078EF"/>
    <w:rsid w:val="0E1154B2"/>
    <w:rsid w:val="0E270B13"/>
    <w:rsid w:val="0E6813AB"/>
    <w:rsid w:val="0E8D1F91"/>
    <w:rsid w:val="1082148C"/>
    <w:rsid w:val="12FC764C"/>
    <w:rsid w:val="15033F26"/>
    <w:rsid w:val="151E67FB"/>
    <w:rsid w:val="153240C2"/>
    <w:rsid w:val="156969C8"/>
    <w:rsid w:val="17266AC6"/>
    <w:rsid w:val="194A2763"/>
    <w:rsid w:val="196D6E2B"/>
    <w:rsid w:val="19E4654E"/>
    <w:rsid w:val="1A884A98"/>
    <w:rsid w:val="1B06168A"/>
    <w:rsid w:val="1B732340"/>
    <w:rsid w:val="1C1906B6"/>
    <w:rsid w:val="1D0409E4"/>
    <w:rsid w:val="1D63679F"/>
    <w:rsid w:val="1D8F004D"/>
    <w:rsid w:val="1E1F4408"/>
    <w:rsid w:val="20036F99"/>
    <w:rsid w:val="21201C95"/>
    <w:rsid w:val="22C61EA1"/>
    <w:rsid w:val="22D421C4"/>
    <w:rsid w:val="22FE08C4"/>
    <w:rsid w:val="23C371B2"/>
    <w:rsid w:val="246522E8"/>
    <w:rsid w:val="26E76C6A"/>
    <w:rsid w:val="273F32B6"/>
    <w:rsid w:val="275E4629"/>
    <w:rsid w:val="2834120E"/>
    <w:rsid w:val="286A76EF"/>
    <w:rsid w:val="28C85C15"/>
    <w:rsid w:val="2A640E06"/>
    <w:rsid w:val="2AFD77FB"/>
    <w:rsid w:val="2BA10914"/>
    <w:rsid w:val="2BD95C24"/>
    <w:rsid w:val="2BE73C74"/>
    <w:rsid w:val="2DBE63CD"/>
    <w:rsid w:val="2F3060A0"/>
    <w:rsid w:val="3005172F"/>
    <w:rsid w:val="302C154E"/>
    <w:rsid w:val="30625870"/>
    <w:rsid w:val="30C31E13"/>
    <w:rsid w:val="30E73B26"/>
    <w:rsid w:val="31AF6E7D"/>
    <w:rsid w:val="330F3B11"/>
    <w:rsid w:val="332A36D4"/>
    <w:rsid w:val="33CE420F"/>
    <w:rsid w:val="33DC303B"/>
    <w:rsid w:val="341B40F7"/>
    <w:rsid w:val="350E2B43"/>
    <w:rsid w:val="35A72212"/>
    <w:rsid w:val="35FC3504"/>
    <w:rsid w:val="36600760"/>
    <w:rsid w:val="368120ED"/>
    <w:rsid w:val="370E7513"/>
    <w:rsid w:val="37C817C7"/>
    <w:rsid w:val="3884419E"/>
    <w:rsid w:val="40E63D01"/>
    <w:rsid w:val="4133435F"/>
    <w:rsid w:val="41970EDB"/>
    <w:rsid w:val="422728B9"/>
    <w:rsid w:val="427F504C"/>
    <w:rsid w:val="45202681"/>
    <w:rsid w:val="452731F8"/>
    <w:rsid w:val="476D07B9"/>
    <w:rsid w:val="48FF6837"/>
    <w:rsid w:val="491A56B4"/>
    <w:rsid w:val="49233C5F"/>
    <w:rsid w:val="492B4B09"/>
    <w:rsid w:val="4B654402"/>
    <w:rsid w:val="4B9049CD"/>
    <w:rsid w:val="4C6261E9"/>
    <w:rsid w:val="4D190DAA"/>
    <w:rsid w:val="4E1436CB"/>
    <w:rsid w:val="4FA83CB3"/>
    <w:rsid w:val="518C4F20"/>
    <w:rsid w:val="51E07BD0"/>
    <w:rsid w:val="54670A4A"/>
    <w:rsid w:val="55330831"/>
    <w:rsid w:val="56FD74F5"/>
    <w:rsid w:val="5817562D"/>
    <w:rsid w:val="581E6386"/>
    <w:rsid w:val="58E324A3"/>
    <w:rsid w:val="5A3F49F6"/>
    <w:rsid w:val="5A85027C"/>
    <w:rsid w:val="5BA9351F"/>
    <w:rsid w:val="5D7171AA"/>
    <w:rsid w:val="5F481309"/>
    <w:rsid w:val="5F927CD3"/>
    <w:rsid w:val="5F9666EA"/>
    <w:rsid w:val="60AD66B5"/>
    <w:rsid w:val="60CE260D"/>
    <w:rsid w:val="60D75433"/>
    <w:rsid w:val="611A4BE7"/>
    <w:rsid w:val="61483990"/>
    <w:rsid w:val="62592793"/>
    <w:rsid w:val="63063DA1"/>
    <w:rsid w:val="64E5713C"/>
    <w:rsid w:val="65B9341C"/>
    <w:rsid w:val="660D0E97"/>
    <w:rsid w:val="66867F10"/>
    <w:rsid w:val="66AF7991"/>
    <w:rsid w:val="66FC6BE9"/>
    <w:rsid w:val="6A6016A7"/>
    <w:rsid w:val="6DA853CC"/>
    <w:rsid w:val="6F89736C"/>
    <w:rsid w:val="70AB2C4A"/>
    <w:rsid w:val="70B270DC"/>
    <w:rsid w:val="72DF45A8"/>
    <w:rsid w:val="74FF73EA"/>
    <w:rsid w:val="750530B3"/>
    <w:rsid w:val="75A44B6C"/>
    <w:rsid w:val="766C46DD"/>
    <w:rsid w:val="788A1533"/>
    <w:rsid w:val="7A771DB5"/>
    <w:rsid w:val="7B4C3EF4"/>
    <w:rsid w:val="7EF125B4"/>
    <w:rsid w:val="7F4B2733"/>
    <w:rsid w:val="7F5933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99"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420" w:firstLineChars="200"/>
      <w:jc w:val="both"/>
    </w:pPr>
    <w:rPr>
      <w:rFonts w:ascii="Calibri" w:hAnsi="Calibri" w:eastAsia="宋体" w:cs="宋体"/>
      <w:kern w:val="2"/>
      <w:sz w:val="21"/>
      <w:szCs w:val="22"/>
      <w:lang w:val="en-US" w:eastAsia="zh-CN" w:bidi="ar-SA"/>
    </w:rPr>
  </w:style>
  <w:style w:type="paragraph" w:styleId="3">
    <w:name w:val="heading 1"/>
    <w:basedOn w:val="1"/>
    <w:next w:val="1"/>
    <w:link w:val="38"/>
    <w:qFormat/>
    <w:uiPriority w:val="9"/>
    <w:pPr>
      <w:keepNext/>
      <w:keepLines/>
      <w:spacing w:before="340" w:after="330"/>
      <w:ind w:firstLine="0" w:firstLineChars="0"/>
      <w:jc w:val="center"/>
      <w:outlineLvl w:val="0"/>
    </w:pPr>
    <w:rPr>
      <w:rFonts w:ascii="宋体" w:hAnsi="宋体"/>
      <w:b/>
      <w:bCs/>
      <w:kern w:val="44"/>
      <w:sz w:val="44"/>
      <w:szCs w:val="44"/>
    </w:rPr>
  </w:style>
  <w:style w:type="paragraph" w:styleId="4">
    <w:name w:val="heading 2"/>
    <w:basedOn w:val="1"/>
    <w:next w:val="1"/>
    <w:link w:val="39"/>
    <w:qFormat/>
    <w:uiPriority w:val="9"/>
    <w:pPr>
      <w:keepNext/>
      <w:keepLines/>
      <w:spacing w:before="260" w:after="260"/>
      <w:ind w:firstLine="0" w:firstLineChars="0"/>
      <w:jc w:val="center"/>
      <w:outlineLvl w:val="1"/>
    </w:pPr>
    <w:rPr>
      <w:rFonts w:ascii="Cambria" w:hAnsi="Cambria"/>
      <w:b/>
      <w:bCs/>
      <w:sz w:val="32"/>
      <w:szCs w:val="32"/>
    </w:rPr>
  </w:style>
  <w:style w:type="paragraph" w:styleId="5">
    <w:name w:val="heading 3"/>
    <w:basedOn w:val="1"/>
    <w:next w:val="1"/>
    <w:link w:val="40"/>
    <w:qFormat/>
    <w:uiPriority w:val="9"/>
    <w:pPr>
      <w:keepNext/>
      <w:keepLines/>
      <w:spacing w:before="260" w:after="260"/>
      <w:ind w:firstLine="0" w:firstLineChars="0"/>
      <w:jc w:val="center"/>
      <w:outlineLvl w:val="2"/>
    </w:pPr>
    <w:rPr>
      <w:rFonts w:ascii="宋体" w:hAnsi="宋体"/>
      <w:b/>
      <w:bCs/>
      <w:sz w:val="28"/>
      <w:szCs w:val="28"/>
    </w:rPr>
  </w:style>
  <w:style w:type="paragraph" w:styleId="6">
    <w:name w:val="heading 4"/>
    <w:basedOn w:val="1"/>
    <w:next w:val="1"/>
    <w:link w:val="41"/>
    <w:qFormat/>
    <w:uiPriority w:val="9"/>
    <w:pPr>
      <w:keepNext/>
      <w:keepLines/>
      <w:spacing w:before="280" w:after="290"/>
      <w:ind w:firstLine="0" w:firstLineChars="0"/>
      <w:outlineLvl w:val="3"/>
    </w:pPr>
    <w:rPr>
      <w:rFonts w:ascii="宋体" w:hAnsi="宋体"/>
      <w:b/>
      <w:bCs/>
      <w:sz w:val="24"/>
      <w:szCs w:val="24"/>
    </w:rPr>
  </w:style>
  <w:style w:type="paragraph" w:styleId="7">
    <w:name w:val="heading 5"/>
    <w:basedOn w:val="1"/>
    <w:next w:val="1"/>
    <w:link w:val="42"/>
    <w:qFormat/>
    <w:uiPriority w:val="9"/>
    <w:pPr>
      <w:keepNext/>
      <w:keepLines/>
      <w:spacing w:before="280" w:after="290"/>
      <w:ind w:firstLine="0" w:firstLineChars="0"/>
      <w:outlineLvl w:val="4"/>
    </w:pPr>
    <w:rPr>
      <w:rFonts w:ascii="宋体" w:hAnsi="宋体"/>
      <w:b/>
      <w:bCs/>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jc w:val="left"/>
    </w:pPr>
    <w:rPr>
      <w:rFonts w:ascii="宋体" w:hAnsi="宋体" w:cs="Times New Roman"/>
      <w:sz w:val="24"/>
    </w:rPr>
  </w:style>
  <w:style w:type="paragraph" w:styleId="8">
    <w:name w:val="toc 7"/>
    <w:basedOn w:val="1"/>
    <w:next w:val="1"/>
    <w:qFormat/>
    <w:uiPriority w:val="39"/>
    <w:pPr>
      <w:ind w:left="2520" w:leftChars="1200" w:firstLine="0" w:firstLineChars="0"/>
    </w:pPr>
  </w:style>
  <w:style w:type="paragraph" w:styleId="9">
    <w:name w:val="Normal Indent"/>
    <w:basedOn w:val="1"/>
    <w:qFormat/>
    <w:uiPriority w:val="0"/>
    <w:rPr>
      <w:b/>
      <w:sz w:val="24"/>
    </w:rPr>
  </w:style>
  <w:style w:type="paragraph" w:styleId="10">
    <w:name w:val="annotation text"/>
    <w:basedOn w:val="1"/>
    <w:semiHidden/>
    <w:unhideWhenUsed/>
    <w:qFormat/>
    <w:uiPriority w:val="0"/>
    <w:pPr>
      <w:jc w:val="left"/>
    </w:pPr>
  </w:style>
  <w:style w:type="paragraph" w:styleId="11">
    <w:name w:val="Body Text"/>
    <w:basedOn w:val="1"/>
    <w:qFormat/>
    <w:uiPriority w:val="1"/>
    <w:pPr>
      <w:ind w:left="100" w:firstLine="0" w:firstLineChars="0"/>
      <w:jc w:val="left"/>
    </w:pPr>
    <w:rPr>
      <w:rFonts w:ascii="宋体" w:hAnsi="宋体"/>
      <w:kern w:val="0"/>
      <w:szCs w:val="21"/>
      <w:lang w:eastAsia="en-US"/>
    </w:rPr>
  </w:style>
  <w:style w:type="paragraph" w:styleId="12">
    <w:name w:val="Body Text Indent"/>
    <w:basedOn w:val="1"/>
    <w:qFormat/>
    <w:uiPriority w:val="99"/>
    <w:pPr>
      <w:widowControl/>
      <w:spacing w:line="360" w:lineRule="auto"/>
      <w:ind w:firstLine="482"/>
      <w:jc w:val="left"/>
    </w:pPr>
    <w:rPr>
      <w:rFonts w:ascii="宋体" w:hAnsi="宋体"/>
      <w:color w:val="000000"/>
      <w:spacing w:val="15"/>
      <w:kern w:val="0"/>
    </w:rPr>
  </w:style>
  <w:style w:type="paragraph" w:styleId="13">
    <w:name w:val="toc 5"/>
    <w:basedOn w:val="1"/>
    <w:next w:val="1"/>
    <w:qFormat/>
    <w:uiPriority w:val="39"/>
    <w:pPr>
      <w:ind w:left="1680" w:leftChars="800"/>
    </w:pPr>
  </w:style>
  <w:style w:type="paragraph" w:styleId="14">
    <w:name w:val="toc 3"/>
    <w:basedOn w:val="1"/>
    <w:next w:val="1"/>
    <w:qFormat/>
    <w:uiPriority w:val="39"/>
    <w:pPr>
      <w:ind w:left="840" w:leftChars="400"/>
    </w:pPr>
  </w:style>
  <w:style w:type="paragraph" w:styleId="15">
    <w:name w:val="Plain Text"/>
    <w:basedOn w:val="1"/>
    <w:qFormat/>
    <w:uiPriority w:val="99"/>
    <w:rPr>
      <w:rFonts w:ascii="宋体" w:hAnsi="Courier New" w:eastAsia="仿宋_GB2312"/>
      <w:b/>
      <w:bCs/>
      <w:color w:val="000000"/>
      <w:kern w:val="0"/>
      <w:sz w:val="20"/>
    </w:rPr>
  </w:style>
  <w:style w:type="paragraph" w:styleId="16">
    <w:name w:val="toc 8"/>
    <w:basedOn w:val="1"/>
    <w:next w:val="1"/>
    <w:qFormat/>
    <w:uiPriority w:val="39"/>
    <w:pPr>
      <w:ind w:left="2940" w:leftChars="1400" w:firstLine="0" w:firstLineChars="0"/>
    </w:pPr>
  </w:style>
  <w:style w:type="paragraph" w:styleId="17">
    <w:name w:val="Body Text Indent 2"/>
    <w:basedOn w:val="1"/>
    <w:qFormat/>
    <w:uiPriority w:val="99"/>
    <w:pPr>
      <w:spacing w:after="120" w:line="480" w:lineRule="auto"/>
      <w:ind w:left="420" w:leftChars="200" w:firstLine="0" w:firstLineChars="0"/>
      <w:jc w:val="left"/>
    </w:pPr>
    <w:rPr>
      <w:kern w:val="0"/>
      <w:sz w:val="22"/>
      <w:lang w:eastAsia="en-US"/>
    </w:rPr>
  </w:style>
  <w:style w:type="paragraph" w:styleId="18">
    <w:name w:val="Balloon Text"/>
    <w:basedOn w:val="1"/>
    <w:link w:val="46"/>
    <w:qFormat/>
    <w:uiPriority w:val="99"/>
    <w:rPr>
      <w:sz w:val="18"/>
      <w:szCs w:val="18"/>
    </w:rPr>
  </w:style>
  <w:style w:type="paragraph" w:styleId="19">
    <w:name w:val="footer"/>
    <w:basedOn w:val="1"/>
    <w:link w:val="44"/>
    <w:qFormat/>
    <w:uiPriority w:val="99"/>
    <w:pPr>
      <w:tabs>
        <w:tab w:val="center" w:pos="4153"/>
        <w:tab w:val="right" w:pos="8306"/>
      </w:tabs>
      <w:snapToGrid w:val="0"/>
      <w:jc w:val="left"/>
    </w:pPr>
    <w:rPr>
      <w:sz w:val="18"/>
      <w:szCs w:val="18"/>
    </w:rPr>
  </w:style>
  <w:style w:type="paragraph" w:styleId="20">
    <w:name w:val="header"/>
    <w:basedOn w:val="1"/>
    <w:link w:val="43"/>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4"/>
    <w:basedOn w:val="1"/>
    <w:next w:val="1"/>
    <w:qFormat/>
    <w:uiPriority w:val="39"/>
    <w:pPr>
      <w:ind w:left="1260" w:leftChars="600"/>
    </w:pPr>
  </w:style>
  <w:style w:type="paragraph" w:styleId="23">
    <w:name w:val="toc 6"/>
    <w:basedOn w:val="1"/>
    <w:next w:val="1"/>
    <w:qFormat/>
    <w:uiPriority w:val="39"/>
    <w:pPr>
      <w:ind w:left="2100" w:leftChars="1000" w:firstLine="0" w:firstLineChars="0"/>
    </w:pPr>
  </w:style>
  <w:style w:type="paragraph" w:styleId="24">
    <w:name w:val="toc 2"/>
    <w:basedOn w:val="1"/>
    <w:next w:val="1"/>
    <w:qFormat/>
    <w:uiPriority w:val="39"/>
    <w:pPr>
      <w:ind w:left="420" w:leftChars="200"/>
    </w:pPr>
  </w:style>
  <w:style w:type="paragraph" w:styleId="25">
    <w:name w:val="toc 9"/>
    <w:basedOn w:val="1"/>
    <w:next w:val="1"/>
    <w:qFormat/>
    <w:uiPriority w:val="39"/>
    <w:pPr>
      <w:ind w:left="3360" w:leftChars="1600" w:firstLine="0" w:firstLineChars="0"/>
    </w:pPr>
  </w:style>
  <w:style w:type="paragraph" w:styleId="2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7">
    <w:name w:val="Normal (Web)"/>
    <w:basedOn w:val="1"/>
    <w:qFormat/>
    <w:uiPriority w:val="0"/>
    <w:rPr>
      <w:sz w:val="24"/>
    </w:r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0"/>
    <w:rPr>
      <w:b/>
    </w:rPr>
  </w:style>
  <w:style w:type="character" w:styleId="32">
    <w:name w:val="Emphasis"/>
    <w:basedOn w:val="30"/>
    <w:qFormat/>
    <w:uiPriority w:val="0"/>
    <w:rPr>
      <w:i/>
    </w:rPr>
  </w:style>
  <w:style w:type="character" w:styleId="33">
    <w:name w:val="Hyperlink"/>
    <w:basedOn w:val="30"/>
    <w:qFormat/>
    <w:uiPriority w:val="99"/>
    <w:rPr>
      <w:color w:val="0000FF"/>
      <w:u w:val="single"/>
    </w:rPr>
  </w:style>
  <w:style w:type="character" w:styleId="34">
    <w:name w:val="annotation reference"/>
    <w:basedOn w:val="30"/>
    <w:semiHidden/>
    <w:unhideWhenUsed/>
    <w:qFormat/>
    <w:uiPriority w:val="0"/>
    <w:rPr>
      <w:sz w:val="21"/>
      <w:szCs w:val="21"/>
    </w:rPr>
  </w:style>
  <w:style w:type="paragraph" w:customStyle="1" w:styleId="35">
    <w:name w:val="标题 5（有编号）（绿盟科技）"/>
    <w:basedOn w:val="1"/>
    <w:next w:val="36"/>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38">
    <w:name w:val="标题 1 Char"/>
    <w:basedOn w:val="30"/>
    <w:link w:val="3"/>
    <w:qFormat/>
    <w:uiPriority w:val="9"/>
    <w:rPr>
      <w:rFonts w:ascii="宋体" w:hAnsi="宋体" w:eastAsia="宋体"/>
      <w:b/>
      <w:bCs/>
      <w:kern w:val="44"/>
      <w:sz w:val="44"/>
      <w:szCs w:val="44"/>
      <w:lang w:eastAsia="zh-CN"/>
    </w:rPr>
  </w:style>
  <w:style w:type="character" w:customStyle="1" w:styleId="39">
    <w:name w:val="标题 2 Char"/>
    <w:basedOn w:val="30"/>
    <w:link w:val="4"/>
    <w:qFormat/>
    <w:uiPriority w:val="9"/>
    <w:rPr>
      <w:rFonts w:ascii="Cambria" w:hAnsi="Cambria" w:eastAsia="宋体" w:cs="宋体"/>
      <w:b/>
      <w:bCs/>
      <w:sz w:val="32"/>
      <w:szCs w:val="32"/>
      <w:lang w:eastAsia="zh-CN"/>
    </w:rPr>
  </w:style>
  <w:style w:type="character" w:customStyle="1" w:styleId="40">
    <w:name w:val="标题 3 Char"/>
    <w:basedOn w:val="30"/>
    <w:link w:val="5"/>
    <w:qFormat/>
    <w:uiPriority w:val="9"/>
    <w:rPr>
      <w:rFonts w:ascii="宋体" w:hAnsi="宋体" w:eastAsia="宋体"/>
      <w:b/>
      <w:bCs/>
      <w:sz w:val="28"/>
      <w:szCs w:val="28"/>
      <w:lang w:eastAsia="zh-CN"/>
    </w:rPr>
  </w:style>
  <w:style w:type="character" w:customStyle="1" w:styleId="41">
    <w:name w:val="标题 4 Char"/>
    <w:basedOn w:val="30"/>
    <w:link w:val="6"/>
    <w:qFormat/>
    <w:uiPriority w:val="9"/>
    <w:rPr>
      <w:rFonts w:ascii="宋体" w:hAnsi="宋体" w:cs="宋体"/>
      <w:b/>
      <w:bCs/>
      <w:sz w:val="24"/>
      <w:szCs w:val="24"/>
      <w:lang w:eastAsia="zh-CN"/>
    </w:rPr>
  </w:style>
  <w:style w:type="character" w:customStyle="1" w:styleId="42">
    <w:name w:val="标题 5 Char"/>
    <w:basedOn w:val="30"/>
    <w:link w:val="7"/>
    <w:qFormat/>
    <w:uiPriority w:val="9"/>
    <w:rPr>
      <w:rFonts w:ascii="宋体" w:hAnsi="宋体"/>
      <w:b/>
      <w:bCs/>
      <w:szCs w:val="21"/>
      <w:lang w:eastAsia="zh-CN"/>
    </w:rPr>
  </w:style>
  <w:style w:type="character" w:customStyle="1" w:styleId="43">
    <w:name w:val="页眉 Char"/>
    <w:basedOn w:val="30"/>
    <w:link w:val="20"/>
    <w:qFormat/>
    <w:uiPriority w:val="99"/>
    <w:rPr>
      <w:sz w:val="18"/>
      <w:szCs w:val="18"/>
    </w:rPr>
  </w:style>
  <w:style w:type="character" w:customStyle="1" w:styleId="44">
    <w:name w:val="页脚 Char"/>
    <w:basedOn w:val="30"/>
    <w:link w:val="19"/>
    <w:qFormat/>
    <w:uiPriority w:val="99"/>
    <w:rPr>
      <w:sz w:val="18"/>
      <w:szCs w:val="18"/>
    </w:rPr>
  </w:style>
  <w:style w:type="paragraph" w:customStyle="1" w:styleId="45">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46">
    <w:name w:val="批注框文本 Char"/>
    <w:basedOn w:val="30"/>
    <w:link w:val="18"/>
    <w:qFormat/>
    <w:uiPriority w:val="99"/>
    <w:rPr>
      <w:sz w:val="18"/>
      <w:szCs w:val="18"/>
      <w:lang w:eastAsia="zh-CN"/>
    </w:rPr>
  </w:style>
  <w:style w:type="paragraph" w:styleId="47">
    <w:name w:val="List Paragraph"/>
    <w:basedOn w:val="1"/>
    <w:qFormat/>
    <w:uiPriority w:val="99"/>
    <w:pPr>
      <w:ind w:firstLine="0" w:firstLineChars="0"/>
      <w:jc w:val="left"/>
    </w:pPr>
    <w:rPr>
      <w:kern w:val="0"/>
      <w:sz w:val="22"/>
      <w:lang w:eastAsia="en-US"/>
    </w:rPr>
  </w:style>
  <w:style w:type="paragraph" w:customStyle="1" w:styleId="48">
    <w:name w:val="Table Paragraph"/>
    <w:basedOn w:val="1"/>
    <w:qFormat/>
    <w:uiPriority w:val="0"/>
    <w:pPr>
      <w:ind w:firstLine="0" w:firstLineChars="0"/>
      <w:jc w:val="left"/>
    </w:pPr>
    <w:rPr>
      <w:kern w:val="0"/>
      <w:sz w:val="22"/>
      <w:lang w:eastAsia="en-US"/>
    </w:rPr>
  </w:style>
  <w:style w:type="table" w:customStyle="1" w:styleId="49">
    <w:name w:val="Table Normal"/>
    <w:qFormat/>
    <w:uiPriority w:val="2"/>
    <w:pPr>
      <w:widowControl w:val="0"/>
    </w:pPr>
    <w:rPr>
      <w:sz w:val="22"/>
      <w:lang w:eastAsia="en-US"/>
    </w:rPr>
    <w:tblPr>
      <w:tblCellMar>
        <w:top w:w="0" w:type="dxa"/>
        <w:left w:w="0" w:type="dxa"/>
        <w:bottom w:w="0" w:type="dxa"/>
        <w:right w:w="0" w:type="dxa"/>
      </w:tblCellMar>
    </w:tblPr>
  </w:style>
  <w:style w:type="paragraph" w:styleId="50">
    <w:name w:val="No Spacing"/>
    <w:qFormat/>
    <w:uiPriority w:val="1"/>
    <w:pPr>
      <w:widowControl w:val="0"/>
      <w:jc w:val="both"/>
    </w:pPr>
    <w:rPr>
      <w:rFonts w:ascii="Calibri" w:hAnsi="Calibri" w:eastAsia="宋体" w:cs="宋体"/>
      <w:kern w:val="2"/>
      <w:sz w:val="28"/>
      <w:szCs w:val="22"/>
      <w:lang w:val="en-US" w:eastAsia="zh-CN" w:bidi="ar-SA"/>
    </w:rPr>
  </w:style>
  <w:style w:type="paragraph" w:customStyle="1" w:styleId="51">
    <w:name w:val="纯文本_0"/>
    <w:basedOn w:val="1"/>
    <w:qFormat/>
    <w:uiPriority w:val="0"/>
    <w:pPr>
      <w:ind w:firstLine="0" w:firstLineChars="0"/>
    </w:pPr>
    <w:rPr>
      <w:rFonts w:ascii="宋体" w:hAnsi="Courier New" w:cs="Times New Roman"/>
      <w:kern w:val="0"/>
      <w:szCs w:val="20"/>
    </w:rPr>
  </w:style>
  <w:style w:type="paragraph" w:customStyle="1" w:styleId="52">
    <w:name w:val="正文 A"/>
    <w:qFormat/>
    <w:uiPriority w:val="0"/>
    <w:pPr>
      <w:widowControl w:val="0"/>
      <w:jc w:val="both"/>
    </w:pPr>
    <w:rPr>
      <w:rFonts w:ascii="Times New Roman" w:hAnsi="Times New Roman" w:eastAsia="Calibri" w:cs="Calibri"/>
      <w:color w:val="000000"/>
      <w:kern w:val="2"/>
      <w:sz w:val="21"/>
      <w:szCs w:val="21"/>
      <w:u w:color="000000"/>
      <w:lang w:val="en-US" w:eastAsia="zh-CN" w:bidi="ar-SA"/>
    </w:rPr>
  </w:style>
  <w:style w:type="paragraph" w:customStyle="1" w:styleId="53">
    <w:name w:val="样式 加粗 段前: 7.8 磅 段后: 7.8 磅 行距: 固定值 20 磅"/>
    <w:basedOn w:val="1"/>
    <w:qFormat/>
    <w:uiPriority w:val="0"/>
    <w:pPr>
      <w:spacing w:before="60" w:after="60" w:line="360" w:lineRule="exact"/>
    </w:pPr>
    <w:rPr>
      <w:b/>
      <w:bCs/>
      <w:spacing w:val="-2"/>
      <w:szCs w:val="20"/>
    </w:rPr>
  </w:style>
  <w:style w:type="paragraph" w:customStyle="1" w:styleId="54">
    <w:name w:val="p15"/>
    <w:basedOn w:val="1"/>
    <w:qFormat/>
    <w:uiPriority w:val="0"/>
    <w:pPr>
      <w:widowControl/>
    </w:pPr>
    <w:rPr>
      <w:rFonts w:ascii="华文细黑" w:hAnsi="华文细黑" w:eastAsia="华文细黑"/>
      <w:b/>
      <w:bCs/>
      <w:kern w:val="0"/>
      <w:sz w:val="24"/>
    </w:rPr>
  </w:style>
  <w:style w:type="paragraph" w:customStyle="1" w:styleId="55">
    <w:name w:val="p0"/>
    <w:basedOn w:val="1"/>
    <w:qFormat/>
    <w:uiPriority w:val="0"/>
    <w:pPr>
      <w:widowControl/>
    </w:pPr>
    <w:rPr>
      <w:kern w:val="0"/>
      <w:szCs w:val="21"/>
    </w:rPr>
  </w:style>
  <w:style w:type="paragraph" w:customStyle="1" w:styleId="56">
    <w:name w:val="列出段落1"/>
    <w:basedOn w:val="1"/>
    <w:qFormat/>
    <w:uiPriority w:val="0"/>
    <w:pPr>
      <w:widowControl/>
      <w:ind w:left="720"/>
      <w:contextualSpacing/>
      <w:jc w:val="left"/>
    </w:pPr>
    <w:rPr>
      <w:sz w:val="24"/>
      <w:szCs w:val="24"/>
      <w:lang w:eastAsia="en-US" w:bidi="en-US"/>
    </w:rPr>
  </w:style>
  <w:style w:type="character" w:customStyle="1" w:styleId="57">
    <w:name w:val="font11"/>
    <w:basedOn w:val="30"/>
    <w:qFormat/>
    <w:uiPriority w:val="0"/>
    <w:rPr>
      <w:rFonts w:hint="eastAsia" w:ascii="宋体" w:hAnsi="宋体" w:eastAsia="宋体" w:cs="宋体"/>
      <w:color w:val="000000"/>
      <w:sz w:val="24"/>
      <w:szCs w:val="24"/>
      <w:u w:val="none"/>
    </w:rPr>
  </w:style>
  <w:style w:type="paragraph" w:customStyle="1" w:styleId="58">
    <w:name w:val="Body text|1"/>
    <w:basedOn w:val="1"/>
    <w:qFormat/>
    <w:uiPriority w:val="0"/>
    <w:pPr>
      <w:spacing w:line="288" w:lineRule="auto"/>
    </w:pPr>
    <w:rPr>
      <w:rFonts w:ascii="宋体" w:hAnsi="宋体"/>
      <w:sz w:val="17"/>
      <w:szCs w:val="17"/>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14F6AD-0D06-4F2F-81BA-0928243B7AA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74</Pages>
  <Words>6048</Words>
  <Characters>34476</Characters>
  <Lines>287</Lines>
  <Paragraphs>80</Paragraphs>
  <TotalTime>4</TotalTime>
  <ScaleCrop>false</ScaleCrop>
  <LinksUpToDate>false</LinksUpToDate>
  <CharactersWithSpaces>40444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2019-05-15T01:59:00Z</dcterms:created>
  <dc:creator>Windows 用户</dc:creator>
  <cp:lastModifiedBy>Administrator</cp:lastModifiedBy>
  <cp:lastPrinted>2020-01-17T01:42:00Z</cp:lastPrinted>
  <dcterms:modified xsi:type="dcterms:W3CDTF">2021-11-03T07:26:15Z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FEE8E1A889994ED9B3CE4975E7B43091</vt:lpwstr>
  </property>
</Properties>
</file>