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olor w:val="auto"/>
          <w:sz w:val="22"/>
          <w:szCs w:val="22"/>
          <w:highlight w:val="none"/>
        </w:rPr>
      </w:pPr>
    </w:p>
    <w:p>
      <w:pPr>
        <w:rPr>
          <w:rFonts w:hint="eastAsia" w:ascii="宋体" w:hAnsi="宋体"/>
          <w:color w:val="auto"/>
          <w:sz w:val="22"/>
          <w:szCs w:val="22"/>
          <w:highlight w:val="none"/>
        </w:rPr>
      </w:pPr>
    </w:p>
    <w:p>
      <w:pPr>
        <w:adjustRightInd w:val="0"/>
        <w:snapToGrid w:val="0"/>
        <w:spacing w:line="360" w:lineRule="auto"/>
        <w:jc w:val="center"/>
        <w:rPr>
          <w:rFonts w:hint="eastAsia" w:ascii="黑体" w:hAnsi="黑体" w:eastAsia="黑体" w:cs="黑体"/>
          <w:b w:val="0"/>
          <w:bCs/>
          <w:color w:val="auto"/>
          <w:spacing w:val="28"/>
          <w:sz w:val="52"/>
          <w:szCs w:val="48"/>
          <w:highlight w:val="none"/>
        </w:rPr>
      </w:pPr>
      <w:bookmarkStart w:id="0" w:name="_Toc205628625"/>
      <w:bookmarkStart w:id="1" w:name="_Toc158691765"/>
      <w:r>
        <w:rPr>
          <w:rFonts w:hint="eastAsia" w:ascii="黑体" w:hAnsi="黑体" w:eastAsia="黑体" w:cs="黑体"/>
          <w:b w:val="0"/>
          <w:bCs/>
          <w:color w:val="auto"/>
          <w:spacing w:val="28"/>
          <w:sz w:val="52"/>
          <w:szCs w:val="48"/>
          <w:highlight w:val="none"/>
          <w:lang w:eastAsia="zh-CN"/>
        </w:rPr>
        <w:t>江苏长江水务股份有限</w:t>
      </w:r>
      <w:r>
        <w:rPr>
          <w:rFonts w:hint="eastAsia" w:ascii="黑体" w:hAnsi="黑体" w:eastAsia="黑体" w:cs="黑体"/>
          <w:b w:val="0"/>
          <w:bCs/>
          <w:color w:val="auto"/>
          <w:spacing w:val="28"/>
          <w:sz w:val="52"/>
          <w:szCs w:val="48"/>
          <w:highlight w:val="none"/>
        </w:rPr>
        <w:t>公司</w:t>
      </w:r>
    </w:p>
    <w:p>
      <w:pPr>
        <w:adjustRightInd w:val="0"/>
        <w:snapToGrid w:val="0"/>
        <w:spacing w:line="360" w:lineRule="auto"/>
        <w:jc w:val="center"/>
        <w:rPr>
          <w:rFonts w:hint="eastAsia" w:ascii="宋体" w:hAnsi="宋体" w:eastAsia="宋体" w:cs="宋体"/>
          <w:b/>
          <w:color w:val="auto"/>
          <w:spacing w:val="28"/>
          <w:sz w:val="52"/>
          <w:szCs w:val="48"/>
          <w:highlight w:val="none"/>
          <w:lang w:val="en-US" w:eastAsia="zh-CN"/>
        </w:rPr>
      </w:pPr>
      <w:r>
        <w:rPr>
          <w:rFonts w:hint="eastAsia" w:ascii="黑体" w:hAnsi="黑体" w:eastAsia="黑体" w:cs="黑体"/>
          <w:b w:val="0"/>
          <w:bCs w:val="0"/>
          <w:color w:val="auto"/>
          <w:sz w:val="52"/>
          <w:szCs w:val="52"/>
          <w:highlight w:val="none"/>
          <w:lang w:val="en-US" w:eastAsia="zh-CN"/>
        </w:rPr>
        <w:t>数字式</w:t>
      </w:r>
      <w:r>
        <w:rPr>
          <w:rFonts w:hint="eastAsia" w:ascii="黑体" w:hAnsi="黑体" w:eastAsia="黑体" w:cs="黑体"/>
          <w:b w:val="0"/>
          <w:bCs w:val="0"/>
          <w:color w:val="auto"/>
          <w:spacing w:val="28"/>
          <w:sz w:val="52"/>
          <w:szCs w:val="48"/>
          <w:highlight w:val="none"/>
          <w:lang w:val="en-US" w:eastAsia="zh-CN"/>
        </w:rPr>
        <w:t>全电子汽车衡</w:t>
      </w:r>
    </w:p>
    <w:p>
      <w:pPr>
        <w:adjustRightInd w:val="0"/>
        <w:snapToGrid w:val="0"/>
        <w:spacing w:line="360" w:lineRule="auto"/>
        <w:jc w:val="center"/>
        <w:rPr>
          <w:rFonts w:hint="eastAsia" w:ascii="宋体" w:hAnsi="宋体" w:cs="宋体"/>
          <w:b/>
          <w:color w:val="auto"/>
          <w:spacing w:val="28"/>
          <w:sz w:val="52"/>
          <w:szCs w:val="48"/>
          <w:highlight w:val="none"/>
          <w:lang w:eastAsia="zh-CN"/>
        </w:rPr>
      </w:pPr>
    </w:p>
    <w:p>
      <w:pPr>
        <w:adjustRightInd w:val="0"/>
        <w:snapToGrid w:val="0"/>
        <w:spacing w:line="360" w:lineRule="auto"/>
        <w:jc w:val="center"/>
        <w:rPr>
          <w:rFonts w:hint="eastAsia" w:ascii="黑体" w:hAnsi="黑体" w:eastAsia="黑体" w:cs="黑体"/>
          <w:b w:val="0"/>
          <w:bCs/>
          <w:snapToGrid w:val="0"/>
          <w:color w:val="auto"/>
          <w:sz w:val="52"/>
          <w:szCs w:val="52"/>
          <w:highlight w:val="none"/>
        </w:rPr>
      </w:pPr>
      <w:r>
        <w:rPr>
          <w:rFonts w:hint="eastAsia" w:ascii="黑体" w:hAnsi="黑体" w:eastAsia="黑体" w:cs="黑体"/>
          <w:b w:val="0"/>
          <w:bCs/>
          <w:color w:val="auto"/>
          <w:spacing w:val="28"/>
          <w:sz w:val="52"/>
          <w:szCs w:val="48"/>
          <w:highlight w:val="none"/>
          <w:lang w:eastAsia="zh-CN"/>
        </w:rPr>
        <w:t>招标</w:t>
      </w:r>
      <w:r>
        <w:rPr>
          <w:rFonts w:hint="eastAsia" w:ascii="黑体" w:hAnsi="黑体" w:eastAsia="黑体" w:cs="黑体"/>
          <w:b w:val="0"/>
          <w:bCs/>
          <w:color w:val="auto"/>
          <w:spacing w:val="28"/>
          <w:sz w:val="52"/>
          <w:szCs w:val="48"/>
          <w:highlight w:val="none"/>
        </w:rPr>
        <w:t>文件</w:t>
      </w:r>
    </w:p>
    <w:p>
      <w:pPr>
        <w:adjustRightInd w:val="0"/>
        <w:snapToGrid w:val="0"/>
        <w:spacing w:line="360" w:lineRule="auto"/>
        <w:ind w:firstLine="1446" w:firstLineChars="200"/>
        <w:jc w:val="center"/>
        <w:rPr>
          <w:rFonts w:hint="eastAsia" w:ascii="仿宋_GB2312" w:hAnsi="宋体" w:eastAsia="仿宋_GB2312"/>
          <w:b/>
          <w:snapToGrid w:val="0"/>
          <w:color w:val="auto"/>
          <w:sz w:val="72"/>
          <w:highlight w:val="none"/>
        </w:rPr>
      </w:pPr>
    </w:p>
    <w:p>
      <w:pPr>
        <w:adjustRightInd w:val="0"/>
        <w:snapToGrid w:val="0"/>
        <w:spacing w:line="360" w:lineRule="auto"/>
        <w:ind w:firstLine="1446" w:firstLineChars="200"/>
        <w:jc w:val="center"/>
        <w:rPr>
          <w:rFonts w:hint="eastAsia" w:ascii="仿宋_GB2312" w:hAnsi="宋体" w:eastAsia="仿宋_GB2312"/>
          <w:b/>
          <w:snapToGrid w:val="0"/>
          <w:color w:val="auto"/>
          <w:sz w:val="72"/>
          <w:highlight w:val="none"/>
        </w:rPr>
      </w:pPr>
    </w:p>
    <w:p>
      <w:pPr>
        <w:adjustRightInd w:val="0"/>
        <w:snapToGrid w:val="0"/>
        <w:spacing w:line="360" w:lineRule="auto"/>
        <w:ind w:firstLine="1446" w:firstLineChars="200"/>
        <w:jc w:val="center"/>
        <w:rPr>
          <w:rFonts w:hint="eastAsia" w:ascii="仿宋_GB2312" w:hAnsi="宋体" w:eastAsia="仿宋_GB2312"/>
          <w:b/>
          <w:snapToGrid w:val="0"/>
          <w:color w:val="auto"/>
          <w:sz w:val="72"/>
          <w:highlight w:val="none"/>
        </w:rPr>
      </w:pPr>
    </w:p>
    <w:p>
      <w:pPr>
        <w:adjustRightInd w:val="0"/>
        <w:snapToGrid w:val="0"/>
        <w:spacing w:line="360" w:lineRule="auto"/>
        <w:ind w:firstLine="1446" w:firstLineChars="200"/>
        <w:jc w:val="center"/>
        <w:rPr>
          <w:rFonts w:hint="eastAsia" w:ascii="仿宋_GB2312" w:hAnsi="宋体" w:eastAsia="仿宋_GB2312"/>
          <w:b/>
          <w:snapToGrid w:val="0"/>
          <w:color w:val="auto"/>
          <w:sz w:val="72"/>
          <w:highlight w:val="none"/>
          <w:lang w:eastAsia="zh-CN"/>
        </w:rPr>
      </w:pPr>
    </w:p>
    <w:p>
      <w:pPr>
        <w:adjustRightInd w:val="0"/>
        <w:snapToGrid w:val="0"/>
        <w:spacing w:line="480" w:lineRule="auto"/>
        <w:ind w:firstLine="2551" w:firstLineChars="847"/>
        <w:rPr>
          <w:rFonts w:hint="eastAsia" w:ascii="宋体" w:hAnsi="宋体" w:eastAsia="宋体" w:cs="宋体"/>
          <w:b/>
          <w:bCs/>
          <w:snapToGrid w:val="0"/>
          <w:color w:val="auto"/>
          <w:sz w:val="28"/>
          <w:highlight w:val="none"/>
        </w:rPr>
      </w:pPr>
      <w:r>
        <w:rPr>
          <w:rFonts w:hint="eastAsia" w:ascii="宋体" w:hAnsi="宋体" w:eastAsia="宋体" w:cs="宋体"/>
          <w:b/>
          <w:bCs/>
          <w:snapToGrid w:val="0"/>
          <w:color w:val="auto"/>
          <w:sz w:val="30"/>
          <w:highlight w:val="none"/>
        </w:rPr>
        <w:t>招    标    人：</w:t>
      </w:r>
      <w:r>
        <w:rPr>
          <w:rFonts w:hint="eastAsia" w:ascii="宋体" w:hAnsi="宋体" w:eastAsia="宋体" w:cs="宋体"/>
          <w:b/>
          <w:bCs/>
          <w:snapToGrid w:val="0"/>
          <w:color w:val="auto"/>
          <w:sz w:val="30"/>
          <w:highlight w:val="none"/>
          <w:lang w:eastAsia="zh-CN"/>
        </w:rPr>
        <w:t>江苏长江水务股份有限</w:t>
      </w:r>
      <w:r>
        <w:rPr>
          <w:rFonts w:hint="eastAsia" w:ascii="宋体" w:hAnsi="宋体" w:eastAsia="宋体" w:cs="宋体"/>
          <w:b/>
          <w:bCs/>
          <w:snapToGrid w:val="0"/>
          <w:color w:val="auto"/>
          <w:sz w:val="30"/>
          <w:highlight w:val="none"/>
        </w:rPr>
        <w:t>公司</w:t>
      </w:r>
    </w:p>
    <w:p>
      <w:pPr>
        <w:spacing w:line="460" w:lineRule="exact"/>
        <w:jc w:val="center"/>
        <w:rPr>
          <w:rFonts w:hint="eastAsia" w:ascii="宋体" w:hAnsi="宋体" w:eastAsia="宋体" w:cs="宋体"/>
          <w:color w:val="auto"/>
          <w:sz w:val="30"/>
          <w:highlight w:val="none"/>
          <w:u w:val="single"/>
        </w:rPr>
      </w:pPr>
      <w:r>
        <w:rPr>
          <w:rFonts w:hint="eastAsia" w:ascii="宋体" w:hAnsi="宋体" w:eastAsia="宋体" w:cs="宋体"/>
          <w:b/>
          <w:bCs/>
          <w:snapToGrid w:val="0"/>
          <w:color w:val="auto"/>
          <w:sz w:val="30"/>
          <w:highlight w:val="none"/>
          <w:lang w:val="en-US" w:eastAsia="zh-CN"/>
        </w:rPr>
        <w:t xml:space="preserve">       </w:t>
      </w:r>
      <w:r>
        <w:rPr>
          <w:rFonts w:hint="eastAsia" w:ascii="宋体" w:hAnsi="宋体" w:eastAsia="宋体" w:cs="宋体"/>
          <w:b/>
          <w:bCs/>
          <w:snapToGrid w:val="0"/>
          <w:color w:val="auto"/>
          <w:sz w:val="30"/>
          <w:highlight w:val="none"/>
        </w:rPr>
        <w:t xml:space="preserve">发 </w:t>
      </w:r>
      <w:r>
        <w:rPr>
          <w:rFonts w:hint="eastAsia" w:ascii="宋体" w:hAnsi="宋体" w:eastAsia="宋体" w:cs="宋体"/>
          <w:b/>
          <w:bCs/>
          <w:snapToGrid w:val="0"/>
          <w:color w:val="auto"/>
          <w:sz w:val="30"/>
          <w:highlight w:val="none"/>
          <w:lang w:val="en-US" w:eastAsia="zh-CN"/>
        </w:rPr>
        <w:t xml:space="preserve"> </w:t>
      </w:r>
      <w:r>
        <w:rPr>
          <w:rFonts w:hint="eastAsia" w:ascii="宋体" w:hAnsi="宋体" w:eastAsia="宋体" w:cs="宋体"/>
          <w:b/>
          <w:bCs/>
          <w:snapToGrid w:val="0"/>
          <w:color w:val="auto"/>
          <w:sz w:val="30"/>
          <w:highlight w:val="none"/>
        </w:rPr>
        <w:t xml:space="preserve">放 </w:t>
      </w:r>
      <w:r>
        <w:rPr>
          <w:rFonts w:hint="eastAsia" w:ascii="宋体" w:hAnsi="宋体" w:eastAsia="宋体" w:cs="宋体"/>
          <w:b/>
          <w:bCs/>
          <w:snapToGrid w:val="0"/>
          <w:color w:val="auto"/>
          <w:sz w:val="30"/>
          <w:highlight w:val="none"/>
          <w:lang w:val="en-US" w:eastAsia="zh-CN"/>
        </w:rPr>
        <w:t xml:space="preserve"> </w:t>
      </w:r>
      <w:r>
        <w:rPr>
          <w:rFonts w:hint="eastAsia" w:ascii="宋体" w:hAnsi="宋体" w:eastAsia="宋体" w:cs="宋体"/>
          <w:b/>
          <w:bCs/>
          <w:snapToGrid w:val="0"/>
          <w:color w:val="auto"/>
          <w:sz w:val="30"/>
          <w:highlight w:val="none"/>
        </w:rPr>
        <w:t xml:space="preserve">日 </w:t>
      </w:r>
      <w:r>
        <w:rPr>
          <w:rFonts w:hint="eastAsia" w:ascii="宋体" w:hAnsi="宋体" w:eastAsia="宋体" w:cs="宋体"/>
          <w:b/>
          <w:bCs/>
          <w:snapToGrid w:val="0"/>
          <w:color w:val="auto"/>
          <w:sz w:val="30"/>
          <w:highlight w:val="none"/>
          <w:lang w:val="en-US" w:eastAsia="zh-CN"/>
        </w:rPr>
        <w:t xml:space="preserve"> </w:t>
      </w:r>
      <w:r>
        <w:rPr>
          <w:rFonts w:hint="eastAsia" w:ascii="宋体" w:hAnsi="宋体" w:eastAsia="宋体" w:cs="宋体"/>
          <w:b/>
          <w:bCs/>
          <w:snapToGrid w:val="0"/>
          <w:color w:val="auto"/>
          <w:sz w:val="30"/>
          <w:highlight w:val="none"/>
        </w:rPr>
        <w:t xml:space="preserve">期： </w:t>
      </w:r>
      <w:r>
        <w:rPr>
          <w:rFonts w:hint="eastAsia" w:ascii="宋体" w:hAnsi="宋体" w:eastAsia="宋体" w:cs="宋体"/>
          <w:b/>
          <w:bCs/>
          <w:snapToGrid w:val="0"/>
          <w:color w:val="auto"/>
          <w:sz w:val="30"/>
          <w:highlight w:val="none"/>
          <w:u w:val="single"/>
        </w:rPr>
        <w:t xml:space="preserve"> 20</w:t>
      </w:r>
      <w:r>
        <w:rPr>
          <w:rFonts w:hint="eastAsia" w:ascii="宋体" w:hAnsi="宋体" w:eastAsia="宋体" w:cs="宋体"/>
          <w:b/>
          <w:bCs/>
          <w:snapToGrid w:val="0"/>
          <w:color w:val="auto"/>
          <w:sz w:val="30"/>
          <w:highlight w:val="none"/>
          <w:u w:val="single"/>
          <w:lang w:val="en-US" w:eastAsia="zh-CN"/>
        </w:rPr>
        <w:t>2</w:t>
      </w:r>
      <w:r>
        <w:rPr>
          <w:rFonts w:hint="eastAsia" w:ascii="宋体" w:hAnsi="宋体" w:cs="宋体"/>
          <w:b/>
          <w:bCs/>
          <w:snapToGrid w:val="0"/>
          <w:color w:val="auto"/>
          <w:sz w:val="30"/>
          <w:highlight w:val="none"/>
          <w:u w:val="single"/>
          <w:lang w:val="en-US" w:eastAsia="zh-CN"/>
        </w:rPr>
        <w:t>1</w:t>
      </w:r>
      <w:r>
        <w:rPr>
          <w:rFonts w:hint="eastAsia" w:ascii="宋体" w:hAnsi="宋体" w:eastAsia="宋体" w:cs="宋体"/>
          <w:b/>
          <w:bCs/>
          <w:snapToGrid w:val="0"/>
          <w:color w:val="auto"/>
          <w:sz w:val="30"/>
          <w:highlight w:val="none"/>
        </w:rPr>
        <w:t>年</w:t>
      </w:r>
      <w:r>
        <w:rPr>
          <w:rFonts w:hint="eastAsia" w:ascii="宋体" w:hAnsi="宋体" w:eastAsia="宋体" w:cs="宋体"/>
          <w:b/>
          <w:bCs/>
          <w:snapToGrid w:val="0"/>
          <w:color w:val="auto"/>
          <w:sz w:val="30"/>
          <w:highlight w:val="none"/>
          <w:u w:val="single"/>
        </w:rPr>
        <w:t xml:space="preserve"> </w:t>
      </w:r>
      <w:r>
        <w:rPr>
          <w:rFonts w:hint="eastAsia" w:ascii="宋体" w:hAnsi="宋体" w:cs="宋体"/>
          <w:b/>
          <w:bCs/>
          <w:snapToGrid w:val="0"/>
          <w:color w:val="auto"/>
          <w:sz w:val="30"/>
          <w:highlight w:val="none"/>
          <w:u w:val="single"/>
          <w:lang w:val="en-US" w:eastAsia="zh-CN"/>
        </w:rPr>
        <w:t>11</w:t>
      </w:r>
      <w:r>
        <w:rPr>
          <w:rFonts w:hint="eastAsia" w:ascii="宋体" w:hAnsi="宋体" w:eastAsia="宋体" w:cs="宋体"/>
          <w:b/>
          <w:bCs/>
          <w:snapToGrid w:val="0"/>
          <w:color w:val="auto"/>
          <w:sz w:val="30"/>
          <w:highlight w:val="none"/>
          <w:u w:val="single"/>
        </w:rPr>
        <w:t xml:space="preserve"> </w:t>
      </w:r>
      <w:r>
        <w:rPr>
          <w:rFonts w:hint="eastAsia" w:ascii="宋体" w:hAnsi="宋体" w:eastAsia="宋体" w:cs="宋体"/>
          <w:b/>
          <w:bCs/>
          <w:snapToGrid w:val="0"/>
          <w:color w:val="auto"/>
          <w:sz w:val="30"/>
          <w:highlight w:val="none"/>
        </w:rPr>
        <w:t>月</w:t>
      </w:r>
      <w:r>
        <w:rPr>
          <w:rFonts w:hint="eastAsia" w:ascii="宋体" w:hAnsi="宋体" w:eastAsia="宋体" w:cs="宋体"/>
          <w:b/>
          <w:bCs/>
          <w:snapToGrid w:val="0"/>
          <w:color w:val="auto"/>
          <w:sz w:val="30"/>
          <w:highlight w:val="none"/>
          <w:u w:val="single"/>
        </w:rPr>
        <w:t xml:space="preserve">  </w:t>
      </w:r>
      <w:r>
        <w:rPr>
          <w:rFonts w:hint="eastAsia" w:ascii="宋体" w:hAnsi="宋体" w:cs="宋体"/>
          <w:b/>
          <w:bCs/>
          <w:snapToGrid w:val="0"/>
          <w:color w:val="auto"/>
          <w:sz w:val="30"/>
          <w:highlight w:val="none"/>
          <w:u w:val="single"/>
          <w:lang w:val="en-US" w:eastAsia="zh-CN"/>
        </w:rPr>
        <w:t>10</w:t>
      </w:r>
      <w:r>
        <w:rPr>
          <w:rFonts w:hint="eastAsia" w:ascii="宋体" w:hAnsi="宋体" w:eastAsia="宋体" w:cs="宋体"/>
          <w:b/>
          <w:bCs/>
          <w:snapToGrid w:val="0"/>
          <w:color w:val="auto"/>
          <w:sz w:val="30"/>
          <w:highlight w:val="none"/>
          <w:u w:val="single"/>
        </w:rPr>
        <w:t xml:space="preserve">  </w:t>
      </w:r>
      <w:r>
        <w:rPr>
          <w:rFonts w:hint="eastAsia" w:ascii="宋体" w:hAnsi="宋体" w:eastAsia="宋体" w:cs="宋体"/>
          <w:b/>
          <w:bCs/>
          <w:snapToGrid w:val="0"/>
          <w:color w:val="auto"/>
          <w:sz w:val="30"/>
          <w:highlight w:val="none"/>
        </w:rPr>
        <w:t>日</w:t>
      </w:r>
    </w:p>
    <w:p>
      <w:pPr>
        <w:spacing w:line="360" w:lineRule="auto"/>
        <w:outlineLvl w:val="0"/>
        <w:rPr>
          <w:rFonts w:hint="eastAsia" w:ascii="宋体" w:hAnsi="宋体" w:eastAsia="宋体" w:cs="宋体"/>
          <w:b/>
          <w:color w:val="auto"/>
          <w:sz w:val="36"/>
          <w:szCs w:val="36"/>
          <w:highlight w:val="none"/>
        </w:rPr>
      </w:pPr>
    </w:p>
    <w:p>
      <w:pPr>
        <w:spacing w:line="360" w:lineRule="auto"/>
        <w:jc w:val="center"/>
        <w:outlineLvl w:val="0"/>
        <w:rPr>
          <w:rFonts w:hint="eastAsia" w:ascii="宋体" w:hAnsi="宋体"/>
          <w:b/>
          <w:color w:val="auto"/>
          <w:sz w:val="36"/>
          <w:szCs w:val="36"/>
          <w:highlight w:val="none"/>
        </w:rPr>
      </w:pPr>
    </w:p>
    <w:p>
      <w:pPr>
        <w:spacing w:line="360" w:lineRule="auto"/>
        <w:jc w:val="center"/>
        <w:outlineLvl w:val="0"/>
        <w:rPr>
          <w:rFonts w:hint="eastAsia" w:ascii="宋体" w:hAnsi="宋体"/>
          <w:b/>
          <w:color w:val="auto"/>
          <w:sz w:val="36"/>
          <w:szCs w:val="36"/>
          <w:highlight w:val="none"/>
        </w:rPr>
      </w:pPr>
    </w:p>
    <w:p>
      <w:pPr>
        <w:spacing w:line="360" w:lineRule="auto"/>
        <w:jc w:val="center"/>
        <w:outlineLvl w:val="0"/>
        <w:rPr>
          <w:rFonts w:hint="eastAsia" w:ascii="宋体" w:hAnsi="宋体"/>
          <w:b/>
          <w:color w:val="auto"/>
          <w:sz w:val="36"/>
          <w:szCs w:val="36"/>
          <w:highlight w:val="none"/>
        </w:rPr>
      </w:pPr>
    </w:p>
    <w:p>
      <w:pPr>
        <w:spacing w:line="360" w:lineRule="auto"/>
        <w:jc w:val="center"/>
        <w:outlineLvl w:val="0"/>
        <w:rPr>
          <w:rFonts w:hint="eastAsia" w:ascii="宋体" w:hAnsi="宋体"/>
          <w:b/>
          <w:color w:val="auto"/>
          <w:sz w:val="36"/>
          <w:szCs w:val="36"/>
          <w:highlight w:val="none"/>
        </w:rPr>
      </w:pPr>
    </w:p>
    <w:p>
      <w:pPr>
        <w:spacing w:line="360" w:lineRule="auto"/>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t>前  附  表</w:t>
      </w:r>
    </w:p>
    <w:tbl>
      <w:tblPr>
        <w:tblStyle w:val="40"/>
        <w:tblW w:w="5128" w:type="pct"/>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
        <w:gridCol w:w="2393"/>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18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    目</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15" w:firstLineChars="1150"/>
              <w:rPr>
                <w:rFonts w:ascii="宋体" w:hAnsi="宋体"/>
                <w:color w:val="auto"/>
                <w:szCs w:val="21"/>
                <w:highlight w:val="none"/>
              </w:rPr>
            </w:pPr>
            <w:r>
              <w:rPr>
                <w:rFonts w:hint="eastAsia" w:ascii="宋体" w:hAnsi="宋体"/>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18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olor w:val="auto"/>
                <w:szCs w:val="21"/>
                <w:highlight w:val="none"/>
                <w:lang w:eastAsia="zh-CN"/>
              </w:rPr>
            </w:pPr>
            <w:r>
              <w:rPr>
                <w:rFonts w:hint="eastAsia" w:ascii="宋体" w:hAnsi="宋体"/>
                <w:color w:val="auto"/>
                <w:sz w:val="24"/>
                <w:highlight w:val="none"/>
                <w:lang w:eastAsia="zh-CN"/>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18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招标方式</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18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招标内容</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四台</w:t>
            </w:r>
            <w:r>
              <w:rPr>
                <w:rFonts w:hint="eastAsia" w:ascii="宋体" w:hAnsi="宋体"/>
                <w:b/>
                <w:bCs/>
                <w:color w:val="auto"/>
                <w:szCs w:val="21"/>
                <w:highlight w:val="none"/>
                <w:lang w:val="en-US" w:eastAsia="zh-CN"/>
              </w:rPr>
              <w:t>/</w:t>
            </w:r>
            <w:r>
              <w:rPr>
                <w:rFonts w:hint="eastAsia" w:ascii="宋体" w:hAnsi="宋体"/>
                <w:color w:val="auto"/>
                <w:szCs w:val="21"/>
                <w:highlight w:val="none"/>
                <w:lang w:val="en-US" w:eastAsia="zh-CN"/>
              </w:rPr>
              <w:t>套数字式全电子汽车衡采购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118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最高限价</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1"/>
                <w:szCs w:val="21"/>
                <w:highlight w:val="none"/>
                <w:lang w:val="en-US" w:eastAsia="zh-CN"/>
              </w:rPr>
              <w:t>单</w:t>
            </w:r>
            <w:r>
              <w:rPr>
                <w:rFonts w:hint="eastAsia" w:ascii="宋体" w:hAnsi="宋体"/>
                <w:color w:val="auto"/>
                <w:sz w:val="21"/>
                <w:szCs w:val="21"/>
                <w:highlight w:val="none"/>
                <w:lang w:val="en-US" w:eastAsia="zh-CN"/>
              </w:rPr>
              <w:t>台</w:t>
            </w:r>
            <w:r>
              <w:rPr>
                <w:rFonts w:hint="eastAsia" w:ascii="宋体" w:hAnsi="宋体"/>
                <w:b/>
                <w:bCs/>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套最高限价7万元，(四台</w:t>
            </w:r>
            <w:r>
              <w:rPr>
                <w:rFonts w:hint="eastAsia" w:ascii="宋体" w:hAnsi="宋体" w:cs="宋体"/>
                <w:b/>
                <w:bCs/>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套)合计最高限价28万元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18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交货期/供货期</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b/>
                <w:color w:val="auto"/>
                <w:szCs w:val="21"/>
                <w:highlight w:val="none"/>
                <w:lang w:val="en-US" w:eastAsia="zh-CN"/>
              </w:rPr>
            </w:pPr>
            <w:r>
              <w:rPr>
                <w:rFonts w:hint="eastAsia" w:ascii="宋体" w:hAnsi="宋体"/>
                <w:b/>
                <w:color w:val="auto"/>
                <w:szCs w:val="21"/>
                <w:highlight w:val="none"/>
                <w:lang w:eastAsia="zh-CN"/>
              </w:rPr>
              <w:t>合同签定后</w:t>
            </w:r>
            <w:r>
              <w:rPr>
                <w:rFonts w:hint="eastAsia" w:ascii="宋体" w:hAnsi="宋体"/>
                <w:b/>
                <w:color w:val="auto"/>
                <w:szCs w:val="21"/>
                <w:highlight w:val="none"/>
                <w:lang w:val="en-US" w:eastAsia="zh-CN"/>
              </w:rPr>
              <w:t xml:space="preserve"> </w:t>
            </w:r>
            <w:r>
              <w:rPr>
                <w:rFonts w:hint="eastAsia" w:ascii="宋体" w:hAnsi="宋体"/>
                <w:b/>
                <w:color w:val="auto"/>
                <w:sz w:val="21"/>
                <w:szCs w:val="21"/>
                <w:highlight w:val="none"/>
                <w:lang w:val="en-US" w:eastAsia="zh-CN"/>
              </w:rPr>
              <w:t>30</w:t>
            </w:r>
            <w:r>
              <w:rPr>
                <w:rFonts w:hint="eastAsia" w:ascii="宋体" w:hAnsi="宋体"/>
                <w:b/>
                <w:color w:val="auto"/>
                <w:szCs w:val="21"/>
                <w:highlight w:val="none"/>
                <w:lang w:eastAsia="zh-CN"/>
              </w:rPr>
              <w:t>天内安装调试完成</w:t>
            </w:r>
            <w:r>
              <w:rPr>
                <w:rFonts w:hint="eastAsia" w:ascii="宋体" w:hAnsi="宋体"/>
                <w:b/>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118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目的地</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江苏长江水务股份有限</w:t>
            </w:r>
            <w:r>
              <w:rPr>
                <w:rFonts w:hint="eastAsia" w:ascii="宋体" w:hAnsi="宋体"/>
                <w:color w:val="auto"/>
                <w:szCs w:val="21"/>
                <w:highlight w:val="none"/>
              </w:rPr>
              <w:t>公司</w:t>
            </w:r>
            <w:r>
              <w:rPr>
                <w:rFonts w:hint="eastAsia" w:ascii="宋体" w:hAnsi="宋体"/>
                <w:color w:val="auto"/>
                <w:szCs w:val="21"/>
                <w:highlight w:val="none"/>
                <w:lang w:eastAsia="zh-CN"/>
              </w:rPr>
              <w:t>第一、四、头桥、湖西水厂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118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采购单位</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lang w:eastAsia="zh-CN"/>
              </w:rPr>
              <w:t>江苏长江水务股份有限</w:t>
            </w:r>
            <w:r>
              <w:rPr>
                <w:rFonts w:hint="eastAsia" w:ascii="宋体" w:hAnsi="宋体"/>
                <w:color w:val="auto"/>
                <w:szCs w:val="21"/>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118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报价方式</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密封报价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18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报价</w:t>
            </w:r>
            <w:r>
              <w:rPr>
                <w:rFonts w:hint="eastAsia" w:ascii="宋体" w:hAnsi="宋体"/>
                <w:color w:val="auto"/>
                <w:szCs w:val="21"/>
                <w:highlight w:val="none"/>
              </w:rPr>
              <w:t>有效期</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auto"/>
                <w:szCs w:val="21"/>
                <w:highlight w:val="none"/>
              </w:rPr>
            </w:pPr>
            <w:r>
              <w:rPr>
                <w:rFonts w:hint="eastAsia" w:ascii="宋体" w:hAnsi="宋体"/>
                <w:color w:val="auto"/>
                <w:szCs w:val="21"/>
                <w:highlight w:val="none"/>
              </w:rPr>
              <w:t>从投标截止日起</w:t>
            </w:r>
            <w:r>
              <w:rPr>
                <w:rFonts w:hint="eastAsia" w:ascii="宋体" w:hAnsi="宋体"/>
                <w:color w:val="auto"/>
                <w:szCs w:val="21"/>
                <w:highlight w:val="none"/>
                <w:lang w:val="en-US" w:eastAsia="zh-CN"/>
              </w:rPr>
              <w:t>30</w:t>
            </w:r>
            <w:r>
              <w:rPr>
                <w:rFonts w:hint="eastAsia" w:ascii="宋体" w:hAnsi="宋体"/>
                <w:color w:val="auto"/>
                <w:szCs w:val="21"/>
                <w:highlight w:val="none"/>
              </w:rPr>
              <w:t>天内有效，如中标有效期延止合同终止。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18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投标截止时间</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lang w:val="en-US" w:eastAsia="zh-CN"/>
              </w:rPr>
              <w:t>21</w:t>
            </w:r>
            <w:r>
              <w:rPr>
                <w:rFonts w:hint="eastAsia" w:ascii="宋体" w:hAnsi="宋体"/>
                <w:color w:val="auto"/>
                <w:szCs w:val="21"/>
                <w:highlight w:val="none"/>
              </w:rPr>
              <w:t xml:space="preserve">年  </w:t>
            </w:r>
            <w:r>
              <w:rPr>
                <w:rFonts w:hint="eastAsia" w:ascii="宋体" w:hAnsi="宋体"/>
                <w:color w:val="auto"/>
                <w:szCs w:val="21"/>
                <w:highlight w:val="none"/>
                <w:lang w:val="en-US" w:eastAsia="zh-CN"/>
              </w:rPr>
              <w:t>11</w:t>
            </w:r>
            <w:r>
              <w:rPr>
                <w:rFonts w:hint="eastAsia" w:ascii="宋体" w:hAnsi="宋体"/>
                <w:color w:val="auto"/>
                <w:szCs w:val="21"/>
                <w:highlight w:val="none"/>
              </w:rPr>
              <w:t xml:space="preserve"> 月  </w:t>
            </w:r>
            <w:r>
              <w:rPr>
                <w:rFonts w:hint="eastAsia" w:ascii="宋体" w:hAnsi="宋体"/>
                <w:color w:val="auto"/>
                <w:szCs w:val="21"/>
                <w:highlight w:val="none"/>
                <w:lang w:val="en-US" w:eastAsia="zh-CN"/>
              </w:rPr>
              <w:t>16</w:t>
            </w:r>
            <w:r>
              <w:rPr>
                <w:rFonts w:hint="eastAsia" w:ascii="宋体" w:hAnsi="宋体"/>
                <w:color w:val="auto"/>
                <w:szCs w:val="21"/>
                <w:highlight w:val="none"/>
              </w:rPr>
              <w:t xml:space="preserve">  日</w:t>
            </w:r>
            <w:r>
              <w:rPr>
                <w:rFonts w:hint="eastAsia" w:ascii="宋体" w:hAnsi="宋体"/>
                <w:color w:val="auto"/>
                <w:szCs w:val="21"/>
                <w:highlight w:val="none"/>
                <w:lang w:eastAsia="zh-CN"/>
              </w:rPr>
              <w:t>上</w:t>
            </w:r>
            <w:r>
              <w:rPr>
                <w:rFonts w:hint="eastAsia" w:ascii="宋体" w:hAnsi="宋体"/>
                <w:color w:val="auto"/>
                <w:szCs w:val="21"/>
                <w:highlight w:val="none"/>
              </w:rPr>
              <w:t xml:space="preserve">午  </w:t>
            </w:r>
            <w:r>
              <w:rPr>
                <w:rFonts w:hint="eastAsia" w:ascii="宋体" w:hAnsi="宋体"/>
                <w:color w:val="auto"/>
                <w:szCs w:val="21"/>
                <w:highlight w:val="none"/>
                <w:lang w:val="en-US" w:eastAsia="zh-CN"/>
              </w:rPr>
              <w:t>9:00</w:t>
            </w:r>
            <w:r>
              <w:rPr>
                <w:rFonts w:hint="eastAsia" w:ascii="宋体" w:hAnsi="宋体"/>
                <w:color w:val="auto"/>
                <w:szCs w:val="21"/>
                <w:highlight w:val="none"/>
              </w:rPr>
              <w:t xml:space="preserve">  </w:t>
            </w:r>
            <w:r>
              <w:rPr>
                <w:rFonts w:hint="eastAsia" w:ascii="宋体" w:hAnsi="宋体" w:cs="宋体"/>
                <w:color w:val="auto"/>
                <w:kern w:val="0"/>
                <w:szCs w:val="21"/>
                <w:highlight w:val="none"/>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11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投标文件递交</w:t>
            </w:r>
          </w:p>
        </w:tc>
        <w:tc>
          <w:tcPr>
            <w:tcW w:w="3585" w:type="pct"/>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扬州市文汇东路249号  </w:t>
            </w:r>
            <w:r>
              <w:rPr>
                <w:rFonts w:hint="eastAsia" w:ascii="宋体" w:hAnsi="宋体"/>
                <w:color w:val="auto"/>
                <w:szCs w:val="21"/>
                <w:highlight w:val="none"/>
                <w:lang w:eastAsia="zh-CN"/>
              </w:rPr>
              <w:t>江苏长江水务股份有限</w:t>
            </w:r>
            <w:r>
              <w:rPr>
                <w:rFonts w:hint="eastAsia" w:ascii="宋体" w:hAnsi="宋体"/>
                <w:color w:val="auto"/>
                <w:szCs w:val="21"/>
                <w:highlight w:val="none"/>
              </w:rPr>
              <w:t>公司物资供应处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w:t>
            </w:r>
          </w:p>
        </w:tc>
        <w:tc>
          <w:tcPr>
            <w:tcW w:w="11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开标会</w:t>
            </w:r>
          </w:p>
        </w:tc>
        <w:tc>
          <w:tcPr>
            <w:tcW w:w="3585" w:type="pct"/>
            <w:tcBorders>
              <w:top w:val="single" w:color="auto" w:sz="4" w:space="0"/>
              <w:left w:val="single" w:color="auto" w:sz="4" w:space="0"/>
              <w:bottom w:val="single" w:color="auto" w:sz="4" w:space="0"/>
              <w:right w:val="single" w:color="auto" w:sz="8" w:space="0"/>
            </w:tcBorders>
            <w:noWrap w:val="0"/>
            <w:vAlign w:val="center"/>
          </w:tcPr>
          <w:p>
            <w:pPr>
              <w:spacing w:line="360" w:lineRule="auto"/>
              <w:ind w:left="700" w:hanging="700"/>
              <w:rPr>
                <w:rFonts w:hint="eastAsia"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lang w:val="en-US" w:eastAsia="zh-CN"/>
              </w:rPr>
              <w:t>21</w:t>
            </w:r>
            <w:r>
              <w:rPr>
                <w:rFonts w:hint="eastAsia" w:ascii="宋体" w:hAnsi="宋体"/>
                <w:color w:val="auto"/>
                <w:szCs w:val="21"/>
                <w:highlight w:val="none"/>
              </w:rPr>
              <w:t xml:space="preserve">年 </w:t>
            </w:r>
            <w:r>
              <w:rPr>
                <w:rFonts w:hint="eastAsia" w:ascii="宋体" w:hAnsi="宋体"/>
                <w:color w:val="auto"/>
                <w:szCs w:val="21"/>
                <w:highlight w:val="none"/>
                <w:lang w:val="en-US" w:eastAsia="zh-CN"/>
              </w:rPr>
              <w:t>11</w:t>
            </w:r>
            <w:r>
              <w:rPr>
                <w:rFonts w:hint="eastAsia" w:ascii="宋体" w:hAnsi="宋体"/>
                <w:color w:val="auto"/>
                <w:szCs w:val="21"/>
                <w:highlight w:val="none"/>
              </w:rPr>
              <w:t xml:space="preserve"> 月 </w:t>
            </w:r>
            <w:r>
              <w:rPr>
                <w:rFonts w:hint="eastAsia" w:ascii="宋体" w:hAnsi="宋体"/>
                <w:color w:val="auto"/>
                <w:szCs w:val="21"/>
                <w:highlight w:val="none"/>
                <w:lang w:val="en-US" w:eastAsia="zh-CN"/>
              </w:rPr>
              <w:t>16</w:t>
            </w:r>
            <w:r>
              <w:rPr>
                <w:rFonts w:hint="eastAsia" w:ascii="宋体" w:hAnsi="宋体"/>
                <w:color w:val="auto"/>
                <w:szCs w:val="21"/>
                <w:highlight w:val="none"/>
              </w:rPr>
              <w:t xml:space="preserve"> 日</w:t>
            </w:r>
            <w:r>
              <w:rPr>
                <w:rFonts w:hint="eastAsia" w:ascii="宋体" w:hAnsi="宋体"/>
                <w:color w:val="auto"/>
                <w:szCs w:val="21"/>
                <w:highlight w:val="none"/>
                <w:lang w:eastAsia="zh-CN"/>
              </w:rPr>
              <w:t>上</w:t>
            </w:r>
            <w:r>
              <w:rPr>
                <w:rFonts w:hint="eastAsia" w:ascii="宋体" w:hAnsi="宋体"/>
                <w:color w:val="auto"/>
                <w:szCs w:val="21"/>
                <w:highlight w:val="none"/>
              </w:rPr>
              <w:t xml:space="preserve">午  </w:t>
            </w:r>
            <w:r>
              <w:rPr>
                <w:rFonts w:hint="eastAsia" w:ascii="宋体" w:hAnsi="宋体"/>
                <w:color w:val="auto"/>
                <w:szCs w:val="21"/>
                <w:highlight w:val="none"/>
                <w:lang w:val="en-US" w:eastAsia="zh-CN"/>
              </w:rPr>
              <w:t>9:30</w:t>
            </w:r>
            <w:r>
              <w:rPr>
                <w:rFonts w:hint="eastAsia" w:ascii="宋体" w:hAnsi="宋体"/>
                <w:color w:val="auto"/>
                <w:szCs w:val="21"/>
                <w:highlight w:val="none"/>
              </w:rPr>
              <w:t xml:space="preserve">  </w:t>
            </w:r>
            <w:r>
              <w:rPr>
                <w:rFonts w:hint="eastAsia" w:ascii="宋体" w:hAnsi="宋体" w:cs="宋体"/>
                <w:color w:val="auto"/>
                <w:kern w:val="0"/>
                <w:szCs w:val="21"/>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3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11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标书装订及密封要求</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所有封袋上应写明招标人名称、设备名称和标段及投标人的名称。</w:t>
            </w:r>
          </w:p>
          <w:p>
            <w:pPr>
              <w:spacing w:line="360" w:lineRule="auto"/>
              <w:rPr>
                <w:rFonts w:ascii="宋体" w:hAnsi="宋体"/>
                <w:color w:val="auto"/>
                <w:szCs w:val="21"/>
                <w:highlight w:val="none"/>
              </w:rPr>
            </w:pPr>
            <w:r>
              <w:rPr>
                <w:rFonts w:hint="eastAsia" w:ascii="宋体" w:hAnsi="宋体"/>
                <w:color w:val="auto"/>
                <w:szCs w:val="21"/>
                <w:highlight w:val="none"/>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3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11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其他</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line="360" w:lineRule="auto"/>
              <w:rPr>
                <w:rFonts w:hint="eastAsia" w:ascii="宋体" w:hAnsi="宋体"/>
                <w:color w:val="auto"/>
                <w:szCs w:val="21"/>
                <w:highlight w:val="none"/>
              </w:rPr>
            </w:pPr>
            <w:r>
              <w:rPr>
                <w:rFonts w:hint="eastAsia" w:ascii="宋体" w:hAnsi="宋体"/>
                <w:color w:val="auto"/>
                <w:szCs w:val="21"/>
                <w:highlight w:val="none"/>
              </w:rPr>
              <w:t>下文中与“前附表”内容不一致的，以“前附表”为准；</w:t>
            </w:r>
          </w:p>
          <w:p>
            <w:pPr>
              <w:numPr>
                <w:ilvl w:val="0"/>
                <w:numId w:val="2"/>
              </w:numPr>
              <w:spacing w:line="360" w:lineRule="auto"/>
              <w:rPr>
                <w:rFonts w:hint="eastAsia" w:ascii="宋体" w:hAnsi="宋体"/>
                <w:color w:val="auto"/>
                <w:szCs w:val="21"/>
                <w:highlight w:val="none"/>
              </w:rPr>
            </w:pPr>
            <w:r>
              <w:rPr>
                <w:rFonts w:hint="eastAsia" w:ascii="宋体" w:hAnsi="宋体"/>
                <w:color w:val="auto"/>
                <w:szCs w:val="21"/>
                <w:highlight w:val="none"/>
              </w:rPr>
              <w:t>本招标文件的解释权属于</w:t>
            </w:r>
            <w:r>
              <w:rPr>
                <w:rFonts w:hint="eastAsia" w:ascii="宋体" w:hAnsi="宋体"/>
                <w:color w:val="auto"/>
                <w:szCs w:val="21"/>
                <w:highlight w:val="none"/>
                <w:lang w:eastAsia="zh-CN"/>
              </w:rPr>
              <w:t>江苏长江水务股份有限</w:t>
            </w:r>
            <w:r>
              <w:rPr>
                <w:rFonts w:hint="eastAsia" w:ascii="宋体" w:hAnsi="宋体"/>
                <w:color w:val="auto"/>
                <w:szCs w:val="21"/>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32"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118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联系方式</w:t>
            </w:r>
          </w:p>
        </w:tc>
        <w:tc>
          <w:tcPr>
            <w:tcW w:w="3585" w:type="pct"/>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rPr>
                <w:rFonts w:hint="eastAsia" w:ascii="宋体" w:hAnsi="宋体"/>
                <w:color w:val="auto"/>
                <w:szCs w:val="21"/>
                <w:highlight w:val="none"/>
              </w:rPr>
            </w:pPr>
            <w:r>
              <w:rPr>
                <w:rFonts w:hint="eastAsia" w:ascii="宋体" w:hAnsi="宋体"/>
                <w:color w:val="auto"/>
                <w:szCs w:val="21"/>
                <w:highlight w:val="none"/>
              </w:rPr>
              <w:t>招标人：</w:t>
            </w:r>
            <w:r>
              <w:rPr>
                <w:rFonts w:hint="eastAsia" w:ascii="宋体" w:hAnsi="宋体"/>
                <w:color w:val="auto"/>
                <w:szCs w:val="21"/>
                <w:highlight w:val="none"/>
                <w:lang w:eastAsia="zh-CN"/>
              </w:rPr>
              <w:t>江苏长江水务股份有限</w:t>
            </w:r>
            <w:r>
              <w:rPr>
                <w:rFonts w:hint="eastAsia" w:ascii="宋体" w:hAnsi="宋体"/>
                <w:color w:val="auto"/>
                <w:szCs w:val="21"/>
                <w:highlight w:val="none"/>
              </w:rPr>
              <w:t xml:space="preserve">公司 </w:t>
            </w:r>
          </w:p>
          <w:p>
            <w:pPr>
              <w:adjustRightInd w:val="0"/>
              <w:spacing w:line="360" w:lineRule="auto"/>
              <w:rPr>
                <w:rFonts w:hint="eastAsia" w:ascii="宋体" w:hAnsi="宋体"/>
                <w:color w:val="auto"/>
                <w:szCs w:val="21"/>
                <w:highlight w:val="none"/>
              </w:rPr>
            </w:pPr>
            <w:r>
              <w:rPr>
                <w:rFonts w:hint="eastAsia" w:ascii="宋体" w:hAnsi="宋体"/>
                <w:color w:val="auto"/>
                <w:szCs w:val="21"/>
                <w:highlight w:val="none"/>
              </w:rPr>
              <w:t>地  址：扬州市文汇东路249号</w:t>
            </w:r>
          </w:p>
          <w:p>
            <w:pPr>
              <w:adjustRightInd w:val="0"/>
              <w:spacing w:line="360" w:lineRule="auto"/>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lang w:val="en-US" w:eastAsia="zh-CN"/>
              </w:rPr>
              <w:t>0514-82980069</w:t>
            </w:r>
            <w:r>
              <w:rPr>
                <w:rFonts w:hint="eastAsia" w:ascii="宋体" w:hAnsi="宋体"/>
                <w:color w:val="auto"/>
                <w:szCs w:val="21"/>
                <w:highlight w:val="none"/>
              </w:rPr>
              <w:t xml:space="preserve"> </w:t>
            </w:r>
          </w:p>
          <w:p>
            <w:pPr>
              <w:adjustRightIn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王海涛</w:t>
            </w:r>
          </w:p>
        </w:tc>
      </w:tr>
    </w:tbl>
    <w:p>
      <w:pPr>
        <w:autoSpaceDE w:val="0"/>
        <w:autoSpaceDN w:val="0"/>
        <w:adjustRightInd w:val="0"/>
        <w:snapToGrid w:val="0"/>
        <w:spacing w:line="480" w:lineRule="exact"/>
        <w:ind w:firstLine="561"/>
        <w:rPr>
          <w:rFonts w:hint="eastAsia" w:ascii="宋体" w:hAnsi="宋体"/>
          <w:color w:val="auto"/>
          <w:szCs w:val="21"/>
          <w:highlight w:val="none"/>
        </w:rPr>
      </w:pPr>
    </w:p>
    <w:p>
      <w:pPr>
        <w:autoSpaceDE w:val="0"/>
        <w:autoSpaceDN w:val="0"/>
        <w:adjustRightInd w:val="0"/>
        <w:snapToGrid w:val="0"/>
        <w:spacing w:line="480" w:lineRule="exact"/>
        <w:ind w:firstLine="561"/>
        <w:rPr>
          <w:rFonts w:hint="eastAsia" w:ascii="宋体" w:hAnsi="宋体"/>
          <w:color w:val="auto"/>
          <w:szCs w:val="21"/>
          <w:highlight w:val="none"/>
        </w:rPr>
      </w:pPr>
    </w:p>
    <w:p>
      <w:pPr>
        <w:spacing w:line="360" w:lineRule="auto"/>
        <w:jc w:val="center"/>
        <w:rPr>
          <w:rFonts w:ascii="宋体" w:hAnsi="宋体"/>
          <w:b/>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ascii="宋体" w:hAnsi="宋体"/>
          <w:b/>
          <w:color w:val="auto"/>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一、总    则</w:t>
      </w:r>
    </w:p>
    <w:bookmarkEnd w:id="0"/>
    <w:bookmarkEnd w:id="1"/>
    <w:p>
      <w:pPr>
        <w:keepNext w:val="0"/>
        <w:keepLines w:val="0"/>
        <w:pageBreakBefore w:val="0"/>
        <w:kinsoku/>
        <w:wordWrap/>
        <w:overflowPunct/>
        <w:topLinePunct w:val="0"/>
        <w:autoSpaceDE/>
        <w:autoSpaceDN/>
        <w:bidi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rPr>
        <w:t>一、项目简要说明：</w:t>
      </w:r>
      <w:r>
        <w:rPr>
          <w:rFonts w:hint="eastAsia" w:ascii="宋体" w:hAnsi="宋体" w:eastAsia="宋体" w:cs="宋体"/>
          <w:b/>
          <w:bCs/>
          <w:color w:val="auto"/>
          <w:kern w:val="0"/>
          <w:sz w:val="24"/>
          <w:szCs w:val="24"/>
          <w:highlight w:val="none"/>
        </w:rPr>
        <w:br w:type="textWrapping"/>
      </w: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sz w:val="24"/>
          <w:szCs w:val="24"/>
          <w:highlight w:val="none"/>
        </w:rPr>
        <w:t>1、招标项目概况</w:t>
      </w:r>
    </w:p>
    <w:p>
      <w:pPr>
        <w:keepNext w:val="0"/>
        <w:keepLines w:val="0"/>
        <w:pageBreakBefore w:val="0"/>
        <w:kinsoku/>
        <w:wordWrap/>
        <w:overflowPunct/>
        <w:topLinePunct w:val="0"/>
        <w:autoSpaceDE/>
        <w:autoSpaceDN/>
        <w:bidi w:val="0"/>
        <w:spacing w:line="48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b w:val="0"/>
          <w:bCs w:val="0"/>
          <w:color w:val="auto"/>
          <w:sz w:val="24"/>
          <w:szCs w:val="24"/>
          <w:highlight w:val="none"/>
        </w:rPr>
        <w:t>江苏长江水务股份有限公司</w:t>
      </w:r>
      <w:r>
        <w:rPr>
          <w:rFonts w:hint="eastAsia" w:ascii="宋体" w:hAnsi="宋体" w:eastAsia="宋体" w:cs="宋体"/>
          <w:b w:val="0"/>
          <w:bCs w:val="0"/>
          <w:color w:val="auto"/>
          <w:sz w:val="24"/>
          <w:szCs w:val="24"/>
          <w:highlight w:val="none"/>
          <w:lang w:eastAsia="zh-CN"/>
        </w:rPr>
        <w:t>就下属</w:t>
      </w:r>
      <w:r>
        <w:rPr>
          <w:rFonts w:hint="eastAsia" w:ascii="宋体" w:hAnsi="宋体" w:eastAsia="宋体" w:cs="宋体"/>
          <w:color w:val="auto"/>
          <w:sz w:val="24"/>
          <w:szCs w:val="24"/>
          <w:highlight w:val="none"/>
          <w:lang w:eastAsia="zh-CN"/>
        </w:rPr>
        <w:t>第一、四、湖西水厂</w:t>
      </w:r>
      <w:r>
        <w:rPr>
          <w:rFonts w:hint="eastAsia" w:ascii="宋体" w:hAnsi="宋体" w:cs="宋体"/>
          <w:b/>
          <w:bCs/>
          <w:color w:val="auto"/>
          <w:sz w:val="24"/>
          <w:szCs w:val="24"/>
          <w:highlight w:val="none"/>
          <w:lang w:val="en-US" w:eastAsia="zh-CN"/>
        </w:rPr>
        <w:t>单引桥数字式可移动</w:t>
      </w:r>
      <w:r>
        <w:rPr>
          <w:rFonts w:hint="eastAsia" w:ascii="宋体" w:hAnsi="宋体" w:eastAsia="宋体" w:cs="宋体"/>
          <w:color w:val="auto"/>
          <w:sz w:val="24"/>
          <w:szCs w:val="24"/>
          <w:highlight w:val="none"/>
          <w:lang w:val="en-US" w:eastAsia="zh-CN"/>
        </w:rPr>
        <w:t>全电子汽车衡</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头桥</w:t>
      </w:r>
      <w:r>
        <w:rPr>
          <w:rFonts w:hint="eastAsia" w:ascii="宋体" w:hAnsi="宋体" w:cs="宋体"/>
          <w:color w:val="auto"/>
          <w:sz w:val="24"/>
          <w:szCs w:val="24"/>
          <w:highlight w:val="none"/>
          <w:lang w:eastAsia="zh-CN"/>
        </w:rPr>
        <w:t>水厂</w:t>
      </w:r>
      <w:r>
        <w:rPr>
          <w:rFonts w:hint="eastAsia" w:ascii="宋体" w:hAnsi="宋体" w:cs="宋体"/>
          <w:b/>
          <w:bCs/>
          <w:color w:val="auto"/>
          <w:sz w:val="24"/>
          <w:szCs w:val="24"/>
          <w:highlight w:val="none"/>
          <w:lang w:val="en-US" w:eastAsia="zh-CN"/>
        </w:rPr>
        <w:t>双引桥</w:t>
      </w:r>
      <w:r>
        <w:rPr>
          <w:rFonts w:hint="eastAsia" w:ascii="宋体" w:hAnsi="宋体" w:eastAsia="宋体" w:cs="宋体"/>
          <w:color w:val="auto"/>
          <w:sz w:val="24"/>
          <w:szCs w:val="24"/>
          <w:highlight w:val="none"/>
          <w:lang w:val="en-US" w:eastAsia="zh-CN"/>
        </w:rPr>
        <w:t>数字式</w:t>
      </w:r>
      <w:r>
        <w:rPr>
          <w:rFonts w:hint="eastAsia" w:ascii="宋体" w:hAnsi="宋体" w:cs="宋体"/>
          <w:color w:val="auto"/>
          <w:sz w:val="24"/>
          <w:szCs w:val="24"/>
          <w:highlight w:val="none"/>
          <w:lang w:val="en-US" w:eastAsia="zh-CN"/>
        </w:rPr>
        <w:t>可移动</w:t>
      </w:r>
      <w:r>
        <w:rPr>
          <w:rFonts w:hint="eastAsia" w:ascii="宋体" w:hAnsi="宋体" w:eastAsia="宋体" w:cs="宋体"/>
          <w:color w:val="auto"/>
          <w:sz w:val="24"/>
          <w:szCs w:val="24"/>
          <w:highlight w:val="none"/>
          <w:lang w:val="en-US" w:eastAsia="zh-CN"/>
        </w:rPr>
        <w:t>全电子汽车衡</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eastAsia="zh-CN"/>
        </w:rPr>
        <w:t>所有投标单位的报价均为完成安装调试并通过联合验收合格后的价格。现</w:t>
      </w:r>
      <w:r>
        <w:rPr>
          <w:rFonts w:hint="eastAsia" w:ascii="宋体" w:hAnsi="宋体" w:eastAsia="宋体" w:cs="宋体"/>
          <w:color w:val="auto"/>
          <w:sz w:val="24"/>
          <w:szCs w:val="24"/>
          <w:highlight w:val="none"/>
        </w:rPr>
        <w:t>本项目已具备招标条件，现</w:t>
      </w:r>
      <w:r>
        <w:rPr>
          <w:rFonts w:hint="eastAsia" w:ascii="宋体" w:hAnsi="宋体" w:eastAsia="宋体" w:cs="宋体"/>
          <w:color w:val="auto"/>
          <w:sz w:val="24"/>
          <w:szCs w:val="24"/>
          <w:highlight w:val="none"/>
          <w:lang w:eastAsia="zh-CN"/>
        </w:rPr>
        <w:t>对上述货物</w:t>
      </w:r>
      <w:r>
        <w:rPr>
          <w:rFonts w:hint="eastAsia" w:ascii="宋体" w:hAnsi="宋体" w:eastAsia="宋体" w:cs="宋体"/>
          <w:color w:val="auto"/>
          <w:sz w:val="24"/>
          <w:szCs w:val="24"/>
          <w:highlight w:val="none"/>
        </w:rPr>
        <w:t>进行招标采购。</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2、投标费用</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2.1投标人应承担其编制投标文件与递交投标文件所涉及的一切费用。不管投标结果如何，招标人对上述费用不负任何责任。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3、保密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color w:val="auto"/>
          <w:sz w:val="24"/>
          <w:szCs w:val="24"/>
          <w:highlight w:val="none"/>
        </w:rPr>
        <w:t>投标须知：</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1、本次招标的合格投标人应同时满足下列资格要求：</w:t>
      </w:r>
    </w:p>
    <w:p>
      <w:pPr>
        <w:keepNext w:val="0"/>
        <w:keepLines w:val="0"/>
        <w:pageBreakBefore w:val="0"/>
        <w:widowControl w:val="0"/>
        <w:kinsoku/>
        <w:wordWrap/>
        <w:overflowPunct/>
        <w:topLinePunct w:val="0"/>
        <w:bidi w:val="0"/>
        <w:spacing w:line="480" w:lineRule="exact"/>
        <w:ind w:firstLine="600" w:firstLineChars="25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投标人必须是中华人民共和国境内注册的企业法人，应遵守中国有关的法律、法规，严格执行国家标准</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）具有独立法人资格，招标内容在其营业执照的经营范围内，提供营业执照（副本）；如代理商投标，必须提供投标产品制造商授权委托书。（提供营业执照复印件加盖公章授权委托书原件）。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代理人须</w:t>
      </w:r>
      <w:r>
        <w:rPr>
          <w:rFonts w:hint="eastAsia" w:ascii="宋体" w:hAnsi="宋体" w:eastAsia="宋体" w:cs="宋体"/>
          <w:color w:val="auto"/>
          <w:sz w:val="24"/>
          <w:szCs w:val="24"/>
          <w:highlight w:val="none"/>
        </w:rPr>
        <w:t>提供投标人法定代表人授权委托书。（</w:t>
      </w:r>
      <w:r>
        <w:rPr>
          <w:rFonts w:hint="eastAsia" w:ascii="宋体" w:hAnsi="宋体" w:eastAsia="宋体" w:cs="宋体"/>
          <w:color w:val="auto"/>
          <w:sz w:val="24"/>
          <w:szCs w:val="24"/>
          <w:highlight w:val="none"/>
          <w:lang w:eastAsia="zh-CN"/>
        </w:rPr>
        <w:t>复印件加盖公章，原件</w:t>
      </w:r>
      <w:r>
        <w:rPr>
          <w:rFonts w:hint="eastAsia" w:ascii="宋体" w:hAnsi="宋体" w:cs="宋体"/>
          <w:color w:val="auto"/>
          <w:sz w:val="24"/>
          <w:szCs w:val="24"/>
          <w:highlight w:val="none"/>
          <w:lang w:eastAsia="zh-CN"/>
        </w:rPr>
        <w:t>备查</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）设备制造的相关资质证明文件，包括</w:t>
      </w:r>
      <w:r>
        <w:rPr>
          <w:rFonts w:hint="eastAsia" w:ascii="宋体" w:hAnsi="宋体" w:cs="宋体"/>
          <w:color w:val="auto"/>
          <w:sz w:val="24"/>
          <w:szCs w:val="24"/>
          <w:highlight w:val="none"/>
          <w:lang w:eastAsia="zh-CN"/>
        </w:rPr>
        <w:t>营业执照、</w:t>
      </w:r>
      <w:r>
        <w:rPr>
          <w:rFonts w:hint="eastAsia" w:ascii="宋体" w:hAnsi="宋体" w:eastAsia="宋体" w:cs="宋体"/>
          <w:color w:val="auto"/>
          <w:sz w:val="24"/>
          <w:szCs w:val="24"/>
          <w:highlight w:val="none"/>
        </w:rPr>
        <w:t>生产许可证、产品质量检验报告等。（复印件加盖制造商公章</w:t>
      </w:r>
      <w:r>
        <w:rPr>
          <w:rFonts w:hint="eastAsia" w:ascii="宋体" w:hAnsi="宋体" w:eastAsia="宋体" w:cs="宋体"/>
          <w:color w:val="auto"/>
          <w:sz w:val="24"/>
          <w:szCs w:val="24"/>
          <w:highlight w:val="none"/>
          <w:lang w:eastAsia="zh-CN"/>
        </w:rPr>
        <w:t>，原件</w:t>
      </w:r>
      <w:r>
        <w:rPr>
          <w:rFonts w:hint="eastAsia" w:ascii="宋体" w:hAnsi="宋体" w:cs="宋体"/>
          <w:color w:val="auto"/>
          <w:sz w:val="24"/>
          <w:szCs w:val="24"/>
          <w:highlight w:val="none"/>
          <w:lang w:eastAsia="zh-CN"/>
        </w:rPr>
        <w:t>备查</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rPr>
        <w:t>设备制造商</w:t>
      </w:r>
      <w:r>
        <w:rPr>
          <w:rFonts w:hint="eastAsia" w:ascii="宋体" w:hAnsi="宋体" w:eastAsia="宋体" w:cs="宋体"/>
          <w:color w:val="auto"/>
          <w:sz w:val="24"/>
          <w:szCs w:val="24"/>
          <w:highlight w:val="none"/>
          <w:lang w:eastAsia="zh-CN"/>
        </w:rPr>
        <w:t>中华人民共和国计量器具型式批准证书。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复印件加盖公章，原件</w:t>
      </w:r>
      <w:r>
        <w:rPr>
          <w:rFonts w:hint="eastAsia" w:ascii="宋体" w:hAnsi="宋体" w:cs="宋体"/>
          <w:color w:val="auto"/>
          <w:sz w:val="24"/>
          <w:szCs w:val="24"/>
          <w:highlight w:val="none"/>
          <w:lang w:eastAsia="zh-CN"/>
        </w:rPr>
        <w:t>备查</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6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须提供</w:t>
      </w:r>
      <w:r>
        <w:rPr>
          <w:rFonts w:hint="eastAsia" w:ascii="宋体" w:hAnsi="宋体" w:eastAsia="宋体" w:cs="宋体"/>
          <w:color w:val="auto"/>
          <w:sz w:val="24"/>
          <w:szCs w:val="24"/>
          <w:highlight w:val="none"/>
        </w:rPr>
        <w:t>设备制造商</w:t>
      </w:r>
      <w:r>
        <w:rPr>
          <w:rFonts w:hint="eastAsia" w:ascii="宋体" w:hAnsi="宋体" w:eastAsia="宋体" w:cs="宋体"/>
          <w:color w:val="auto"/>
          <w:sz w:val="24"/>
          <w:szCs w:val="24"/>
          <w:highlight w:val="none"/>
          <w:lang w:eastAsia="zh-CN"/>
        </w:rPr>
        <w:t>中华人民共和国制造计量器具许可证。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复印件加盖公章，原件</w:t>
      </w:r>
      <w:r>
        <w:rPr>
          <w:rFonts w:hint="eastAsia" w:ascii="宋体" w:hAnsi="宋体" w:cs="宋体"/>
          <w:color w:val="auto"/>
          <w:sz w:val="24"/>
          <w:szCs w:val="24"/>
          <w:highlight w:val="none"/>
          <w:lang w:eastAsia="zh-CN"/>
        </w:rPr>
        <w:t>备查</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6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）投标人企业财务和经营状况良好，具备履行合同能力，近三年内无不良经营行为，提供20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年度财务审计报告。（</w:t>
      </w:r>
      <w:r>
        <w:rPr>
          <w:rFonts w:hint="eastAsia" w:ascii="宋体" w:hAnsi="宋体" w:eastAsia="宋体" w:cs="宋体"/>
          <w:color w:val="auto"/>
          <w:sz w:val="24"/>
          <w:szCs w:val="24"/>
          <w:highlight w:val="none"/>
          <w:lang w:eastAsia="zh-CN"/>
        </w:rPr>
        <w:t>复印件加盖公章，原件</w:t>
      </w:r>
      <w:r>
        <w:rPr>
          <w:rFonts w:hint="eastAsia" w:ascii="宋体" w:hAnsi="宋体" w:cs="宋体"/>
          <w:color w:val="auto"/>
          <w:sz w:val="24"/>
          <w:szCs w:val="24"/>
          <w:highlight w:val="none"/>
          <w:lang w:eastAsia="zh-CN"/>
        </w:rPr>
        <w:t>备查</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3" w:firstLineChars="267"/>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注：以上</w:t>
      </w:r>
      <w:r>
        <w:rPr>
          <w:rFonts w:hint="eastAsia" w:ascii="宋体" w:hAnsi="宋体" w:cs="宋体"/>
          <w:b/>
          <w:bCs/>
          <w:color w:val="auto"/>
          <w:sz w:val="24"/>
          <w:szCs w:val="24"/>
          <w:highlight w:val="none"/>
          <w:lang w:eastAsia="zh-CN"/>
        </w:rPr>
        <w:t>资料</w:t>
      </w:r>
      <w:r>
        <w:rPr>
          <w:rFonts w:hint="eastAsia" w:ascii="宋体" w:hAnsi="宋体" w:eastAsia="宋体" w:cs="宋体"/>
          <w:b/>
          <w:bCs/>
          <w:color w:val="auto"/>
          <w:sz w:val="24"/>
          <w:szCs w:val="24"/>
          <w:highlight w:val="none"/>
          <w:lang w:eastAsia="zh-CN"/>
        </w:rPr>
        <w:t>要求为必须项，</w:t>
      </w:r>
      <w:r>
        <w:rPr>
          <w:rFonts w:hint="eastAsia" w:ascii="宋体" w:hAnsi="宋体" w:cs="宋体"/>
          <w:b/>
          <w:bCs/>
          <w:color w:val="auto"/>
          <w:sz w:val="24"/>
          <w:szCs w:val="24"/>
          <w:highlight w:val="none"/>
          <w:lang w:eastAsia="zh-CN"/>
        </w:rPr>
        <w:t>如有缺失</w:t>
      </w:r>
      <w:r>
        <w:rPr>
          <w:rFonts w:hint="eastAsia" w:ascii="宋体" w:hAnsi="宋体" w:eastAsia="宋体" w:cs="宋体"/>
          <w:b/>
          <w:bCs/>
          <w:color w:val="auto"/>
          <w:sz w:val="24"/>
          <w:szCs w:val="24"/>
          <w:highlight w:val="none"/>
          <w:lang w:eastAsia="zh-CN"/>
        </w:rPr>
        <w:t>则视为无效投标。</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67"/>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、投标单位应根据</w:t>
      </w:r>
      <w:r>
        <w:rPr>
          <w:rFonts w:hint="eastAsia" w:ascii="宋体" w:hAnsi="宋体" w:eastAsia="宋体" w:cs="宋体"/>
          <w:color w:val="auto"/>
          <w:sz w:val="24"/>
          <w:szCs w:val="24"/>
          <w:highlight w:val="none"/>
          <w:lang w:eastAsia="zh-CN"/>
        </w:rPr>
        <w:t>开标一览表要求</w:t>
      </w:r>
      <w:r>
        <w:rPr>
          <w:rFonts w:hint="eastAsia" w:ascii="宋体" w:hAnsi="宋体" w:eastAsia="宋体" w:cs="宋体"/>
          <w:color w:val="auto"/>
          <w:sz w:val="24"/>
          <w:szCs w:val="24"/>
          <w:highlight w:val="none"/>
        </w:rPr>
        <w:t>报</w:t>
      </w:r>
      <w:r>
        <w:rPr>
          <w:rFonts w:hint="eastAsia" w:ascii="宋体" w:hAnsi="宋体" w:eastAsia="宋体" w:cs="宋体"/>
          <w:color w:val="auto"/>
          <w:sz w:val="24"/>
          <w:szCs w:val="24"/>
          <w:highlight w:val="none"/>
          <w:lang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和总价，单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和总价均不得超过最高限价，如超过则视为无效投标处理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所有投标文件中的报价应均</w:t>
      </w:r>
      <w:r>
        <w:rPr>
          <w:rFonts w:hint="eastAsia" w:ascii="宋体" w:hAnsi="宋体" w:eastAsia="宋体" w:cs="宋体"/>
          <w:color w:val="auto"/>
          <w:sz w:val="24"/>
          <w:szCs w:val="24"/>
          <w:highlight w:val="none"/>
        </w:rPr>
        <w:t>为材料送达招标方指定地点</w:t>
      </w:r>
      <w:r>
        <w:rPr>
          <w:rFonts w:hint="eastAsia" w:ascii="宋体" w:hAnsi="宋体" w:eastAsia="宋体" w:cs="宋体"/>
          <w:color w:val="auto"/>
          <w:sz w:val="24"/>
          <w:szCs w:val="24"/>
          <w:highlight w:val="none"/>
          <w:lang w:eastAsia="zh-CN"/>
        </w:rPr>
        <w:t>并安装、调试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验收合格</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的价格。</w:t>
      </w:r>
      <w:r>
        <w:rPr>
          <w:rFonts w:hint="eastAsia" w:ascii="宋体" w:hAnsi="宋体" w:cs="宋体"/>
          <w:color w:val="auto"/>
          <w:sz w:val="24"/>
          <w:szCs w:val="24"/>
          <w:highlight w:val="none"/>
          <w:lang w:val="en-US" w:eastAsia="zh-CN"/>
        </w:rPr>
        <w:t>投标文件中应包含备品备件的详细清单及报价。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对于其它没有列入</w:t>
      </w:r>
      <w:r>
        <w:rPr>
          <w:rFonts w:hint="eastAsia" w:ascii="宋体" w:hAnsi="宋体" w:eastAsia="宋体" w:cs="宋体"/>
          <w:color w:val="auto"/>
          <w:sz w:val="24"/>
          <w:szCs w:val="24"/>
          <w:highlight w:val="none"/>
          <w:lang w:eastAsia="zh-CN"/>
        </w:rPr>
        <w:t>招标文件中</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、但本项目</w:t>
      </w:r>
      <w:r>
        <w:rPr>
          <w:rFonts w:hint="eastAsia" w:ascii="宋体" w:hAnsi="宋体" w:eastAsia="宋体" w:cs="宋体"/>
          <w:color w:val="auto"/>
          <w:sz w:val="24"/>
          <w:szCs w:val="24"/>
          <w:highlight w:val="none"/>
        </w:rPr>
        <w:t>必需</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文件和资料，</w:t>
      </w:r>
      <w:r>
        <w:rPr>
          <w:rFonts w:hint="eastAsia" w:ascii="宋体" w:hAnsi="宋体" w:eastAsia="宋体" w:cs="宋体"/>
          <w:color w:val="auto"/>
          <w:sz w:val="24"/>
          <w:szCs w:val="24"/>
          <w:highlight w:val="none"/>
          <w:lang w:eastAsia="zh-CN"/>
        </w:rPr>
        <w:t>投标单位应自动补齐。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本次招标不接受联合体投标。</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、投标文件正本</w:t>
      </w:r>
      <w:r>
        <w:rPr>
          <w:rFonts w:hint="eastAsia" w:ascii="宋体" w:hAnsi="宋体" w:cs="宋体"/>
          <w:color w:val="auto"/>
          <w:sz w:val="24"/>
          <w:szCs w:val="24"/>
          <w:highlight w:val="none"/>
          <w:lang w:val="en-US" w:eastAsia="zh-CN"/>
        </w:rPr>
        <w:t>一份</w:t>
      </w:r>
      <w:r>
        <w:rPr>
          <w:rFonts w:hint="eastAsia" w:ascii="宋体" w:hAnsi="宋体" w:eastAsia="宋体" w:cs="宋体"/>
          <w:color w:val="auto"/>
          <w:sz w:val="24"/>
          <w:szCs w:val="24"/>
          <w:highlight w:val="none"/>
        </w:rPr>
        <w:t>、副本</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份，正本必须用不能擦去的墨水书写或打印，副本可以复印。正本、副本都应装订成册，并在封面上正确标明“正本”、“副本”字样，正、副本不一致时，以正本为准。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、包装要求：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所有包装必须经得起陆上,水上的运输，卖方应对包装的所供货物负责，使其到达目的地后完整无缺，卖方负责提供所有的包装（注明免费）。</w:t>
      </w:r>
    </w:p>
    <w:p>
      <w:pPr>
        <w:keepNext w:val="0"/>
        <w:keepLines w:val="0"/>
        <w:pageBreakBefore w:val="0"/>
        <w:kinsoku/>
        <w:wordWrap/>
        <w:overflowPunct/>
        <w:topLinePunct w:val="0"/>
        <w:autoSpaceDE/>
        <w:autoSpaceDN/>
        <w:bidi w:val="0"/>
        <w:spacing w:line="48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kern w:val="0"/>
          <w:sz w:val="24"/>
          <w:szCs w:val="24"/>
          <w:highlight w:val="none"/>
          <w:lang w:eastAsia="zh-CN"/>
        </w:rPr>
        <w:t>具体技术参数、施工及相关服务要求</w:t>
      </w:r>
      <w:r>
        <w:rPr>
          <w:rFonts w:hint="eastAsia" w:ascii="宋体" w:hAnsi="宋体" w:eastAsia="宋体" w:cs="宋体"/>
          <w:b/>
          <w:bCs/>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设备基本参数</w:t>
      </w:r>
    </w:p>
    <w:p>
      <w:pPr>
        <w:keepNext w:val="0"/>
        <w:keepLines w:val="0"/>
        <w:pageBreakBefore w:val="0"/>
        <w:tabs>
          <w:tab w:val="left" w:pos="2310"/>
          <w:tab w:val="left" w:pos="3780"/>
        </w:tabs>
        <w:kinsoku/>
        <w:wordWrap/>
        <w:topLinePunct w:val="0"/>
        <w:bidi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移动式</w:t>
      </w:r>
      <w:r>
        <w:rPr>
          <w:rFonts w:hint="eastAsia" w:ascii="宋体" w:hAnsi="宋体" w:eastAsia="宋体" w:cs="宋体"/>
          <w:b/>
          <w:color w:val="auto"/>
          <w:sz w:val="24"/>
          <w:szCs w:val="24"/>
          <w:highlight w:val="none"/>
        </w:rPr>
        <w:t>电子数字汽车衡</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规格型号： </w:t>
      </w:r>
      <w:r>
        <w:rPr>
          <w:rFonts w:hint="eastAsia" w:ascii="宋体" w:hAnsi="宋体" w:eastAsia="宋体" w:cs="宋体"/>
          <w:bCs/>
          <w:color w:val="auto"/>
          <w:sz w:val="24"/>
          <w:szCs w:val="24"/>
          <w:highlight w:val="none"/>
          <w:lang w:val="en-US" w:eastAsia="zh-CN"/>
        </w:rPr>
        <w:t>100</w:t>
      </w:r>
      <w:r>
        <w:rPr>
          <w:rFonts w:hint="eastAsia" w:ascii="宋体" w:hAnsi="宋体" w:eastAsia="宋体" w:cs="宋体"/>
          <w:bCs/>
          <w:color w:val="auto"/>
          <w:sz w:val="24"/>
          <w:szCs w:val="24"/>
          <w:highlight w:val="none"/>
        </w:rPr>
        <w:t>T</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最大称量：</w:t>
      </w:r>
      <w:r>
        <w:rPr>
          <w:rFonts w:hint="eastAsia" w:ascii="宋体" w:hAnsi="宋体" w:eastAsia="宋体" w:cs="宋体"/>
          <w:bCs/>
          <w:color w:val="auto"/>
          <w:sz w:val="24"/>
          <w:szCs w:val="24"/>
          <w:highlight w:val="none"/>
          <w:lang w:val="en-US" w:eastAsia="zh-CN"/>
        </w:rPr>
        <w:t>100</w:t>
      </w:r>
      <w:r>
        <w:rPr>
          <w:rFonts w:hint="eastAsia" w:ascii="宋体" w:hAnsi="宋体" w:eastAsia="宋体" w:cs="宋体"/>
          <w:bCs/>
          <w:color w:val="auto"/>
          <w:sz w:val="24"/>
          <w:szCs w:val="24"/>
          <w:highlight w:val="none"/>
        </w:rPr>
        <w:t>t</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秤体尺寸： 3m× 1</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m</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长度：</w:t>
      </w: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m  宽度：3m</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 度 值：</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kg</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精度等级：</w:t>
      </w:r>
      <w:r>
        <w:rPr>
          <w:rFonts w:hint="eastAsia" w:ascii="宋体" w:hAnsi="宋体" w:eastAsia="宋体" w:cs="宋体"/>
          <w:color w:val="auto"/>
          <w:sz w:val="24"/>
          <w:szCs w:val="24"/>
          <w:highlight w:val="none"/>
        </w:rPr>
        <w:t xml:space="preserve"> III   </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秤体节数 ：</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节</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秤体</w:t>
      </w:r>
      <w:r>
        <w:rPr>
          <w:rFonts w:hint="eastAsia" w:ascii="宋体" w:hAnsi="宋体" w:cs="宋体"/>
          <w:bCs/>
          <w:color w:val="auto"/>
          <w:sz w:val="24"/>
          <w:szCs w:val="24"/>
          <w:highlight w:val="none"/>
          <w:lang w:eastAsia="zh-CN"/>
        </w:rPr>
        <w:t>（引桥）</w:t>
      </w:r>
      <w:r>
        <w:rPr>
          <w:rFonts w:hint="eastAsia" w:ascii="宋体" w:hAnsi="宋体" w:eastAsia="宋体" w:cs="宋体"/>
          <w:bCs/>
          <w:color w:val="auto"/>
          <w:sz w:val="24"/>
          <w:szCs w:val="24"/>
          <w:highlight w:val="none"/>
        </w:rPr>
        <w:t>面板厚度：10mm Q235优质钢板</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高精度传感器数量：</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只，每只量程 30t</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数据连接屏蔽信号线：50米</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每节6道6mm U型梁， </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梁高度</w:t>
      </w:r>
      <w:r>
        <w:rPr>
          <w:rFonts w:hint="eastAsia" w:ascii="宋体" w:hAnsi="宋体" w:eastAsia="宋体" w:cs="宋体"/>
          <w:bCs/>
          <w:color w:val="auto"/>
          <w:sz w:val="24"/>
          <w:szCs w:val="24"/>
          <w:highlight w:val="none"/>
          <w:lang w:val="en-US" w:eastAsia="zh-CN"/>
        </w:rPr>
        <w:t>300</w:t>
      </w:r>
      <w:r>
        <w:rPr>
          <w:rFonts w:hint="eastAsia" w:ascii="宋体" w:hAnsi="宋体" w:eastAsia="宋体" w:cs="宋体"/>
          <w:bCs/>
          <w:color w:val="auto"/>
          <w:sz w:val="24"/>
          <w:szCs w:val="24"/>
          <w:highlight w:val="none"/>
        </w:rPr>
        <w:t>mm</w:t>
      </w:r>
    </w:p>
    <w:p>
      <w:pPr>
        <w:keepNext w:val="0"/>
        <w:keepLines w:val="0"/>
        <w:pageBreakBefore w:val="0"/>
        <w:numPr>
          <w:ilvl w:val="0"/>
          <w:numId w:val="3"/>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仪表自带微型打印机功能</w:t>
      </w:r>
    </w:p>
    <w:p>
      <w:pPr>
        <w:keepNext w:val="0"/>
        <w:keepLines w:val="0"/>
        <w:pageBreakBefore w:val="0"/>
        <w:numPr>
          <w:ilvl w:val="0"/>
          <w:numId w:val="4"/>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称重显示仪表工作温度：-10℃~+45℃</w:t>
      </w:r>
    </w:p>
    <w:p>
      <w:pPr>
        <w:keepNext w:val="0"/>
        <w:keepLines w:val="0"/>
        <w:pageBreakBefore w:val="0"/>
        <w:numPr>
          <w:ilvl w:val="0"/>
          <w:numId w:val="4"/>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秤台及称量传感器工作温度：-25℃~+80℃</w:t>
      </w:r>
    </w:p>
    <w:p>
      <w:pPr>
        <w:keepNext w:val="0"/>
        <w:keepLines w:val="0"/>
        <w:pageBreakBefore w:val="0"/>
        <w:numPr>
          <w:ilvl w:val="0"/>
          <w:numId w:val="4"/>
        </w:numPr>
        <w:tabs>
          <w:tab w:val="left" w:pos="973"/>
        </w:tabs>
        <w:kinsoku/>
        <w:wordWrap/>
        <w:topLinePunct w:val="0"/>
        <w:bidi w:val="0"/>
        <w:spacing w:line="480" w:lineRule="exact"/>
        <w:ind w:left="558" w:firstLine="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相对湿度：&lt;95% 工作电源：220VAC, 50Hz</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最大安全过载：150%FS</w:t>
      </w:r>
      <w:r>
        <w:rPr>
          <w:rFonts w:hint="eastAsia" w:ascii="宋体" w:hAnsi="宋体" w:eastAsia="宋体" w:cs="宋体"/>
          <w:bCs/>
          <w:color w:val="auto"/>
          <w:sz w:val="24"/>
          <w:szCs w:val="24"/>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2、规范要求：</w:t>
      </w:r>
    </w:p>
    <w:p>
      <w:pPr>
        <w:keepNext w:val="0"/>
        <w:keepLines w:val="0"/>
        <w:pageBreakBefore w:val="0"/>
        <w:widowControl/>
        <w:numPr>
          <w:ilvl w:val="0"/>
          <w:numId w:val="5"/>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425" w:right="318" w:hanging="425"/>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安装方式：</w:t>
      </w:r>
      <w:r>
        <w:rPr>
          <w:rFonts w:hint="eastAsia" w:ascii="宋体" w:hAnsi="宋体" w:eastAsia="宋体" w:cs="宋体"/>
          <w:bCs/>
          <w:color w:val="auto"/>
          <w:sz w:val="24"/>
          <w:szCs w:val="24"/>
          <w:highlight w:val="none"/>
          <w:lang w:eastAsia="zh-CN"/>
        </w:rPr>
        <w:t>无</w:t>
      </w:r>
      <w:r>
        <w:rPr>
          <w:rFonts w:hint="eastAsia" w:ascii="宋体" w:hAnsi="宋体" w:eastAsia="宋体" w:cs="宋体"/>
          <w:bCs/>
          <w:color w:val="auto"/>
          <w:sz w:val="24"/>
          <w:szCs w:val="24"/>
          <w:highlight w:val="none"/>
        </w:rPr>
        <w:t>基坑</w:t>
      </w:r>
    </w:p>
    <w:p>
      <w:pPr>
        <w:keepNext w:val="0"/>
        <w:keepLines w:val="0"/>
        <w:pageBreakBefore w:val="0"/>
        <w:widowControl/>
        <w:numPr>
          <w:ilvl w:val="0"/>
          <w:numId w:val="5"/>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425" w:right="318" w:hanging="425"/>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安全超载：秤体125%；传感器150%</w:t>
      </w:r>
    </w:p>
    <w:p>
      <w:pPr>
        <w:keepNext w:val="0"/>
        <w:keepLines w:val="0"/>
        <w:pageBreakBefore w:val="0"/>
        <w:widowControl/>
        <w:numPr>
          <w:ilvl w:val="0"/>
          <w:numId w:val="5"/>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425" w:right="318" w:hanging="425"/>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工作电源电压：AC 220V+10%，50Hz。</w:t>
      </w:r>
    </w:p>
    <w:p>
      <w:pPr>
        <w:keepNext w:val="0"/>
        <w:keepLines w:val="0"/>
        <w:pageBreakBefore w:val="0"/>
        <w:widowControl/>
        <w:numPr>
          <w:ilvl w:val="0"/>
          <w:numId w:val="5"/>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425" w:right="318" w:hanging="425"/>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秤台面板采用</w:t>
      </w:r>
      <w:r>
        <w:rPr>
          <w:rFonts w:hint="eastAsia" w:ascii="宋体" w:hAnsi="宋体" w:eastAsia="宋体" w:cs="宋体"/>
          <w:color w:val="auto"/>
          <w:sz w:val="24"/>
          <w:szCs w:val="24"/>
          <w:highlight w:val="none"/>
        </w:rPr>
        <w:t>国内知名钢铁企业</w:t>
      </w:r>
      <w:r>
        <w:rPr>
          <w:rFonts w:hint="eastAsia" w:ascii="宋体" w:hAnsi="宋体" w:eastAsia="宋体" w:cs="宋体"/>
          <w:bCs/>
          <w:color w:val="auto"/>
          <w:sz w:val="24"/>
          <w:szCs w:val="24"/>
          <w:highlight w:val="none"/>
        </w:rPr>
        <w:t>优质钢板，厚度10mm</w:t>
      </w:r>
      <w:r>
        <w:rPr>
          <w:rFonts w:hint="eastAsia" w:ascii="宋体" w:hAnsi="宋体" w:eastAsia="宋体" w:cs="宋体"/>
          <w:bCs/>
          <w:color w:val="auto"/>
          <w:sz w:val="24"/>
          <w:szCs w:val="24"/>
          <w:highlight w:val="none"/>
          <w:lang w:eastAsia="zh-CN"/>
        </w:rPr>
        <w:t>，</w:t>
      </w:r>
      <w:r>
        <w:rPr>
          <w:rFonts w:hint="eastAsia" w:ascii="宋体" w:hAnsi="宋体" w:eastAsia="宋体" w:cs="宋体"/>
          <w:caps/>
          <w:color w:val="auto"/>
          <w:sz w:val="24"/>
          <w:szCs w:val="24"/>
          <w:highlight w:val="none"/>
        </w:rPr>
        <w:t>秤台结构件的处理，采用冷弯U型钢，主筋板采用Q235</w:t>
      </w:r>
      <w:r>
        <w:rPr>
          <w:rFonts w:hint="eastAsia" w:ascii="宋体" w:hAnsi="宋体" w:eastAsia="宋体" w:cs="宋体"/>
          <w:color w:val="auto"/>
          <w:sz w:val="24"/>
          <w:szCs w:val="24"/>
          <w:highlight w:val="none"/>
        </w:rPr>
        <w:t>碳</w:t>
      </w:r>
      <w:r>
        <w:rPr>
          <w:rFonts w:hint="eastAsia" w:ascii="宋体" w:hAnsi="宋体" w:eastAsia="宋体" w:cs="宋体"/>
          <w:caps/>
          <w:color w:val="auto"/>
          <w:sz w:val="24"/>
          <w:szCs w:val="24"/>
          <w:highlight w:val="none"/>
        </w:rPr>
        <w:t>钢板，</w:t>
      </w:r>
      <w:r>
        <w:rPr>
          <w:rFonts w:hint="eastAsia" w:ascii="宋体" w:hAnsi="宋体" w:eastAsia="宋体" w:cs="宋体"/>
          <w:bCs/>
          <w:color w:val="auto"/>
          <w:sz w:val="24"/>
          <w:szCs w:val="24"/>
          <w:highlight w:val="none"/>
        </w:rPr>
        <w:t>红丹底漆二道,</w:t>
      </w:r>
      <w:r>
        <w:rPr>
          <w:rFonts w:hint="eastAsia" w:ascii="宋体" w:hAnsi="宋体" w:eastAsia="宋体" w:cs="宋体"/>
          <w:caps/>
          <w:color w:val="auto"/>
          <w:sz w:val="24"/>
          <w:szCs w:val="24"/>
          <w:highlight w:val="none"/>
        </w:rPr>
        <w:t>表面除锈预处理，再喷涂环氧富锌底漆，</w:t>
      </w:r>
      <w:r>
        <w:rPr>
          <w:rFonts w:hint="eastAsia" w:ascii="宋体" w:hAnsi="宋体" w:eastAsia="宋体" w:cs="宋体"/>
          <w:color w:val="auto"/>
          <w:sz w:val="24"/>
          <w:szCs w:val="24"/>
          <w:highlight w:val="none"/>
        </w:rPr>
        <w:t>干膜厚度大于40μm</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面漆二道涂装处理</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面漆采用树酯漆，涂二层，其干膜总厚度大于100μm，面漆的颜色</w:t>
      </w:r>
      <w:r>
        <w:rPr>
          <w:rFonts w:hint="eastAsia" w:ascii="宋体" w:hAnsi="宋体" w:eastAsia="宋体" w:cs="宋体"/>
          <w:color w:val="auto"/>
          <w:sz w:val="24"/>
          <w:szCs w:val="24"/>
          <w:highlight w:val="none"/>
          <w:lang w:eastAsia="zh-CN"/>
        </w:rPr>
        <w:t>由招标方确定</w:t>
      </w:r>
      <w:r>
        <w:rPr>
          <w:rFonts w:hint="eastAsia" w:ascii="宋体" w:hAnsi="宋体" w:eastAsia="宋体" w:cs="宋体"/>
          <w:color w:val="auto"/>
          <w:sz w:val="24"/>
          <w:szCs w:val="24"/>
          <w:highlight w:val="none"/>
        </w:rPr>
        <w:t>。</w:t>
      </w:r>
    </w:p>
    <w:p>
      <w:pPr>
        <w:keepNext w:val="0"/>
        <w:keepLines w:val="0"/>
        <w:pageBreakBefore w:val="0"/>
        <w:widowControl/>
        <w:numPr>
          <w:ilvl w:val="0"/>
          <w:numId w:val="5"/>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425" w:right="318" w:hanging="425"/>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数字接线盒采用优质不锈钢制作，防止锈蚀。</w:t>
      </w:r>
    </w:p>
    <w:p>
      <w:pPr>
        <w:keepNext w:val="0"/>
        <w:keepLines w:val="0"/>
        <w:pageBreakBefore w:val="0"/>
        <w:widowControl/>
        <w:numPr>
          <w:ilvl w:val="0"/>
          <w:numId w:val="5"/>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425" w:right="318" w:hanging="425"/>
        <w:jc w:val="left"/>
        <w:textAlignment w:val="baseline"/>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传输线缆按国家标准规范进行安装防护，布置整齐合理。</w:t>
      </w:r>
    </w:p>
    <w:p>
      <w:pPr>
        <w:keepNext w:val="0"/>
        <w:keepLines w:val="0"/>
        <w:pageBreakBefore w:val="0"/>
        <w:widowControl/>
        <w:numPr>
          <w:ilvl w:val="0"/>
          <w:numId w:val="5"/>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425" w:right="318" w:hanging="425"/>
        <w:jc w:val="left"/>
        <w:textAlignment w:val="baseline"/>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设备的信息采集稳定、精确、可靠。打印输出便捷，高速、噪音低可靠耐用。</w:t>
      </w:r>
      <w:r>
        <w:rPr>
          <w:rFonts w:hint="eastAsia" w:ascii="宋体" w:hAnsi="宋体" w:eastAsia="宋体" w:cs="宋体"/>
          <w:color w:val="auto"/>
          <w:sz w:val="24"/>
          <w:szCs w:val="24"/>
          <w:highlight w:val="none"/>
        </w:rPr>
        <w:t>秤台设计结构合理，整体刚性好，保证长期使用不变形，保证秤体的计量精度。</w:t>
      </w:r>
    </w:p>
    <w:p>
      <w:pPr>
        <w:keepNext w:val="0"/>
        <w:keepLines w:val="0"/>
        <w:pageBreakBefore w:val="0"/>
        <w:widowControl/>
        <w:numPr>
          <w:ilvl w:val="0"/>
          <w:numId w:val="5"/>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425" w:right="318" w:hanging="42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所有需要涂漆的表面在涂漆前进行彻底的外观质量和除锈处理。钢结构表面喷砂预处理，满足秤体整体耐磨、耐压、耐酸、耐碱以及防腐能力强的要求。</w:t>
      </w:r>
    </w:p>
    <w:p>
      <w:pPr>
        <w:keepNext w:val="0"/>
        <w:keepLines w:val="0"/>
        <w:pageBreakBefore w:val="0"/>
        <w:widowControl/>
        <w:numPr>
          <w:ilvl w:val="0"/>
          <w:numId w:val="5"/>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425" w:right="318" w:hanging="42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零件材料质量符合国家规范中标准规定。</w:t>
      </w:r>
    </w:p>
    <w:p>
      <w:pPr>
        <w:keepNext w:val="0"/>
        <w:keepLines w:val="0"/>
        <w:pageBreakBefore w:val="0"/>
        <w:widowControl/>
        <w:numPr>
          <w:ilvl w:val="0"/>
          <w:numId w:val="5"/>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425" w:right="318" w:hanging="425"/>
        <w:jc w:val="left"/>
        <w:textAlignment w:val="baseline"/>
        <w:rPr>
          <w:rFonts w:hint="eastAsia" w:ascii="宋体" w:hAnsi="宋体" w:eastAsia="宋体" w:cs="宋体"/>
          <w:caps/>
          <w:color w:val="auto"/>
          <w:spacing w:val="-4"/>
          <w:sz w:val="24"/>
          <w:szCs w:val="24"/>
          <w:highlight w:val="none"/>
        </w:rPr>
      </w:pPr>
      <w:r>
        <w:rPr>
          <w:rFonts w:hint="eastAsia" w:ascii="宋体" w:hAnsi="宋体" w:eastAsia="宋体" w:cs="宋体"/>
          <w:color w:val="auto"/>
          <w:sz w:val="24"/>
          <w:szCs w:val="24"/>
          <w:highlight w:val="none"/>
        </w:rPr>
        <w:t>汽车衡计量检定由</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方联系当地技术监督局进行.检定时所产生的费用由</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方负责。</w:t>
      </w:r>
    </w:p>
    <w:p>
      <w:pPr>
        <w:keepNext w:val="0"/>
        <w:keepLines w:val="0"/>
        <w:pageBreakBefore w:val="0"/>
        <w:widowControl/>
        <w:numPr>
          <w:ilvl w:val="0"/>
          <w:numId w:val="5"/>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425" w:right="318" w:hanging="425"/>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汽车衡施工</w:t>
      </w:r>
      <w:r>
        <w:rPr>
          <w:rFonts w:hint="eastAsia" w:ascii="宋体" w:hAnsi="宋体" w:eastAsia="宋体" w:cs="宋体"/>
          <w:color w:val="auto"/>
          <w:sz w:val="24"/>
          <w:szCs w:val="24"/>
          <w:highlight w:val="none"/>
          <w:lang w:eastAsia="zh-CN"/>
        </w:rPr>
        <w:t>及安装调试</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lang w:eastAsia="zh-CN"/>
        </w:rPr>
        <w:t>所有针对本项目的辅材、施工及安装调试均由中标方承担，</w:t>
      </w:r>
      <w:r>
        <w:rPr>
          <w:rFonts w:hint="eastAsia" w:ascii="宋体" w:hAnsi="宋体" w:eastAsia="宋体" w:cs="宋体"/>
          <w:color w:val="auto"/>
          <w:sz w:val="24"/>
          <w:szCs w:val="24"/>
          <w:highlight w:val="none"/>
        </w:rPr>
        <w:t>现场</w:t>
      </w:r>
      <w:r>
        <w:rPr>
          <w:rFonts w:hint="eastAsia" w:ascii="宋体" w:hAnsi="宋体" w:eastAsia="宋体" w:cs="宋体"/>
          <w:color w:val="auto"/>
          <w:sz w:val="24"/>
          <w:szCs w:val="24"/>
          <w:highlight w:val="none"/>
          <w:lang w:eastAsia="zh-CN"/>
        </w:rPr>
        <w:t>所需电源由招标方</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w:t>
      </w:r>
    </w:p>
    <w:p>
      <w:pPr>
        <w:keepNext w:val="0"/>
        <w:keepLines w:val="0"/>
        <w:pageBreakBefore w:val="0"/>
        <w:widowControl/>
        <w:numPr>
          <w:ilvl w:val="0"/>
          <w:numId w:val="0"/>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Chars="0" w:right="318" w:rightChars="0" w:firstLine="482" w:firstLineChars="20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3、数字称重显示器基本功能：</w:t>
      </w:r>
    </w:p>
    <w:p>
      <w:pPr>
        <w:keepNext w:val="0"/>
        <w:keepLines w:val="0"/>
        <w:pageBreakBefore w:val="0"/>
        <w:numPr>
          <w:ilvl w:val="0"/>
          <w:numId w:val="6"/>
        </w:numPr>
        <w:kinsoku/>
        <w:wordWrap/>
        <w:topLinePunct w:val="0"/>
        <w:bidi w:val="0"/>
        <w:spacing w:line="4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具有2种自动组网方式</w:t>
      </w:r>
    </w:p>
    <w:p>
      <w:pPr>
        <w:keepNext w:val="0"/>
        <w:keepLines w:val="0"/>
        <w:pageBreakBefore w:val="0"/>
        <w:numPr>
          <w:ilvl w:val="0"/>
          <w:numId w:val="6"/>
        </w:numPr>
        <w:kinsoku/>
        <w:wordWrap/>
        <w:topLinePunct w:val="0"/>
        <w:bidi w:val="0"/>
        <w:spacing w:line="4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具有数字仪表与传感器通讯加密功能</w:t>
      </w:r>
    </w:p>
    <w:p>
      <w:pPr>
        <w:keepNext w:val="0"/>
        <w:keepLines w:val="0"/>
        <w:pageBreakBefore w:val="0"/>
        <w:numPr>
          <w:ilvl w:val="0"/>
          <w:numId w:val="6"/>
        </w:numPr>
        <w:kinsoku/>
        <w:wordWrap/>
        <w:topLinePunct w:val="0"/>
        <w:bidi w:val="0"/>
        <w:spacing w:line="4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支持Modubs-RTU协议</w:t>
      </w:r>
    </w:p>
    <w:p>
      <w:pPr>
        <w:keepNext w:val="0"/>
        <w:keepLines w:val="0"/>
        <w:pageBreakBefore w:val="0"/>
        <w:numPr>
          <w:ilvl w:val="0"/>
          <w:numId w:val="6"/>
        </w:numPr>
        <w:kinsoku/>
        <w:wordWrap/>
        <w:topLinePunct w:val="0"/>
        <w:bidi w:val="0"/>
        <w:spacing w:line="4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具有文本信息可输入、可打印功能</w:t>
      </w:r>
    </w:p>
    <w:p>
      <w:pPr>
        <w:keepNext w:val="0"/>
        <w:keepLines w:val="0"/>
        <w:pageBreakBefore w:val="0"/>
        <w:numPr>
          <w:ilvl w:val="0"/>
          <w:numId w:val="6"/>
        </w:numPr>
        <w:kinsoku/>
        <w:wordWrap/>
        <w:topLinePunct w:val="0"/>
        <w:bidi w:val="0"/>
        <w:spacing w:line="4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具有恢复出厂设置功能</w:t>
      </w:r>
    </w:p>
    <w:p>
      <w:pPr>
        <w:keepNext w:val="0"/>
        <w:keepLines w:val="0"/>
        <w:pageBreakBefore w:val="0"/>
        <w:numPr>
          <w:ilvl w:val="0"/>
          <w:numId w:val="6"/>
        </w:numPr>
        <w:kinsoku/>
        <w:wordWrap/>
        <w:topLinePunct w:val="0"/>
        <w:bidi w:val="0"/>
        <w:spacing w:line="4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具有自动/手动角差调整功能</w:t>
      </w:r>
    </w:p>
    <w:p>
      <w:pPr>
        <w:keepNext w:val="0"/>
        <w:keepLines w:val="0"/>
        <w:pageBreakBefore w:val="0"/>
        <w:numPr>
          <w:ilvl w:val="0"/>
          <w:numId w:val="6"/>
        </w:numPr>
        <w:kinsoku/>
        <w:wordWrap/>
        <w:topLinePunct w:val="0"/>
        <w:bidi w:val="0"/>
        <w:spacing w:line="4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具有超载警示/记录/打印功能</w:t>
      </w:r>
    </w:p>
    <w:p>
      <w:pPr>
        <w:keepNext w:val="0"/>
        <w:keepLines w:val="0"/>
        <w:pageBreakBefore w:val="0"/>
        <w:numPr>
          <w:ilvl w:val="0"/>
          <w:numId w:val="6"/>
        </w:numPr>
        <w:kinsoku/>
        <w:wordWrap/>
        <w:topLinePunct w:val="0"/>
        <w:bidi w:val="0"/>
        <w:spacing w:line="4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全面配置EMC电磁兼容防护措施</w:t>
      </w:r>
    </w:p>
    <w:p>
      <w:pPr>
        <w:keepNext w:val="0"/>
        <w:keepLines w:val="0"/>
        <w:pageBreakBefore w:val="0"/>
        <w:widowControl/>
        <w:numPr>
          <w:ilvl w:val="0"/>
          <w:numId w:val="0"/>
        </w:numPr>
        <w:tabs>
          <w:tab w:val="left" w:pos="425"/>
          <w:tab w:val="left" w:pos="2127"/>
          <w:tab w:val="left" w:pos="2410"/>
          <w:tab w:val="left" w:pos="6804"/>
          <w:tab w:val="left" w:pos="8931"/>
        </w:tabs>
        <w:kinsoku/>
        <w:wordWrap/>
        <w:overflowPunct w:val="0"/>
        <w:topLinePunct w:val="0"/>
        <w:autoSpaceDE w:val="0"/>
        <w:autoSpaceDN w:val="0"/>
        <w:bidi w:val="0"/>
        <w:adjustRightInd w:val="0"/>
        <w:spacing w:line="480" w:lineRule="exact"/>
        <w:ind w:leftChars="0" w:right="318" w:righ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4、数字称重显示器技术参数：</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通信方式            RS485 </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信号传输距离        最长1000米 </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传输波特率          9600、19200 bps</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激励电源            DC12V </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数字接口能力        最多16个数字传感器或数字模块 </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7位白光LED数码管，7个状态指示符</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数字键              0 ~ 9 </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功能键              30个（10个与数字键复合） </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可显示年、月、日、时、分、秒，自动闰年、闰月</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大屏幕传输方式      串行输出方式，电流环和RS232 </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大屏幕传输波特率    600bps </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串口传输方式        RS232/RS485 </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串口波特率          600/1200/2400/4800/9600/19200可选 </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配置标准并行打印接口，可配接ESPON LQ-300K＋Ⅱ、ESPON LQ-300K、ESPON LQ-680K 、ESPON LQ-730K 、ESPON LQ-1600K（＋）、KX-P1131、KX-P1121、DS-300等宽行打印机</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可贮存1500组车号皮重，201组货号和中英文货物名，100组客户号及中英文客户名，100组数字或中英文备注信息，可贮存2400组称重记录，20组过载记录</w:t>
      </w:r>
    </w:p>
    <w:p>
      <w:pPr>
        <w:keepNext w:val="0"/>
        <w:keepLines w:val="0"/>
        <w:pageBreakBefore w:val="0"/>
        <w:numPr>
          <w:ilvl w:val="0"/>
          <w:numId w:val="7"/>
        </w:numPr>
        <w:tabs>
          <w:tab w:val="left" w:pos="720"/>
        </w:tabs>
        <w:kinsoku/>
        <w:wordWrap/>
        <w:topLinePunct w:val="0"/>
        <w:bidi w:val="0"/>
        <w:spacing w:line="480" w:lineRule="exact"/>
        <w:ind w:firstLine="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电源输入             AC110~220V  50~60HZ</w:t>
      </w:r>
    </w:p>
    <w:p>
      <w:pPr>
        <w:keepNext w:val="0"/>
        <w:keepLines w:val="0"/>
        <w:pageBreakBefore w:val="0"/>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DC 12V</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使用温度             0℃ ~ 40℃ </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 xml:space="preserve">储运温度             -25℃ ~ 55℃ </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相对湿度             ≤85%RH</w:t>
      </w:r>
    </w:p>
    <w:p>
      <w:pPr>
        <w:keepNext w:val="0"/>
        <w:keepLines w:val="0"/>
        <w:pageBreakBefore w:val="0"/>
        <w:numPr>
          <w:ilvl w:val="0"/>
          <w:numId w:val="0"/>
        </w:numPr>
        <w:tabs>
          <w:tab w:val="left" w:pos="720"/>
        </w:tabs>
        <w:kinsoku/>
        <w:wordWrap/>
        <w:topLinePunct w:val="0"/>
        <w:bidi w:val="0"/>
        <w:spacing w:line="480" w:lineRule="exact"/>
        <w:ind w:left="360" w:leftChars="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sz w:val="24"/>
          <w:szCs w:val="24"/>
          <w:highlight w:val="none"/>
        </w:rPr>
        <w:t>高精度数字称重传感器</w:t>
      </w:r>
      <w:r>
        <w:rPr>
          <w:rFonts w:hint="eastAsia" w:ascii="宋体" w:hAnsi="宋体" w:eastAsia="宋体" w:cs="宋体"/>
          <w:b/>
          <w:bCs/>
          <w:color w:val="auto"/>
          <w:sz w:val="24"/>
          <w:szCs w:val="24"/>
          <w:highlight w:val="none"/>
          <w:lang w:eastAsia="zh-CN"/>
        </w:rPr>
        <w:t>要求及技术参数</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额定载荷：30T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采用高强度钢制，安全超载可达150%。极限超载200%。</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QS型数字式称重传感器可满足10t～50t量程范围内的精确测量.</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spacing w:val="-6"/>
          <w:kern w:val="0"/>
          <w:sz w:val="24"/>
          <w:szCs w:val="24"/>
          <w:highlight w:val="none"/>
        </w:rPr>
        <w:t>合金钢材料，全密封焊接，防油、防水、防一般腐蚀性气体及介质，可适用于多种环境。</w:t>
      </w:r>
      <w:r>
        <w:rPr>
          <w:rFonts w:hint="eastAsia" w:ascii="宋体" w:hAnsi="宋体" w:eastAsia="宋体" w:cs="宋体"/>
          <w:color w:val="auto"/>
          <w:kern w:val="0"/>
          <w:sz w:val="24"/>
          <w:szCs w:val="24"/>
          <w:highlight w:val="none"/>
        </w:rPr>
        <w:t xml:space="preserve"> </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柱式设计，适用于电子汽车衡、轨道衡等各类电子称重设备。</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高精度，稳定性好，一致性好、互换性强，有自我识别功能，便于故障诊断</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合金钢材料，可靠性好，抗干扰能力强</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性能可靠，传输距离远，通信速度快，防作弊效果显著</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安全过载：150%FS</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型式:直接压缩数字式</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数据刷新速率：50HZ</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通讯波特率：9600BPS</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满量程输出码：100万</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综合误差：±0.02%F.S</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材质：合金钢</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工作温度范围：-30~+70℃</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零点平衡：±1%F.S</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精度等级：OIML   C3</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温度系数：±0.002 %FS/10℃</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使用温度范围：-30℃~70℃</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最大通讯距离：1200m</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0"/>
          <w:sz w:val="24"/>
          <w:szCs w:val="24"/>
          <w:highlight w:val="none"/>
        </w:rPr>
        <w:t>通讯接口：RS 485</w:t>
      </w:r>
    </w:p>
    <w:p>
      <w:pPr>
        <w:keepNext w:val="0"/>
        <w:keepLines w:val="0"/>
        <w:pageBreakBefore w:val="0"/>
        <w:numPr>
          <w:ilvl w:val="0"/>
          <w:numId w:val="8"/>
        </w:numPr>
        <w:tabs>
          <w:tab w:val="left" w:pos="720"/>
        </w:tabs>
        <w:kinsoku/>
        <w:wordWrap/>
        <w:topLinePunct w:val="0"/>
        <w:bidi w:val="0"/>
        <w:spacing w:line="480" w:lineRule="exact"/>
        <w:ind w:left="720"/>
        <w:jc w:val="left"/>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0"/>
          <w:sz w:val="24"/>
          <w:szCs w:val="24"/>
          <w:highlight w:val="none"/>
        </w:rPr>
        <w:t>最大输出激励电压：20VDC</w:t>
      </w:r>
    </w:p>
    <w:p>
      <w:pPr>
        <w:keepNext w:val="0"/>
        <w:keepLines w:val="0"/>
        <w:pageBreakBefore w:val="0"/>
        <w:tabs>
          <w:tab w:val="left" w:pos="2310"/>
          <w:tab w:val="left" w:pos="3780"/>
        </w:tabs>
        <w:kinsoku/>
        <w:wordWrap/>
        <w:topLinePunct w:val="0"/>
        <w:bidi w:val="0"/>
        <w:spacing w:line="480" w:lineRule="exact"/>
        <w:ind w:left="210" w:leftChars="100" w:firstLine="241" w:firstLineChars="1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rPr>
        <w:t xml:space="preserve">接线盒      </w:t>
      </w:r>
    </w:p>
    <w:p>
      <w:pPr>
        <w:keepNext w:val="0"/>
        <w:keepLines w:val="0"/>
        <w:pageBreakBefore w:val="0"/>
        <w:numPr>
          <w:ilvl w:val="0"/>
          <w:numId w:val="0"/>
        </w:numPr>
        <w:tabs>
          <w:tab w:val="left" w:pos="720"/>
        </w:tabs>
        <w:kinsoku/>
        <w:wordWrap/>
        <w:topLinePunct w:val="0"/>
        <w:bidi w:val="0"/>
        <w:spacing w:line="480" w:lineRule="exact"/>
        <w:ind w:firstLine="480" w:firstLineChars="20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不锈钢信号接线盒，专用密封接头，耐用、密封性好，防护等级IP64。采用高精度、低温漂电阻，保证系统工作的精度和稳定性。接线端子保证接线方便和接触可靠。接线端子旁都注有信号标识，方便接线。</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四、投标文件的密封与递交</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1、投标文件的份数和签署</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投标文件应使用不能擦去的墨水书写或打印，由投标人加盖法人公章和法定代表人或法定代表人委托的代理人印鉴或签字。</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2、投标文件的密封与标志</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所有封袋上都应写明招标人名称、工程项目名称、投标人名称、卷别；</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所有投标文件都必须在封袋上加盖投标单位法人公章及其法定代表人或授权委托人的印鉴。</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3、投标截止期</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3.1投标人应在投标须知中规定的时间之前将投标文件递交到招标文件前附表指定地点。</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3.2招标人可以按本文件规定以修改通知的方式，延长递交投标文件的截止日期。在上述情况下，招标人与投标人以前的在投标截止期方面的全部权力、责任和义务，将适用于延长后新的投标截止期。</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4、投标文件的修改与撤回</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4.1投标人可以在递交投标文件以后，在规定的投标截止期之前，以书面形式向招标人递交修改或撤回其投标文件的通知。在投标截止期以后，不得更改、撤回投标文件。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4.2投标文件的修改应按本文件相关条款规定的要求编制、密封、标志和递交（密封袋上应标明“修改”字样）。</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4.3投标截止以后,在投标有效期内，未确定中标人前，投标人不得撤回投标文件。</w:t>
      </w:r>
      <w:bookmarkStart w:id="2" w:name="EB66450c37613b4d8bb5d2ef34d49a190f"/>
      <w:r>
        <w:rPr>
          <w:rFonts w:hint="eastAsia" w:ascii="宋体" w:hAnsi="宋体" w:eastAsia="宋体" w:cs="宋体"/>
          <w:color w:val="auto"/>
          <w:sz w:val="24"/>
          <w:szCs w:val="24"/>
          <w:highlight w:val="none"/>
        </w:rPr>
        <w:t xml:space="preserve"> </w:t>
      </w:r>
      <w:bookmarkEnd w:id="2"/>
      <w:bookmarkStart w:id="3" w:name="EB0f01764a82a04f44abcb858eaf46c6a5"/>
      <w:r>
        <w:rPr>
          <w:rFonts w:hint="eastAsia" w:ascii="宋体" w:hAnsi="宋体" w:eastAsia="宋体" w:cs="宋体"/>
          <w:color w:val="auto"/>
          <w:sz w:val="24"/>
          <w:szCs w:val="24"/>
          <w:highlight w:val="none"/>
        </w:rPr>
        <w:t xml:space="preserve"> </w:t>
      </w:r>
      <w:bookmarkEnd w:id="3"/>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五、评标</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1.1评标委员会</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评标由招标人依法组建的评标委员会负责。评标委员会由有关技术、经济等方面的专家组成。</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1.2评审程序</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评标按照下列程序进行：1）评标准备；2）初步评审；3）详细评审；4）推荐中标候选人，撰写评标报告。</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1.3评标准备</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1.3.1评标委员会成员签到</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评标委员会成员到达评标现场时应在签到表上签到以证明出席。</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评标委员会的分工</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评标委员会首先推选一名评标委员会负责人。评标委员会负责人负责评标活动的组织领导工作。评标委员会负责人在与其他评标委员会成员商议的基础上可以将评标委员会划分为技术组和商务组。</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熟悉文件资料</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1.4初步评审</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1.4.1响应性评审</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1.4.2算术错误修正</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1.4.3澄清、说明或补正</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在初步评审过程中，评标委员会应当就投标文件中不明确的内容要求投标人进行澄清．</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1.5投标过程中出现下列情况之一的将作为无效投标处理：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1、投标书未加盖单位法人章，无法定代表人或其授权委托人的签字；</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2、投标文件载明的货物包装方式、检验标准和方法等不符合招标文件的要求；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3、投标文件提出了不能满足招标文件要求或招标人不能接受的工程验收、计量、价款结算支付办法；</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4、经评标委员会认定投标人的投标报价低于成本价的；</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5、投标人未按照招标文件的要求提供必须提交的相关资料的；</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6、投标文件附有招标人不能接受的条件；</w:t>
      </w:r>
    </w:p>
    <w:p>
      <w:pPr>
        <w:keepNext w:val="0"/>
        <w:keepLines w:val="0"/>
        <w:pageBreakBefore w:val="0"/>
        <w:kinsoku/>
        <w:wordWrap/>
        <w:overflowPunct/>
        <w:topLinePunct w:val="0"/>
        <w:autoSpaceDE/>
        <w:autoSpaceDN/>
        <w:bidi w:val="0"/>
        <w:spacing w:before="312" w:beforeLines="100" w:line="48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设备</w:t>
      </w:r>
      <w:r>
        <w:rPr>
          <w:rFonts w:hint="eastAsia" w:ascii="宋体" w:hAnsi="宋体" w:eastAsia="宋体" w:cs="宋体"/>
          <w:b/>
          <w:color w:val="auto"/>
          <w:sz w:val="24"/>
          <w:szCs w:val="24"/>
          <w:highlight w:val="none"/>
        </w:rPr>
        <w:t>安装</w:t>
      </w:r>
      <w:r>
        <w:rPr>
          <w:rFonts w:hint="eastAsia" w:ascii="宋体" w:hAnsi="宋体" w:eastAsia="宋体" w:cs="宋体"/>
          <w:b/>
          <w:color w:val="auto"/>
          <w:sz w:val="24"/>
          <w:szCs w:val="24"/>
          <w:highlight w:val="none"/>
          <w:lang w:eastAsia="zh-CN"/>
        </w:rPr>
        <w:t>调试</w:t>
      </w:r>
      <w:r>
        <w:rPr>
          <w:rFonts w:hint="eastAsia" w:ascii="宋体" w:hAnsi="宋体" w:eastAsia="宋体" w:cs="宋体"/>
          <w:b/>
          <w:color w:val="auto"/>
          <w:sz w:val="24"/>
          <w:szCs w:val="24"/>
          <w:highlight w:val="none"/>
        </w:rPr>
        <w:t>、验收</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符合仪器出厂规定的参数、指标。</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由</w:t>
      </w:r>
      <w:r>
        <w:rPr>
          <w:rFonts w:hint="eastAsia" w:ascii="宋体" w:hAnsi="宋体" w:eastAsia="宋体" w:cs="宋体"/>
          <w:color w:val="auto"/>
          <w:sz w:val="24"/>
          <w:szCs w:val="24"/>
          <w:highlight w:val="none"/>
          <w:lang w:eastAsia="zh-CN"/>
        </w:rPr>
        <w:t>中标方负责对货物的</w:t>
      </w:r>
      <w:r>
        <w:rPr>
          <w:rFonts w:hint="eastAsia" w:ascii="宋体" w:hAnsi="宋体" w:eastAsia="宋体" w:cs="宋体"/>
          <w:color w:val="auto"/>
          <w:sz w:val="24"/>
          <w:szCs w:val="24"/>
          <w:highlight w:val="none"/>
        </w:rPr>
        <w:t>安装调试，</w:t>
      </w:r>
      <w:r>
        <w:rPr>
          <w:rFonts w:hint="eastAsia" w:ascii="宋体" w:hAnsi="宋体" w:eastAsia="宋体" w:cs="宋体"/>
          <w:color w:val="auto"/>
          <w:sz w:val="24"/>
          <w:szCs w:val="24"/>
          <w:highlight w:val="none"/>
          <w:lang w:eastAsia="zh-CN"/>
        </w:rPr>
        <w:t>由招标方</w:t>
      </w:r>
      <w:r>
        <w:rPr>
          <w:rFonts w:hint="eastAsia" w:ascii="宋体" w:hAnsi="宋体" w:eastAsia="宋体" w:cs="宋体"/>
          <w:color w:val="auto"/>
          <w:sz w:val="24"/>
          <w:szCs w:val="24"/>
          <w:highlight w:val="none"/>
        </w:rPr>
        <w:t>按招标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及产品技术标准验收。在</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rPr>
        <w:t>验收指标合格并获得买方确认后，</w:t>
      </w:r>
      <w:r>
        <w:rPr>
          <w:rFonts w:hint="eastAsia" w:ascii="宋体" w:hAnsi="宋体" w:eastAsia="宋体" w:cs="宋体"/>
          <w:color w:val="auto"/>
          <w:sz w:val="24"/>
          <w:szCs w:val="24"/>
          <w:highlight w:val="none"/>
          <w:lang w:eastAsia="zh-CN"/>
        </w:rPr>
        <w:t>产品</w:t>
      </w:r>
      <w:r>
        <w:rPr>
          <w:rFonts w:hint="eastAsia" w:ascii="宋体" w:hAnsi="宋体" w:eastAsia="宋体" w:cs="宋体"/>
          <w:color w:val="auto"/>
          <w:sz w:val="24"/>
          <w:szCs w:val="24"/>
          <w:highlight w:val="none"/>
        </w:rPr>
        <w:t>的安装工作方为完成。</w:t>
      </w:r>
    </w:p>
    <w:p>
      <w:pPr>
        <w:keepNext w:val="0"/>
        <w:keepLines w:val="0"/>
        <w:pageBreakBefore w:val="0"/>
        <w:kinsoku/>
        <w:wordWrap/>
        <w:overflowPunct/>
        <w:topLinePunct w:val="0"/>
        <w:autoSpaceDE/>
        <w:autoSpaceDN/>
        <w:bidi w:val="0"/>
        <w:spacing w:before="312" w:beforeLines="100" w:line="48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、技术服务</w:t>
      </w:r>
      <w:r>
        <w:rPr>
          <w:rFonts w:hint="eastAsia" w:ascii="宋体" w:hAnsi="宋体" w:eastAsia="宋体" w:cs="宋体"/>
          <w:b/>
          <w:color w:val="auto"/>
          <w:sz w:val="24"/>
          <w:szCs w:val="24"/>
          <w:highlight w:val="none"/>
          <w:lang w:eastAsia="zh-CN"/>
        </w:rPr>
        <w:t>要求：</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中标方</w:t>
      </w:r>
      <w:r>
        <w:rPr>
          <w:rFonts w:hint="eastAsia" w:ascii="宋体" w:hAnsi="宋体" w:eastAsia="宋体" w:cs="宋体"/>
          <w:color w:val="auto"/>
          <w:sz w:val="24"/>
          <w:szCs w:val="24"/>
          <w:highlight w:val="none"/>
        </w:rPr>
        <w:t>必须向买方提供</w:t>
      </w:r>
      <w:r>
        <w:rPr>
          <w:rFonts w:hint="eastAsia" w:ascii="宋体" w:hAnsi="宋体" w:eastAsia="宋体" w:cs="宋体"/>
          <w:color w:val="auto"/>
          <w:sz w:val="24"/>
          <w:szCs w:val="24"/>
          <w:highlight w:val="none"/>
          <w:lang w:val="en-US" w:eastAsia="zh-CN"/>
        </w:rPr>
        <w:t xml:space="preserve"> 18</w:t>
      </w:r>
      <w:r>
        <w:rPr>
          <w:rFonts w:hint="eastAsia" w:ascii="宋体" w:hAnsi="宋体" w:eastAsia="宋体" w:cs="宋体"/>
          <w:color w:val="auto"/>
          <w:sz w:val="24"/>
          <w:szCs w:val="24"/>
          <w:highlight w:val="none"/>
          <w:lang w:eastAsia="zh-CN"/>
        </w:rPr>
        <w:t>个月</w:t>
      </w:r>
      <w:r>
        <w:rPr>
          <w:rFonts w:hint="eastAsia" w:ascii="宋体" w:hAnsi="宋体" w:eastAsia="宋体" w:cs="宋体"/>
          <w:color w:val="auto"/>
          <w:sz w:val="24"/>
          <w:szCs w:val="24"/>
          <w:highlight w:val="none"/>
        </w:rPr>
        <w:t>的免费</w:t>
      </w:r>
      <w:r>
        <w:rPr>
          <w:rFonts w:hint="eastAsia" w:ascii="宋体" w:hAnsi="宋体" w:eastAsia="宋体" w:cs="宋体"/>
          <w:color w:val="auto"/>
          <w:sz w:val="24"/>
          <w:szCs w:val="24"/>
          <w:highlight w:val="none"/>
          <w:lang w:eastAsia="zh-CN"/>
        </w:rPr>
        <w:t>质保</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中标方</w:t>
      </w: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eastAsia="zh-CN"/>
        </w:rPr>
        <w:t>货物原厂</w:t>
      </w:r>
      <w:r>
        <w:rPr>
          <w:rFonts w:hint="eastAsia" w:ascii="宋体" w:hAnsi="宋体" w:eastAsia="宋体" w:cs="宋体"/>
          <w:color w:val="auto"/>
          <w:sz w:val="24"/>
          <w:szCs w:val="24"/>
          <w:highlight w:val="none"/>
        </w:rPr>
        <w:t>全套技术</w:t>
      </w:r>
      <w:r>
        <w:rPr>
          <w:rFonts w:hint="eastAsia" w:ascii="宋体" w:hAnsi="宋体" w:eastAsia="宋体" w:cs="宋体"/>
          <w:color w:val="auto"/>
          <w:sz w:val="24"/>
          <w:szCs w:val="24"/>
          <w:highlight w:val="none"/>
          <w:lang w:eastAsia="zh-CN"/>
        </w:rPr>
        <w:t>资料</w:t>
      </w:r>
      <w:r>
        <w:rPr>
          <w:rFonts w:hint="eastAsia" w:ascii="宋体" w:hAnsi="宋体" w:eastAsia="宋体" w:cs="宋体"/>
          <w:color w:val="auto"/>
          <w:sz w:val="24"/>
          <w:szCs w:val="24"/>
          <w:highlight w:val="none"/>
        </w:rPr>
        <w:t>及产品</w:t>
      </w:r>
      <w:r>
        <w:rPr>
          <w:rFonts w:hint="eastAsia" w:ascii="宋体" w:hAnsi="宋体" w:eastAsia="宋体" w:cs="宋体"/>
          <w:color w:val="auto"/>
          <w:sz w:val="24"/>
          <w:szCs w:val="24"/>
          <w:highlight w:val="none"/>
          <w:lang w:eastAsia="zh-CN"/>
        </w:rPr>
        <w:t>说明书</w:t>
      </w:r>
      <w:r>
        <w:rPr>
          <w:rFonts w:hint="eastAsia" w:ascii="宋体" w:hAnsi="宋体" w:eastAsia="宋体" w:cs="宋体"/>
          <w:color w:val="auto"/>
          <w:sz w:val="24"/>
          <w:szCs w:val="24"/>
          <w:highlight w:val="none"/>
        </w:rPr>
        <w:t>，包括中英文的安装说明</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、操作手册、使用手册，产品合格证明文件。</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3、中标方须对货物的使用提供免费的技术培训、指导服务；</w:t>
      </w:r>
    </w:p>
    <w:p>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4、质保期满后中标方须对货物提供终身维修服务，若</w:t>
      </w:r>
      <w:r>
        <w:rPr>
          <w:rFonts w:hint="eastAsia" w:ascii="宋体" w:hAnsi="宋体" w:eastAsia="宋体" w:cs="宋体"/>
          <w:color w:val="auto"/>
          <w:sz w:val="24"/>
          <w:szCs w:val="24"/>
          <w:highlight w:val="none"/>
          <w:lang w:eastAsia="zh-CN"/>
        </w:rPr>
        <w:t>设备</w:t>
      </w:r>
      <w:r>
        <w:rPr>
          <w:rFonts w:hint="eastAsia" w:ascii="宋体" w:hAnsi="宋体" w:eastAsia="宋体" w:cs="宋体"/>
          <w:color w:val="auto"/>
          <w:sz w:val="24"/>
          <w:szCs w:val="24"/>
          <w:highlight w:val="none"/>
        </w:rPr>
        <w:t>出现故障时，</w:t>
      </w:r>
      <w:r>
        <w:rPr>
          <w:rFonts w:hint="eastAsia" w:ascii="宋体" w:hAnsi="宋体" w:eastAsia="宋体" w:cs="宋体"/>
          <w:color w:val="auto"/>
          <w:sz w:val="24"/>
          <w:szCs w:val="24"/>
          <w:highlight w:val="none"/>
          <w:lang w:eastAsia="zh-CN"/>
        </w:rPr>
        <w:t>中标方须</w:t>
      </w:r>
      <w:r>
        <w:rPr>
          <w:rFonts w:hint="eastAsia" w:ascii="宋体" w:hAnsi="宋体" w:eastAsia="宋体" w:cs="宋体"/>
          <w:color w:val="auto"/>
          <w:sz w:val="24"/>
          <w:szCs w:val="24"/>
          <w:highlight w:val="none"/>
        </w:rPr>
        <w:t>在接到通知后</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小时内响应，</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小时内到现场维修，如遇到大的零配件更换，最长排除故障时限不超过1周。</w:t>
      </w:r>
    </w:p>
    <w:p>
      <w:pPr>
        <w:keepNext w:val="0"/>
        <w:keepLines w:val="0"/>
        <w:pageBreakBefore w:val="0"/>
        <w:widowControl/>
        <w:kinsoku/>
        <w:wordWrap/>
        <w:overflowPunct/>
        <w:topLinePunct w:val="0"/>
        <w:autoSpaceDE/>
        <w:autoSpaceDN/>
        <w:bidi w:val="0"/>
        <w:spacing w:line="480" w:lineRule="exact"/>
        <w:ind w:firstLine="482" w:firstLineChars="200"/>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八</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投标</w:t>
      </w:r>
      <w:r>
        <w:rPr>
          <w:rFonts w:hint="eastAsia" w:ascii="宋体" w:hAnsi="宋体" w:eastAsia="宋体" w:cs="宋体"/>
          <w:b/>
          <w:bCs/>
          <w:color w:val="auto"/>
          <w:kern w:val="0"/>
          <w:sz w:val="24"/>
          <w:szCs w:val="24"/>
          <w:highlight w:val="none"/>
          <w:lang w:eastAsia="zh-CN"/>
        </w:rPr>
        <w:t>报价方式及内容</w:t>
      </w:r>
    </w:p>
    <w:p>
      <w:pPr>
        <w:keepNext w:val="0"/>
        <w:keepLines w:val="0"/>
        <w:pageBreakBefore w:val="0"/>
        <w:widowControl/>
        <w:kinsoku/>
        <w:wordWrap/>
        <w:overflowPunct/>
        <w:topLinePunct w:val="0"/>
        <w:autoSpaceDE/>
        <w:autoSpaceDN/>
        <w:bidi w:val="0"/>
        <w:adjustRightInd/>
        <w:snapToGrid/>
        <w:spacing w:line="48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（1）上述货物以人民币报出一次性不得更改的价格，报价包括：</w:t>
      </w:r>
      <w:r>
        <w:rPr>
          <w:rFonts w:hint="eastAsia" w:ascii="宋体" w:hAnsi="宋体" w:cs="宋体"/>
          <w:bCs/>
          <w:color w:val="auto"/>
          <w:sz w:val="24"/>
          <w:szCs w:val="24"/>
          <w:highlight w:val="none"/>
          <w:lang w:eastAsia="zh-CN"/>
        </w:rPr>
        <w:t>设备（地磅秤体、地磅引桥须分别报价）</w:t>
      </w:r>
      <w:r>
        <w:rPr>
          <w:rFonts w:hint="eastAsia" w:ascii="宋体" w:hAnsi="宋体" w:eastAsia="宋体" w:cs="宋体"/>
          <w:bCs/>
          <w:color w:val="auto"/>
          <w:sz w:val="24"/>
          <w:szCs w:val="24"/>
          <w:highlight w:val="none"/>
        </w:rPr>
        <w:t>、附件费、包装运输费、税金、</w:t>
      </w:r>
      <w:r>
        <w:rPr>
          <w:rFonts w:hint="eastAsia" w:ascii="宋体" w:hAnsi="宋体" w:cs="宋体"/>
          <w:bCs/>
          <w:color w:val="auto"/>
          <w:sz w:val="24"/>
          <w:szCs w:val="24"/>
          <w:highlight w:val="none"/>
          <w:lang w:eastAsia="zh-CN"/>
        </w:rPr>
        <w:t>备品备件、</w:t>
      </w:r>
      <w:r>
        <w:rPr>
          <w:rFonts w:hint="eastAsia" w:ascii="宋体" w:hAnsi="宋体" w:eastAsia="宋体" w:cs="宋体"/>
          <w:bCs/>
          <w:color w:val="auto"/>
          <w:sz w:val="24"/>
          <w:szCs w:val="24"/>
          <w:highlight w:val="none"/>
          <w:lang w:eastAsia="zh-CN"/>
        </w:rPr>
        <w:t>培训</w:t>
      </w:r>
      <w:r>
        <w:rPr>
          <w:rFonts w:hint="eastAsia" w:ascii="宋体" w:hAnsi="宋体" w:eastAsia="宋体" w:cs="宋体"/>
          <w:bCs/>
          <w:color w:val="auto"/>
          <w:sz w:val="24"/>
          <w:szCs w:val="24"/>
          <w:highlight w:val="none"/>
        </w:rPr>
        <w:t>等相关费用</w:t>
      </w:r>
      <w:r>
        <w:rPr>
          <w:rFonts w:hint="eastAsia" w:ascii="宋体" w:hAnsi="宋体" w:eastAsia="宋体" w:cs="宋体"/>
          <w:bCs/>
          <w:color w:val="auto"/>
          <w:sz w:val="24"/>
          <w:szCs w:val="24"/>
          <w:highlight w:val="none"/>
          <w:lang w:eastAsia="zh-CN"/>
        </w:rPr>
        <w:t>；所投价格</w:t>
      </w:r>
      <w:r>
        <w:rPr>
          <w:rFonts w:hint="eastAsia" w:ascii="宋体" w:hAnsi="宋体" w:eastAsia="宋体" w:cs="宋体"/>
          <w:color w:val="auto"/>
          <w:sz w:val="24"/>
          <w:szCs w:val="24"/>
          <w:highlight w:val="none"/>
          <w:lang w:eastAsia="zh-CN"/>
        </w:rPr>
        <w:t>不得超过最高限价，否则投标无效。</w:t>
      </w:r>
    </w:p>
    <w:p>
      <w:pPr>
        <w:keepNext w:val="0"/>
        <w:keepLines w:val="0"/>
        <w:pageBreakBefore w:val="0"/>
        <w:kinsoku/>
        <w:wordWrap/>
        <w:overflowPunct/>
        <w:topLinePunct w:val="0"/>
        <w:autoSpaceDE/>
        <w:autoSpaceDN/>
        <w:bidi w:val="0"/>
        <w:adjustRightInd/>
        <w:snapToGrid/>
        <w:spacing w:line="480" w:lineRule="exact"/>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（2）凡涉及报价的补充说明或修正，均以书面形式进行。</w:t>
      </w:r>
    </w:p>
    <w:p>
      <w:pPr>
        <w:keepNext w:val="0"/>
        <w:keepLines w:val="0"/>
        <w:pageBreakBefore w:val="0"/>
        <w:kinsoku/>
        <w:wordWrap/>
        <w:overflowPunct/>
        <w:topLinePunct w:val="0"/>
        <w:autoSpaceDE/>
        <w:autoSpaceDN/>
        <w:bidi w:val="0"/>
        <w:adjustRightInd/>
        <w:snapToGrid/>
        <w:spacing w:line="480" w:lineRule="exact"/>
        <w:ind w:left="239" w:leftChars="114"/>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w:t>
      </w:r>
      <w:r>
        <w:rPr>
          <w:rFonts w:hint="eastAsia" w:ascii="宋体" w:hAnsi="宋体" w:cs="宋体"/>
          <w:bCs/>
          <w:color w:val="auto"/>
          <w:sz w:val="24"/>
          <w:szCs w:val="24"/>
          <w:highlight w:val="none"/>
          <w:lang w:eastAsia="zh-CN"/>
        </w:rPr>
        <w:t>投标</w:t>
      </w:r>
      <w:r>
        <w:rPr>
          <w:rFonts w:hint="eastAsia" w:ascii="宋体" w:hAnsi="宋体" w:eastAsia="宋体" w:cs="宋体"/>
          <w:bCs/>
          <w:color w:val="auto"/>
          <w:sz w:val="24"/>
          <w:szCs w:val="24"/>
          <w:highlight w:val="none"/>
        </w:rPr>
        <w:t>货物与需求货物有偏离，请</w:t>
      </w:r>
      <w:r>
        <w:rPr>
          <w:rFonts w:hint="eastAsia" w:ascii="宋体" w:hAnsi="宋体" w:cs="宋体"/>
          <w:bCs/>
          <w:color w:val="auto"/>
          <w:sz w:val="24"/>
          <w:szCs w:val="24"/>
          <w:highlight w:val="none"/>
          <w:lang w:eastAsia="zh-CN"/>
        </w:rPr>
        <w:t>投标人</w:t>
      </w:r>
      <w:r>
        <w:rPr>
          <w:rFonts w:hint="eastAsia" w:ascii="宋体" w:hAnsi="宋体" w:eastAsia="宋体" w:cs="宋体"/>
          <w:bCs/>
          <w:color w:val="auto"/>
          <w:sz w:val="24"/>
          <w:szCs w:val="24"/>
          <w:highlight w:val="none"/>
        </w:rPr>
        <w:t>提供所报货物的详细技术规格说明（如产品说明书等），并确保其性能不低于需求货物。</w:t>
      </w:r>
    </w:p>
    <w:p>
      <w:pPr>
        <w:keepNext w:val="0"/>
        <w:keepLines w:val="0"/>
        <w:pageBreakBefore w:val="0"/>
        <w:kinsoku/>
        <w:wordWrap/>
        <w:overflowPunct/>
        <w:topLinePunct w:val="0"/>
        <w:autoSpaceDE/>
        <w:autoSpaceDN/>
        <w:bidi w:val="0"/>
        <w:adjustRightInd/>
        <w:snapToGrid/>
        <w:spacing w:line="480" w:lineRule="exact"/>
        <w:ind w:left="479" w:leftChars="114" w:hanging="240" w:hanging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所有投标人均</w:t>
      </w:r>
      <w:r>
        <w:rPr>
          <w:rFonts w:hint="eastAsia" w:ascii="宋体" w:hAnsi="宋体" w:eastAsia="宋体" w:cs="宋体"/>
          <w:bCs/>
          <w:color w:val="auto"/>
          <w:sz w:val="24"/>
          <w:szCs w:val="24"/>
          <w:highlight w:val="none"/>
        </w:rPr>
        <w:t>可对安装现场进行踏勘，但费用由</w:t>
      </w:r>
      <w:r>
        <w:rPr>
          <w:rFonts w:hint="eastAsia" w:ascii="宋体" w:hAnsi="宋体" w:cs="宋体"/>
          <w:bCs/>
          <w:color w:val="auto"/>
          <w:sz w:val="24"/>
          <w:szCs w:val="24"/>
          <w:highlight w:val="none"/>
          <w:lang w:eastAsia="zh-CN"/>
        </w:rPr>
        <w:t>投标人</w:t>
      </w:r>
      <w:r>
        <w:rPr>
          <w:rFonts w:hint="eastAsia" w:ascii="宋体" w:hAnsi="宋体" w:eastAsia="宋体" w:cs="宋体"/>
          <w:bCs/>
          <w:color w:val="auto"/>
          <w:sz w:val="24"/>
          <w:szCs w:val="24"/>
          <w:highlight w:val="none"/>
        </w:rPr>
        <w:t>自行承担。</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Cs/>
          <w:color w:val="auto"/>
          <w:sz w:val="24"/>
          <w:szCs w:val="24"/>
          <w:highlight w:val="none"/>
        </w:rPr>
      </w:pPr>
      <w:r>
        <w:rPr>
          <w:rFonts w:hint="eastAsia" w:ascii="宋体" w:hAnsi="宋体" w:cs="宋体"/>
          <w:b/>
          <w:bCs w:val="0"/>
          <w:color w:val="auto"/>
          <w:sz w:val="24"/>
          <w:szCs w:val="24"/>
          <w:highlight w:val="none"/>
          <w:lang w:eastAsia="zh-CN"/>
        </w:rPr>
        <w:t>九</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付款方式：</w:t>
      </w:r>
      <w:r>
        <w:rPr>
          <w:rFonts w:hint="eastAsia" w:ascii="宋体" w:hAnsi="宋体" w:eastAsia="宋体" w:cs="宋体"/>
          <w:bCs/>
          <w:color w:val="auto"/>
          <w:sz w:val="24"/>
          <w:szCs w:val="24"/>
          <w:highlight w:val="none"/>
        </w:rPr>
        <w:t>该项目的货款以人民币支付，安装调试完毕经验收合格后</w:t>
      </w:r>
      <w:r>
        <w:rPr>
          <w:rFonts w:hint="eastAsia" w:ascii="宋体" w:hAnsi="宋体" w:eastAsia="宋体" w:cs="宋体"/>
          <w:bCs/>
          <w:color w:val="auto"/>
          <w:sz w:val="24"/>
          <w:szCs w:val="24"/>
          <w:highlight w:val="none"/>
          <w:lang w:eastAsia="zh-CN"/>
        </w:rPr>
        <w:t>一个月内</w:t>
      </w:r>
      <w:r>
        <w:rPr>
          <w:rFonts w:hint="eastAsia" w:ascii="宋体" w:hAnsi="宋体" w:eastAsia="宋体" w:cs="宋体"/>
          <w:bCs/>
          <w:color w:val="auto"/>
          <w:sz w:val="24"/>
          <w:szCs w:val="24"/>
          <w:highlight w:val="none"/>
        </w:rPr>
        <w:t>支付</w:t>
      </w:r>
      <w:r>
        <w:rPr>
          <w:rFonts w:hint="eastAsia" w:ascii="宋体" w:hAnsi="宋体" w:eastAsia="宋体" w:cs="宋体"/>
          <w:bCs/>
          <w:color w:val="auto"/>
          <w:sz w:val="24"/>
          <w:szCs w:val="24"/>
          <w:highlight w:val="none"/>
          <w:lang w:eastAsia="zh-CN"/>
        </w:rPr>
        <w:t>至</w:t>
      </w:r>
      <w:r>
        <w:rPr>
          <w:rFonts w:hint="eastAsia" w:ascii="宋体" w:hAnsi="宋体" w:eastAsia="宋体" w:cs="宋体"/>
          <w:bCs/>
          <w:color w:val="auto"/>
          <w:sz w:val="24"/>
          <w:szCs w:val="24"/>
          <w:highlight w:val="none"/>
        </w:rPr>
        <w:t>合同总价</w:t>
      </w:r>
      <w:r>
        <w:rPr>
          <w:rFonts w:hint="eastAsia" w:ascii="宋体" w:hAnsi="宋体" w:eastAsia="宋体" w:cs="宋体"/>
          <w:bCs/>
          <w:color w:val="auto"/>
          <w:sz w:val="24"/>
          <w:szCs w:val="24"/>
          <w:highlight w:val="none"/>
          <w:lang w:eastAsia="zh-CN"/>
        </w:rPr>
        <w:t>款</w:t>
      </w:r>
      <w:r>
        <w:rPr>
          <w:rFonts w:hint="eastAsia" w:ascii="宋体" w:hAnsi="宋体" w:eastAsia="宋体" w:cs="宋体"/>
          <w:bCs/>
          <w:color w:val="auto"/>
          <w:sz w:val="24"/>
          <w:szCs w:val="24"/>
          <w:highlight w:val="none"/>
        </w:rPr>
        <w:t>的9</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%，剩余</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作为质保金在质保期满后一个月内无息</w:t>
      </w:r>
      <w:r>
        <w:rPr>
          <w:rFonts w:hint="eastAsia" w:ascii="宋体" w:hAnsi="宋体" w:eastAsia="宋体" w:cs="宋体"/>
          <w:bCs/>
          <w:color w:val="auto"/>
          <w:sz w:val="24"/>
          <w:szCs w:val="24"/>
          <w:highlight w:val="none"/>
        </w:rPr>
        <w:t>付清。</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十</w:t>
      </w:r>
      <w:r>
        <w:rPr>
          <w:rFonts w:hint="eastAsia" w:ascii="宋体" w:hAnsi="宋体" w:eastAsia="宋体" w:cs="宋体"/>
          <w:b/>
          <w:color w:val="auto"/>
          <w:sz w:val="24"/>
          <w:szCs w:val="24"/>
          <w:highlight w:val="none"/>
        </w:rPr>
        <w:t>、评标细则（满分100分）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本次评标采用综合评分法，评标委员会通过对商务、技术等因素的综合评审进行打分，综合得分最高的投标人排名第一，依此类推确定排名顺序，按排名顺序先后推荐为中标候选人。</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本次评标按百分制评分，其中商务评审为</w:t>
      </w:r>
      <w:r>
        <w:rPr>
          <w:rFonts w:hint="eastAsia" w:ascii="宋体" w:hAnsi="宋体" w:cs="宋体"/>
          <w:color w:val="auto"/>
          <w:sz w:val="24"/>
          <w:szCs w:val="24"/>
          <w:highlight w:val="none"/>
          <w:lang w:val="en-US" w:eastAsia="zh-CN"/>
        </w:rPr>
        <w:t>73</w:t>
      </w:r>
      <w:r>
        <w:rPr>
          <w:rFonts w:hint="eastAsia" w:ascii="宋体" w:hAnsi="宋体" w:eastAsia="宋体" w:cs="宋体"/>
          <w:color w:val="auto"/>
          <w:sz w:val="24"/>
          <w:szCs w:val="24"/>
          <w:highlight w:val="none"/>
        </w:rPr>
        <w:t>分，技术评审为</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分。具体评分细则如下：</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总则</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评委会成员应严格按下列具体评审内容及相应分值客观、公正地进行评分。计算每个投标人的得分时，对所有评委的评分计算算术平均值作为该投标人的最终得分。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&lt;一&gt;、商务评审得分（满分</w:t>
      </w:r>
      <w:r>
        <w:rPr>
          <w:rFonts w:hint="eastAsia" w:ascii="宋体" w:hAnsi="宋体" w:cs="宋体"/>
          <w:b/>
          <w:color w:val="auto"/>
          <w:sz w:val="24"/>
          <w:szCs w:val="24"/>
          <w:highlight w:val="none"/>
          <w:lang w:val="en-US" w:eastAsia="zh-CN"/>
        </w:rPr>
        <w:t>73</w:t>
      </w:r>
      <w:r>
        <w:rPr>
          <w:rFonts w:hint="eastAsia" w:ascii="宋体" w:hAnsi="宋体" w:eastAsia="宋体" w:cs="宋体"/>
          <w:b/>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1）报价评审得分   </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（满分</w:t>
      </w: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rPr>
        <w:t>0分）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报价得分：以所有有效投标人评标价的算术平均值（如投标人超过5家（含5家），则去掉一个最高价和一个最低价后计算算术平均值）下浮2%作为基准价得满分</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分，投标人的评标价与基准价相比，投标人评标价每高基准价</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%扣1分，每低基准价</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%的扣0.5分，</w:t>
      </w:r>
      <w:r>
        <w:rPr>
          <w:rFonts w:hint="eastAsia" w:ascii="宋体" w:hAnsi="宋体" w:cs="宋体"/>
          <w:color w:val="auto"/>
          <w:sz w:val="24"/>
          <w:szCs w:val="24"/>
          <w:highlight w:val="none"/>
          <w:lang w:val="en-US" w:eastAsia="zh-CN"/>
        </w:rPr>
        <w:t>不足1%按插入法计算，</w:t>
      </w:r>
      <w:r>
        <w:rPr>
          <w:rFonts w:hint="eastAsia" w:ascii="宋体" w:hAnsi="宋体" w:eastAsia="宋体" w:cs="宋体"/>
          <w:color w:val="auto"/>
          <w:sz w:val="24"/>
          <w:szCs w:val="24"/>
          <w:highlight w:val="none"/>
        </w:rPr>
        <w:t>保留两位小数。</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2）商务条款评审得分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（满分</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A、对各家的投标文件进行按“投标文件格式”进行符合性检查,如不符合“投标文件格式”则不得分。（满分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B、提供设备制造商通过ISO9001质量管理体系认证证书。（</w:t>
      </w:r>
      <w:r>
        <w:rPr>
          <w:rFonts w:hint="eastAsia" w:ascii="宋体" w:hAnsi="宋体" w:eastAsia="宋体" w:cs="宋体"/>
          <w:color w:val="auto"/>
          <w:sz w:val="24"/>
          <w:szCs w:val="24"/>
          <w:highlight w:val="none"/>
          <w:lang w:eastAsia="zh-CN"/>
        </w:rPr>
        <w:t>复印件加盖公章，原件</w:t>
      </w:r>
      <w:r>
        <w:rPr>
          <w:rFonts w:hint="eastAsia" w:ascii="宋体" w:hAnsi="宋体" w:cs="宋体"/>
          <w:color w:val="auto"/>
          <w:sz w:val="24"/>
          <w:szCs w:val="24"/>
          <w:highlight w:val="none"/>
          <w:lang w:eastAsia="zh-CN"/>
        </w:rPr>
        <w:t>备查</w:t>
      </w:r>
      <w:r>
        <w:rPr>
          <w:rFonts w:hint="eastAsia" w:ascii="宋体" w:hAnsi="宋体" w:eastAsia="宋体" w:cs="宋体"/>
          <w:color w:val="auto"/>
          <w:sz w:val="24"/>
          <w:szCs w:val="24"/>
          <w:highlight w:val="none"/>
        </w:rPr>
        <w:t>，如代理商投标提供复印件加盖制造商公章）（满分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C、交货期完全满足招标文件要求，在此基础上</w:t>
      </w:r>
      <w:r>
        <w:rPr>
          <w:rFonts w:hint="eastAsia" w:ascii="宋体" w:hAnsi="宋体" w:cs="宋体"/>
          <w:color w:val="auto"/>
          <w:sz w:val="24"/>
          <w:szCs w:val="24"/>
          <w:highlight w:val="none"/>
          <w:lang w:val="en-US" w:eastAsia="zh-CN"/>
        </w:rPr>
        <w:t>承诺</w:t>
      </w:r>
      <w:r>
        <w:rPr>
          <w:rFonts w:hint="eastAsia" w:ascii="宋体" w:hAnsi="宋体" w:eastAsia="宋体" w:cs="宋体"/>
          <w:color w:val="auto"/>
          <w:sz w:val="24"/>
          <w:szCs w:val="24"/>
          <w:highlight w:val="none"/>
          <w:lang w:val="en-US" w:eastAsia="zh-CN"/>
        </w:rPr>
        <w:t>提前5天及以上的，得1分，提前10天及以上的得2分。（满分2分）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3）销售业绩得分                                            （满分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2018年1月</w:t>
      </w:r>
      <w:r>
        <w:rPr>
          <w:rFonts w:hint="eastAsia" w:ascii="宋体" w:hAnsi="宋体" w:eastAsia="宋体" w:cs="宋体"/>
          <w:color w:val="auto"/>
          <w:sz w:val="24"/>
          <w:szCs w:val="24"/>
          <w:highlight w:val="none"/>
        </w:rPr>
        <w:t>以来同类货物供货业绩</w:t>
      </w:r>
      <w:r>
        <w:rPr>
          <w:rFonts w:hint="eastAsia" w:ascii="宋体" w:hAnsi="宋体" w:eastAsia="宋体" w:cs="宋体"/>
          <w:color w:val="auto"/>
          <w:sz w:val="24"/>
          <w:szCs w:val="24"/>
          <w:highlight w:val="none"/>
          <w:lang w:eastAsia="zh-CN"/>
        </w:rPr>
        <w:t>（单份合同金额十万元以上）</w:t>
      </w:r>
      <w:r>
        <w:rPr>
          <w:rFonts w:hint="eastAsia" w:ascii="宋体" w:hAnsi="宋体" w:eastAsia="宋体" w:cs="宋体"/>
          <w:color w:val="auto"/>
          <w:sz w:val="24"/>
          <w:szCs w:val="24"/>
          <w:highlight w:val="none"/>
        </w:rPr>
        <w:t>情况进行评审,</w:t>
      </w:r>
      <w:r>
        <w:rPr>
          <w:rFonts w:hint="eastAsia" w:ascii="宋体" w:hAnsi="宋体" w:eastAsia="宋体" w:cs="宋体"/>
          <w:color w:val="auto"/>
          <w:kern w:val="0"/>
          <w:sz w:val="24"/>
          <w:szCs w:val="24"/>
          <w:highlight w:val="none"/>
          <w:lang w:val="en-US" w:eastAsia="zh-CN"/>
        </w:rPr>
        <w:t>有一项2分，满分10分。</w:t>
      </w:r>
      <w:r>
        <w:rPr>
          <w:rFonts w:hint="eastAsia" w:ascii="宋体" w:hAnsi="宋体" w:eastAsia="宋体" w:cs="宋体"/>
          <w:color w:val="auto"/>
          <w:sz w:val="24"/>
          <w:szCs w:val="24"/>
          <w:highlight w:val="none"/>
        </w:rPr>
        <w:t>（投标文件中提供合同或用户证明复印件，原件备查）。</w:t>
      </w:r>
    </w:p>
    <w:p>
      <w:pPr>
        <w:pStyle w:val="47"/>
        <w:keepNext w:val="0"/>
        <w:keepLines w:val="0"/>
        <w:pageBreakBefore w:val="0"/>
        <w:kinsoku/>
        <w:wordWrap/>
        <w:topLinePunct w:val="0"/>
        <w:bidi w:val="0"/>
        <w:spacing w:line="480" w:lineRule="exact"/>
        <w:ind w:left="0" w:leftChars="0" w:firstLine="458" w:firstLineChars="200"/>
        <w:rPr>
          <w:rFonts w:hint="eastAsia" w:ascii="宋体" w:hAnsi="宋体" w:eastAsia="宋体" w:cs="宋体"/>
          <w:b/>
          <w:bCs/>
          <w:color w:val="auto"/>
          <w:spacing w:val="-34"/>
          <w:sz w:val="24"/>
          <w:szCs w:val="24"/>
          <w:highlight w:val="none"/>
          <w:lang w:val="en-US" w:eastAsia="zh-CN"/>
        </w:rPr>
      </w:pPr>
      <w:r>
        <w:rPr>
          <w:rFonts w:hint="eastAsia" w:ascii="宋体" w:hAnsi="宋体" w:cs="宋体"/>
          <w:b/>
          <w:bCs/>
          <w:color w:val="auto"/>
          <w:spacing w:val="-6"/>
          <w:sz w:val="24"/>
          <w:szCs w:val="24"/>
          <w:highlight w:val="none"/>
          <w:lang w:val="en-US" w:eastAsia="zh-CN"/>
        </w:rPr>
        <w:t>4</w:t>
      </w:r>
      <w:r>
        <w:rPr>
          <w:rFonts w:hint="eastAsia" w:ascii="宋体" w:hAnsi="宋体" w:eastAsia="宋体" w:cs="宋体"/>
          <w:b/>
          <w:bCs/>
          <w:color w:val="auto"/>
          <w:spacing w:val="-6"/>
          <w:sz w:val="24"/>
          <w:szCs w:val="24"/>
          <w:highlight w:val="none"/>
          <w:lang w:val="en-US" w:eastAsia="zh-CN"/>
        </w:rPr>
        <w:t>）</w:t>
      </w:r>
      <w:r>
        <w:rPr>
          <w:rFonts w:hint="eastAsia" w:ascii="宋体" w:hAnsi="宋体" w:eastAsia="宋体" w:cs="宋体"/>
          <w:b/>
          <w:bCs/>
          <w:color w:val="auto"/>
          <w:spacing w:val="-6"/>
          <w:sz w:val="24"/>
          <w:szCs w:val="24"/>
          <w:highlight w:val="none"/>
        </w:rPr>
        <w:t>货物的备品备件是否合理充足 </w:t>
      </w:r>
      <w:r>
        <w:rPr>
          <w:rFonts w:hint="eastAsia" w:ascii="宋体" w:hAnsi="宋体" w:eastAsia="宋体" w:cs="宋体"/>
          <w:b/>
          <w:bCs/>
          <w:color w:val="auto"/>
          <w:spacing w:val="-34"/>
          <w:sz w:val="24"/>
          <w:szCs w:val="24"/>
          <w:highlight w:val="none"/>
        </w:rPr>
        <w:t>          </w:t>
      </w:r>
      <w:r>
        <w:rPr>
          <w:rFonts w:hint="eastAsia" w:ascii="宋体" w:hAnsi="宋体" w:eastAsia="宋体" w:cs="宋体"/>
          <w:b/>
          <w:bCs/>
          <w:color w:val="auto"/>
          <w:spacing w:val="-34"/>
          <w:sz w:val="24"/>
          <w:szCs w:val="24"/>
          <w:highlight w:val="none"/>
          <w:lang w:val="en-US" w:eastAsia="zh-CN"/>
        </w:rPr>
        <w:t xml:space="preserve">            </w:t>
      </w:r>
      <w:r>
        <w:rPr>
          <w:rFonts w:hint="eastAsia" w:ascii="宋体" w:hAnsi="宋体" w:eastAsia="宋体" w:cs="宋体"/>
          <w:b/>
          <w:bCs/>
          <w:color w:val="auto"/>
          <w:spacing w:val="-17"/>
          <w:sz w:val="24"/>
          <w:szCs w:val="24"/>
          <w:highlight w:val="none"/>
          <w:lang w:val="en-US" w:eastAsia="zh-CN"/>
        </w:rPr>
        <w:t xml:space="preserve">  </w:t>
      </w:r>
      <w:r>
        <w:rPr>
          <w:rFonts w:hint="eastAsia" w:ascii="宋体" w:hAnsi="宋体" w:cs="宋体"/>
          <w:b/>
          <w:bCs/>
          <w:color w:val="auto"/>
          <w:spacing w:val="-17"/>
          <w:sz w:val="24"/>
          <w:szCs w:val="24"/>
          <w:highlight w:val="none"/>
          <w:lang w:val="en-US" w:eastAsia="zh-CN"/>
        </w:rPr>
        <w:t xml:space="preserve">     </w:t>
      </w:r>
      <w:r>
        <w:rPr>
          <w:rFonts w:hint="eastAsia" w:ascii="宋体" w:hAnsi="宋体" w:eastAsia="宋体" w:cs="宋体"/>
          <w:b/>
          <w:bCs/>
          <w:color w:val="auto"/>
          <w:spacing w:val="-17"/>
          <w:sz w:val="24"/>
          <w:szCs w:val="24"/>
          <w:highlight w:val="none"/>
          <w:lang w:val="en-US" w:eastAsia="zh-CN"/>
        </w:rPr>
        <w:t xml:space="preserve">  </w:t>
      </w:r>
      <w:r>
        <w:rPr>
          <w:rFonts w:hint="eastAsia" w:ascii="宋体" w:hAnsi="宋体" w:eastAsia="宋体" w:cs="宋体"/>
          <w:b/>
          <w:bCs/>
          <w:color w:val="auto"/>
          <w:spacing w:val="-17"/>
          <w:sz w:val="24"/>
          <w:szCs w:val="24"/>
          <w:highlight w:val="none"/>
        </w:rPr>
        <w:t xml:space="preserve"> （满分</w:t>
      </w:r>
      <w:r>
        <w:rPr>
          <w:rFonts w:hint="eastAsia" w:ascii="宋体" w:hAnsi="宋体" w:cs="宋体"/>
          <w:b/>
          <w:bCs/>
          <w:color w:val="auto"/>
          <w:spacing w:val="-17"/>
          <w:sz w:val="24"/>
          <w:szCs w:val="24"/>
          <w:highlight w:val="none"/>
          <w:lang w:val="en-US" w:eastAsia="zh-CN"/>
        </w:rPr>
        <w:t>2</w:t>
      </w:r>
      <w:r>
        <w:rPr>
          <w:rFonts w:hint="eastAsia" w:ascii="宋体" w:hAnsi="宋体" w:eastAsia="宋体" w:cs="宋体"/>
          <w:b/>
          <w:bCs/>
          <w:color w:val="auto"/>
          <w:spacing w:val="-17"/>
          <w:sz w:val="24"/>
          <w:szCs w:val="24"/>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）售后服务得分                                            （满分</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提供在项目所在地的售后服务机构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人员配置情况</w:t>
      </w:r>
      <w:r>
        <w:rPr>
          <w:rFonts w:hint="eastAsia" w:ascii="宋体" w:hAnsi="宋体" w:cs="宋体"/>
          <w:color w:val="auto"/>
          <w:sz w:val="24"/>
          <w:szCs w:val="24"/>
          <w:highlight w:val="none"/>
          <w:lang w:val="en-US" w:eastAsia="zh-CN"/>
        </w:rPr>
        <w:t>及售后服务措施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评委会将根据售后服务的响应时间及方式、</w:t>
      </w:r>
      <w:r>
        <w:rPr>
          <w:rFonts w:hint="eastAsia" w:ascii="宋体" w:hAnsi="宋体" w:eastAsia="宋体" w:cs="宋体"/>
          <w:color w:val="auto"/>
          <w:sz w:val="24"/>
          <w:szCs w:val="24"/>
          <w:highlight w:val="none"/>
          <w:lang w:eastAsia="zh-CN"/>
        </w:rPr>
        <w:t>质保期外配件维修更换的</w:t>
      </w:r>
      <w:r>
        <w:rPr>
          <w:rFonts w:hint="eastAsia" w:ascii="宋体" w:hAnsi="宋体" w:eastAsia="宋体" w:cs="宋体"/>
          <w:color w:val="auto"/>
          <w:sz w:val="24"/>
          <w:szCs w:val="24"/>
          <w:highlight w:val="none"/>
        </w:rPr>
        <w:t>优惠措施以及良好的售后服务体系及措施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技术培训方案安排进行打分。如提供正常售后服务外，每增加一项服务，得1分，依次类推。</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&lt;二&gt;、技术评审得分（满分</w:t>
      </w:r>
      <w:r>
        <w:rPr>
          <w:rFonts w:hint="eastAsia" w:ascii="宋体" w:hAnsi="宋体" w:cs="宋体"/>
          <w:b/>
          <w:color w:val="auto"/>
          <w:sz w:val="24"/>
          <w:szCs w:val="24"/>
          <w:highlight w:val="none"/>
          <w:lang w:val="en-US" w:eastAsia="zh-CN"/>
        </w:rPr>
        <w:t>27</w:t>
      </w:r>
      <w:r>
        <w:rPr>
          <w:rFonts w:hint="eastAsia" w:ascii="宋体" w:hAnsi="宋体" w:eastAsia="宋体" w:cs="宋体"/>
          <w:b/>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货物的运营成本、寿命、可靠性、实用性等 （满分</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根据投标文件中提供的分析说明的合理性及详尽情况进行打分，基本分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投标货物主要部件</w:t>
      </w:r>
      <w:r>
        <w:rPr>
          <w:rFonts w:hint="eastAsia" w:ascii="宋体" w:hAnsi="宋体" w:eastAsia="宋体" w:cs="宋体"/>
          <w:b/>
          <w:bCs/>
          <w:color w:val="auto"/>
          <w:sz w:val="24"/>
          <w:szCs w:val="24"/>
          <w:highlight w:val="none"/>
        </w:rPr>
        <w:t>的材质性能质量品牌档次。 （满分</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分） </w:t>
      </w:r>
    </w:p>
    <w:p>
      <w:pPr>
        <w:keepNext w:val="0"/>
        <w:keepLines w:val="0"/>
        <w:pageBreakBefore w:val="0"/>
        <w:kinsoku/>
        <w:wordWrap/>
        <w:topLinePunct w:val="0"/>
        <w:bidi w:val="0"/>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、产品技术性能（满分</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pPr>
        <w:pStyle w:val="47"/>
        <w:keepNext w:val="0"/>
        <w:keepLines w:val="0"/>
        <w:pageBreakBefore w:val="0"/>
        <w:kinsoku/>
        <w:wordWrap/>
        <w:topLinePunct w:val="0"/>
        <w:bidi w:val="0"/>
        <w:spacing w:line="4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所提供产品详细技术性能，完全满足招标文件要求的得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pStyle w:val="47"/>
        <w:keepNext w:val="0"/>
        <w:keepLines w:val="0"/>
        <w:pageBreakBefore w:val="0"/>
        <w:kinsoku/>
        <w:wordWrap/>
        <w:topLinePunct w:val="0"/>
        <w:bidi w:val="0"/>
        <w:spacing w:line="4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所提供产品详细技术性能，基本满足招标文件要求且偏差在合理范围内得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47"/>
        <w:keepNext w:val="0"/>
        <w:keepLines w:val="0"/>
        <w:pageBreakBefore w:val="0"/>
        <w:kinsoku/>
        <w:wordWrap/>
        <w:topLinePunct w:val="0"/>
        <w:bidi w:val="0"/>
        <w:spacing w:line="4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所提供产品详细技术性能，不能满足招标文件要求的不得分</w:t>
      </w:r>
    </w:p>
    <w:p>
      <w:pPr>
        <w:keepNext w:val="0"/>
        <w:keepLines w:val="0"/>
        <w:pageBreakBefore w:val="0"/>
        <w:kinsoku/>
        <w:wordWrap/>
        <w:topLinePunct w:val="0"/>
        <w:bidi w:val="0"/>
        <w:spacing w:line="480" w:lineRule="exact"/>
        <w:ind w:firstLine="482" w:firstLineChars="200"/>
        <w:rPr>
          <w:rFonts w:hint="eastAsia" w:ascii="宋体" w:hAnsi="宋体" w:eastAsia="宋体" w:cs="宋体"/>
          <w:color w:val="auto"/>
          <w:sz w:val="24"/>
          <w:szCs w:val="24"/>
          <w:highlight w:val="none"/>
          <w:lang w:val="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施工方案（满分</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分）</w:t>
      </w:r>
    </w:p>
    <w:p>
      <w:pPr>
        <w:keepNext w:val="0"/>
        <w:keepLines w:val="0"/>
        <w:pageBreakBefore w:val="0"/>
        <w:kinsoku/>
        <w:wordWrap/>
        <w:topLinePunct w:val="0"/>
        <w:bidi w:val="0"/>
        <w:spacing w:line="480" w:lineRule="exact"/>
        <w:ind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投标人针对本项目制定的施工方案</w:t>
      </w:r>
      <w:r>
        <w:rPr>
          <w:rFonts w:hint="eastAsia" w:ascii="宋体" w:hAnsi="宋体" w:eastAsia="宋体" w:cs="宋体"/>
          <w:color w:val="auto"/>
          <w:sz w:val="24"/>
          <w:szCs w:val="24"/>
          <w:highlight w:val="none"/>
          <w:lang w:val="zh-CN"/>
        </w:rPr>
        <w:t>细致全面、完整合理、</w:t>
      </w:r>
      <w:r>
        <w:rPr>
          <w:rFonts w:hint="eastAsia" w:ascii="宋体" w:hAnsi="宋体" w:eastAsia="宋体" w:cs="宋体"/>
          <w:color w:val="auto"/>
          <w:sz w:val="24"/>
          <w:szCs w:val="24"/>
          <w:highlight w:val="none"/>
        </w:rPr>
        <w:t>可行性强的得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pPr>
        <w:keepNext w:val="0"/>
        <w:keepLines w:val="0"/>
        <w:pageBreakBefore w:val="0"/>
        <w:kinsoku/>
        <w:wordWrap/>
        <w:topLinePunct w:val="0"/>
        <w:bidi w:val="0"/>
        <w:spacing w:line="480" w:lineRule="exact"/>
        <w:ind w:firstLine="0" w:firstLineChars="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投标人针对本项目制定的施工方案较</w:t>
      </w:r>
      <w:r>
        <w:rPr>
          <w:rFonts w:hint="eastAsia" w:ascii="宋体" w:hAnsi="宋体" w:eastAsia="宋体" w:cs="宋体"/>
          <w:color w:val="auto"/>
          <w:sz w:val="24"/>
          <w:szCs w:val="24"/>
          <w:highlight w:val="none"/>
          <w:lang w:val="zh-CN"/>
        </w:rPr>
        <w:t>全面、基本合理、</w:t>
      </w:r>
      <w:r>
        <w:rPr>
          <w:rFonts w:hint="eastAsia" w:ascii="宋体" w:hAnsi="宋体" w:eastAsia="宋体" w:cs="宋体"/>
          <w:color w:val="auto"/>
          <w:sz w:val="24"/>
          <w:szCs w:val="24"/>
          <w:highlight w:val="none"/>
        </w:rPr>
        <w:t>具有一定可行性的得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keepNext w:val="0"/>
        <w:keepLines w:val="0"/>
        <w:pageBreakBefore w:val="0"/>
        <w:kinsoku/>
        <w:wordWrap/>
        <w:topLinePunct w:val="0"/>
        <w:bidi w:val="0"/>
        <w:spacing w:line="4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投标人针对本项目制定的施工方案不完整、可行性较差得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pStyle w:val="47"/>
        <w:keepNext w:val="0"/>
        <w:keepLines w:val="0"/>
        <w:pageBreakBefore w:val="0"/>
        <w:numPr>
          <w:ilvl w:val="0"/>
          <w:numId w:val="0"/>
        </w:numPr>
        <w:kinsoku/>
        <w:wordWrap/>
        <w:topLinePunct w:val="0"/>
        <w:bidi w:val="0"/>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5</w:t>
      </w:r>
      <w:bookmarkStart w:id="12" w:name="_GoBack"/>
      <w:bookmarkEnd w:id="12"/>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出现故障承诺在半小时内响应（满分</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p>
    <w:p>
      <w:pPr>
        <w:pStyle w:val="47"/>
        <w:keepNext w:val="0"/>
        <w:keepLines w:val="0"/>
        <w:pageBreakBefore w:val="0"/>
        <w:kinsoku/>
        <w:wordWrap/>
        <w:topLinePunct w:val="0"/>
        <w:bidi w:val="0"/>
        <w:spacing w:line="4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2小时内现场处理，24小时内故障处理完毕的得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pStyle w:val="47"/>
        <w:keepNext w:val="0"/>
        <w:keepLines w:val="0"/>
        <w:pageBreakBefore w:val="0"/>
        <w:kinsoku/>
        <w:wordWrap/>
        <w:topLinePunct w:val="0"/>
        <w:bidi w:val="0"/>
        <w:spacing w:line="4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4小时内现场处理，48小时内故障处理完毕的得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pStyle w:val="47"/>
        <w:keepNext w:val="0"/>
        <w:keepLines w:val="0"/>
        <w:pageBreakBefore w:val="0"/>
        <w:kinsoku/>
        <w:wordWrap/>
        <w:topLinePunct w:val="0"/>
        <w:bidi w:val="0"/>
        <w:spacing w:line="48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其他不得分</w:t>
      </w:r>
      <w:r>
        <w:rPr>
          <w:rFonts w:hint="eastAsia" w:ascii="宋体" w:hAnsi="宋体" w:eastAsia="宋体" w:cs="宋体"/>
          <w:b/>
          <w:color w:val="auto"/>
          <w:sz w:val="24"/>
          <w:szCs w:val="24"/>
          <w:highlight w:val="none"/>
        </w:rPr>
        <w:t>（提供承诺书）</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723" w:firstLineChars="3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、定标</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1、评标委员会完成评标后，按照招标文件中规定的评标方法，推荐</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名有排序的合格中标候选人。</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2、排序原则：本次评标采用综合评分法，评标委员会通过对商务、技术等因素的综合评审进行打分，综合得分最高的投标人排名第一，依此类推确定排名顺序，按排名顺序先后推荐为中标候选人。</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eastAsia="宋体" w:cs="宋体"/>
          <w:b/>
          <w:color w:val="auto"/>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jc w:val="center"/>
        <w:textAlignment w:val="auto"/>
        <w:rPr>
          <w:rFonts w:hint="eastAsia" w:ascii="宋体" w:hAnsi="宋体" w:eastAsia="宋体" w:cs="宋体"/>
          <w:b/>
          <w:color w:val="auto"/>
          <w:sz w:val="24"/>
          <w:szCs w:val="24"/>
          <w:highlight w:val="none"/>
        </w:rPr>
      </w:pPr>
      <w:r>
        <w:rPr>
          <w:rFonts w:hint="eastAsia" w:ascii="黑体" w:eastAsia="黑体"/>
          <w:b/>
          <w:color w:val="auto"/>
          <w:sz w:val="36"/>
          <w:szCs w:val="36"/>
          <w:highlight w:val="none"/>
          <w:lang w:eastAsia="zh-CN"/>
        </w:rPr>
        <w:t>十一</w:t>
      </w:r>
      <w:r>
        <w:rPr>
          <w:rFonts w:hint="eastAsia" w:ascii="黑体" w:eastAsia="黑体"/>
          <w:b/>
          <w:color w:val="auto"/>
          <w:sz w:val="36"/>
          <w:szCs w:val="36"/>
          <w:highlight w:val="none"/>
        </w:rPr>
        <w:t>、合同条款：</w:t>
      </w:r>
    </w:p>
    <w:p>
      <w:pPr>
        <w:keepNext w:val="0"/>
        <w:keepLines w:val="0"/>
        <w:pageBreakBefore w:val="0"/>
        <w:widowControl w:val="0"/>
        <w:kinsoku/>
        <w:wordWrap/>
        <w:overflowPunct/>
        <w:topLinePunct w:val="0"/>
        <w:autoSpaceDE/>
        <w:autoSpaceDN/>
        <w:bidi w:val="0"/>
        <w:adjustRightInd/>
        <w:snapToGrid/>
        <w:spacing w:before="306" w:beforeLines="100" w:line="440" w:lineRule="exact"/>
        <w:ind w:left="420" w:firstLine="0" w:firstLineChars="0"/>
        <w:textAlignment w:val="auto"/>
        <w:rPr>
          <w:rFonts w:ascii="宋体" w:hAnsi="宋体"/>
          <w:color w:val="auto"/>
          <w:sz w:val="24"/>
          <w:szCs w:val="24"/>
          <w:highlight w:val="none"/>
        </w:rPr>
      </w:pPr>
      <w:bookmarkStart w:id="4" w:name="_Toc158691776"/>
      <w:r>
        <w:rPr>
          <w:rFonts w:hint="eastAsia" w:ascii="宋体" w:hAnsi="宋体"/>
          <w:color w:val="auto"/>
          <w:sz w:val="24"/>
          <w:szCs w:val="24"/>
          <w:highlight w:val="none"/>
        </w:rPr>
        <w:t>买方：江苏长江水务股份有限公司</w:t>
      </w:r>
    </w:p>
    <w:p>
      <w:pPr>
        <w:spacing w:line="440" w:lineRule="exact"/>
        <w:ind w:left="420" w:firstLine="0" w:firstLineChars="0"/>
        <w:rPr>
          <w:rFonts w:ascii="宋体" w:hAnsi="宋体"/>
          <w:color w:val="auto"/>
          <w:sz w:val="24"/>
          <w:szCs w:val="24"/>
          <w:highlight w:val="none"/>
        </w:rPr>
      </w:pPr>
      <w:r>
        <w:rPr>
          <w:rFonts w:hint="eastAsia" w:ascii="宋体" w:hAnsi="宋体"/>
          <w:color w:val="auto"/>
          <w:sz w:val="24"/>
          <w:szCs w:val="24"/>
          <w:highlight w:val="none"/>
        </w:rPr>
        <w:t>卖方：</w:t>
      </w:r>
    </w:p>
    <w:p>
      <w:pPr>
        <w:spacing w:line="440" w:lineRule="exact"/>
        <w:ind w:right="-290" w:rightChars="-138" w:firstLine="0" w:firstLineChars="0"/>
        <w:rPr>
          <w:rFonts w:ascii="宋体" w:hAnsi="宋体"/>
          <w:color w:val="auto"/>
          <w:sz w:val="24"/>
          <w:szCs w:val="24"/>
          <w:highlight w:val="none"/>
        </w:rPr>
      </w:pPr>
    </w:p>
    <w:p>
      <w:pPr>
        <w:spacing w:line="440" w:lineRule="exact"/>
        <w:ind w:right="-290" w:rightChars="-138" w:firstLine="0" w:firstLineChars="0"/>
        <w:rPr>
          <w:rFonts w:ascii="宋体" w:hAnsi="宋体"/>
          <w:color w:val="auto"/>
          <w:sz w:val="24"/>
          <w:szCs w:val="24"/>
          <w:highlight w:val="none"/>
        </w:rPr>
      </w:pPr>
      <w:r>
        <w:rPr>
          <w:rFonts w:ascii="宋体" w:hAnsi="宋体"/>
          <w:color w:val="auto"/>
          <w:sz w:val="24"/>
          <w:szCs w:val="24"/>
          <w:highlight w:val="none"/>
        </w:rPr>
        <w:t xml:space="preserve">    江苏长江水务股份有限公司（以下简称“买方”）通过招标（招标编号：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），确定</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公司（以下简称“卖方”）为江苏长江水务股份有限公司</w:t>
      </w:r>
      <w:r>
        <w:rPr>
          <w:rFonts w:ascii="宋体" w:hAnsi="宋体"/>
          <w:color w:val="auto"/>
          <w:sz w:val="24"/>
          <w:szCs w:val="24"/>
          <w:highlight w:val="none"/>
          <w:u w:val="single"/>
        </w:rPr>
        <w:t xml:space="preserve">       </w:t>
      </w:r>
      <w:r>
        <w:rPr>
          <w:rFonts w:ascii="宋体" w:hAnsi="宋体"/>
          <w:color w:val="auto"/>
          <w:sz w:val="24"/>
          <w:szCs w:val="24"/>
          <w:highlight w:val="none"/>
        </w:rPr>
        <w:t>设备</w:t>
      </w:r>
      <w:r>
        <w:rPr>
          <w:rFonts w:hint="eastAsia" w:ascii="宋体" w:hAnsi="宋体"/>
          <w:color w:val="auto"/>
          <w:sz w:val="24"/>
          <w:szCs w:val="24"/>
          <w:highlight w:val="none"/>
        </w:rPr>
        <w:t>安装</w:t>
      </w:r>
      <w:r>
        <w:rPr>
          <w:rFonts w:ascii="宋体" w:hAnsi="宋体"/>
          <w:color w:val="auto"/>
          <w:sz w:val="24"/>
          <w:szCs w:val="24"/>
          <w:highlight w:val="none"/>
        </w:rPr>
        <w:t>采购项目的供应方，经买卖双方协商一致，签订本合同。</w:t>
      </w: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第一条　名词和用语</w:t>
      </w:r>
    </w:p>
    <w:p>
      <w:pPr>
        <w:spacing w:line="440" w:lineRule="exact"/>
        <w:ind w:firstLine="570" w:firstLineChars="0"/>
        <w:rPr>
          <w:rFonts w:ascii="宋体" w:hAnsi="宋体"/>
          <w:color w:val="auto"/>
          <w:sz w:val="24"/>
          <w:szCs w:val="24"/>
          <w:highlight w:val="none"/>
        </w:rPr>
      </w:pPr>
      <w:r>
        <w:rPr>
          <w:rFonts w:hint="eastAsia" w:ascii="宋体" w:hAnsi="宋体"/>
          <w:color w:val="auto"/>
          <w:sz w:val="24"/>
          <w:szCs w:val="24"/>
          <w:highlight w:val="none"/>
        </w:rPr>
        <w:t>下列名词和用语，</w:t>
      </w:r>
      <w:r>
        <w:rPr>
          <w:rFonts w:ascii="宋体" w:hAnsi="宋体"/>
          <w:color w:val="auto"/>
          <w:sz w:val="24"/>
          <w:szCs w:val="24"/>
          <w:highlight w:val="none"/>
        </w:rPr>
        <w:t xml:space="preserve"> </w:t>
      </w:r>
      <w:r>
        <w:rPr>
          <w:rFonts w:hint="eastAsia" w:ascii="宋体" w:hAnsi="宋体"/>
          <w:color w:val="auto"/>
          <w:sz w:val="24"/>
          <w:szCs w:val="24"/>
          <w:highlight w:val="none"/>
        </w:rPr>
        <w:t>除上下文另有规定外，有如下含义：</w:t>
      </w:r>
    </w:p>
    <w:p>
      <w:pPr>
        <w:numPr>
          <w:ilvl w:val="0"/>
          <w:numId w:val="9"/>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“工程”是指江苏长江水务股份有限公司</w:t>
      </w:r>
      <w:r>
        <w:rPr>
          <w:rFonts w:ascii="宋体" w:hAnsi="宋体"/>
          <w:color w:val="auto"/>
          <w:sz w:val="24"/>
          <w:szCs w:val="24"/>
          <w:highlight w:val="none"/>
          <w:u w:val="single"/>
        </w:rPr>
        <w:t xml:space="preserve">       </w:t>
      </w:r>
      <w:r>
        <w:rPr>
          <w:rFonts w:ascii="宋体" w:hAnsi="宋体"/>
          <w:color w:val="auto"/>
          <w:sz w:val="24"/>
          <w:szCs w:val="24"/>
          <w:highlight w:val="none"/>
        </w:rPr>
        <w:t>设备</w:t>
      </w:r>
      <w:r>
        <w:rPr>
          <w:rFonts w:hint="eastAsia" w:ascii="宋体" w:hAnsi="宋体"/>
          <w:color w:val="auto"/>
          <w:sz w:val="24"/>
          <w:szCs w:val="24"/>
          <w:highlight w:val="none"/>
        </w:rPr>
        <w:t>采购、</w:t>
      </w:r>
      <w:r>
        <w:rPr>
          <w:rFonts w:ascii="宋体" w:hAnsi="宋体"/>
          <w:color w:val="auto"/>
          <w:sz w:val="24"/>
          <w:szCs w:val="24"/>
          <w:highlight w:val="none"/>
        </w:rPr>
        <w:t>安装</w:t>
      </w:r>
      <w:r>
        <w:rPr>
          <w:rFonts w:hint="eastAsia" w:ascii="宋体" w:hAnsi="宋体"/>
          <w:color w:val="auto"/>
          <w:sz w:val="24"/>
          <w:szCs w:val="24"/>
          <w:highlight w:val="none"/>
        </w:rPr>
        <w:t>及调试项目</w:t>
      </w:r>
      <w:r>
        <w:rPr>
          <w:rFonts w:ascii="宋体" w:hAnsi="宋体"/>
          <w:color w:val="auto"/>
          <w:sz w:val="24"/>
          <w:szCs w:val="24"/>
          <w:highlight w:val="none"/>
        </w:rPr>
        <w:t>。</w:t>
      </w:r>
    </w:p>
    <w:p>
      <w:pPr>
        <w:numPr>
          <w:ilvl w:val="0"/>
          <w:numId w:val="9"/>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“买方”指江苏长江水务股份有限公司或其合法承继者。</w:t>
      </w:r>
    </w:p>
    <w:p>
      <w:pPr>
        <w:numPr>
          <w:ilvl w:val="0"/>
          <w:numId w:val="9"/>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“卖方”是指</w:t>
      </w:r>
      <w:r>
        <w:rPr>
          <w:rFonts w:ascii="宋体" w:hAnsi="宋体"/>
          <w:color w:val="auto"/>
          <w:sz w:val="24"/>
          <w:szCs w:val="24"/>
          <w:highlight w:val="none"/>
          <w:u w:val="single"/>
        </w:rPr>
        <w:t xml:space="preserve">             </w:t>
      </w:r>
      <w:r>
        <w:rPr>
          <w:rFonts w:hint="eastAsia" w:ascii="宋体" w:hAnsi="宋体"/>
          <w:color w:val="auto"/>
          <w:sz w:val="24"/>
          <w:szCs w:val="24"/>
          <w:highlight w:val="none"/>
        </w:rPr>
        <w:t>公司以及其合法承继者。</w:t>
      </w:r>
    </w:p>
    <w:p>
      <w:pPr>
        <w:numPr>
          <w:ilvl w:val="0"/>
          <w:numId w:val="9"/>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“中标通知书”：指买方正式接受卖方投标的接受信。</w:t>
      </w:r>
    </w:p>
    <w:p>
      <w:pPr>
        <w:numPr>
          <w:ilvl w:val="0"/>
          <w:numId w:val="9"/>
        </w:numPr>
        <w:tabs>
          <w:tab w:val="left" w:pos="540"/>
        </w:tabs>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“不可抗力”：任何一方都不能预见、对其发生及后果不能避免并且超过合理控制范围、且不能克服的自然事件和社会事件。</w:t>
      </w:r>
    </w:p>
    <w:p>
      <w:pPr>
        <w:numPr>
          <w:ilvl w:val="0"/>
          <w:numId w:val="9"/>
        </w:numPr>
        <w:tabs>
          <w:tab w:val="left" w:pos="540"/>
        </w:tabs>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“合同价款”：指根据合同条款，用以支付卖方在全面正确地履行合同义务后卖方所应得的金额。</w:t>
      </w:r>
    </w:p>
    <w:p>
      <w:pPr>
        <w:numPr>
          <w:ilvl w:val="0"/>
          <w:numId w:val="9"/>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“一方”：指买方或卖方的任何一方。</w:t>
      </w:r>
    </w:p>
    <w:p>
      <w:pPr>
        <w:numPr>
          <w:ilvl w:val="0"/>
          <w:numId w:val="9"/>
        </w:numPr>
        <w:tabs>
          <w:tab w:val="left" w:pos="540"/>
        </w:tabs>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“服务”：系指合同规定卖方需承担的检验、运输、保险、交接验收、技术援助与保障、培训以及其它类似的在合同中所提到的卖方的义务。</w:t>
      </w:r>
    </w:p>
    <w:p>
      <w:pPr>
        <w:numPr>
          <w:ilvl w:val="0"/>
          <w:numId w:val="9"/>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“现场”系指将要进行加工或货物使用的地点。</w:t>
      </w:r>
    </w:p>
    <w:p>
      <w:pPr>
        <w:numPr>
          <w:ilvl w:val="0"/>
          <w:numId w:val="9"/>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“技术资料”是指卖方提供的与合同设备及相关的设计、制造、监造、检验、指导安装、调试、验收、性能验收试验和技术指导等文件</w:t>
      </w:r>
      <w:r>
        <w:rPr>
          <w:rFonts w:ascii="宋体" w:hAnsi="宋体"/>
          <w:color w:val="auto"/>
          <w:sz w:val="24"/>
          <w:szCs w:val="24"/>
          <w:highlight w:val="none"/>
        </w:rPr>
        <w:t>(包括图纸、各种文字说明、标准、各种软件)。</w:t>
      </w:r>
    </w:p>
    <w:p>
      <w:pPr>
        <w:numPr>
          <w:ilvl w:val="0"/>
          <w:numId w:val="9"/>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“合同设备”是指卖方根据合同所供应的机器、装置、材料、物品、专用工具、备品备件等。</w:t>
      </w:r>
    </w:p>
    <w:p>
      <w:pPr>
        <w:numPr>
          <w:ilvl w:val="0"/>
          <w:numId w:val="9"/>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“技术服务”是指由卖方提供的与本合同设备有关的工程设计、设备监造、检验、土建、指导安装、调试、验收、性能验收试验、运行、检修时相应的技术指导、技术配合、技术培训等全过程的服务。</w:t>
      </w:r>
    </w:p>
    <w:p>
      <w:pPr>
        <w:numPr>
          <w:ilvl w:val="0"/>
          <w:numId w:val="9"/>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“验收”系指买方依据技术规格书规定接受所供货物或/和安装、调试应依据的程序和检验。</w:t>
      </w:r>
    </w:p>
    <w:p>
      <w:pPr>
        <w:numPr>
          <w:ilvl w:val="0"/>
          <w:numId w:val="9"/>
        </w:numPr>
        <w:tabs>
          <w:tab w:val="left" w:pos="540"/>
        </w:tabs>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“日、月、年”是指公历的日、月、年；“天”是指</w:t>
      </w:r>
      <w:r>
        <w:rPr>
          <w:rFonts w:ascii="宋体" w:hAnsi="宋体"/>
          <w:color w:val="auto"/>
          <w:sz w:val="24"/>
          <w:szCs w:val="24"/>
          <w:highlight w:val="none"/>
        </w:rPr>
        <w:t>24小时；“周”是指7天。</w:t>
      </w:r>
    </w:p>
    <w:p>
      <w:pPr>
        <w:numPr>
          <w:ilvl w:val="0"/>
          <w:numId w:val="9"/>
        </w:numPr>
        <w:tabs>
          <w:tab w:val="left" w:pos="540"/>
        </w:tabs>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“备品备件”是指根据本合同提供的随机备用部件。</w:t>
      </w:r>
    </w:p>
    <w:p>
      <w:pPr>
        <w:numPr>
          <w:ilvl w:val="0"/>
          <w:numId w:val="9"/>
        </w:numPr>
        <w:tabs>
          <w:tab w:val="left" w:pos="540"/>
        </w:tabs>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“设备缺陷”是指卖方因设计、制造错误或疏忽所引起的本合同设备（包括部件、原材料、铸锻件、原器件等）达不到本合同及技术附件规定的性能、质量标准要求的情形。</w:t>
      </w:r>
    </w:p>
    <w:p>
      <w:pPr>
        <w:numPr>
          <w:ilvl w:val="0"/>
          <w:numId w:val="9"/>
        </w:numPr>
        <w:tabs>
          <w:tab w:val="left" w:pos="540"/>
        </w:tabs>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“初步性能验收”是指当性能验收试验的结果表明已达到了合同附件技术规格书规定的保证值后，买方对合同设备的验收。</w:t>
      </w:r>
    </w:p>
    <w:p>
      <w:pPr>
        <w:numPr>
          <w:ilvl w:val="0"/>
          <w:numId w:val="9"/>
        </w:numPr>
        <w:spacing w:line="360" w:lineRule="auto"/>
        <w:ind w:left="0" w:firstLine="480"/>
        <w:rPr>
          <w:rFonts w:ascii="宋体" w:hAnsi="宋体"/>
          <w:color w:val="auto"/>
          <w:sz w:val="24"/>
          <w:szCs w:val="24"/>
          <w:highlight w:val="none"/>
        </w:rPr>
      </w:pPr>
      <w:r>
        <w:rPr>
          <w:rFonts w:hint="eastAsia" w:ascii="宋体" w:hAnsi="宋体"/>
          <w:color w:val="auto"/>
          <w:sz w:val="24"/>
          <w:szCs w:val="24"/>
          <w:highlight w:val="none"/>
        </w:rPr>
        <w:t>“最终性能验收”是指买方对每一合同设备质量保证期满后的验收。</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第二条　合同条件的构成及解释顺序</w:t>
      </w:r>
    </w:p>
    <w:p>
      <w:pPr>
        <w:spacing w:line="440" w:lineRule="exact"/>
        <w:ind w:firstLine="570" w:firstLineChars="0"/>
        <w:rPr>
          <w:rFonts w:ascii="宋体" w:hAnsi="宋体"/>
          <w:color w:val="auto"/>
          <w:sz w:val="24"/>
          <w:szCs w:val="24"/>
          <w:highlight w:val="none"/>
        </w:rPr>
      </w:pPr>
      <w:r>
        <w:rPr>
          <w:rFonts w:hint="eastAsia" w:ascii="宋体" w:hAnsi="宋体"/>
          <w:color w:val="auto"/>
          <w:sz w:val="24"/>
          <w:szCs w:val="24"/>
          <w:highlight w:val="none"/>
        </w:rPr>
        <w:t>合同文件应能互相解释，互为说明。除合同另有约定外，其组成和解释顺序如下：</w:t>
      </w:r>
    </w:p>
    <w:p>
      <w:pPr>
        <w:numPr>
          <w:ilvl w:val="0"/>
          <w:numId w:val="10"/>
        </w:numPr>
        <w:tabs>
          <w:tab w:val="left" w:pos="1440"/>
        </w:tabs>
        <w:spacing w:line="44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双方协商同意的对本合同的变更、补充协议等正式书面文件；</w:t>
      </w:r>
    </w:p>
    <w:p>
      <w:pPr>
        <w:numPr>
          <w:ilvl w:val="0"/>
          <w:numId w:val="10"/>
        </w:numPr>
        <w:tabs>
          <w:tab w:val="left" w:pos="1440"/>
        </w:tabs>
        <w:spacing w:line="44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本合同；</w:t>
      </w:r>
    </w:p>
    <w:p>
      <w:pPr>
        <w:numPr>
          <w:ilvl w:val="0"/>
          <w:numId w:val="10"/>
        </w:numPr>
        <w:tabs>
          <w:tab w:val="left" w:pos="1440"/>
        </w:tabs>
        <w:spacing w:line="44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中标通知书；</w:t>
      </w:r>
    </w:p>
    <w:p>
      <w:pPr>
        <w:numPr>
          <w:ilvl w:val="0"/>
          <w:numId w:val="10"/>
        </w:numPr>
        <w:tabs>
          <w:tab w:val="left" w:pos="1440"/>
        </w:tabs>
        <w:spacing w:line="44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投标文件；</w:t>
      </w:r>
    </w:p>
    <w:p>
      <w:pPr>
        <w:numPr>
          <w:ilvl w:val="0"/>
          <w:numId w:val="10"/>
        </w:numPr>
        <w:tabs>
          <w:tab w:val="left" w:pos="1440"/>
        </w:tabs>
        <w:spacing w:line="44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买方提供的工程技术资料和技术要求；</w:t>
      </w:r>
    </w:p>
    <w:p>
      <w:pPr>
        <w:numPr>
          <w:ilvl w:val="0"/>
          <w:numId w:val="10"/>
        </w:numPr>
        <w:tabs>
          <w:tab w:val="left" w:pos="1440"/>
        </w:tabs>
        <w:spacing w:line="44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卖方提供的技术资料；</w:t>
      </w:r>
    </w:p>
    <w:p>
      <w:pPr>
        <w:numPr>
          <w:ilvl w:val="0"/>
          <w:numId w:val="10"/>
        </w:numPr>
        <w:tabs>
          <w:tab w:val="left" w:pos="1440"/>
        </w:tabs>
        <w:spacing w:line="44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招标文件；</w:t>
      </w:r>
    </w:p>
    <w:p>
      <w:pPr>
        <w:spacing w:line="440" w:lineRule="exact"/>
        <w:ind w:left="540" w:leftChars="257" w:firstLine="508" w:firstLineChars="212"/>
        <w:rPr>
          <w:rFonts w:ascii="宋体" w:hAnsi="宋体"/>
          <w:color w:val="auto"/>
          <w:sz w:val="24"/>
          <w:szCs w:val="24"/>
          <w:highlight w:val="none"/>
        </w:rPr>
      </w:pPr>
      <w:r>
        <w:rPr>
          <w:rFonts w:hint="eastAsia" w:ascii="宋体" w:hAnsi="宋体"/>
          <w:color w:val="auto"/>
          <w:sz w:val="24"/>
          <w:szCs w:val="24"/>
          <w:highlight w:val="none"/>
        </w:rPr>
        <w:t>当合同文件出现含糊不清或不相一致，并按上述规定不能解决时，由双方协商解决；双方经协商不能达成一致的，按本合同第二十七条约定的办法解决。</w:t>
      </w:r>
    </w:p>
    <w:p>
      <w:pPr>
        <w:spacing w:line="440" w:lineRule="exact"/>
        <w:ind w:firstLine="570" w:firstLineChars="0"/>
        <w:rPr>
          <w:rFonts w:ascii="宋体" w:hAnsi="宋体"/>
          <w:color w:val="auto"/>
          <w:sz w:val="24"/>
          <w:szCs w:val="24"/>
          <w:highlight w:val="none"/>
        </w:rPr>
      </w:pPr>
    </w:p>
    <w:p>
      <w:pPr>
        <w:spacing w:line="440" w:lineRule="exact"/>
        <w:ind w:left="540" w:leftChars="257" w:firstLine="30" w:firstLineChars="0"/>
        <w:rPr>
          <w:rFonts w:ascii="宋体" w:hAnsi="宋体"/>
          <w:b/>
          <w:color w:val="auto"/>
          <w:sz w:val="24"/>
          <w:szCs w:val="24"/>
          <w:highlight w:val="none"/>
        </w:rPr>
      </w:pPr>
    </w:p>
    <w:p>
      <w:pPr>
        <w:spacing w:line="440" w:lineRule="exact"/>
        <w:ind w:left="540" w:leftChars="257" w:firstLine="30" w:firstLineChars="0"/>
        <w:rPr>
          <w:rFonts w:ascii="宋体" w:hAnsi="宋体"/>
          <w:b/>
          <w:color w:val="auto"/>
          <w:sz w:val="24"/>
          <w:szCs w:val="24"/>
          <w:highlight w:val="none"/>
        </w:rPr>
      </w:pPr>
      <w:r>
        <w:rPr>
          <w:rFonts w:hint="eastAsia" w:ascii="宋体" w:hAnsi="宋体"/>
          <w:b/>
          <w:color w:val="auto"/>
          <w:sz w:val="24"/>
          <w:szCs w:val="24"/>
          <w:highlight w:val="none"/>
        </w:rPr>
        <w:t>第三条</w:t>
      </w:r>
      <w:r>
        <w:rPr>
          <w:rFonts w:ascii="宋体" w:hAnsi="宋体"/>
          <w:b/>
          <w:color w:val="auto"/>
          <w:sz w:val="24"/>
          <w:szCs w:val="24"/>
          <w:highlight w:val="none"/>
        </w:rPr>
        <w:t xml:space="preserve"> </w:t>
      </w:r>
      <w:r>
        <w:rPr>
          <w:rFonts w:hint="eastAsia" w:ascii="宋体" w:hAnsi="宋体"/>
          <w:b/>
          <w:color w:val="auto"/>
          <w:sz w:val="24"/>
          <w:szCs w:val="24"/>
          <w:highlight w:val="none"/>
        </w:rPr>
        <w:t>适用的法律</w:t>
      </w:r>
    </w:p>
    <w:p>
      <w:pPr>
        <w:spacing w:line="440" w:lineRule="exact"/>
        <w:ind w:left="540" w:leftChars="257" w:firstLine="508" w:firstLineChars="212"/>
        <w:rPr>
          <w:rFonts w:ascii="宋体" w:hAnsi="宋体"/>
          <w:color w:val="auto"/>
          <w:sz w:val="24"/>
          <w:szCs w:val="24"/>
          <w:highlight w:val="none"/>
        </w:rPr>
      </w:pPr>
      <w:r>
        <w:rPr>
          <w:rFonts w:hint="eastAsia" w:ascii="宋体" w:hAnsi="宋体"/>
          <w:color w:val="auto"/>
          <w:sz w:val="24"/>
          <w:szCs w:val="24"/>
          <w:highlight w:val="none"/>
        </w:rPr>
        <w:t>本合同适用的法律是指中华人民共和国的法律、行政法规，以及双方议定的部门规章或工程所在地的地方法规、地方规章。</w:t>
      </w:r>
    </w:p>
    <w:p>
      <w:pPr>
        <w:spacing w:line="440" w:lineRule="exact"/>
        <w:ind w:left="540" w:leftChars="257" w:firstLine="508" w:firstLineChars="212"/>
        <w:rPr>
          <w:rFonts w:ascii="宋体" w:hAnsi="宋体"/>
          <w:color w:val="auto"/>
          <w:sz w:val="24"/>
          <w:szCs w:val="24"/>
          <w:highlight w:val="none"/>
        </w:rPr>
      </w:pPr>
      <w:r>
        <w:rPr>
          <w:rFonts w:hint="eastAsia" w:ascii="宋体" w:hAnsi="宋体"/>
          <w:color w:val="auto"/>
          <w:sz w:val="24"/>
          <w:szCs w:val="24"/>
          <w:highlight w:val="none"/>
        </w:rPr>
        <w:t>本合同文件使用中文书写、解释和说明。除技术规格书中另有规定外，计量单位均使用国际单位制。</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第四条</w:t>
      </w:r>
      <w:r>
        <w:rPr>
          <w:rFonts w:ascii="宋体" w:hAnsi="宋体"/>
          <w:b/>
          <w:color w:val="auto"/>
          <w:sz w:val="24"/>
          <w:szCs w:val="24"/>
          <w:highlight w:val="none"/>
        </w:rPr>
        <w:t xml:space="preserve"> </w:t>
      </w:r>
      <w:r>
        <w:rPr>
          <w:rFonts w:hint="eastAsia" w:ascii="宋体" w:hAnsi="宋体"/>
          <w:b/>
          <w:color w:val="auto"/>
          <w:sz w:val="24"/>
          <w:szCs w:val="24"/>
          <w:highlight w:val="none"/>
        </w:rPr>
        <w:t>合同标的</w:t>
      </w:r>
    </w:p>
    <w:p>
      <w:pPr>
        <w:numPr>
          <w:ilvl w:val="0"/>
          <w:numId w:val="11"/>
        </w:numPr>
        <w:tabs>
          <w:tab w:val="left" w:pos="900"/>
          <w:tab w:val="left" w:pos="1440"/>
          <w:tab w:val="clear" w:pos="108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设备名称、规格</w:t>
      </w:r>
      <w:r>
        <w:rPr>
          <w:rFonts w:ascii="宋体" w:hAnsi="宋体"/>
          <w:color w:val="auto"/>
          <w:sz w:val="24"/>
          <w:szCs w:val="24"/>
          <w:highlight w:val="none"/>
        </w:rPr>
        <w:t>(型号)、数量</w:t>
      </w:r>
    </w:p>
    <w:p>
      <w:pPr>
        <w:tabs>
          <w:tab w:val="left" w:pos="90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设备名称：</w:t>
      </w:r>
      <w:r>
        <w:rPr>
          <w:rFonts w:ascii="宋体" w:hAnsi="宋体"/>
          <w:color w:val="auto"/>
          <w:sz w:val="24"/>
          <w:szCs w:val="24"/>
          <w:highlight w:val="none"/>
        </w:rPr>
        <w:t xml:space="preserve">                        </w:t>
      </w:r>
    </w:p>
    <w:p>
      <w:pPr>
        <w:tabs>
          <w:tab w:val="left" w:pos="90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设备规格</w:t>
      </w:r>
      <w:r>
        <w:rPr>
          <w:rFonts w:ascii="宋体" w:hAnsi="宋体"/>
          <w:color w:val="auto"/>
          <w:sz w:val="24"/>
          <w:szCs w:val="24"/>
          <w:highlight w:val="none"/>
        </w:rPr>
        <w:t>(型号)及数量：。</w:t>
      </w:r>
    </w:p>
    <w:p>
      <w:pPr>
        <w:numPr>
          <w:ilvl w:val="0"/>
          <w:numId w:val="11"/>
        </w:numPr>
        <w:tabs>
          <w:tab w:val="left" w:pos="900"/>
          <w:tab w:val="left" w:pos="1440"/>
          <w:tab w:val="clear" w:pos="108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凡卖方供应的设备应是全新的、安全的、经济的、技术先进并且是成熟可靠的。</w:t>
      </w:r>
    </w:p>
    <w:p>
      <w:pPr>
        <w:numPr>
          <w:ilvl w:val="0"/>
          <w:numId w:val="11"/>
        </w:numPr>
        <w:tabs>
          <w:tab w:val="left" w:pos="900"/>
          <w:tab w:val="left" w:pos="1440"/>
          <w:tab w:val="clear" w:pos="108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设备的技术规范、技术经济指标和性能、合同设备的供货范围、卖方提供的技术资料和技术服务。</w:t>
      </w:r>
    </w:p>
    <w:p>
      <w:pPr>
        <w:numPr>
          <w:ilvl w:val="0"/>
          <w:numId w:val="11"/>
        </w:numPr>
        <w:tabs>
          <w:tab w:val="left" w:pos="900"/>
          <w:tab w:val="left" w:pos="1440"/>
          <w:tab w:val="clear" w:pos="1080"/>
        </w:tabs>
        <w:spacing w:line="360" w:lineRule="auto"/>
        <w:ind w:left="420" w:leftChars="200" w:firstLine="0" w:firstLineChars="0"/>
        <w:rPr>
          <w:rFonts w:ascii="宋体" w:hAnsi="宋体"/>
          <w:color w:val="auto"/>
          <w:sz w:val="24"/>
          <w:szCs w:val="24"/>
          <w:highlight w:val="none"/>
        </w:rPr>
      </w:pPr>
      <w:r>
        <w:rPr>
          <w:rFonts w:ascii="宋体" w:hAnsi="宋体"/>
          <w:color w:val="auto"/>
          <w:sz w:val="24"/>
          <w:szCs w:val="24"/>
          <w:highlight w:val="none"/>
        </w:rPr>
        <w:t>买方有权对采购设备的数量在一定范围内调整，单价仍按投标时的价格。</w:t>
      </w:r>
    </w:p>
    <w:p>
      <w:pPr>
        <w:numPr>
          <w:ilvl w:val="0"/>
          <w:numId w:val="11"/>
        </w:numPr>
        <w:tabs>
          <w:tab w:val="left" w:pos="900"/>
          <w:tab w:val="left" w:pos="1440"/>
          <w:tab w:val="clear" w:pos="108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由卖方负责拆除原有设备并安装新购设备及协调有关供电事宜直至所安装设备能达到安全生产要求，具备验收条件时应及时通知买方组织验收。所需费用包含在合同标的之内，不再单独报价。</w:t>
      </w:r>
    </w:p>
    <w:p>
      <w:pPr>
        <w:spacing w:line="440" w:lineRule="exact"/>
        <w:ind w:firstLine="570" w:firstLineChars="0"/>
        <w:rPr>
          <w:rFonts w:ascii="宋体" w:hAnsi="宋体"/>
          <w:color w:val="auto"/>
          <w:sz w:val="24"/>
          <w:szCs w:val="24"/>
          <w:highlight w:val="none"/>
        </w:rPr>
      </w:pPr>
    </w:p>
    <w:p>
      <w:pPr>
        <w:spacing w:line="440" w:lineRule="exact"/>
        <w:ind w:left="540" w:leftChars="257" w:firstLine="30" w:firstLineChars="0"/>
        <w:rPr>
          <w:rFonts w:ascii="宋体" w:hAnsi="宋体"/>
          <w:color w:val="auto"/>
          <w:sz w:val="24"/>
          <w:szCs w:val="24"/>
          <w:highlight w:val="none"/>
        </w:rPr>
      </w:pPr>
      <w:r>
        <w:rPr>
          <w:rFonts w:hint="eastAsia" w:ascii="宋体" w:hAnsi="宋体"/>
          <w:b/>
          <w:color w:val="auto"/>
          <w:sz w:val="24"/>
          <w:szCs w:val="24"/>
          <w:highlight w:val="none"/>
        </w:rPr>
        <w:t>第五条</w:t>
      </w:r>
      <w:r>
        <w:rPr>
          <w:rFonts w:ascii="宋体" w:hAnsi="宋体"/>
          <w:b/>
          <w:color w:val="auto"/>
          <w:sz w:val="24"/>
          <w:szCs w:val="24"/>
          <w:highlight w:val="none"/>
        </w:rPr>
        <w:t xml:space="preserve"> </w:t>
      </w:r>
      <w:r>
        <w:rPr>
          <w:rFonts w:hint="eastAsia" w:ascii="宋体" w:hAnsi="宋体"/>
          <w:b/>
          <w:color w:val="auto"/>
          <w:sz w:val="24"/>
          <w:szCs w:val="24"/>
          <w:highlight w:val="none"/>
        </w:rPr>
        <w:t>供货范围</w:t>
      </w:r>
    </w:p>
    <w:p>
      <w:pPr>
        <w:spacing w:line="440" w:lineRule="exact"/>
        <w:ind w:left="540" w:leftChars="257" w:firstLine="508" w:firstLineChars="212"/>
        <w:rPr>
          <w:rFonts w:ascii="宋体" w:hAnsi="宋体"/>
          <w:color w:val="auto"/>
          <w:sz w:val="24"/>
          <w:szCs w:val="24"/>
          <w:highlight w:val="none"/>
        </w:rPr>
      </w:pPr>
      <w:r>
        <w:rPr>
          <w:rFonts w:hint="eastAsia" w:ascii="宋体" w:hAnsi="宋体"/>
          <w:color w:val="auto"/>
          <w:sz w:val="24"/>
          <w:szCs w:val="24"/>
          <w:highlight w:val="none"/>
        </w:rPr>
        <w:t>本合同的供货范围包括了所有设备、技术资料、专用工具、备品备件、人员培训及技术协调、技术服务及安装技术指导，但在执行合同过程中如发现有任何漏项和短缺，在发货清单中并未列入而且确实是卖方供货范围中应该有的，并且是满足技术规格书对合同设备的性能保证值要求所必须的，均应由卖方负责将所缺的设备、技术资料、专用工具、备品备件、人员培训及技术协调、技术服务及技术指导等补上，发生的费用由卖方承担。</w:t>
      </w:r>
    </w:p>
    <w:p>
      <w:pPr>
        <w:spacing w:line="440" w:lineRule="exact"/>
        <w:ind w:left="540" w:leftChars="257" w:firstLine="3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第六条</w:t>
      </w:r>
      <w:r>
        <w:rPr>
          <w:rFonts w:ascii="宋体" w:hAnsi="宋体"/>
          <w:b/>
          <w:color w:val="auto"/>
          <w:sz w:val="24"/>
          <w:szCs w:val="24"/>
          <w:highlight w:val="none"/>
        </w:rPr>
        <w:t xml:space="preserve">  </w:t>
      </w:r>
      <w:r>
        <w:rPr>
          <w:rFonts w:hint="eastAsia" w:ascii="宋体" w:hAnsi="宋体"/>
          <w:b/>
          <w:color w:val="auto"/>
          <w:sz w:val="24"/>
          <w:szCs w:val="24"/>
          <w:highlight w:val="none"/>
        </w:rPr>
        <w:t>包装</w:t>
      </w:r>
    </w:p>
    <w:p>
      <w:pPr>
        <w:numPr>
          <w:ilvl w:val="0"/>
          <w:numId w:val="12"/>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除非本合同另有规定外，卖方提供所有货物的包装应符合技术规格书及货物承运部门的有关规定，采用良好的防湿、防潮、防震和防野蛮装卸等保护措施，以确保货物安全运抵现场而不使货物受损。如果由于包装不妥或不合理而引起货物损坏和丢失的责任，卖方应按本合同第十五条的规定承担更换或赔偿的责任。如果因此造成整个工程损失的，卖方应对此类损失承担赔偿责任。</w:t>
      </w:r>
    </w:p>
    <w:p>
      <w:pPr>
        <w:numPr>
          <w:ilvl w:val="0"/>
          <w:numId w:val="12"/>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卖方应提供四套详细装箱单和质量证书，其中一套随运输工具发送，两套在货物备妥及运输工具发出</w:t>
      </w:r>
      <w:r>
        <w:rPr>
          <w:rFonts w:ascii="宋体" w:hAnsi="宋体"/>
          <w:color w:val="auto"/>
          <w:sz w:val="24"/>
          <w:szCs w:val="24"/>
          <w:highlight w:val="none"/>
        </w:rPr>
        <w:t>24小时内用特快专递寄送给买方，一套随发票结算。随发票结算的一套应标明货物的单价和总价。</w:t>
      </w:r>
    </w:p>
    <w:p>
      <w:pPr>
        <w:numPr>
          <w:ilvl w:val="0"/>
          <w:numId w:val="12"/>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装箱单因包括如下内容：</w:t>
      </w:r>
    </w:p>
    <w:p>
      <w:pPr>
        <w:numPr>
          <w:ilvl w:val="0"/>
          <w:numId w:val="13"/>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合同号；</w:t>
      </w:r>
    </w:p>
    <w:p>
      <w:pPr>
        <w:numPr>
          <w:ilvl w:val="0"/>
          <w:numId w:val="13"/>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设备号；</w:t>
      </w:r>
    </w:p>
    <w:p>
      <w:pPr>
        <w:numPr>
          <w:ilvl w:val="0"/>
          <w:numId w:val="13"/>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货物备妥发运日；</w:t>
      </w:r>
    </w:p>
    <w:p>
      <w:pPr>
        <w:numPr>
          <w:ilvl w:val="0"/>
          <w:numId w:val="13"/>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货物名称及编号；</w:t>
      </w:r>
    </w:p>
    <w:p>
      <w:pPr>
        <w:numPr>
          <w:ilvl w:val="0"/>
          <w:numId w:val="13"/>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货物总毛重；</w:t>
      </w:r>
    </w:p>
    <w:p>
      <w:pPr>
        <w:numPr>
          <w:ilvl w:val="0"/>
          <w:numId w:val="13"/>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货物总体积；</w:t>
      </w:r>
    </w:p>
    <w:p>
      <w:pPr>
        <w:numPr>
          <w:ilvl w:val="0"/>
          <w:numId w:val="13"/>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总包装件数；</w:t>
      </w:r>
    </w:p>
    <w:p>
      <w:pPr>
        <w:numPr>
          <w:ilvl w:val="0"/>
          <w:numId w:val="13"/>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重量超过二吨（包括二吨）或尺寸超过</w:t>
      </w:r>
      <w:r>
        <w:rPr>
          <w:rFonts w:ascii="宋体" w:hAnsi="宋体"/>
          <w:color w:val="auto"/>
          <w:sz w:val="24"/>
          <w:szCs w:val="24"/>
          <w:highlight w:val="none"/>
        </w:rPr>
        <w:t>9米×3米×3米的每件货物的名称、重量、体积和件数。对每件该类设备(部件)必须标明重心和吊点位置，并附有草图。</w:t>
      </w:r>
    </w:p>
    <w:p>
      <w:pPr>
        <w:numPr>
          <w:ilvl w:val="0"/>
          <w:numId w:val="13"/>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对于特殊物品</w:t>
      </w:r>
      <w:r>
        <w:rPr>
          <w:rFonts w:ascii="宋体" w:hAnsi="宋体"/>
          <w:color w:val="auto"/>
          <w:sz w:val="24"/>
          <w:szCs w:val="24"/>
          <w:highlight w:val="none"/>
        </w:rPr>
        <w:t>(易燃、易爆、有毒物品及</w:t>
      </w:r>
      <w:r>
        <w:rPr>
          <w:rFonts w:hint="eastAsia" w:ascii="宋体" w:hAnsi="宋体"/>
          <w:color w:val="auto"/>
          <w:sz w:val="24"/>
          <w:szCs w:val="24"/>
          <w:highlight w:val="none"/>
        </w:rPr>
        <w:t>其它危险品和运输过程中对温度等环境因素和震动有特殊要求的设备或物品</w:t>
      </w:r>
      <w:r>
        <w:rPr>
          <w:rFonts w:ascii="宋体" w:hAnsi="宋体"/>
          <w:color w:val="auto"/>
          <w:sz w:val="24"/>
          <w:szCs w:val="24"/>
          <w:highlight w:val="none"/>
        </w:rPr>
        <w:t>)必须特别标明其品名、性质、特殊保护措施、保存方法以及处理意外情况的方法。</w:t>
      </w:r>
    </w:p>
    <w:p>
      <w:pPr>
        <w:numPr>
          <w:ilvl w:val="0"/>
          <w:numId w:val="12"/>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对裸装货物应以金属标签</w:t>
      </w:r>
      <w:r>
        <w:rPr>
          <w:rFonts w:ascii="宋体" w:hAnsi="宋体"/>
          <w:color w:val="auto"/>
          <w:sz w:val="24"/>
          <w:szCs w:val="24"/>
          <w:highlight w:val="none"/>
        </w:rPr>
        <w:t>(金属铭牌)或在设备本身上注明上述有关内容。大件货物应带有足够的货物支架或包装垫木。</w:t>
      </w:r>
    </w:p>
    <w:p>
      <w:pPr>
        <w:numPr>
          <w:ilvl w:val="0"/>
          <w:numId w:val="12"/>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备品备件、专用工具应与对应设备分别包装，并在包装箱外按</w:t>
      </w:r>
      <w:r>
        <w:rPr>
          <w:rFonts w:ascii="宋体" w:hAnsi="宋体"/>
          <w:color w:val="auto"/>
          <w:sz w:val="24"/>
          <w:szCs w:val="24"/>
          <w:highlight w:val="none"/>
        </w:rPr>
        <w:t>7.2条注明内容，并标明“备品配件”或“专用工具”的字样，一次性发货。</w:t>
      </w:r>
    </w:p>
    <w:p>
      <w:pPr>
        <w:numPr>
          <w:ilvl w:val="0"/>
          <w:numId w:val="12"/>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所有设备的端口必须用保护盖或其它方式妥善防护。</w:t>
      </w:r>
    </w:p>
    <w:p>
      <w:pPr>
        <w:numPr>
          <w:ilvl w:val="0"/>
          <w:numId w:val="12"/>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卖方不得用同一箱号标明任何两个箱件，包装箱应连续编号，而且在全部装运的过程中，装箱编号的顺序始终是连贯的。</w:t>
      </w:r>
    </w:p>
    <w:p>
      <w:pPr>
        <w:numPr>
          <w:ilvl w:val="0"/>
          <w:numId w:val="12"/>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对于需要保证精确装配的明亮洁净加工面的货物，加工面应采用优良，耐久的保护层</w:t>
      </w:r>
      <w:r>
        <w:rPr>
          <w:rFonts w:ascii="宋体" w:hAnsi="宋体"/>
          <w:color w:val="auto"/>
          <w:sz w:val="24"/>
          <w:szCs w:val="24"/>
          <w:highlight w:val="none"/>
        </w:rPr>
        <w:t>(不得用油漆)以防止在安装前发生锈蚀和损坏。</w:t>
      </w:r>
    </w:p>
    <w:p>
      <w:pPr>
        <w:numPr>
          <w:ilvl w:val="0"/>
          <w:numId w:val="12"/>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卖方交付的技术资料应使用适合于长途运输、多次搬运、防雨和防潮的包装，并应防止潮气和水的侵蚀。每包技术资料的封面上应注明下述内容：</w:t>
      </w:r>
    </w:p>
    <w:p>
      <w:pPr>
        <w:numPr>
          <w:ilvl w:val="0"/>
          <w:numId w:val="14"/>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合同号；</w:t>
      </w:r>
    </w:p>
    <w:p>
      <w:pPr>
        <w:numPr>
          <w:ilvl w:val="0"/>
          <w:numId w:val="14"/>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供货、收货单位名称；</w:t>
      </w:r>
    </w:p>
    <w:p>
      <w:pPr>
        <w:numPr>
          <w:ilvl w:val="0"/>
          <w:numId w:val="14"/>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目的地；</w:t>
      </w:r>
    </w:p>
    <w:p>
      <w:pPr>
        <w:numPr>
          <w:ilvl w:val="0"/>
          <w:numId w:val="14"/>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毛重；</w:t>
      </w:r>
    </w:p>
    <w:p>
      <w:pPr>
        <w:numPr>
          <w:ilvl w:val="0"/>
          <w:numId w:val="14"/>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箱号</w:t>
      </w:r>
      <w:r>
        <w:rPr>
          <w:rFonts w:ascii="宋体" w:hAnsi="宋体"/>
          <w:color w:val="auto"/>
          <w:sz w:val="24"/>
          <w:szCs w:val="24"/>
          <w:highlight w:val="none"/>
        </w:rPr>
        <w:t>/件号。</w:t>
      </w:r>
    </w:p>
    <w:p>
      <w:pPr>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每一包资料内应附有技术资料的详细清单一式二份，标明技术资料的序号、文件项号、名称和页数。</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第七条</w:t>
      </w:r>
      <w:r>
        <w:rPr>
          <w:rFonts w:ascii="宋体" w:hAnsi="宋体"/>
          <w:b/>
          <w:color w:val="auto"/>
          <w:sz w:val="24"/>
          <w:szCs w:val="24"/>
          <w:highlight w:val="none"/>
        </w:rPr>
        <w:t xml:space="preserve">  </w:t>
      </w:r>
      <w:r>
        <w:rPr>
          <w:rFonts w:hint="eastAsia" w:ascii="宋体" w:hAnsi="宋体"/>
          <w:b/>
          <w:color w:val="auto"/>
          <w:sz w:val="24"/>
          <w:szCs w:val="24"/>
          <w:highlight w:val="none"/>
        </w:rPr>
        <w:t>标记</w:t>
      </w:r>
    </w:p>
    <w:p>
      <w:pPr>
        <w:numPr>
          <w:ilvl w:val="0"/>
          <w:numId w:val="15"/>
        </w:numPr>
        <w:tabs>
          <w:tab w:val="left" w:pos="900"/>
          <w:tab w:val="left" w:pos="1440"/>
          <w:tab w:val="clear" w:pos="108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合同设备的喷漆、标识、验收文件和运输应符合本合同附件技术规范书所列的各项要求。</w:t>
      </w:r>
    </w:p>
    <w:p>
      <w:pPr>
        <w:numPr>
          <w:ilvl w:val="0"/>
          <w:numId w:val="15"/>
        </w:numPr>
        <w:tabs>
          <w:tab w:val="left" w:pos="900"/>
          <w:tab w:val="left" w:pos="1440"/>
          <w:tab w:val="clear" w:pos="108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合同设备若有外包装，卖方应在每件外包装上以醒目的方式用中文印刷字样标明以下各项：</w:t>
      </w:r>
    </w:p>
    <w:p>
      <w:pPr>
        <w:numPr>
          <w:ilvl w:val="1"/>
          <w:numId w:val="16"/>
        </w:numPr>
        <w:spacing w:line="360" w:lineRule="auto"/>
        <w:ind w:left="840" w:leftChars="400" w:firstLine="0" w:firstLineChars="0"/>
        <w:rPr>
          <w:rFonts w:ascii="宋体" w:hAnsi="宋体"/>
          <w:color w:val="auto"/>
          <w:sz w:val="24"/>
          <w:szCs w:val="24"/>
          <w:highlight w:val="none"/>
        </w:rPr>
      </w:pPr>
      <w:r>
        <w:rPr>
          <w:rFonts w:hint="eastAsia" w:ascii="宋体" w:hAnsi="宋体"/>
          <w:color w:val="auto"/>
          <w:sz w:val="24"/>
          <w:szCs w:val="24"/>
          <w:highlight w:val="none"/>
        </w:rPr>
        <w:t>制造厂名称和产品商标，设备名称；</w:t>
      </w:r>
    </w:p>
    <w:p>
      <w:pPr>
        <w:numPr>
          <w:ilvl w:val="1"/>
          <w:numId w:val="16"/>
        </w:numPr>
        <w:spacing w:line="360" w:lineRule="auto"/>
        <w:ind w:left="840" w:leftChars="400" w:firstLine="0" w:firstLineChars="0"/>
        <w:rPr>
          <w:rFonts w:ascii="宋体" w:hAnsi="宋体"/>
          <w:color w:val="auto"/>
          <w:sz w:val="24"/>
          <w:szCs w:val="24"/>
          <w:highlight w:val="none"/>
        </w:rPr>
      </w:pPr>
      <w:r>
        <w:rPr>
          <w:rFonts w:hint="eastAsia" w:ascii="宋体" w:hAnsi="宋体"/>
          <w:color w:val="auto"/>
          <w:sz w:val="24"/>
          <w:szCs w:val="24"/>
          <w:highlight w:val="none"/>
        </w:rPr>
        <w:t>毛重／净重（</w:t>
      </w:r>
      <w:r>
        <w:rPr>
          <w:rFonts w:ascii="宋体" w:hAnsi="宋体"/>
          <w:color w:val="auto"/>
          <w:sz w:val="24"/>
          <w:szCs w:val="24"/>
          <w:highlight w:val="none"/>
        </w:rPr>
        <w:t>Kg）；体积(长×宽×高，以毫米表示)；</w:t>
      </w:r>
    </w:p>
    <w:p>
      <w:pPr>
        <w:numPr>
          <w:ilvl w:val="1"/>
          <w:numId w:val="16"/>
        </w:numPr>
        <w:spacing w:line="360" w:lineRule="auto"/>
        <w:ind w:left="840" w:leftChars="400" w:firstLine="0" w:firstLineChars="0"/>
        <w:rPr>
          <w:rFonts w:ascii="宋体" w:hAnsi="宋体"/>
          <w:color w:val="auto"/>
          <w:sz w:val="24"/>
          <w:szCs w:val="24"/>
          <w:highlight w:val="none"/>
        </w:rPr>
      </w:pPr>
      <w:r>
        <w:rPr>
          <w:rFonts w:hint="eastAsia" w:ascii="宋体" w:hAnsi="宋体"/>
          <w:color w:val="auto"/>
          <w:sz w:val="24"/>
          <w:szCs w:val="24"/>
          <w:highlight w:val="none"/>
        </w:rPr>
        <w:t>制造时间</w:t>
      </w:r>
    </w:p>
    <w:p>
      <w:pPr>
        <w:numPr>
          <w:ilvl w:val="1"/>
          <w:numId w:val="16"/>
        </w:numPr>
        <w:spacing w:line="360" w:lineRule="auto"/>
        <w:ind w:left="840" w:leftChars="400" w:firstLine="0" w:firstLineChars="0"/>
        <w:rPr>
          <w:rFonts w:ascii="宋体" w:hAnsi="宋体"/>
          <w:color w:val="auto"/>
          <w:sz w:val="24"/>
          <w:szCs w:val="24"/>
          <w:highlight w:val="none"/>
        </w:rPr>
      </w:pPr>
      <w:r>
        <w:rPr>
          <w:rFonts w:hint="eastAsia" w:ascii="宋体" w:hAnsi="宋体"/>
          <w:color w:val="auto"/>
          <w:sz w:val="24"/>
          <w:szCs w:val="24"/>
          <w:highlight w:val="none"/>
        </w:rPr>
        <w:t>出厂检验合格标志</w:t>
      </w:r>
    </w:p>
    <w:p>
      <w:pPr>
        <w:numPr>
          <w:ilvl w:val="1"/>
          <w:numId w:val="16"/>
        </w:numPr>
        <w:spacing w:line="360" w:lineRule="auto"/>
        <w:ind w:left="840" w:leftChars="400" w:firstLine="0" w:firstLineChars="0"/>
        <w:rPr>
          <w:rFonts w:ascii="宋体" w:hAnsi="宋体"/>
          <w:color w:val="auto"/>
          <w:sz w:val="24"/>
          <w:szCs w:val="24"/>
          <w:highlight w:val="none"/>
        </w:rPr>
      </w:pPr>
      <w:r>
        <w:rPr>
          <w:rFonts w:hint="eastAsia" w:ascii="宋体" w:hAnsi="宋体"/>
          <w:color w:val="auto"/>
          <w:sz w:val="24"/>
          <w:szCs w:val="24"/>
          <w:highlight w:val="none"/>
        </w:rPr>
        <w:t>表示储运安全的其它标志</w:t>
      </w:r>
    </w:p>
    <w:p>
      <w:pPr>
        <w:numPr>
          <w:ilvl w:val="1"/>
          <w:numId w:val="16"/>
        </w:numPr>
        <w:spacing w:line="360" w:lineRule="auto"/>
        <w:ind w:left="840" w:leftChars="400" w:firstLine="0" w:firstLineChars="0"/>
        <w:rPr>
          <w:rFonts w:ascii="宋体" w:hAnsi="宋体"/>
          <w:color w:val="auto"/>
          <w:sz w:val="24"/>
          <w:szCs w:val="24"/>
          <w:highlight w:val="none"/>
        </w:rPr>
      </w:pPr>
      <w:r>
        <w:rPr>
          <w:rFonts w:hint="eastAsia" w:ascii="宋体" w:hAnsi="宋体"/>
          <w:color w:val="auto"/>
          <w:sz w:val="24"/>
          <w:szCs w:val="24"/>
          <w:highlight w:val="none"/>
        </w:rPr>
        <w:t>项目名称</w:t>
      </w:r>
    </w:p>
    <w:p>
      <w:pPr>
        <w:numPr>
          <w:ilvl w:val="1"/>
          <w:numId w:val="16"/>
        </w:numPr>
        <w:spacing w:line="360" w:lineRule="auto"/>
        <w:ind w:left="840" w:leftChars="400" w:firstLine="0" w:firstLineChars="0"/>
        <w:rPr>
          <w:rFonts w:ascii="宋体" w:hAnsi="宋体"/>
          <w:color w:val="auto"/>
          <w:sz w:val="24"/>
          <w:szCs w:val="24"/>
          <w:highlight w:val="none"/>
        </w:rPr>
      </w:pPr>
      <w:r>
        <w:rPr>
          <w:rFonts w:hint="eastAsia" w:ascii="宋体" w:hAnsi="宋体"/>
          <w:color w:val="auto"/>
          <w:sz w:val="24"/>
          <w:szCs w:val="24"/>
          <w:highlight w:val="none"/>
        </w:rPr>
        <w:t>联系方式</w:t>
      </w:r>
    </w:p>
    <w:p>
      <w:pPr>
        <w:numPr>
          <w:ilvl w:val="1"/>
          <w:numId w:val="16"/>
        </w:numPr>
        <w:spacing w:line="360" w:lineRule="auto"/>
        <w:ind w:left="840" w:leftChars="400" w:firstLine="0" w:firstLineChars="0"/>
        <w:rPr>
          <w:rFonts w:ascii="宋体" w:hAnsi="宋体"/>
          <w:color w:val="auto"/>
          <w:sz w:val="24"/>
          <w:szCs w:val="24"/>
          <w:highlight w:val="none"/>
        </w:rPr>
      </w:pPr>
      <w:r>
        <w:rPr>
          <w:rFonts w:hint="eastAsia" w:ascii="宋体" w:hAnsi="宋体"/>
          <w:color w:val="auto"/>
          <w:sz w:val="24"/>
          <w:szCs w:val="24"/>
          <w:highlight w:val="none"/>
        </w:rPr>
        <w:t>箱号</w:t>
      </w:r>
      <w:r>
        <w:rPr>
          <w:rFonts w:ascii="宋体" w:hAnsi="宋体"/>
          <w:color w:val="auto"/>
          <w:sz w:val="24"/>
          <w:szCs w:val="24"/>
          <w:highlight w:val="none"/>
        </w:rPr>
        <w:t>/件号；</w:t>
      </w:r>
    </w:p>
    <w:p>
      <w:pPr>
        <w:spacing w:line="360" w:lineRule="auto"/>
        <w:ind w:left="420" w:leftChars="200" w:firstLine="480"/>
        <w:rPr>
          <w:rFonts w:ascii="宋体" w:hAnsi="宋体"/>
          <w:color w:val="auto"/>
          <w:sz w:val="24"/>
          <w:szCs w:val="24"/>
          <w:highlight w:val="none"/>
        </w:rPr>
      </w:pPr>
      <w:r>
        <w:rPr>
          <w:rFonts w:hint="eastAsia" w:ascii="宋体" w:hAnsi="宋体"/>
          <w:color w:val="auto"/>
          <w:sz w:val="24"/>
          <w:szCs w:val="24"/>
          <w:highlight w:val="none"/>
        </w:rPr>
        <w:t>凡重量为二吨或超过二吨的货物，应在包装箱的侧面以运输常用的标记和图案标明重心位置及起吊点，以便于装卸和搬运。</w:t>
      </w:r>
    </w:p>
    <w:p>
      <w:pPr>
        <w:spacing w:line="360" w:lineRule="auto"/>
        <w:ind w:left="420" w:leftChars="200" w:firstLine="480"/>
        <w:rPr>
          <w:rFonts w:ascii="宋体" w:hAnsi="宋体"/>
          <w:color w:val="auto"/>
          <w:sz w:val="24"/>
          <w:szCs w:val="24"/>
          <w:highlight w:val="none"/>
        </w:rPr>
      </w:pPr>
      <w:r>
        <w:rPr>
          <w:rFonts w:hint="eastAsia" w:ascii="宋体" w:hAnsi="宋体"/>
          <w:color w:val="auto"/>
          <w:sz w:val="24"/>
          <w:szCs w:val="24"/>
          <w:highlight w:val="none"/>
        </w:rPr>
        <w:t>应按照设备各特性和不同的运输及装卸要求，在箱上明显位置标上“小心”“向上”、“防潮”、“勿倒”、“怕热”、“远离放射源及热源”、“由此起吊”、“重心点”、“堆码重量极限”、“堆码层数极限”、“温度极限”等通用标志。</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第八条</w:t>
      </w:r>
      <w:r>
        <w:rPr>
          <w:rFonts w:ascii="宋体" w:hAnsi="宋体"/>
          <w:b/>
          <w:color w:val="auto"/>
          <w:sz w:val="24"/>
          <w:szCs w:val="24"/>
          <w:highlight w:val="none"/>
        </w:rPr>
        <w:t xml:space="preserve">  </w:t>
      </w:r>
      <w:r>
        <w:rPr>
          <w:rFonts w:hint="eastAsia" w:ascii="宋体" w:hAnsi="宋体"/>
          <w:b/>
          <w:color w:val="auto"/>
          <w:sz w:val="24"/>
          <w:szCs w:val="24"/>
          <w:highlight w:val="none"/>
        </w:rPr>
        <w:t>运输和交付</w:t>
      </w:r>
    </w:p>
    <w:p>
      <w:pPr>
        <w:numPr>
          <w:ilvl w:val="0"/>
          <w:numId w:val="17"/>
        </w:numPr>
        <w:tabs>
          <w:tab w:val="left" w:pos="1440"/>
        </w:tabs>
        <w:spacing w:line="360" w:lineRule="auto"/>
        <w:ind w:left="420" w:leftChars="200" w:firstLine="0" w:firstLineChars="0"/>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b/>
          <w:color w:val="auto"/>
          <w:sz w:val="24"/>
          <w:szCs w:val="24"/>
          <w:highlight w:val="none"/>
        </w:rPr>
        <w:t>交货期：合同签订后</w:t>
      </w:r>
      <w:r>
        <w:rPr>
          <w:rFonts w:ascii="宋体" w:hAnsi="宋体"/>
          <w:color w:val="auto"/>
          <w:sz w:val="24"/>
          <w:szCs w:val="24"/>
          <w:highlight w:val="none"/>
          <w:u w:val="single"/>
        </w:rPr>
        <w:t xml:space="preserve">     </w:t>
      </w:r>
      <w:r>
        <w:rPr>
          <w:rFonts w:ascii="宋体" w:hAnsi="宋体"/>
          <w:b/>
          <w:color w:val="auto"/>
          <w:sz w:val="24"/>
          <w:szCs w:val="24"/>
          <w:highlight w:val="none"/>
        </w:rPr>
        <w:t>天内货到用户指定地点</w:t>
      </w:r>
      <w:r>
        <w:rPr>
          <w:rFonts w:hint="eastAsia" w:ascii="宋体" w:hAnsi="宋体"/>
          <w:color w:val="auto"/>
          <w:sz w:val="24"/>
          <w:szCs w:val="24"/>
          <w:highlight w:val="none"/>
        </w:rPr>
        <w:t>。卖方应在发货日的</w:t>
      </w:r>
      <w:r>
        <w:rPr>
          <w:rFonts w:ascii="宋体" w:hAnsi="宋体"/>
          <w:color w:val="auto"/>
          <w:sz w:val="24"/>
          <w:szCs w:val="24"/>
          <w:highlight w:val="none"/>
        </w:rPr>
        <w:t>2日前以</w:t>
      </w:r>
      <w:r>
        <w:rPr>
          <w:rFonts w:hint="eastAsia" w:ascii="宋体" w:hAnsi="宋体"/>
          <w:color w:val="auto"/>
          <w:sz w:val="24"/>
          <w:szCs w:val="24"/>
          <w:highlight w:val="none"/>
        </w:rPr>
        <w:t>传真通知买方合同号、货物名称、数量、件数和备妥待运日期。</w:t>
      </w:r>
    </w:p>
    <w:p>
      <w:pPr>
        <w:numPr>
          <w:ilvl w:val="0"/>
          <w:numId w:val="17"/>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卖方在货物装车完成</w:t>
      </w:r>
      <w:r>
        <w:rPr>
          <w:rFonts w:ascii="宋体" w:hAnsi="宋体"/>
          <w:color w:val="auto"/>
          <w:sz w:val="24"/>
          <w:szCs w:val="24"/>
          <w:highlight w:val="none"/>
        </w:rPr>
        <w:t>24小时内以传真或电传通知买方合同号、车号、货物名称、规格、数量、件数、到站及到买方指定地点的时间。</w:t>
      </w:r>
    </w:p>
    <w:p>
      <w:pPr>
        <w:numPr>
          <w:ilvl w:val="0"/>
          <w:numId w:val="17"/>
        </w:numPr>
        <w:tabs>
          <w:tab w:val="left" w:pos="1440"/>
        </w:tabs>
        <w:spacing w:line="360" w:lineRule="auto"/>
        <w:ind w:left="420" w:leftChars="200" w:firstLine="0" w:firstLineChars="0"/>
        <w:rPr>
          <w:rFonts w:ascii="宋体" w:hAnsi="宋体"/>
          <w:color w:val="auto"/>
          <w:szCs w:val="21"/>
          <w:highlight w:val="none"/>
        </w:rPr>
      </w:pPr>
      <w:r>
        <w:rPr>
          <w:rFonts w:hint="eastAsia" w:ascii="宋体" w:hAnsi="宋体"/>
          <w:color w:val="auto"/>
          <w:sz w:val="24"/>
          <w:szCs w:val="24"/>
          <w:highlight w:val="none"/>
        </w:rPr>
        <w:t>本合同项下货物的交付地点为买方指定位置地面，卖方负责将货物运抵交付地点并负责卸车并搬运到指定地点，在此期间的安全由卖方负责。</w:t>
      </w:r>
    </w:p>
    <w:p>
      <w:pPr>
        <w:tabs>
          <w:tab w:val="left" w:pos="1440"/>
        </w:tabs>
        <w:spacing w:line="360" w:lineRule="auto"/>
        <w:ind w:left="420" w:leftChars="200" w:firstLine="480"/>
        <w:rPr>
          <w:rFonts w:ascii="宋体" w:hAnsi="宋体"/>
          <w:color w:val="auto"/>
          <w:sz w:val="24"/>
          <w:szCs w:val="24"/>
          <w:highlight w:val="none"/>
        </w:rPr>
      </w:pPr>
      <w:r>
        <w:rPr>
          <w:rFonts w:hint="eastAsia" w:ascii="宋体" w:hAnsi="宋体"/>
          <w:color w:val="auto"/>
          <w:sz w:val="24"/>
          <w:szCs w:val="24"/>
          <w:highlight w:val="none"/>
        </w:rPr>
        <w:t>合同设备所有权自合同设备交付时起由卖方转移给买方。合同设备毁损、灭失的风险，在合同设备交付之前由卖方承担，交付之后由买方承担。货物到达目的地后，当场可清点验收的设备，经买卖双方组织人员进行现场验收，由卖方安装人员负责开箱验收后设备的保管、仓贮（卖方应提出对设备的存放要求）。对未开箱的设备（指需在安装时开箱的设备），经双方清点数量后由卖方负责安全保管、仓贮。确定安装时开箱验收的，由双方共同参与对货物进行检验，按开箱清单现场清点核对，并签字确认。如果货物被证明有缺陷，包括潜在缺陷或使用了不适当的材料不符合合同约定的，买方将保留拒收货物和对卖方索赔的权力；</w:t>
      </w:r>
    </w:p>
    <w:p>
      <w:pPr>
        <w:numPr>
          <w:ilvl w:val="0"/>
          <w:numId w:val="17"/>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由于卖方未及时按本合同第</w:t>
      </w:r>
      <w:r>
        <w:rPr>
          <w:rFonts w:ascii="宋体" w:hAnsi="宋体"/>
          <w:color w:val="auto"/>
          <w:sz w:val="24"/>
          <w:szCs w:val="24"/>
          <w:highlight w:val="none"/>
        </w:rPr>
        <w:t>8.1款和/或第8.2款向买方发出通知，导致买方遭受损失的，卖方应向买方承担损失赔偿责任。</w:t>
      </w:r>
    </w:p>
    <w:p>
      <w:pPr>
        <w:numPr>
          <w:ilvl w:val="0"/>
          <w:numId w:val="17"/>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在保证期满后三年内由于卖方的过失或疏忽造成的供应设备（或部件）的损坏或潜在缺陷，而动用了买方库存中的备品备件以调换损坏的设备或部件，则卖方应负责免费将动用的备品备件补齐，最迟不得超过买方通知后</w:t>
      </w:r>
      <w:r>
        <w:rPr>
          <w:rFonts w:ascii="宋体" w:hAnsi="宋体"/>
          <w:color w:val="auto"/>
          <w:sz w:val="24"/>
          <w:szCs w:val="24"/>
          <w:highlight w:val="none"/>
        </w:rPr>
        <w:t>1个月运到指定交付点，并且通知买方。</w:t>
      </w:r>
    </w:p>
    <w:p>
      <w:pPr>
        <w:numPr>
          <w:ilvl w:val="0"/>
          <w:numId w:val="17"/>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卖方应按技术规格书规定，向买方提供满足调试、试验、检验、培训、运行和维修所需的技术资料。技术资料的交付时间按买方要求的时间及时提供。</w:t>
      </w:r>
    </w:p>
    <w:p>
      <w:pPr>
        <w:numPr>
          <w:ilvl w:val="0"/>
          <w:numId w:val="17"/>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技术资料以快递邮寄（可直送）方式递交</w:t>
      </w:r>
      <w:r>
        <w:rPr>
          <w:rFonts w:ascii="宋体" w:hAnsi="宋体"/>
          <w:color w:val="auto"/>
          <w:sz w:val="24"/>
          <w:szCs w:val="24"/>
          <w:highlight w:val="none"/>
        </w:rPr>
        <w:t>,每批技术资料交邮后，卖方应在24小时内将技术资料的交邮日期、邮单号、技术资料的详细清单、件数及重量、合同号等以传真通知买方。</w:t>
      </w:r>
    </w:p>
    <w:p>
      <w:pPr>
        <w:numPr>
          <w:ilvl w:val="0"/>
          <w:numId w:val="17"/>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技术资料可以邮寄方式或专人送达方式递交，如以邮寄方式递交，则以邮政部门提货通知单时间戳记为技术资料的实际交付日期，如以专人送达方式递交，则以买方代表签收日期为技术资料的实际交付日期。此日期将作为按合同第十五条对任何延期交付资料进行延期违约金计算的依据。</w:t>
      </w:r>
    </w:p>
    <w:p>
      <w:pPr>
        <w:spacing w:line="360" w:lineRule="auto"/>
        <w:ind w:left="420" w:leftChars="200" w:firstLine="480"/>
        <w:rPr>
          <w:rFonts w:ascii="宋体" w:hAnsi="宋体"/>
          <w:color w:val="auto"/>
          <w:sz w:val="24"/>
          <w:szCs w:val="24"/>
          <w:highlight w:val="none"/>
        </w:rPr>
      </w:pPr>
      <w:r>
        <w:rPr>
          <w:rFonts w:hint="eastAsia" w:ascii="宋体" w:hAnsi="宋体"/>
          <w:color w:val="auto"/>
          <w:sz w:val="24"/>
          <w:szCs w:val="24"/>
          <w:highlight w:val="none"/>
        </w:rPr>
        <w:t>如果技术资料经买方或买方代表检查后发现有缺少、丢失或损坏，且非买方原因，卖方应在收到买方通知后</w:t>
      </w:r>
      <w:r>
        <w:rPr>
          <w:rFonts w:ascii="宋体" w:hAnsi="宋体"/>
          <w:color w:val="auto"/>
          <w:sz w:val="24"/>
          <w:szCs w:val="24"/>
          <w:highlight w:val="none"/>
        </w:rPr>
        <w:t>14天内(对急用者应在3天内)免费向</w:t>
      </w:r>
      <w:r>
        <w:rPr>
          <w:rFonts w:hint="eastAsia" w:ascii="宋体" w:hAnsi="宋体"/>
          <w:color w:val="auto"/>
          <w:sz w:val="24"/>
          <w:szCs w:val="24"/>
          <w:highlight w:val="none"/>
        </w:rPr>
        <w:t>买方</w:t>
      </w:r>
      <w:r>
        <w:rPr>
          <w:rFonts w:ascii="宋体" w:hAnsi="宋体"/>
          <w:color w:val="auto"/>
          <w:sz w:val="24"/>
          <w:szCs w:val="24"/>
          <w:highlight w:val="none"/>
        </w:rPr>
        <w:t>补充提供缺少、丢失或损坏的部分。</w:t>
      </w:r>
    </w:p>
    <w:p>
      <w:pPr>
        <w:spacing w:line="360" w:lineRule="auto"/>
        <w:ind w:left="420" w:leftChars="200" w:firstLine="480"/>
        <w:rPr>
          <w:rFonts w:ascii="宋体" w:hAnsi="宋体"/>
          <w:color w:val="auto"/>
          <w:sz w:val="24"/>
          <w:szCs w:val="24"/>
          <w:highlight w:val="none"/>
        </w:rPr>
      </w:pPr>
      <w:r>
        <w:rPr>
          <w:rFonts w:hint="eastAsia" w:ascii="宋体" w:hAnsi="宋体"/>
          <w:color w:val="auto"/>
          <w:sz w:val="24"/>
          <w:szCs w:val="24"/>
          <w:highlight w:val="none"/>
        </w:rPr>
        <w:t>如因买方原因发生缺少、丢失或损坏，卖方应在接到买方通知后</w:t>
      </w:r>
      <w:r>
        <w:rPr>
          <w:rFonts w:ascii="宋体" w:hAnsi="宋体"/>
          <w:color w:val="auto"/>
          <w:sz w:val="24"/>
          <w:szCs w:val="24"/>
          <w:highlight w:val="none"/>
        </w:rPr>
        <w:t>14天内(对急用者应在3天内)，向</w:t>
      </w:r>
      <w:r>
        <w:rPr>
          <w:rFonts w:hint="eastAsia" w:ascii="宋体" w:hAnsi="宋体"/>
          <w:color w:val="auto"/>
          <w:sz w:val="24"/>
          <w:szCs w:val="24"/>
          <w:highlight w:val="none"/>
        </w:rPr>
        <w:t>买方</w:t>
      </w:r>
      <w:r>
        <w:rPr>
          <w:rFonts w:ascii="宋体" w:hAnsi="宋体"/>
          <w:color w:val="auto"/>
          <w:sz w:val="24"/>
          <w:szCs w:val="24"/>
          <w:highlight w:val="none"/>
        </w:rPr>
        <w:t>补充提供缺少、丢失或损坏部分，费用由买方承担。</w:t>
      </w:r>
    </w:p>
    <w:p>
      <w:pPr>
        <w:numPr>
          <w:ilvl w:val="0"/>
          <w:numId w:val="17"/>
        </w:numPr>
        <w:tabs>
          <w:tab w:val="left" w:pos="144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买方可派遣代表到卖方工厂及装货车站</w:t>
      </w:r>
      <w:r>
        <w:rPr>
          <w:rFonts w:ascii="宋体" w:hAnsi="宋体"/>
          <w:color w:val="auto"/>
          <w:sz w:val="24"/>
          <w:szCs w:val="24"/>
          <w:highlight w:val="none"/>
        </w:rPr>
        <w:t>/码头/机场检查包装质量和监督装车情况。卖方应提前15天通知买方交运日期。买方代表的检查与监督不能免除卖方应负的责任。</w:t>
      </w:r>
    </w:p>
    <w:p>
      <w:pPr>
        <w:numPr>
          <w:ilvl w:val="0"/>
          <w:numId w:val="17"/>
        </w:numPr>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技术资料收件单位：江苏长江水务股份有限公司（注明技术资料）</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第九条</w:t>
      </w:r>
      <w:r>
        <w:rPr>
          <w:rFonts w:ascii="宋体" w:hAnsi="宋体"/>
          <w:b/>
          <w:color w:val="auto"/>
          <w:sz w:val="24"/>
          <w:szCs w:val="24"/>
          <w:highlight w:val="none"/>
        </w:rPr>
        <w:t xml:space="preserve"> </w:t>
      </w:r>
      <w:r>
        <w:rPr>
          <w:rFonts w:hint="eastAsia" w:ascii="宋体" w:hAnsi="宋体"/>
          <w:b/>
          <w:color w:val="auto"/>
          <w:sz w:val="24"/>
          <w:szCs w:val="24"/>
          <w:highlight w:val="none"/>
        </w:rPr>
        <w:t>保险</w:t>
      </w:r>
    </w:p>
    <w:p>
      <w:pPr>
        <w:spacing w:line="440" w:lineRule="exact"/>
        <w:ind w:left="540" w:leftChars="257" w:firstLine="540" w:firstLineChars="225"/>
        <w:rPr>
          <w:rFonts w:ascii="宋体" w:hAnsi="宋体"/>
          <w:color w:val="auto"/>
          <w:sz w:val="24"/>
          <w:szCs w:val="24"/>
          <w:highlight w:val="none"/>
        </w:rPr>
      </w:pPr>
      <w:r>
        <w:rPr>
          <w:rFonts w:hint="eastAsia" w:ascii="宋体" w:hAnsi="宋体"/>
          <w:color w:val="auto"/>
          <w:sz w:val="24"/>
          <w:szCs w:val="24"/>
          <w:highlight w:val="none"/>
        </w:rPr>
        <w:t>在货物发运前卖方须对货物，根据水运、陆运和空运等运输方式，向保险公司投保以卖方为受益人，金额为发运货物价格</w:t>
      </w:r>
      <w:r>
        <w:rPr>
          <w:rFonts w:ascii="宋体" w:hAnsi="宋体"/>
          <w:color w:val="auto"/>
          <w:sz w:val="24"/>
          <w:szCs w:val="24"/>
          <w:highlight w:val="none"/>
        </w:rPr>
        <w:t>110%的运输一切险(包括卸货至现场地面的最后一吊)，保险区段为卖方仓库到交货地点交货后90天止。</w:t>
      </w:r>
    </w:p>
    <w:p>
      <w:pPr>
        <w:spacing w:line="440" w:lineRule="exact"/>
        <w:ind w:firstLine="570" w:firstLineChars="0"/>
        <w:rPr>
          <w:rFonts w:ascii="宋体" w:hAnsi="宋体"/>
          <w:color w:val="auto"/>
          <w:sz w:val="24"/>
          <w:szCs w:val="24"/>
          <w:highlight w:val="none"/>
        </w:rPr>
      </w:pPr>
    </w:p>
    <w:p>
      <w:pPr>
        <w:spacing w:line="440" w:lineRule="exact"/>
        <w:ind w:firstLineChars="0"/>
        <w:rPr>
          <w:rFonts w:ascii="宋体" w:hAnsi="宋体"/>
          <w:b/>
          <w:color w:val="auto"/>
          <w:sz w:val="24"/>
          <w:szCs w:val="24"/>
          <w:highlight w:val="none"/>
        </w:rPr>
      </w:pPr>
      <w:r>
        <w:rPr>
          <w:rFonts w:hint="eastAsia" w:ascii="宋体" w:hAnsi="宋体"/>
          <w:b/>
          <w:color w:val="auto"/>
          <w:sz w:val="24"/>
          <w:szCs w:val="24"/>
          <w:highlight w:val="none"/>
        </w:rPr>
        <w:t>第十条</w:t>
      </w:r>
      <w:r>
        <w:rPr>
          <w:rFonts w:ascii="宋体" w:hAnsi="宋体"/>
          <w:b/>
          <w:color w:val="auto"/>
          <w:sz w:val="24"/>
          <w:szCs w:val="24"/>
          <w:highlight w:val="none"/>
        </w:rPr>
        <w:t xml:space="preserve">  </w:t>
      </w:r>
      <w:r>
        <w:rPr>
          <w:rFonts w:hint="eastAsia" w:ascii="宋体" w:hAnsi="宋体"/>
          <w:b/>
          <w:color w:val="auto"/>
          <w:sz w:val="24"/>
          <w:szCs w:val="24"/>
          <w:highlight w:val="none"/>
        </w:rPr>
        <w:t>风险承担</w:t>
      </w:r>
    </w:p>
    <w:p>
      <w:pPr>
        <w:tabs>
          <w:tab w:val="left" w:pos="900"/>
          <w:tab w:val="left" w:pos="1080"/>
        </w:tabs>
        <w:spacing w:line="440" w:lineRule="exact"/>
        <w:ind w:left="540" w:firstLine="480"/>
        <w:rPr>
          <w:rFonts w:ascii="宋体" w:hAnsi="宋体"/>
          <w:color w:val="auto"/>
          <w:sz w:val="24"/>
          <w:szCs w:val="24"/>
          <w:highlight w:val="none"/>
        </w:rPr>
      </w:pPr>
      <w:r>
        <w:rPr>
          <w:rFonts w:hint="eastAsia" w:ascii="宋体" w:hAnsi="宋体"/>
          <w:color w:val="auto"/>
          <w:sz w:val="24"/>
          <w:szCs w:val="24"/>
          <w:highlight w:val="none"/>
        </w:rPr>
        <w:t>所有货物在交付之前的所有风险和责任均由卖方承担。如果在交付之前因运输等问题造成货物毁损、灭失等风险，卖方在本合同项下的义务与责任均不予解除。</w:t>
      </w:r>
    </w:p>
    <w:p>
      <w:pPr>
        <w:spacing w:line="440" w:lineRule="exact"/>
        <w:ind w:firstLine="570" w:firstLineChars="0"/>
        <w:rPr>
          <w:rFonts w:ascii="宋体" w:hAnsi="宋体"/>
          <w:b/>
          <w:color w:val="auto"/>
          <w:sz w:val="24"/>
          <w:szCs w:val="24"/>
          <w:highlight w:val="none"/>
        </w:rPr>
      </w:pPr>
      <w:r>
        <w:rPr>
          <w:rFonts w:ascii="宋体" w:hAnsi="宋体"/>
          <w:b/>
          <w:color w:val="auto"/>
          <w:sz w:val="24"/>
          <w:szCs w:val="24"/>
          <w:highlight w:val="none"/>
        </w:rPr>
        <w:t xml:space="preserve">  </w:t>
      </w:r>
    </w:p>
    <w:p>
      <w:pPr>
        <w:spacing w:line="360" w:lineRule="auto"/>
        <w:ind w:firstLine="570" w:firstLineChars="0"/>
        <w:rPr>
          <w:rFonts w:ascii="宋体" w:hAnsi="宋体"/>
          <w:b/>
          <w:color w:val="auto"/>
          <w:sz w:val="24"/>
          <w:szCs w:val="24"/>
          <w:highlight w:val="none"/>
        </w:rPr>
      </w:pPr>
      <w:r>
        <w:rPr>
          <w:rFonts w:hint="eastAsia" w:ascii="宋体" w:hAnsi="宋体"/>
          <w:b/>
          <w:color w:val="auto"/>
          <w:sz w:val="24"/>
          <w:szCs w:val="24"/>
          <w:highlight w:val="none"/>
        </w:rPr>
        <w:t>第十一条</w:t>
      </w:r>
      <w:r>
        <w:rPr>
          <w:rFonts w:ascii="宋体" w:hAnsi="宋体"/>
          <w:b/>
          <w:color w:val="auto"/>
          <w:sz w:val="24"/>
          <w:szCs w:val="24"/>
          <w:highlight w:val="none"/>
        </w:rPr>
        <w:t xml:space="preserve">  合同价款与支付 </w:t>
      </w:r>
    </w:p>
    <w:p>
      <w:pPr>
        <w:numPr>
          <w:ilvl w:val="0"/>
          <w:numId w:val="18"/>
        </w:numPr>
        <w:tabs>
          <w:tab w:val="left" w:pos="540"/>
          <w:tab w:val="left" w:pos="1080"/>
          <w:tab w:val="clear" w:pos="90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本合同价款即合同总价为人民币总价：</w:t>
      </w:r>
      <w:r>
        <w:rPr>
          <w:rFonts w:ascii="宋体" w:hAnsi="宋体"/>
          <w:color w:val="auto"/>
          <w:sz w:val="24"/>
          <w:szCs w:val="24"/>
          <w:highlight w:val="none"/>
        </w:rPr>
        <w:t xml:space="preserve">     </w:t>
      </w:r>
      <w:r>
        <w:rPr>
          <w:rFonts w:hint="eastAsia" w:ascii="宋体" w:hAnsi="宋体"/>
          <w:color w:val="auto"/>
          <w:sz w:val="24"/>
          <w:szCs w:val="24"/>
          <w:highlight w:val="none"/>
        </w:rPr>
        <w:t>万元</w:t>
      </w:r>
      <w:r>
        <w:rPr>
          <w:rFonts w:ascii="宋体" w:hAnsi="宋体"/>
          <w:color w:val="auto"/>
          <w:sz w:val="24"/>
          <w:szCs w:val="24"/>
          <w:highlight w:val="none"/>
        </w:rPr>
        <w:t>(大写：        )。</w:t>
      </w:r>
      <w:r>
        <w:rPr>
          <w:rFonts w:hint="eastAsia" w:ascii="宋体" w:hAnsi="宋体"/>
          <w:color w:val="auto"/>
          <w:sz w:val="24"/>
          <w:szCs w:val="24"/>
          <w:highlight w:val="none"/>
        </w:rPr>
        <w:t>合同总价为固定不变价格，投标文件中的清单报价作为质保期外维修或更换的结算依据，除非本合同另有规定，否则在合同期内不因任何原因加以变更或调整。</w:t>
      </w:r>
    </w:p>
    <w:p>
      <w:pPr>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本合同价款包括合同设备</w:t>
      </w:r>
      <w:r>
        <w:rPr>
          <w:rFonts w:ascii="宋体" w:hAnsi="宋体"/>
          <w:color w:val="auto"/>
          <w:sz w:val="24"/>
          <w:szCs w:val="24"/>
          <w:highlight w:val="none"/>
        </w:rPr>
        <w:t>(含备品备件、专用工具)、技术资料、</w:t>
      </w:r>
      <w:r>
        <w:rPr>
          <w:rFonts w:hint="eastAsia" w:ascii="宋体" w:hAnsi="宋体"/>
          <w:color w:val="auto"/>
          <w:sz w:val="24"/>
          <w:szCs w:val="24"/>
          <w:highlight w:val="none"/>
        </w:rPr>
        <w:t>安装调试、</w:t>
      </w:r>
      <w:r>
        <w:rPr>
          <w:rFonts w:ascii="宋体" w:hAnsi="宋体"/>
          <w:color w:val="auto"/>
          <w:sz w:val="24"/>
          <w:szCs w:val="24"/>
          <w:highlight w:val="none"/>
        </w:rPr>
        <w:t>技术服务和运输及保险费等费用,还包括合同设备的税费等与本合同中卖方应承担的所有义务和所有工作相关的费用。合同设备的技术服务及备品备件由卖方免费提供。</w:t>
      </w:r>
    </w:p>
    <w:p>
      <w:pPr>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合同设备运抵项目现场的运输及保险费等杂费已含在合同价款内。运输及保险费是指合同设备从卖方</w:t>
      </w:r>
      <w:r>
        <w:rPr>
          <w:rFonts w:ascii="宋体" w:hAnsi="宋体"/>
          <w:color w:val="auto"/>
          <w:sz w:val="24"/>
          <w:szCs w:val="24"/>
          <w:highlight w:val="none"/>
        </w:rPr>
        <w:t>(包括卖方的分包商)始发站（车上）/码头（船上）到交货地点地面所发生的公路、铁路、水路、航空运费</w:t>
      </w:r>
      <w:r>
        <w:rPr>
          <w:rFonts w:hint="eastAsia" w:ascii="宋体" w:hAnsi="宋体"/>
          <w:color w:val="auto"/>
          <w:sz w:val="24"/>
          <w:szCs w:val="24"/>
          <w:highlight w:val="none"/>
        </w:rPr>
        <w:t>和</w:t>
      </w:r>
      <w:r>
        <w:rPr>
          <w:rFonts w:ascii="宋体" w:hAnsi="宋体"/>
          <w:color w:val="auto"/>
          <w:sz w:val="24"/>
          <w:szCs w:val="24"/>
          <w:highlight w:val="none"/>
        </w:rPr>
        <w:t>保险费等运输过程中发生的各种费用。</w:t>
      </w:r>
    </w:p>
    <w:p>
      <w:pPr>
        <w:numPr>
          <w:ilvl w:val="0"/>
          <w:numId w:val="18"/>
        </w:numPr>
        <w:tabs>
          <w:tab w:val="left" w:pos="108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支付</w:t>
      </w:r>
    </w:p>
    <w:p>
      <w:pPr>
        <w:spacing w:line="360" w:lineRule="auto"/>
        <w:ind w:left="420" w:leftChars="200" w:firstLine="480"/>
        <w:rPr>
          <w:rFonts w:hint="eastAsia" w:ascii="宋体" w:hAnsi="宋体" w:eastAsia="宋体" w:cs="宋体"/>
          <w:color w:val="auto"/>
          <w:sz w:val="24"/>
          <w:szCs w:val="24"/>
          <w:highlight w:val="none"/>
        </w:rPr>
      </w:pPr>
      <w:r>
        <w:rPr>
          <w:rFonts w:hint="eastAsia" w:ascii="宋体" w:hAnsi="宋体"/>
          <w:color w:val="auto"/>
          <w:sz w:val="24"/>
          <w:szCs w:val="24"/>
          <w:highlight w:val="none"/>
        </w:rPr>
        <w:t>所有货到工地经安装、联动调试、验收合格且连续无故障运行</w:t>
      </w:r>
      <w:r>
        <w:rPr>
          <w:rFonts w:ascii="宋体" w:hAnsi="宋体"/>
          <w:color w:val="auto"/>
          <w:sz w:val="24"/>
          <w:szCs w:val="24"/>
          <w:highlight w:val="none"/>
        </w:rPr>
        <w:t>30天后</w:t>
      </w:r>
      <w:r>
        <w:rPr>
          <w:rFonts w:hint="eastAsia" w:ascii="宋体" w:hAnsi="宋体"/>
          <w:color w:val="auto"/>
          <w:sz w:val="24"/>
          <w:szCs w:val="24"/>
          <w:highlight w:val="none"/>
        </w:rPr>
        <w:t>凭卖方出具的合规发票</w:t>
      </w:r>
      <w:r>
        <w:rPr>
          <w:rFonts w:ascii="宋体" w:hAnsi="宋体"/>
          <w:color w:val="auto"/>
          <w:sz w:val="24"/>
          <w:szCs w:val="24"/>
          <w:highlight w:val="none"/>
        </w:rPr>
        <w:t>支付至合同总价款的95%，余款5%作为质保金，在质保期满且</w:t>
      </w:r>
      <w:r>
        <w:rPr>
          <w:rFonts w:hint="eastAsia" w:ascii="宋体" w:hAnsi="宋体"/>
          <w:color w:val="auto"/>
          <w:sz w:val="24"/>
          <w:szCs w:val="24"/>
          <w:highlight w:val="none"/>
        </w:rPr>
        <w:t>卖方履行质保义务</w:t>
      </w:r>
      <w:r>
        <w:rPr>
          <w:rFonts w:ascii="宋体" w:hAnsi="宋体"/>
          <w:color w:val="auto"/>
          <w:sz w:val="24"/>
          <w:szCs w:val="24"/>
          <w:highlight w:val="none"/>
        </w:rPr>
        <w:t>后一个月内无息付清</w:t>
      </w:r>
      <w:r>
        <w:rPr>
          <w:rFonts w:hint="eastAsia" w:ascii="宋体" w:hAnsi="宋体"/>
          <w:color w:val="auto"/>
          <w:sz w:val="24"/>
          <w:szCs w:val="24"/>
          <w:highlight w:val="none"/>
        </w:rPr>
        <w:t>余额</w:t>
      </w:r>
      <w:r>
        <w:rPr>
          <w:rFonts w:ascii="宋体" w:hAnsi="宋体"/>
          <w:color w:val="auto"/>
          <w:sz w:val="24"/>
          <w:szCs w:val="24"/>
          <w:highlight w:val="none"/>
        </w:rPr>
        <w:t>。（</w:t>
      </w:r>
      <w:r>
        <w:rPr>
          <w:rFonts w:hint="eastAsia" w:ascii="宋体"/>
          <w:color w:val="auto"/>
          <w:sz w:val="24"/>
          <w:szCs w:val="24"/>
          <w:highlight w:val="none"/>
        </w:rPr>
        <w:t>备注：</w:t>
      </w:r>
      <w:r>
        <w:rPr>
          <w:rFonts w:hint="eastAsia" w:ascii="宋体" w:hAnsi="宋体"/>
          <w:color w:val="auto"/>
          <w:sz w:val="24"/>
          <w:szCs w:val="24"/>
          <w:highlight w:val="none"/>
        </w:rPr>
        <w:t>本项目在结算支付时，票据为税率</w:t>
      </w:r>
      <w:r>
        <w:rPr>
          <w:rFonts w:ascii="宋体" w:hAnsi="宋体"/>
          <w:color w:val="auto"/>
          <w:sz w:val="24"/>
          <w:szCs w:val="24"/>
          <w:highlight w:val="none"/>
        </w:rPr>
        <w:t>13%增值税专用发票（国家政策若发生变化以相关政策执行）。</w:t>
      </w:r>
    </w:p>
    <w:p>
      <w:pPr>
        <w:spacing w:line="360" w:lineRule="auto"/>
        <w:ind w:firstLine="570" w:firstLineChars="0"/>
        <w:rPr>
          <w:rFonts w:ascii="宋体" w:hAnsi="宋体"/>
          <w:color w:val="auto"/>
          <w:sz w:val="24"/>
          <w:szCs w:val="24"/>
          <w:highlight w:val="none"/>
        </w:rPr>
      </w:pPr>
    </w:p>
    <w:p>
      <w:pPr>
        <w:spacing w:line="360" w:lineRule="auto"/>
        <w:ind w:firstLine="570" w:firstLineChars="0"/>
        <w:rPr>
          <w:rFonts w:ascii="宋体" w:hAnsi="宋体"/>
          <w:b/>
          <w:color w:val="auto"/>
          <w:sz w:val="24"/>
          <w:szCs w:val="24"/>
          <w:highlight w:val="none"/>
        </w:rPr>
      </w:pPr>
      <w:r>
        <w:rPr>
          <w:rFonts w:hint="eastAsia" w:ascii="宋体" w:hAnsi="宋体"/>
          <w:b/>
          <w:color w:val="auto"/>
          <w:sz w:val="24"/>
          <w:szCs w:val="24"/>
          <w:highlight w:val="none"/>
        </w:rPr>
        <w:t>第十二条</w:t>
      </w:r>
      <w:r>
        <w:rPr>
          <w:rFonts w:ascii="宋体" w:hAnsi="宋体"/>
          <w:b/>
          <w:color w:val="auto"/>
          <w:sz w:val="24"/>
          <w:szCs w:val="24"/>
          <w:highlight w:val="none"/>
        </w:rPr>
        <w:t xml:space="preserve">  </w:t>
      </w:r>
      <w:r>
        <w:rPr>
          <w:rFonts w:hint="eastAsia" w:ascii="宋体" w:hAnsi="宋体"/>
          <w:b/>
          <w:color w:val="auto"/>
          <w:sz w:val="24"/>
          <w:szCs w:val="24"/>
          <w:highlight w:val="none"/>
        </w:rPr>
        <w:t>连带责任</w:t>
      </w:r>
    </w:p>
    <w:p>
      <w:pPr>
        <w:spacing w:line="360" w:lineRule="auto"/>
        <w:ind w:left="420" w:leftChars="200" w:firstLine="0" w:firstLineChars="0"/>
        <w:rPr>
          <w:rFonts w:ascii="宋体" w:hAnsi="宋体"/>
          <w:color w:val="auto"/>
          <w:sz w:val="24"/>
          <w:szCs w:val="24"/>
          <w:highlight w:val="none"/>
        </w:rPr>
      </w:pPr>
      <w:r>
        <w:rPr>
          <w:rFonts w:ascii="宋体" w:hAnsi="宋体"/>
          <w:color w:val="auto"/>
          <w:sz w:val="24"/>
          <w:szCs w:val="24"/>
          <w:highlight w:val="none"/>
        </w:rPr>
        <w:t>12.1卖方应对本合同项下设备的制造、运输、装卸、交货、</w:t>
      </w:r>
      <w:r>
        <w:rPr>
          <w:rFonts w:hint="eastAsia" w:ascii="宋体" w:hAnsi="宋体"/>
          <w:color w:val="auto"/>
          <w:sz w:val="24"/>
          <w:szCs w:val="24"/>
          <w:highlight w:val="none"/>
        </w:rPr>
        <w:t>安装等承担全部责任。</w:t>
      </w:r>
    </w:p>
    <w:p>
      <w:pPr>
        <w:spacing w:line="360" w:lineRule="auto"/>
        <w:ind w:left="420" w:leftChars="200" w:firstLine="0" w:firstLineChars="0"/>
        <w:rPr>
          <w:rFonts w:ascii="宋体" w:hAnsi="宋体"/>
          <w:color w:val="auto"/>
          <w:sz w:val="24"/>
          <w:szCs w:val="24"/>
          <w:highlight w:val="none"/>
        </w:rPr>
      </w:pPr>
      <w:r>
        <w:rPr>
          <w:rFonts w:ascii="宋体" w:hAnsi="宋体"/>
          <w:color w:val="auto"/>
          <w:sz w:val="24"/>
          <w:szCs w:val="24"/>
          <w:highlight w:val="none"/>
        </w:rPr>
        <w:t xml:space="preserve">12.2 </w:t>
      </w:r>
      <w:r>
        <w:rPr>
          <w:rFonts w:hint="eastAsia" w:ascii="宋体" w:hAnsi="宋体"/>
          <w:color w:val="auto"/>
          <w:sz w:val="24"/>
          <w:szCs w:val="24"/>
          <w:highlight w:val="none"/>
        </w:rPr>
        <w:t>卖方应对本合同项下设备安装过程中影响买方安全生产的任何事宜承担全部责任。</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第十三条</w:t>
      </w:r>
      <w:r>
        <w:rPr>
          <w:rFonts w:ascii="宋体" w:hAnsi="宋体"/>
          <w:b/>
          <w:color w:val="auto"/>
          <w:sz w:val="24"/>
          <w:szCs w:val="24"/>
          <w:highlight w:val="none"/>
        </w:rPr>
        <w:t xml:space="preserve">  </w:t>
      </w:r>
      <w:r>
        <w:rPr>
          <w:rFonts w:hint="eastAsia" w:ascii="宋体" w:hAnsi="宋体"/>
          <w:b/>
          <w:color w:val="auto"/>
          <w:sz w:val="24"/>
          <w:szCs w:val="24"/>
          <w:highlight w:val="none"/>
        </w:rPr>
        <w:t>质量保证</w:t>
      </w:r>
    </w:p>
    <w:p>
      <w:pPr>
        <w:numPr>
          <w:ilvl w:val="0"/>
          <w:numId w:val="19"/>
        </w:numPr>
        <w:tabs>
          <w:tab w:val="left" w:pos="540"/>
          <w:tab w:val="left" w:pos="1080"/>
          <w:tab w:val="clear" w:pos="90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卖方应保证其提供的货物在各个方面符合技术规格书规定的质量、规格和性能要求。</w:t>
      </w:r>
    </w:p>
    <w:p>
      <w:pPr>
        <w:numPr>
          <w:ilvl w:val="0"/>
          <w:numId w:val="19"/>
        </w:numPr>
        <w:tabs>
          <w:tab w:val="left" w:pos="540"/>
          <w:tab w:val="left" w:pos="1080"/>
          <w:tab w:val="clear" w:pos="90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合同货物的质量保证期为联动调试合格试运行后的</w:t>
      </w:r>
      <w:r>
        <w:rPr>
          <w:rFonts w:ascii="宋体" w:hAnsi="宋体"/>
          <w:color w:val="auto"/>
          <w:sz w:val="24"/>
          <w:szCs w:val="24"/>
          <w:highlight w:val="none"/>
        </w:rPr>
        <w:t>18个月。在质量保证期内，卖方应对由于设计、工艺、生产或运输导致的缺陷负责，出现上述情况，卖方应在7天内对买方提出的要求给予答复并处理。</w:t>
      </w:r>
    </w:p>
    <w:p>
      <w:pPr>
        <w:tabs>
          <w:tab w:val="left" w:pos="1080"/>
        </w:tabs>
        <w:spacing w:line="440" w:lineRule="exact"/>
        <w:ind w:left="540" w:firstLine="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第十四条</w:t>
      </w:r>
      <w:r>
        <w:rPr>
          <w:rFonts w:ascii="宋体" w:hAnsi="宋体"/>
          <w:b/>
          <w:color w:val="auto"/>
          <w:sz w:val="24"/>
          <w:szCs w:val="24"/>
          <w:highlight w:val="none"/>
        </w:rPr>
        <w:t xml:space="preserve">  </w:t>
      </w:r>
      <w:r>
        <w:rPr>
          <w:rFonts w:hint="eastAsia" w:ascii="宋体" w:hAnsi="宋体"/>
          <w:b/>
          <w:color w:val="auto"/>
          <w:sz w:val="24"/>
          <w:szCs w:val="24"/>
          <w:highlight w:val="none"/>
        </w:rPr>
        <w:t>技术服务和检验</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卖方应及时提供与本合同设备有关的安装、调试、验收、性能验收试验、运行、检修等相应的技术指导、技术配合、技术培训等全过程的服务。</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卖方根据相关设备的技术资料、检验标准、图纸及说明书进行安装、调试、运行和维修。并负责解决合同设备在安装调试、试运行中发现的制造质量及性能等有关问题。</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卖方应在合同生效后</w:t>
      </w:r>
      <w:r>
        <w:rPr>
          <w:rFonts w:ascii="宋体" w:hAnsi="宋体"/>
          <w:color w:val="auto"/>
          <w:sz w:val="24"/>
          <w:szCs w:val="24"/>
          <w:highlight w:val="none"/>
        </w:rPr>
        <w:t>1个月内以快递邮寄方式向买方提交执行14.2条规定的服务工作的组织计划一式两份。</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如遇有重大问题需要双方立即研究协商时，任何一方均可建议召开会议，在一般情况下，另一方应同意参加。</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各次会议及其他联络方式双方均应签订会议或联络纪要，所签纪要双方均应执行。如涉及合同条款有修改时，双方需签订补充或更改合同。</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买方有权将对方所提供的一切与本合同设备有关的资料分发给与本工程有关的各方，并不由此而构成任何侵权</w:t>
      </w:r>
      <w:r>
        <w:rPr>
          <w:rFonts w:ascii="宋体" w:hAnsi="宋体"/>
          <w:color w:val="auto"/>
          <w:sz w:val="24"/>
          <w:szCs w:val="24"/>
          <w:highlight w:val="none"/>
        </w:rPr>
        <w:t>,但不得向任何与本工程无关的第三方提供。</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对盖有“密件”印章的卖方、买方的资料，双方都有为其保密的义务。</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需要卖方的分包商对合同设备的部分技术服务或去现场工作，应由卖方统一组织并征得买方同意，费用应由卖方负担。</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卖方（包括外购）须对一切与本合同有关的供货、设备及技术接口、技术服务等问题负全部责任。</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凡与本合同设备相连接的其它设备装置，卖方有提供接口和技术配合的义务，并不由此而发生合同价格以外的任何费用。</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卖方派到现场服务的技术人员应是有实践经验、可胜任此项工作的人员。卖方派到现场服务的技术人员名单在本合同生效后</w:t>
      </w:r>
      <w:r>
        <w:rPr>
          <w:rFonts w:ascii="宋体" w:hAnsi="宋体"/>
          <w:color w:val="auto"/>
          <w:sz w:val="24"/>
          <w:szCs w:val="24"/>
          <w:highlight w:val="none"/>
        </w:rPr>
        <w:t>1个月内提交买方予以确认。</w:t>
      </w:r>
    </w:p>
    <w:p>
      <w:pPr>
        <w:spacing w:line="440" w:lineRule="exact"/>
        <w:ind w:left="540" w:leftChars="257" w:firstLineChars="175"/>
        <w:rPr>
          <w:rFonts w:ascii="宋体" w:hAnsi="宋体"/>
          <w:color w:val="auto"/>
          <w:sz w:val="24"/>
          <w:szCs w:val="24"/>
          <w:highlight w:val="none"/>
        </w:rPr>
      </w:pPr>
      <w:r>
        <w:rPr>
          <w:rFonts w:hint="eastAsia" w:ascii="宋体" w:hAnsi="宋体"/>
          <w:color w:val="auto"/>
          <w:sz w:val="24"/>
          <w:szCs w:val="24"/>
          <w:highlight w:val="none"/>
        </w:rPr>
        <w:t>买方有权提出更换不符合要求的卖方现场服务人员，卖方应根据现场需要，重新选派买方认可的服务人员。如果买方在书面提出该项要求</w:t>
      </w:r>
      <w:r>
        <w:rPr>
          <w:rFonts w:ascii="宋体" w:hAnsi="宋体"/>
          <w:color w:val="auto"/>
          <w:sz w:val="24"/>
          <w:szCs w:val="24"/>
          <w:highlight w:val="none"/>
        </w:rPr>
        <w:t>10天内卖方没有答复，将按第十五条视为延误工期等同处理。</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由于卖方人员对安装、调试、试运的疏忽和错误以及卖方未按要求派人指导而造成的损失应由卖方负责。</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应在发货之前对货物的有关质量、规格、性能、数量进行准确的全面的检验，并出具其货物符合规定的质量证明书。该证书将作为提交付款单据的一部分。但不应视为是对质量、规格、性能、数量的定论。质量证书应附有写明制造商的出厂检验结果、细节说明。</w:t>
      </w:r>
    </w:p>
    <w:p>
      <w:pPr>
        <w:spacing w:line="440" w:lineRule="exact"/>
        <w:ind w:left="540" w:leftChars="257" w:firstLine="508" w:firstLineChars="212"/>
        <w:rPr>
          <w:rFonts w:ascii="宋体" w:hAnsi="宋体"/>
          <w:color w:val="auto"/>
          <w:sz w:val="24"/>
          <w:szCs w:val="24"/>
          <w:highlight w:val="none"/>
        </w:rPr>
      </w:pPr>
      <w:r>
        <w:rPr>
          <w:rFonts w:hint="eastAsia" w:ascii="宋体" w:hAnsi="宋体"/>
          <w:color w:val="auto"/>
          <w:sz w:val="24"/>
          <w:szCs w:val="24"/>
          <w:highlight w:val="none"/>
        </w:rPr>
        <w:t>由卖方供应的所有合同设备</w:t>
      </w:r>
      <w:r>
        <w:rPr>
          <w:rFonts w:ascii="宋体" w:hAnsi="宋体"/>
          <w:color w:val="auto"/>
          <w:sz w:val="24"/>
          <w:szCs w:val="24"/>
          <w:highlight w:val="none"/>
        </w:rPr>
        <w:t>/部件(包括分包与外购),在生产过程中都须进行严格的检验和试验,出厂前须进行部套和/或整机总装和试验。所有检验、试验和总装(装配)必须有正式的记录文件。以上工作完成之后,合格者才能出厂发运。</w:t>
      </w:r>
    </w:p>
    <w:p>
      <w:pPr>
        <w:spacing w:line="440" w:lineRule="exact"/>
        <w:ind w:left="540" w:leftChars="257" w:firstLine="508" w:firstLineChars="212"/>
        <w:rPr>
          <w:rFonts w:ascii="宋体" w:hAnsi="宋体"/>
          <w:color w:val="auto"/>
          <w:sz w:val="24"/>
          <w:szCs w:val="24"/>
          <w:highlight w:val="none"/>
        </w:rPr>
      </w:pPr>
      <w:r>
        <w:rPr>
          <w:rFonts w:hint="eastAsia" w:ascii="宋体" w:hAnsi="宋体"/>
          <w:color w:val="auto"/>
          <w:sz w:val="24"/>
          <w:szCs w:val="24"/>
          <w:highlight w:val="none"/>
        </w:rPr>
        <w:t>所有这些正式的记录文件及合格证作为技术资料的一部分，卖方要以快递方式邮寄给买方存档。此外</w:t>
      </w:r>
      <w:r>
        <w:rPr>
          <w:rFonts w:ascii="宋体" w:hAnsi="宋体"/>
          <w:color w:val="auto"/>
          <w:sz w:val="24"/>
          <w:szCs w:val="24"/>
          <w:highlight w:val="none"/>
        </w:rPr>
        <w:t>,卖方还应在随机文件中提供合格证和质量证明文件。</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货物运抵现场后，卖方在接到买方通知后应及时到现场，与买方将对货物的有关质量、规格、数量</w:t>
      </w:r>
      <w:r>
        <w:rPr>
          <w:rFonts w:ascii="宋体" w:hAnsi="宋体"/>
          <w:color w:val="auto"/>
          <w:sz w:val="24"/>
          <w:szCs w:val="24"/>
          <w:highlight w:val="none"/>
        </w:rPr>
        <w:t>/重量进行检验，并出具检验证书，该检验证书不免除或减轻卖方对货物应承担的任何质量责任。</w:t>
      </w:r>
    </w:p>
    <w:p>
      <w:pPr>
        <w:spacing w:line="440" w:lineRule="exact"/>
        <w:ind w:left="540" w:leftChars="257" w:firstLine="508" w:firstLineChars="212"/>
        <w:rPr>
          <w:rFonts w:ascii="宋体" w:hAnsi="宋体"/>
          <w:color w:val="auto"/>
          <w:sz w:val="24"/>
          <w:szCs w:val="24"/>
          <w:highlight w:val="none"/>
        </w:rPr>
      </w:pPr>
      <w:r>
        <w:rPr>
          <w:rFonts w:hint="eastAsia" w:ascii="宋体" w:hAnsi="宋体"/>
          <w:color w:val="auto"/>
          <w:sz w:val="24"/>
          <w:szCs w:val="24"/>
          <w:highlight w:val="none"/>
        </w:rPr>
        <w:t>在现场开箱检验时，如果卖方人员未按时赴现场，买方有权自行开箱检验，检验结果和记录对双方同样有效，并作为买方向卖方提出索赔的有效证据。</w:t>
      </w:r>
    </w:p>
    <w:p>
      <w:pPr>
        <w:spacing w:line="440" w:lineRule="exact"/>
        <w:ind w:left="540" w:leftChars="257" w:firstLine="508" w:firstLineChars="212"/>
        <w:rPr>
          <w:rFonts w:ascii="宋体" w:hAnsi="宋体"/>
          <w:color w:val="auto"/>
          <w:sz w:val="24"/>
          <w:szCs w:val="24"/>
          <w:highlight w:val="none"/>
        </w:rPr>
      </w:pPr>
      <w:r>
        <w:rPr>
          <w:rFonts w:hint="eastAsia" w:ascii="宋体" w:hAnsi="宋体"/>
          <w:color w:val="auto"/>
          <w:sz w:val="24"/>
          <w:szCs w:val="24"/>
          <w:highlight w:val="none"/>
        </w:rPr>
        <w:t>如果经检验发现质量、规格或数量不符合技术规格书的规定时，买方有权在货物运抵现场后</w:t>
      </w:r>
      <w:r>
        <w:rPr>
          <w:rFonts w:ascii="宋体" w:hAnsi="宋体"/>
          <w:color w:val="auto"/>
          <w:sz w:val="24"/>
          <w:szCs w:val="24"/>
          <w:highlight w:val="none"/>
        </w:rPr>
        <w:t>90日内向卖方提出索赔。</w:t>
      </w:r>
    </w:p>
    <w:p>
      <w:pPr>
        <w:numPr>
          <w:ilvl w:val="0"/>
          <w:numId w:val="20"/>
        </w:numPr>
        <w:tabs>
          <w:tab w:val="left" w:pos="5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如果在第十三条规定的质量保证期内，发现货物的质量或规格与合同规定不符，或证明货物有缺陷（包括潜在缺陷），买方有权立即将此情况通知卖方，卖方应负责处理，并对买方因此遭受的损失承担赔偿责任。</w:t>
      </w:r>
    </w:p>
    <w:p>
      <w:pPr>
        <w:spacing w:line="440" w:lineRule="exact"/>
        <w:ind w:firstLine="570" w:firstLineChars="0"/>
        <w:rPr>
          <w:rFonts w:ascii="宋体" w:hAnsi="宋体"/>
          <w:color w:val="auto"/>
          <w:sz w:val="24"/>
          <w:szCs w:val="24"/>
          <w:highlight w:val="none"/>
        </w:rPr>
      </w:pPr>
      <w:r>
        <w:rPr>
          <w:rFonts w:ascii="宋体" w:hAnsi="宋体"/>
          <w:color w:val="auto"/>
          <w:sz w:val="24"/>
          <w:szCs w:val="24"/>
          <w:highlight w:val="none"/>
        </w:rPr>
        <w:t xml:space="preserve"> </w:t>
      </w: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第十五条</w:t>
      </w:r>
      <w:r>
        <w:rPr>
          <w:rFonts w:ascii="宋体" w:hAnsi="宋体"/>
          <w:b/>
          <w:color w:val="auto"/>
          <w:sz w:val="24"/>
          <w:szCs w:val="24"/>
          <w:highlight w:val="none"/>
        </w:rPr>
        <w:t xml:space="preserve">  </w:t>
      </w:r>
      <w:r>
        <w:rPr>
          <w:rFonts w:hint="eastAsia" w:ascii="宋体" w:hAnsi="宋体"/>
          <w:b/>
          <w:color w:val="auto"/>
          <w:sz w:val="24"/>
          <w:szCs w:val="24"/>
          <w:highlight w:val="none"/>
        </w:rPr>
        <w:t>索赔</w:t>
      </w:r>
    </w:p>
    <w:p>
      <w:pPr>
        <w:numPr>
          <w:ilvl w:val="0"/>
          <w:numId w:val="21"/>
        </w:numPr>
        <w:tabs>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如果卖方提供的货物与合同不符，并且买方已于第十三条、第十四条规定的质量保证期内和检验、验收测试期限内提出索赔，卖方应按买方同意的下述一种或多种方法解决索赔事宜。</w:t>
      </w:r>
    </w:p>
    <w:p>
      <w:pPr>
        <w:numPr>
          <w:ilvl w:val="0"/>
          <w:numId w:val="22"/>
        </w:numPr>
        <w:tabs>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应向买方支付与被拒收货物价值等额的款项，并应负担由此发生的一切损失补偿和费用，包括利息、银行费用、运费和保险费、检验费、仓储费、装卸费以及为保管和保护被拒绝货物所需要的其它必要费用等。如果买方选择按本项解决索赔事宜，则在卖方支付前述款项和费用后，卖方将被免除按本合同交付该批货物的义务。</w:t>
      </w:r>
    </w:p>
    <w:p>
      <w:pPr>
        <w:spacing w:line="440" w:lineRule="exact"/>
        <w:ind w:left="540" w:firstLine="0" w:firstLineChars="0"/>
        <w:rPr>
          <w:rFonts w:ascii="宋体" w:hAnsi="宋体"/>
          <w:color w:val="auto"/>
          <w:sz w:val="24"/>
          <w:szCs w:val="24"/>
          <w:highlight w:val="none"/>
        </w:rPr>
      </w:pPr>
      <w:r>
        <w:rPr>
          <w:rFonts w:ascii="宋体" w:hAnsi="宋体"/>
          <w:color w:val="auto"/>
          <w:sz w:val="24"/>
          <w:szCs w:val="24"/>
          <w:highlight w:val="none"/>
        </w:rPr>
        <w:t xml:space="preserve">15.1.2 </w:t>
      </w:r>
      <w:r>
        <w:rPr>
          <w:rFonts w:hint="eastAsia" w:ascii="宋体" w:hAnsi="宋体"/>
          <w:color w:val="auto"/>
          <w:sz w:val="24"/>
          <w:szCs w:val="24"/>
          <w:highlight w:val="none"/>
        </w:rPr>
        <w:t>更换不合格的货物，以达到合同规定的规格、质量和性能，卖方承担由此产生的一切费用和风险并负担买方遭受的一切直接费用和损失。同时卖方应根据第十三条规定对更换的货物相应地延长质量保证期。</w:t>
      </w:r>
    </w:p>
    <w:p>
      <w:pPr>
        <w:numPr>
          <w:ilvl w:val="0"/>
          <w:numId w:val="21"/>
        </w:numPr>
        <w:tabs>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由于卖方原因而引起的设备或部件的更换或补齐短少的零部件的时间，以不影响设备安装、调试及运行进度为原则，但最迟不得晚于发现缺陷、损坏或短缺等之后</w:t>
      </w:r>
      <w:r>
        <w:rPr>
          <w:rFonts w:ascii="宋体" w:hAnsi="宋体"/>
          <w:color w:val="auto"/>
          <w:sz w:val="24"/>
          <w:szCs w:val="24"/>
          <w:highlight w:val="none"/>
        </w:rPr>
        <w:t>1周或买卖双方商定的更长时间内，否则按延迟交货处理。</w:t>
      </w:r>
    </w:p>
    <w:p>
      <w:pPr>
        <w:numPr>
          <w:ilvl w:val="0"/>
          <w:numId w:val="21"/>
        </w:numPr>
        <w:tabs>
          <w:tab w:val="left" w:pos="1260"/>
          <w:tab w:val="clear" w:pos="1080"/>
        </w:tabs>
        <w:spacing w:line="440" w:lineRule="exact"/>
        <w:ind w:left="540" w:firstLine="0" w:firstLineChars="0"/>
        <w:rPr>
          <w:rFonts w:ascii="宋体" w:hAnsi="宋体"/>
          <w:color w:val="auto"/>
          <w:sz w:val="24"/>
          <w:szCs w:val="24"/>
          <w:highlight w:val="none"/>
        </w:rPr>
      </w:pPr>
      <w:r>
        <w:rPr>
          <w:rFonts w:ascii="宋体" w:hAnsi="宋体"/>
          <w:color w:val="auto"/>
          <w:sz w:val="24"/>
          <w:szCs w:val="24"/>
          <w:highlight w:val="none"/>
        </w:rPr>
        <w:t>如果买方提出索赔通知后20日内卖方未能答复，该索赔应视为已被卖方接受</w:t>
      </w:r>
      <w:r>
        <w:rPr>
          <w:rFonts w:hint="eastAsia" w:ascii="宋体" w:hAnsi="宋体"/>
          <w:color w:val="auto"/>
          <w:sz w:val="24"/>
          <w:szCs w:val="24"/>
          <w:highlight w:val="none"/>
        </w:rPr>
        <w:t>（以买方寄出通知书的邮戳日期为起算日）</w:t>
      </w:r>
      <w:r>
        <w:rPr>
          <w:rFonts w:ascii="宋体" w:hAnsi="宋体"/>
          <w:color w:val="auto"/>
          <w:sz w:val="24"/>
          <w:szCs w:val="24"/>
          <w:highlight w:val="none"/>
        </w:rPr>
        <w:t>。若卖方未能在买方提出索赔通知的20日内或买方同意的更长一些的时间内，按买方同意的上述任何一种方式处理索赔事宜，买方将从货款或卖方提供的履约保证金或质量保证金中扣回索赔金额，履约保证金或质量保证金金额不足时，买方有权向卖方进行进一步的索赔。</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第十六条</w:t>
      </w:r>
      <w:r>
        <w:rPr>
          <w:rFonts w:ascii="宋体" w:hAnsi="宋体"/>
          <w:b/>
          <w:color w:val="auto"/>
          <w:sz w:val="24"/>
          <w:szCs w:val="24"/>
          <w:highlight w:val="none"/>
        </w:rPr>
        <w:t xml:space="preserve"> </w:t>
      </w:r>
      <w:r>
        <w:rPr>
          <w:rFonts w:hint="eastAsia" w:ascii="宋体" w:hAnsi="宋体"/>
          <w:b/>
          <w:color w:val="auto"/>
          <w:sz w:val="24"/>
          <w:szCs w:val="24"/>
          <w:highlight w:val="none"/>
        </w:rPr>
        <w:t>安装、调试、试运和验收</w:t>
      </w:r>
    </w:p>
    <w:p>
      <w:pPr>
        <w:numPr>
          <w:ilvl w:val="0"/>
          <w:numId w:val="23"/>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本合同设备由卖方根据相关设备的技术资料、检验标准、图纸及说明书进行安装、调试、运行和维修。重要工序须经卖方现场技术服务人员签字确认。安装、调试过程中，若卖方未按相关设备的技术资料规定和安装规定而出现问题，卖方自行负责。</w:t>
      </w:r>
    </w:p>
    <w:p>
      <w:pPr>
        <w:numPr>
          <w:ilvl w:val="0"/>
          <w:numId w:val="23"/>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在安装之前，卖方技术人员应说明安装方法和要求。在安装过程中，买方技术人员有权对安装工作进行</w:t>
      </w:r>
      <w:r>
        <w:rPr>
          <w:rFonts w:ascii="宋体" w:hAnsi="宋体"/>
          <w:color w:val="auto"/>
          <w:sz w:val="24"/>
          <w:szCs w:val="24"/>
          <w:highlight w:val="none"/>
        </w:rPr>
        <w:t>监督</w:t>
      </w:r>
      <w:r>
        <w:rPr>
          <w:rFonts w:hint="eastAsia" w:ascii="宋体" w:hAnsi="宋体"/>
          <w:color w:val="auto"/>
          <w:sz w:val="24"/>
          <w:szCs w:val="24"/>
          <w:highlight w:val="none"/>
        </w:rPr>
        <w:t>。</w:t>
      </w:r>
      <w:r>
        <w:rPr>
          <w:rFonts w:ascii="宋体" w:hAnsi="宋体"/>
          <w:color w:val="auto"/>
          <w:sz w:val="24"/>
          <w:szCs w:val="24"/>
          <w:highlight w:val="none"/>
        </w:rPr>
        <w:t>在单套合同设备安装完毕后，买卖双方代表将进一步核实、确认安装工作，并共同签署安装完毕证书一式二份，买卖双方各执一份。但此证书不能解除卖方在试运行、性能验收试验和保证期内的责任，以及技术性能和保证与合同规定不相符的责任。本合同设备安装完毕后的验收工作按照技术规格书的要求进行。</w:t>
      </w:r>
    </w:p>
    <w:p>
      <w:pPr>
        <w:numPr>
          <w:ilvl w:val="0"/>
          <w:numId w:val="23"/>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合同设备安装完毕后，卖方应派人参加调试进行指导，并应尽快解决调试中出现的因卖方原因引起的设备问题，其所需时间一般不应超过</w:t>
      </w:r>
      <w:r>
        <w:rPr>
          <w:rFonts w:ascii="宋体" w:hAnsi="宋体"/>
          <w:color w:val="auto"/>
          <w:sz w:val="24"/>
          <w:szCs w:val="24"/>
          <w:highlight w:val="none"/>
        </w:rPr>
        <w:t>1周，对于因卖方原因引起的较大的设备问题，卖方应在双方协商确定的合理期间内解决，否则将视为延误工期进行处理。对于非卖方原因引起的设备问题，卖方应尽快协助买方予以处理。</w:t>
      </w:r>
    </w:p>
    <w:p>
      <w:pPr>
        <w:numPr>
          <w:ilvl w:val="0"/>
          <w:numId w:val="23"/>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性能验收试验的目的是为验证合同设备是否能达到各项技术性能和保证指标。验收试验由买方负责，卖方参加。性能验收试验完毕</w:t>
      </w:r>
      <w:r>
        <w:rPr>
          <w:rFonts w:ascii="宋体" w:hAnsi="宋体"/>
          <w:color w:val="auto"/>
          <w:sz w:val="24"/>
          <w:szCs w:val="24"/>
          <w:highlight w:val="none"/>
        </w:rPr>
        <w:t>,每套合同设备达到技术规格书所规定的各项性能保证值指标后，买方应在10天内签署由卖方会签的本合同设备初步性能验收合格证书一式二份，双方各执一份。除合同中另有规定外，各方人员所发生的费用均由该方自行负担。</w:t>
      </w:r>
    </w:p>
    <w:p>
      <w:pPr>
        <w:numPr>
          <w:ilvl w:val="0"/>
          <w:numId w:val="23"/>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在不影响本合同设备安全、可靠运行的条件下，如有个别微小缺陷，且此缺陷按本合同条款被定为卖方责任</w:t>
      </w:r>
      <w:r>
        <w:rPr>
          <w:rFonts w:ascii="宋体" w:hAnsi="宋体"/>
          <w:color w:val="auto"/>
          <w:sz w:val="24"/>
          <w:szCs w:val="24"/>
          <w:highlight w:val="none"/>
        </w:rPr>
        <w:t>,卖方在双方商定的时间内免费修理上述的缺陷，买方则可同意签署初步性能验收合格证书。</w:t>
      </w:r>
    </w:p>
    <w:p>
      <w:pPr>
        <w:numPr>
          <w:ilvl w:val="0"/>
          <w:numId w:val="23"/>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如果第一次性能验收试验达不到技术规格书所规定的一项或多项性能保证值，则双方应共同分析原因，澄清责任</w:t>
      </w:r>
      <w:r>
        <w:rPr>
          <w:rFonts w:ascii="宋体" w:hAnsi="宋体"/>
          <w:color w:val="auto"/>
          <w:sz w:val="24"/>
          <w:szCs w:val="24"/>
          <w:highlight w:val="none"/>
        </w:rPr>
        <w:t>,由责任一方采取措施，并在第一次验收试验结束后1个月内进行第二次验收试验。</w:t>
      </w:r>
    </w:p>
    <w:p>
      <w:pPr>
        <w:numPr>
          <w:ilvl w:val="0"/>
          <w:numId w:val="24"/>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如属卖方责任，卖方需自费采取有效措施以使第二次性能验收试验能达到技术性能和</w:t>
      </w:r>
      <w:r>
        <w:rPr>
          <w:rFonts w:ascii="宋体" w:hAnsi="宋体"/>
          <w:color w:val="auto"/>
          <w:sz w:val="24"/>
          <w:szCs w:val="24"/>
          <w:highlight w:val="none"/>
        </w:rPr>
        <w:t>/或保证指标，卖方将负担所有直接的费用，包括但不仅限于下列费用：</w:t>
      </w:r>
    </w:p>
    <w:p>
      <w:pPr>
        <w:numPr>
          <w:ilvl w:val="1"/>
          <w:numId w:val="25"/>
        </w:numPr>
        <w:tabs>
          <w:tab w:val="left" w:pos="1260"/>
          <w:tab w:val="clear" w:pos="132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替换和</w:t>
      </w:r>
      <w:r>
        <w:rPr>
          <w:rFonts w:ascii="宋体" w:hAnsi="宋体"/>
          <w:color w:val="auto"/>
          <w:sz w:val="24"/>
          <w:szCs w:val="24"/>
          <w:highlight w:val="none"/>
        </w:rPr>
        <w:t>/或修理的设备和材料的费用；</w:t>
      </w:r>
    </w:p>
    <w:p>
      <w:pPr>
        <w:numPr>
          <w:ilvl w:val="1"/>
          <w:numId w:val="25"/>
        </w:numPr>
        <w:tabs>
          <w:tab w:val="left" w:pos="1260"/>
          <w:tab w:val="clear" w:pos="132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参与第二次性能验收试验的卖方技术人员的费用；</w:t>
      </w:r>
    </w:p>
    <w:p>
      <w:pPr>
        <w:numPr>
          <w:ilvl w:val="1"/>
          <w:numId w:val="25"/>
        </w:numPr>
        <w:tabs>
          <w:tab w:val="left" w:pos="1260"/>
          <w:tab w:val="clear" w:pos="132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参加修理的买方人员的费用；</w:t>
      </w:r>
    </w:p>
    <w:p>
      <w:pPr>
        <w:numPr>
          <w:ilvl w:val="1"/>
          <w:numId w:val="25"/>
        </w:numPr>
        <w:tabs>
          <w:tab w:val="left" w:pos="1260"/>
          <w:tab w:val="clear" w:pos="132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第二次性能验收试验所使用的工具和设备的费用；</w:t>
      </w:r>
    </w:p>
    <w:p>
      <w:pPr>
        <w:numPr>
          <w:ilvl w:val="1"/>
          <w:numId w:val="25"/>
        </w:numPr>
        <w:tabs>
          <w:tab w:val="left" w:pos="1260"/>
          <w:tab w:val="clear" w:pos="132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第二次性能验收试验所使用的材料和消耗品的费用；</w:t>
      </w:r>
    </w:p>
    <w:p>
      <w:pPr>
        <w:numPr>
          <w:ilvl w:val="1"/>
          <w:numId w:val="25"/>
        </w:numPr>
        <w:tabs>
          <w:tab w:val="left" w:pos="1260"/>
          <w:tab w:val="clear" w:pos="1320"/>
        </w:tabs>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所更换和</w:t>
      </w:r>
      <w:r>
        <w:rPr>
          <w:rFonts w:ascii="宋体" w:hAnsi="宋体"/>
          <w:color w:val="auto"/>
          <w:sz w:val="24"/>
          <w:szCs w:val="24"/>
          <w:highlight w:val="none"/>
        </w:rPr>
        <w:t>/或修理的设备和材料运离/运抵现场的所有运输和保险费用。</w:t>
      </w:r>
    </w:p>
    <w:p>
      <w:pPr>
        <w:numPr>
          <w:ilvl w:val="0"/>
          <w:numId w:val="23"/>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第二次性能验收试验后，如仍有一项或多项指标未能达到技术规格书所规定的性能保证值，双方应共同研究，分析原因，澄清责任</w:t>
      </w:r>
      <w:r>
        <w:rPr>
          <w:rFonts w:ascii="宋体" w:hAnsi="宋体"/>
          <w:color w:val="auto"/>
          <w:sz w:val="24"/>
          <w:szCs w:val="24"/>
          <w:highlight w:val="none"/>
        </w:rPr>
        <w:t>:</w:t>
      </w:r>
    </w:p>
    <w:p>
      <w:pPr>
        <w:numPr>
          <w:ilvl w:val="1"/>
          <w:numId w:val="26"/>
        </w:numPr>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如属卖方原因，则应按本合同第十八条执行。</w:t>
      </w:r>
    </w:p>
    <w:p>
      <w:pPr>
        <w:numPr>
          <w:ilvl w:val="1"/>
          <w:numId w:val="26"/>
        </w:numPr>
        <w:spacing w:line="360" w:lineRule="auto"/>
        <w:ind w:left="420" w:leftChars="200" w:firstLine="0" w:firstLineChars="0"/>
        <w:rPr>
          <w:rFonts w:ascii="宋体" w:hAnsi="宋体"/>
          <w:color w:val="auto"/>
          <w:sz w:val="24"/>
          <w:szCs w:val="24"/>
          <w:highlight w:val="none"/>
        </w:rPr>
      </w:pPr>
      <w:r>
        <w:rPr>
          <w:rFonts w:hint="eastAsia" w:ascii="宋体" w:hAnsi="宋体"/>
          <w:color w:val="auto"/>
          <w:sz w:val="24"/>
          <w:szCs w:val="24"/>
          <w:highlight w:val="none"/>
        </w:rPr>
        <w:t>如属买方原因，本合同设备应被认为初步性能验收通过，此后</w:t>
      </w:r>
      <w:r>
        <w:rPr>
          <w:rFonts w:ascii="宋体" w:hAnsi="宋体"/>
          <w:color w:val="auto"/>
          <w:sz w:val="24"/>
          <w:szCs w:val="24"/>
          <w:highlight w:val="none"/>
        </w:rPr>
        <w:t>10天内由买方代表签署由卖方代表会签的本合同设备初步性能验收合格证书一式二份，双方各执一份。此时卖方仍有义务向买方提供技术帮助,与买方一起采取各种措施，使合同设备达到本合同规定的技术性能和保证指标。</w:t>
      </w:r>
    </w:p>
    <w:p>
      <w:pPr>
        <w:numPr>
          <w:ilvl w:val="0"/>
          <w:numId w:val="23"/>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初步性能验收合格证书只是证明卖方所提供的合同设备性能和参数截至出具初步性能验收证明时可以按合同要求予以接受，但不能视为卖方对合同设备中存在的可能引起合同设备损坏的潜在缺陷所应负的责任解除的证据；同样，最终性能验收合格证书也不能被视为卖方对合同设备中存在可能引起合同设备损坏的潜在缺陷应负责任的解除的证据。</w:t>
      </w:r>
    </w:p>
    <w:p>
      <w:pPr>
        <w:numPr>
          <w:ilvl w:val="0"/>
          <w:numId w:val="23"/>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在合同执行过程中的任何时候，对由于卖方责任需要进行的检查、试验、再试验、修理或调换，在卖方提出请求时，买方应作好安排进行配合以便进行上述工作。卖方应负担修理或调换及其人员的费用。如果卖方委托买方施工人员进行加工和</w:t>
      </w:r>
      <w:r>
        <w:rPr>
          <w:rFonts w:ascii="宋体" w:hAnsi="宋体"/>
          <w:color w:val="auto"/>
          <w:sz w:val="24"/>
          <w:szCs w:val="24"/>
          <w:highlight w:val="none"/>
        </w:rPr>
        <w:t>/或修理、更换设备，或由于卖方设计图纸错误或卖方技术服务人员的指导错误造成返工，卖方应按下列公式向买方支付费用：（所有费用按发生时的费率水平计费）</w:t>
      </w:r>
    </w:p>
    <w:p>
      <w:pPr>
        <w:spacing w:line="440" w:lineRule="exact"/>
        <w:ind w:firstLine="570" w:firstLineChars="0"/>
        <w:rPr>
          <w:rFonts w:ascii="宋体" w:hAnsi="宋体"/>
          <w:color w:val="auto"/>
          <w:sz w:val="24"/>
          <w:szCs w:val="24"/>
          <w:highlight w:val="none"/>
        </w:rPr>
      </w:pPr>
      <w:r>
        <w:rPr>
          <w:rFonts w:ascii="宋体" w:hAnsi="宋体"/>
          <w:color w:val="auto"/>
          <w:sz w:val="24"/>
          <w:szCs w:val="24"/>
          <w:highlight w:val="none"/>
        </w:rPr>
        <w:t xml:space="preserve">        Ｐ＝ ａh + M + c m</w:t>
      </w:r>
    </w:p>
    <w:p>
      <w:pPr>
        <w:spacing w:line="440" w:lineRule="exact"/>
        <w:ind w:firstLine="570" w:firstLineChars="0"/>
        <w:rPr>
          <w:rFonts w:ascii="宋体" w:hAnsi="宋体"/>
          <w:color w:val="auto"/>
          <w:sz w:val="24"/>
          <w:szCs w:val="24"/>
          <w:highlight w:val="none"/>
        </w:rPr>
      </w:pPr>
      <w:r>
        <w:rPr>
          <w:rFonts w:ascii="宋体" w:hAnsi="宋体"/>
          <w:color w:val="auto"/>
          <w:sz w:val="24"/>
          <w:szCs w:val="24"/>
          <w:highlight w:val="none"/>
        </w:rPr>
        <w:t xml:space="preserve">        其中：Ｐ＿＿总费用(元)</w:t>
      </w:r>
    </w:p>
    <w:p>
      <w:pPr>
        <w:spacing w:line="440" w:lineRule="exact"/>
        <w:ind w:firstLine="570" w:firstLineChars="0"/>
        <w:rPr>
          <w:rFonts w:ascii="宋体" w:hAnsi="宋体"/>
          <w:color w:val="auto"/>
          <w:sz w:val="24"/>
          <w:szCs w:val="24"/>
          <w:highlight w:val="none"/>
        </w:rPr>
      </w:pPr>
      <w:r>
        <w:rPr>
          <w:rFonts w:ascii="宋体" w:hAnsi="宋体"/>
          <w:color w:val="auto"/>
          <w:sz w:val="24"/>
          <w:szCs w:val="24"/>
          <w:highlight w:val="none"/>
        </w:rPr>
        <w:t xml:space="preserve">              a ＿＿人工费(元/小时.人)</w:t>
      </w:r>
    </w:p>
    <w:p>
      <w:pPr>
        <w:spacing w:line="440" w:lineRule="exact"/>
        <w:ind w:firstLine="570" w:firstLineChars="0"/>
        <w:rPr>
          <w:rFonts w:ascii="宋体" w:hAnsi="宋体"/>
          <w:color w:val="auto"/>
          <w:sz w:val="24"/>
          <w:szCs w:val="24"/>
          <w:highlight w:val="none"/>
        </w:rPr>
      </w:pPr>
      <w:r>
        <w:rPr>
          <w:rFonts w:ascii="宋体" w:hAnsi="宋体"/>
          <w:color w:val="auto"/>
          <w:sz w:val="24"/>
          <w:szCs w:val="24"/>
          <w:highlight w:val="none"/>
        </w:rPr>
        <w:t xml:space="preserve">              h ＿＿人时(小时.人)</w:t>
      </w:r>
    </w:p>
    <w:p>
      <w:pPr>
        <w:spacing w:line="440" w:lineRule="exact"/>
        <w:ind w:firstLine="570" w:firstLineChars="0"/>
        <w:rPr>
          <w:rFonts w:ascii="宋体" w:hAnsi="宋体"/>
          <w:color w:val="auto"/>
          <w:sz w:val="24"/>
          <w:szCs w:val="24"/>
          <w:highlight w:val="none"/>
        </w:rPr>
      </w:pPr>
      <w:r>
        <w:rPr>
          <w:rFonts w:ascii="宋体" w:hAnsi="宋体"/>
          <w:color w:val="auto"/>
          <w:sz w:val="24"/>
          <w:szCs w:val="24"/>
          <w:highlight w:val="none"/>
        </w:rPr>
        <w:t xml:space="preserve">              M ＿＿材料费(元)</w:t>
      </w:r>
    </w:p>
    <w:p>
      <w:pPr>
        <w:spacing w:line="440" w:lineRule="exact"/>
        <w:ind w:firstLine="570" w:firstLineChars="0"/>
        <w:rPr>
          <w:rFonts w:ascii="宋体" w:hAnsi="宋体"/>
          <w:color w:val="auto"/>
          <w:sz w:val="24"/>
          <w:szCs w:val="24"/>
          <w:highlight w:val="none"/>
        </w:rPr>
      </w:pPr>
      <w:r>
        <w:rPr>
          <w:rFonts w:ascii="宋体" w:hAnsi="宋体"/>
          <w:color w:val="auto"/>
          <w:sz w:val="24"/>
          <w:szCs w:val="24"/>
          <w:highlight w:val="none"/>
        </w:rPr>
        <w:t xml:space="preserve">              c ＿＿台班数(台.班)</w:t>
      </w:r>
    </w:p>
    <w:p>
      <w:pPr>
        <w:spacing w:line="440" w:lineRule="exact"/>
        <w:ind w:firstLine="570" w:firstLineChars="0"/>
        <w:rPr>
          <w:rFonts w:ascii="宋体" w:hAnsi="宋体"/>
          <w:color w:val="auto"/>
          <w:sz w:val="24"/>
          <w:szCs w:val="24"/>
          <w:highlight w:val="none"/>
        </w:rPr>
      </w:pPr>
      <w:r>
        <w:rPr>
          <w:rFonts w:ascii="宋体" w:hAnsi="宋体"/>
          <w:color w:val="auto"/>
          <w:sz w:val="24"/>
          <w:szCs w:val="24"/>
          <w:highlight w:val="none"/>
        </w:rPr>
        <w:t xml:space="preserve">              m ＿＿每台设备的台班费(元/台.班)</w:t>
      </w:r>
    </w:p>
    <w:p>
      <w:pPr>
        <w:numPr>
          <w:ilvl w:val="0"/>
          <w:numId w:val="23"/>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在设备寿命内</w:t>
      </w:r>
      <w:r>
        <w:rPr>
          <w:rFonts w:ascii="宋体" w:hAnsi="宋体"/>
          <w:color w:val="auto"/>
          <w:sz w:val="24"/>
          <w:szCs w:val="24"/>
          <w:highlight w:val="none"/>
        </w:rPr>
        <w:t>,卖方欲停止或不能制造某些备品备件，卖方有义务提前通知买方，以便买方有足够时间从卖方处对所需的备品备件做最后一批订货，并且卖方有义务免费提供制造这些备品备件的图纸、样板、工具、模具及技术说明等，使买方能够为合同设备制造所需的备品备件，且买方制造这些备品备件不构成对专利及工业设计权的侵权。买方在用毕后适当的时候以合理的方式和状况归还以上各项物品。</w:t>
      </w:r>
    </w:p>
    <w:p>
      <w:pPr>
        <w:numPr>
          <w:ilvl w:val="0"/>
          <w:numId w:val="23"/>
        </w:numPr>
        <w:tabs>
          <w:tab w:val="left" w:pos="540"/>
          <w:tab w:val="left" w:pos="126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不论合同设备的损失或损坏的责任在买方或是在卖方，卖方应首先尽快交付更换或补充此损失或损坏的设备，然后确定上述设备的费用由哪一方承担。</w:t>
      </w:r>
    </w:p>
    <w:p>
      <w:pPr>
        <w:spacing w:line="440" w:lineRule="exact"/>
        <w:ind w:firstLine="482"/>
        <w:rPr>
          <w:rFonts w:ascii="宋体" w:hAnsi="宋体"/>
          <w:b/>
          <w:color w:val="auto"/>
          <w:sz w:val="24"/>
          <w:szCs w:val="24"/>
          <w:highlight w:val="none"/>
        </w:rPr>
      </w:pPr>
      <w:bookmarkStart w:id="5" w:name="OLE_LINK8"/>
      <w:r>
        <w:rPr>
          <w:rFonts w:hint="eastAsia" w:ascii="宋体" w:hAnsi="宋体"/>
          <w:b/>
          <w:color w:val="auto"/>
          <w:sz w:val="24"/>
          <w:szCs w:val="24"/>
          <w:highlight w:val="none"/>
        </w:rPr>
        <w:t>第十七条 安全约定</w:t>
      </w:r>
      <w:bookmarkEnd w:id="5"/>
      <w:r>
        <w:rPr>
          <w:rFonts w:hint="eastAsia" w:ascii="宋体" w:hAnsi="宋体"/>
          <w:b/>
          <w:color w:val="auto"/>
          <w:sz w:val="24"/>
          <w:szCs w:val="24"/>
          <w:highlight w:val="none"/>
        </w:rPr>
        <w:t> </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卖方在设备安装、调试期间应严格遵守安全技术规程、安装安全操作规程、和其它相关的法律、行政法规、规范及买方的有关安全管理规定，确保作业安全。</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卖方在安装作业过程发生安全事故的，应立即向买方及相关部门报告，并采取相应的应对措施。事故的一切责任及损失均由卖方承担。</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卖方在安装作业过程中必须按规定严格执行买方制定的工作票制度。对买方规定可以不使用工作票的工作，开工前应得到买方负责人的同意。</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卖方应确保所派作业人员业务水平、身体素质及精神状态等满足安装作业要求，严禁使用未成年工和不适应现场安全作业要求的老、弱、病、残人员，不得安排60岁以上的人员入场作业。</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卖方设备安装前必须自上而下进行安全技术交底，全体作业人员均掌握项目特点及作业安全措施。</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复杂的和危险性较大的作业，卖方应制订并采取有效的作业安全技术措施。现场必须具有相关的安全标志牌。</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卖方应保证安全生产条件所需资金投入，作业前所有安装设备、工器具、作业临时电源及作业场所安全防护设施等均应经过严格检查，并有记录，保证其处于完好状态，不合格的严禁使用。</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卖方安装作业人员必须在规定的范围内作业，不得超出买方划定范围，不得擅自操作作业范围外的设施设备；若确需操作的，需征得买方值班负责人同意，由值班人员操作或在值班人员的监督下操作。</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因本合同项目安装作业造成买方或第三方人身财产损失的，卖方承担全部赔偿责任。</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买方有权监督卖方的设备安装行为，对卖方安装作业实行安全考核。当发生安全生产责任事故、买方发现卖方有违反安全管理规定行为的，买方可依以下约定在支付货款或履约保证金中扣除相应款项作为卖方应支付给买方的安全违约金。</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在设备安装作业过程中，买方每发现卖方一次违章行为，扣收卖方安全保证金 500 元，严重违章的每次扣收 1000 元。卖方违反买方有关安全生产规章制度，并且不听从买方建议，拒绝执行整改的，买方可要求停工整改，按前述标准加倍扣收安全违约金。如出现违章的行为或不听从买方建议整改的，买方以书面形式告知卖方。</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 xml:space="preserve"> 卖方在设备安装过程中每发生一起轻伤事故，买方扣收合同暂定总价的1.5%作为卖方的安全违约金；每发生一起重伤事故，买方扣收合同暂定总价的3%作为卖方的安全违约金；发生死亡及以上事故的，扣收合同暂定总价的5%作为卖方的安全违约金。</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应严格执行国家、行业的安全标准及买方安全要求，卖方发生同类违章行为（或违背买方安全要求）3次且经买方指出后仍发生的、或因卖方原因发生轻伤事故2次以上（含本数）或发生重伤事故或死亡事故的，买方有权按合同扣除安全违约金后解除本合同，并没收履约保证金。因此而解除合同所造成的损失由乙方自行承担。</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买方对设备安装现场的安全监督检查意见（包括作业人员违章及处罚情况、安全隐患情况等），以书面形式通知卖方，作为安全考核依据。</w:t>
      </w:r>
    </w:p>
    <w:p>
      <w:pPr>
        <w:numPr>
          <w:ilvl w:val="0"/>
          <w:numId w:val="27"/>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买方对卖方设备安装作业的安全监督，属于买方依自身管理需要的监管行为，其行为不构成责任主体行为，买方无需对本合同项目安装作业中的安全事故承担任何责任。</w:t>
      </w:r>
    </w:p>
    <w:p>
      <w:pPr>
        <w:spacing w:line="440" w:lineRule="exact"/>
        <w:ind w:firstLine="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第十八条</w:t>
      </w:r>
      <w:r>
        <w:rPr>
          <w:rFonts w:ascii="宋体" w:hAnsi="宋体"/>
          <w:b/>
          <w:color w:val="auto"/>
          <w:sz w:val="24"/>
          <w:szCs w:val="24"/>
          <w:highlight w:val="none"/>
        </w:rPr>
        <w:t xml:space="preserve">  </w:t>
      </w:r>
      <w:r>
        <w:rPr>
          <w:rFonts w:hint="eastAsia" w:ascii="宋体" w:hAnsi="宋体"/>
          <w:b/>
          <w:color w:val="auto"/>
          <w:sz w:val="24"/>
          <w:szCs w:val="24"/>
          <w:highlight w:val="none"/>
        </w:rPr>
        <w:t>保证与违约金</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质保期为联动调试合格试运行后的18个月。</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卖方保证其供应的本合同设备是全新的，技术水平是先进的、成熟的、质量是优良的，设备的选型均符合安全可靠、经济运行和易于维护的要求。</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卖方保证所提交技术资料完整统一和内容正确、准确并能满足合同设备的设计、安装、调试、运行和维修的要求。</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本合同执行期间，如果卖方提供的设备有缺陷和技术资料有错误，或者由于卖方技术人员指导错误和疏忽，造成合同设备的返工或报废，卖方应立即以最快捷的方式无偿予以更换和修理。如需更换，卖方应负担由此产生的到安装现场更换的一切费用，更换或修理期限应不迟于证实属卖方责任之日起的1周或双方商定的更长时间内。由于买方未按卖方所提供的技术资料、图纸、说明书和卖方现场技术服务人员的指导而进行安装、调试造成的设备损坏，由买方负责修理，更换，但卖方有义务尽快提供所需更换的部件，对于买方要求的紧急部件，卖方应安排最快的方式运输，所有费用均由买方负担。</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合同规定的质量保证期满后，由买方在14天内出具合同设备保证期满最终性能验收合格证书交给卖方。条件是：在此期间卖方应完成买方在保证期满前提出的索赔和赔偿。但卖方对非正常维修和误操作以及由于正常磨损造成的损失不负责任。</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在质量保证期内，如发现设备有缺陷，不符合本合同规定时，如属卖方责任，则买方有权向卖方提出索赔。如卖方对此索赔有异议按第十五条办理。否则卖方在接到买方索赔文件后，应立即无偿修理、更换、赔款或委托买方安排大型修理，由此产生的到安装现场的更换费用、运输费及保险费也由卖方承担。</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如由于卖方责任需要更换、修理有缺陷的设备，而使合同设备停运或推迟安装时，则保证期应按实际修理或更换所延误的时间做相应的延长。</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由于卖方责任，在第十六条规定的性能验收试验后，如经第二次验收试验(由于卖方原因)仍不能达到技术规格书所规定的一项或多项保证指标时，卖方应按下列方式承担违约责任为：卖方应在一周内予以更换设备，同时支付该设备合同价10%的违约金。</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如合同设备在质量保证期内发现属卖方责任的十分严重的缺陷（如设备性能达不到要求等）则其质量保证期将自该缺陷修正后开始重新计算。</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如果不是由于买方原因或买方没有要求推迟交货而卖方未能按本合同规定的交货期交货时（不可抗力除外），买方有权按下列比例向卖方收取违约金(不满一周按比例计算)：</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迟交1－4周，每周违约金金额为迟交货物金额的0.5％；</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迟交5－8周，每周违约金金额为迟交货物金额的1％；</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迟交9周以上，每周违约金金额为迟交货物金额的1.5％；</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每套合同设备迟交货物的违约金总金额不超过每套合同设备价格的10％。卖方支付迟交违约金，并不解除卖方按照合同继续交货的义务。</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对安装、运行有重大影响的设备迟延交付达90日时，卖方除应向买方支付合同价款10%的迟延交付违约金外，还应向买方赔偿因此而遭受的损失, 此损失在履约保证金中扣除，履约保证金金额不足时，买方有权向卖方进行进一步的索赔。</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如由于确属卖方责任未能按本合同规定按时交付经双方确认属严重影响关键技术资料时，买方有权按下列比例向卖方收取违约金(不满一周按比例计算)：</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迟交１周内，违约金金额为人民币2000元/周；</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迟交2－4周，违约金金额为人民币5000元/周；</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迟交4周以上，违约金金额为人民币10000元/周；</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如果由于卖方技术服务的延误、疏忽和/或错误，在执行合同中造成延误，每延误工期一周卖方将向买方支付合同价款的0.5％违约金。且卖方需支付由于卖方技术服务错误或违约造成买方的直接损失。如果由于卖方运抵现场的设备包装不符合买、卖双方达成的包装与保管技术标准与规范的要求，则买方有权要求卖方支付合同价款1%的违约金。</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卖方按本合同规定所承担的违约金总额不论单项或多项累计将不超过合同价款的30％。</w:t>
      </w:r>
    </w:p>
    <w:p>
      <w:pPr>
        <w:numPr>
          <w:ilvl w:val="0"/>
          <w:numId w:val="28"/>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卖方支付迟交违约金并不解除按合同所规定的相应义务。</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第十九条</w:t>
      </w:r>
      <w:r>
        <w:rPr>
          <w:rFonts w:ascii="宋体" w:hAnsi="宋体"/>
          <w:b/>
          <w:color w:val="auto"/>
          <w:sz w:val="24"/>
          <w:szCs w:val="24"/>
          <w:highlight w:val="none"/>
        </w:rPr>
        <w:t xml:space="preserve">  </w:t>
      </w:r>
      <w:r>
        <w:rPr>
          <w:rFonts w:hint="eastAsia" w:ascii="宋体" w:hAnsi="宋体"/>
          <w:b/>
          <w:color w:val="auto"/>
          <w:sz w:val="24"/>
          <w:szCs w:val="24"/>
          <w:highlight w:val="none"/>
        </w:rPr>
        <w:t>不可抗力</w:t>
      </w:r>
    </w:p>
    <w:p>
      <w:pPr>
        <w:numPr>
          <w:ilvl w:val="0"/>
          <w:numId w:val="29"/>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任何一方由于不可抗力事件而影响其履行合同义务时，可以延迟履行合同义务，但延迟履行合同义务的期限和范围应仅限于受不可抗力事件影响的时间和范围，无论本合同其他条款如何规定，任何一方均不得因不可抗力事件而要求调整合同价款。</w:t>
      </w:r>
    </w:p>
    <w:p>
      <w:pPr>
        <w:numPr>
          <w:ilvl w:val="0"/>
          <w:numId w:val="29"/>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受不可抗力影响的一方应在不可抗力事故发生后，尽快将所发生的不可抗力事件的情况以传真或电报等方式通知另一方，受影响的一方同时应尽量设法缩小这种影响和由此而引起的延误，一旦不可抗力的影响消除后，应将此情况立即通知对方，并立即恢复履行受不可抗力事件影响的合同义务。</w:t>
      </w:r>
    </w:p>
    <w:p>
      <w:pPr>
        <w:numPr>
          <w:ilvl w:val="0"/>
          <w:numId w:val="29"/>
        </w:numPr>
        <w:tabs>
          <w:tab w:val="left" w:pos="540"/>
          <w:tab w:val="left" w:pos="1260"/>
          <w:tab w:val="left" w:pos="1440"/>
          <w:tab w:val="clear" w:pos="108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如果双方对不可抗力事件的影响估计将延续到一百天以上时，双方应通过友好协商解决本合同的执行问题。</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第二十条</w:t>
      </w:r>
      <w:r>
        <w:rPr>
          <w:rFonts w:ascii="宋体" w:hAnsi="宋体"/>
          <w:b/>
          <w:color w:val="auto"/>
          <w:sz w:val="24"/>
          <w:szCs w:val="24"/>
          <w:highlight w:val="none"/>
        </w:rPr>
        <w:t xml:space="preserve">  </w:t>
      </w:r>
      <w:r>
        <w:rPr>
          <w:rFonts w:hint="eastAsia" w:ascii="宋体" w:hAnsi="宋体"/>
          <w:b/>
          <w:color w:val="auto"/>
          <w:sz w:val="24"/>
          <w:szCs w:val="24"/>
          <w:highlight w:val="none"/>
        </w:rPr>
        <w:t>违约终止合同</w:t>
      </w:r>
    </w:p>
    <w:p>
      <w:pPr>
        <w:tabs>
          <w:tab w:val="left" w:pos="540"/>
          <w:tab w:val="left" w:pos="1260"/>
          <w:tab w:val="left" w:pos="144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20.1因卖方违约，买方有权采取任何必要的措施予以补救，在下列卖方违约情况下，买方在向卖方发出书面违约通知后，可立即解除全部或部分合同：</w:t>
      </w:r>
      <w:r>
        <w:rPr>
          <w:rFonts w:ascii="宋体" w:hAnsi="宋体"/>
          <w:color w:val="auto"/>
          <w:sz w:val="24"/>
          <w:szCs w:val="24"/>
          <w:highlight w:val="none"/>
        </w:rPr>
        <w:t xml:space="preserve"> </w:t>
      </w:r>
    </w:p>
    <w:p>
      <w:pPr>
        <w:numPr>
          <w:ilvl w:val="1"/>
          <w:numId w:val="30"/>
        </w:numPr>
        <w:tabs>
          <w:tab w:val="left" w:pos="1620"/>
          <w:tab w:val="clear" w:pos="1320"/>
        </w:tabs>
        <w:spacing w:line="440" w:lineRule="exact"/>
        <w:ind w:left="1620" w:hanging="720" w:firstLineChars="0"/>
        <w:rPr>
          <w:rFonts w:ascii="宋体" w:hAnsi="宋体"/>
          <w:color w:val="auto"/>
          <w:sz w:val="24"/>
          <w:szCs w:val="24"/>
          <w:highlight w:val="none"/>
        </w:rPr>
      </w:pPr>
      <w:r>
        <w:rPr>
          <w:rFonts w:hint="eastAsia" w:ascii="宋体" w:hAnsi="宋体"/>
          <w:color w:val="auto"/>
          <w:sz w:val="24"/>
          <w:szCs w:val="24"/>
          <w:highlight w:val="none"/>
        </w:rPr>
        <w:t>卖方原因导致的迟延交付超过</w:t>
      </w:r>
      <w:r>
        <w:rPr>
          <w:rFonts w:ascii="宋体" w:hAnsi="宋体"/>
          <w:color w:val="auto"/>
          <w:sz w:val="24"/>
          <w:szCs w:val="24"/>
          <w:highlight w:val="none"/>
        </w:rPr>
        <w:t>90天时；</w:t>
      </w:r>
    </w:p>
    <w:p>
      <w:pPr>
        <w:numPr>
          <w:ilvl w:val="1"/>
          <w:numId w:val="30"/>
        </w:numPr>
        <w:tabs>
          <w:tab w:val="left" w:pos="1620"/>
          <w:tab w:val="clear" w:pos="1320"/>
        </w:tabs>
        <w:spacing w:line="440" w:lineRule="exact"/>
        <w:ind w:left="1620" w:hanging="720" w:firstLineChars="0"/>
        <w:rPr>
          <w:rFonts w:ascii="宋体" w:hAnsi="宋体"/>
          <w:color w:val="auto"/>
          <w:sz w:val="24"/>
          <w:szCs w:val="24"/>
          <w:highlight w:val="none"/>
        </w:rPr>
      </w:pPr>
      <w:r>
        <w:rPr>
          <w:rFonts w:hint="eastAsia" w:ascii="宋体" w:hAnsi="宋体"/>
          <w:color w:val="auto"/>
          <w:sz w:val="24"/>
          <w:szCs w:val="24"/>
          <w:highlight w:val="none"/>
        </w:rPr>
        <w:t>卖方未能履行合同项下的任何其它义务，导致买方利益遭受严重损害的；</w:t>
      </w:r>
    </w:p>
    <w:p>
      <w:pPr>
        <w:numPr>
          <w:ilvl w:val="1"/>
          <w:numId w:val="30"/>
        </w:numPr>
        <w:tabs>
          <w:tab w:val="left" w:pos="1620"/>
          <w:tab w:val="clear" w:pos="1320"/>
        </w:tabs>
        <w:spacing w:line="440" w:lineRule="exact"/>
        <w:ind w:left="1620" w:hanging="720" w:firstLineChars="0"/>
        <w:rPr>
          <w:rFonts w:ascii="宋体" w:hAnsi="宋体"/>
          <w:color w:val="auto"/>
          <w:sz w:val="24"/>
          <w:szCs w:val="24"/>
          <w:highlight w:val="none"/>
        </w:rPr>
      </w:pPr>
      <w:r>
        <w:rPr>
          <w:rFonts w:hint="eastAsia" w:ascii="宋体" w:hAnsi="宋体"/>
          <w:color w:val="auto"/>
          <w:sz w:val="24"/>
          <w:szCs w:val="24"/>
          <w:highlight w:val="none"/>
        </w:rPr>
        <w:t>卖方破产或无清偿能力。</w:t>
      </w:r>
    </w:p>
    <w:p>
      <w:pPr>
        <w:tabs>
          <w:tab w:val="left" w:pos="540"/>
          <w:tab w:val="left" w:pos="1260"/>
          <w:tab w:val="left" w:pos="144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20.2一旦买方根据第20</w:t>
      </w:r>
      <w:r>
        <w:rPr>
          <w:rFonts w:ascii="宋体" w:hAnsi="宋体"/>
          <w:color w:val="auto"/>
          <w:sz w:val="24"/>
          <w:szCs w:val="24"/>
          <w:highlight w:val="none"/>
        </w:rPr>
        <w:t>.1款</w:t>
      </w:r>
      <w:r>
        <w:rPr>
          <w:rFonts w:hint="eastAsia" w:ascii="宋体" w:hAnsi="宋体"/>
          <w:color w:val="auto"/>
          <w:sz w:val="24"/>
          <w:szCs w:val="24"/>
          <w:highlight w:val="none"/>
        </w:rPr>
        <w:t>解除</w:t>
      </w:r>
      <w:r>
        <w:rPr>
          <w:rFonts w:ascii="宋体" w:hAnsi="宋体"/>
          <w:color w:val="auto"/>
          <w:sz w:val="24"/>
          <w:szCs w:val="24"/>
          <w:highlight w:val="none"/>
        </w:rPr>
        <w:t>部分或全部合同，买方有权按其认为适当的条件和方式采购类似未交付部分货物。卖方应承担买方购买类似货物的额外费用，以及因此而造成的一切损失。</w:t>
      </w:r>
      <w:r>
        <w:rPr>
          <w:rFonts w:hint="eastAsia" w:ascii="宋体" w:hAnsi="宋体"/>
          <w:color w:val="auto"/>
          <w:sz w:val="24"/>
          <w:szCs w:val="24"/>
          <w:highlight w:val="none"/>
        </w:rPr>
        <w:t>合同中未解除的部分，</w:t>
      </w:r>
      <w:r>
        <w:rPr>
          <w:rFonts w:ascii="宋体" w:hAnsi="宋体"/>
          <w:color w:val="auto"/>
          <w:sz w:val="24"/>
          <w:szCs w:val="24"/>
          <w:highlight w:val="none"/>
        </w:rPr>
        <w:t>卖方应继续履行。</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第二十一条</w:t>
      </w:r>
      <w:r>
        <w:rPr>
          <w:rFonts w:ascii="宋体" w:hAnsi="宋体"/>
          <w:b/>
          <w:color w:val="auto"/>
          <w:sz w:val="24"/>
          <w:szCs w:val="24"/>
          <w:highlight w:val="none"/>
        </w:rPr>
        <w:t xml:space="preserve">  </w:t>
      </w:r>
      <w:r>
        <w:rPr>
          <w:rFonts w:hint="eastAsia" w:ascii="宋体" w:hAnsi="宋体"/>
          <w:b/>
          <w:color w:val="auto"/>
          <w:sz w:val="24"/>
          <w:szCs w:val="24"/>
          <w:highlight w:val="none"/>
        </w:rPr>
        <w:t>变更指示</w:t>
      </w:r>
    </w:p>
    <w:p>
      <w:pPr>
        <w:tabs>
          <w:tab w:val="left" w:pos="540"/>
          <w:tab w:val="left" w:pos="1260"/>
          <w:tab w:val="left" w:pos="144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21.1买方在任何时候可以按第二十三条规定向卖方发出书面指示，对合同的下列内容及相应条款作出变更或修改：</w:t>
      </w:r>
      <w:r>
        <w:rPr>
          <w:rFonts w:ascii="宋体" w:hAnsi="宋体"/>
          <w:color w:val="auto"/>
          <w:sz w:val="24"/>
          <w:szCs w:val="24"/>
          <w:highlight w:val="none"/>
        </w:rPr>
        <w:t xml:space="preserve"> </w:t>
      </w:r>
    </w:p>
    <w:p>
      <w:pPr>
        <w:numPr>
          <w:ilvl w:val="1"/>
          <w:numId w:val="31"/>
        </w:numPr>
        <w:tabs>
          <w:tab w:val="left" w:pos="1620"/>
          <w:tab w:val="clear" w:pos="1320"/>
        </w:tabs>
        <w:spacing w:line="440" w:lineRule="exact"/>
        <w:ind w:left="1620" w:hanging="720" w:firstLineChars="0"/>
        <w:rPr>
          <w:rFonts w:ascii="宋体" w:hAnsi="宋体"/>
          <w:color w:val="auto"/>
          <w:sz w:val="24"/>
          <w:szCs w:val="24"/>
          <w:highlight w:val="none"/>
        </w:rPr>
      </w:pPr>
      <w:r>
        <w:rPr>
          <w:rFonts w:hint="eastAsia" w:ascii="宋体" w:hAnsi="宋体"/>
          <w:color w:val="auto"/>
          <w:sz w:val="24"/>
          <w:szCs w:val="24"/>
          <w:highlight w:val="none"/>
        </w:rPr>
        <w:t>装运方式和包装方式；</w:t>
      </w:r>
    </w:p>
    <w:p>
      <w:pPr>
        <w:numPr>
          <w:ilvl w:val="1"/>
          <w:numId w:val="31"/>
        </w:numPr>
        <w:tabs>
          <w:tab w:val="left" w:pos="1620"/>
          <w:tab w:val="clear" w:pos="1320"/>
        </w:tabs>
        <w:spacing w:line="440" w:lineRule="exact"/>
        <w:ind w:left="1620" w:hanging="720" w:firstLineChars="0"/>
        <w:rPr>
          <w:rFonts w:ascii="宋体" w:hAnsi="宋体"/>
          <w:color w:val="auto"/>
          <w:sz w:val="24"/>
          <w:szCs w:val="24"/>
          <w:highlight w:val="none"/>
        </w:rPr>
      </w:pPr>
      <w:r>
        <w:rPr>
          <w:rFonts w:hint="eastAsia" w:ascii="宋体" w:hAnsi="宋体"/>
          <w:color w:val="auto"/>
          <w:sz w:val="24"/>
          <w:szCs w:val="24"/>
          <w:highlight w:val="none"/>
        </w:rPr>
        <w:t>交货地点；</w:t>
      </w:r>
    </w:p>
    <w:p>
      <w:pPr>
        <w:numPr>
          <w:ilvl w:val="1"/>
          <w:numId w:val="31"/>
        </w:numPr>
        <w:tabs>
          <w:tab w:val="left" w:pos="1620"/>
          <w:tab w:val="clear" w:pos="1320"/>
        </w:tabs>
        <w:spacing w:line="440" w:lineRule="exact"/>
        <w:ind w:left="1620" w:hanging="720" w:firstLineChars="0"/>
        <w:rPr>
          <w:rFonts w:ascii="宋体" w:hAnsi="宋体"/>
          <w:color w:val="auto"/>
          <w:sz w:val="24"/>
          <w:szCs w:val="24"/>
          <w:highlight w:val="none"/>
        </w:rPr>
      </w:pPr>
      <w:r>
        <w:rPr>
          <w:rFonts w:hint="eastAsia" w:ascii="宋体" w:hAnsi="宋体"/>
          <w:color w:val="auto"/>
          <w:sz w:val="24"/>
          <w:szCs w:val="24"/>
          <w:highlight w:val="none"/>
        </w:rPr>
        <w:t>卖方须提供的服务。</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第二十二条</w:t>
      </w:r>
      <w:r>
        <w:rPr>
          <w:rFonts w:ascii="宋体" w:hAnsi="宋体"/>
          <w:b/>
          <w:color w:val="auto"/>
          <w:sz w:val="24"/>
          <w:szCs w:val="24"/>
          <w:highlight w:val="none"/>
        </w:rPr>
        <w:t xml:space="preserve">  </w:t>
      </w:r>
      <w:r>
        <w:rPr>
          <w:rFonts w:hint="eastAsia" w:ascii="宋体" w:hAnsi="宋体"/>
          <w:b/>
          <w:color w:val="auto"/>
          <w:sz w:val="24"/>
          <w:szCs w:val="24"/>
          <w:highlight w:val="none"/>
        </w:rPr>
        <w:t>合同修改</w:t>
      </w:r>
    </w:p>
    <w:p>
      <w:pPr>
        <w:spacing w:line="440" w:lineRule="exact"/>
        <w:ind w:firstLine="570" w:firstLineChars="0"/>
        <w:rPr>
          <w:rFonts w:ascii="宋体" w:hAnsi="宋体"/>
          <w:color w:val="auto"/>
          <w:sz w:val="24"/>
          <w:szCs w:val="24"/>
          <w:highlight w:val="none"/>
        </w:rPr>
      </w:pPr>
      <w:r>
        <w:rPr>
          <w:rFonts w:hint="eastAsia" w:ascii="宋体" w:hAnsi="宋体"/>
          <w:color w:val="auto"/>
          <w:sz w:val="24"/>
          <w:szCs w:val="24"/>
          <w:highlight w:val="none"/>
        </w:rPr>
        <w:t>根据第二十一条，欲对合同条款作出任何改动或偏离，买卖双方均须签署书面的合同修改书。</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第二十三条</w:t>
      </w:r>
      <w:r>
        <w:rPr>
          <w:rFonts w:ascii="宋体" w:hAnsi="宋体"/>
          <w:b/>
          <w:color w:val="auto"/>
          <w:sz w:val="24"/>
          <w:szCs w:val="24"/>
          <w:highlight w:val="none"/>
        </w:rPr>
        <w:t xml:space="preserve">  </w:t>
      </w:r>
      <w:r>
        <w:rPr>
          <w:rFonts w:hint="eastAsia" w:ascii="宋体" w:hAnsi="宋体"/>
          <w:b/>
          <w:color w:val="auto"/>
          <w:sz w:val="24"/>
          <w:szCs w:val="24"/>
          <w:highlight w:val="none"/>
        </w:rPr>
        <w:t>转包与分包</w:t>
      </w:r>
    </w:p>
    <w:p>
      <w:pPr>
        <w:spacing w:line="440" w:lineRule="exact"/>
        <w:ind w:firstLine="570" w:firstLineChars="0"/>
        <w:rPr>
          <w:rFonts w:ascii="宋体" w:hAnsi="宋体"/>
          <w:color w:val="auto"/>
          <w:sz w:val="24"/>
          <w:szCs w:val="24"/>
          <w:highlight w:val="none"/>
        </w:rPr>
      </w:pPr>
      <w:r>
        <w:rPr>
          <w:rFonts w:hint="eastAsia" w:ascii="宋体" w:hAnsi="宋体"/>
          <w:color w:val="auto"/>
          <w:sz w:val="24"/>
          <w:szCs w:val="24"/>
          <w:highlight w:val="none"/>
        </w:rPr>
        <w:t>卖方不得将其在本合同项下的义务全部转让或分包给任何第三方。</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第二十四条</w:t>
      </w:r>
      <w:r>
        <w:rPr>
          <w:rFonts w:ascii="宋体" w:hAnsi="宋体"/>
          <w:b/>
          <w:color w:val="auto"/>
          <w:sz w:val="24"/>
          <w:szCs w:val="24"/>
          <w:highlight w:val="none"/>
        </w:rPr>
        <w:t xml:space="preserve">  </w:t>
      </w:r>
      <w:r>
        <w:rPr>
          <w:rFonts w:hint="eastAsia" w:ascii="宋体" w:hAnsi="宋体"/>
          <w:b/>
          <w:color w:val="auto"/>
          <w:sz w:val="24"/>
          <w:szCs w:val="24"/>
          <w:highlight w:val="none"/>
        </w:rPr>
        <w:t>通知</w:t>
      </w:r>
    </w:p>
    <w:p>
      <w:pPr>
        <w:spacing w:line="440" w:lineRule="exact"/>
        <w:ind w:firstLine="570" w:firstLineChars="0"/>
        <w:rPr>
          <w:rFonts w:ascii="宋体" w:hAnsi="宋体"/>
          <w:color w:val="auto"/>
          <w:sz w:val="24"/>
          <w:szCs w:val="24"/>
          <w:highlight w:val="none"/>
        </w:rPr>
      </w:pPr>
      <w:r>
        <w:rPr>
          <w:rFonts w:hint="eastAsia" w:ascii="宋体" w:hAnsi="宋体"/>
          <w:color w:val="auto"/>
          <w:sz w:val="24"/>
          <w:szCs w:val="24"/>
          <w:highlight w:val="none"/>
        </w:rPr>
        <w:t>本合同任何一方给另一方的通知都应以信函或电报、传真等书面形式发送，而另一方应以书面形式确认并发送到对方明确的地址。</w:t>
      </w:r>
    </w:p>
    <w:p>
      <w:pPr>
        <w:spacing w:line="440" w:lineRule="exact"/>
        <w:ind w:firstLine="570" w:firstLineChars="0"/>
        <w:rPr>
          <w:rFonts w:ascii="宋体" w:hAnsi="宋体"/>
          <w:color w:val="auto"/>
          <w:sz w:val="24"/>
          <w:szCs w:val="24"/>
          <w:highlight w:val="none"/>
        </w:rPr>
      </w:pPr>
    </w:p>
    <w:p>
      <w:pPr>
        <w:spacing w:line="44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第二十五条</w:t>
      </w:r>
      <w:r>
        <w:rPr>
          <w:rFonts w:ascii="宋体" w:hAnsi="宋体"/>
          <w:b/>
          <w:color w:val="auto"/>
          <w:sz w:val="24"/>
          <w:szCs w:val="24"/>
          <w:highlight w:val="none"/>
        </w:rPr>
        <w:t xml:space="preserve">  </w:t>
      </w:r>
      <w:r>
        <w:rPr>
          <w:rFonts w:hint="eastAsia" w:ascii="宋体" w:hAnsi="宋体"/>
          <w:b/>
          <w:color w:val="auto"/>
          <w:sz w:val="24"/>
          <w:szCs w:val="24"/>
          <w:highlight w:val="none"/>
        </w:rPr>
        <w:t>合同文件资料的使用</w:t>
      </w:r>
    </w:p>
    <w:p>
      <w:pPr>
        <w:tabs>
          <w:tab w:val="left" w:pos="540"/>
          <w:tab w:val="left" w:pos="1260"/>
          <w:tab w:val="left" w:pos="1440"/>
        </w:tabs>
        <w:spacing w:line="44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25.1除了卖方为执行合同所雇人员外，在未经买方同意的情况下，卖方不得将合同、或其中任何规定、或任何有关规格、计划或买方为上述内容向卖方提供的资料透露给任何人。卖方须在对外保密的前提下，对其雇用人员提供有关情况，所提供的情况仅限于执行合同必不可少的范围内。</w:t>
      </w:r>
    </w:p>
    <w:p>
      <w:pPr>
        <w:tabs>
          <w:tab w:val="left" w:pos="540"/>
          <w:tab w:val="left" w:pos="1260"/>
          <w:tab w:val="left" w:pos="1440"/>
        </w:tabs>
        <w:spacing w:line="40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25.2除非执行合同需要，在事先未得到买方同意的情况下，卖方不得使用第</w:t>
      </w:r>
      <w:r>
        <w:rPr>
          <w:rFonts w:ascii="宋体" w:hAnsi="宋体"/>
          <w:color w:val="auto"/>
          <w:sz w:val="24"/>
          <w:szCs w:val="24"/>
          <w:highlight w:val="none"/>
        </w:rPr>
        <w:t>2</w:t>
      </w:r>
      <w:r>
        <w:rPr>
          <w:rFonts w:hint="eastAsia" w:ascii="宋体" w:hAnsi="宋体"/>
          <w:color w:val="auto"/>
          <w:sz w:val="24"/>
          <w:szCs w:val="24"/>
          <w:highlight w:val="none"/>
        </w:rPr>
        <w:t>5.1</w:t>
      </w:r>
      <w:r>
        <w:rPr>
          <w:rFonts w:ascii="宋体" w:hAnsi="宋体"/>
          <w:color w:val="auto"/>
          <w:sz w:val="24"/>
          <w:szCs w:val="24"/>
          <w:highlight w:val="none"/>
        </w:rPr>
        <w:t>款中所列的任何文件和资料。</w:t>
      </w:r>
    </w:p>
    <w:p>
      <w:pPr>
        <w:spacing w:line="400" w:lineRule="exact"/>
        <w:ind w:firstLine="570" w:firstLineChars="0"/>
        <w:rPr>
          <w:rFonts w:ascii="宋体" w:hAnsi="宋体"/>
          <w:color w:val="auto"/>
          <w:sz w:val="24"/>
          <w:szCs w:val="24"/>
          <w:highlight w:val="none"/>
        </w:rPr>
      </w:pPr>
    </w:p>
    <w:p>
      <w:pPr>
        <w:spacing w:line="40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第二十六条</w:t>
      </w:r>
      <w:r>
        <w:rPr>
          <w:rFonts w:ascii="宋体" w:hAnsi="宋体"/>
          <w:b/>
          <w:color w:val="auto"/>
          <w:sz w:val="24"/>
          <w:szCs w:val="24"/>
          <w:highlight w:val="none"/>
        </w:rPr>
        <w:t xml:space="preserve">  </w:t>
      </w:r>
      <w:r>
        <w:rPr>
          <w:rFonts w:hint="eastAsia" w:ascii="宋体" w:hAnsi="宋体"/>
          <w:b/>
          <w:color w:val="auto"/>
          <w:sz w:val="24"/>
          <w:szCs w:val="24"/>
          <w:highlight w:val="none"/>
        </w:rPr>
        <w:t>合同生效及期限</w:t>
      </w:r>
    </w:p>
    <w:p>
      <w:pPr>
        <w:tabs>
          <w:tab w:val="left" w:pos="1260"/>
          <w:tab w:val="left" w:pos="1440"/>
        </w:tabs>
        <w:spacing w:line="40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26.1本合同经双方法定代表人或其授权代表签字盖章后生效。</w:t>
      </w:r>
    </w:p>
    <w:p>
      <w:pPr>
        <w:tabs>
          <w:tab w:val="left" w:pos="1260"/>
          <w:tab w:val="left" w:pos="1440"/>
        </w:tabs>
        <w:spacing w:line="40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26.2本合同有效期自合同生效日起到双方之间已完全解决了所有索赔事项并货款两清之日止。</w:t>
      </w:r>
    </w:p>
    <w:p>
      <w:pPr>
        <w:spacing w:line="400" w:lineRule="exact"/>
        <w:ind w:firstLine="570" w:firstLineChars="0"/>
        <w:rPr>
          <w:rFonts w:ascii="宋体" w:hAnsi="宋体"/>
          <w:color w:val="auto"/>
          <w:sz w:val="24"/>
          <w:szCs w:val="24"/>
          <w:highlight w:val="none"/>
        </w:rPr>
      </w:pPr>
    </w:p>
    <w:p>
      <w:pPr>
        <w:spacing w:line="40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第二十七条</w:t>
      </w:r>
      <w:r>
        <w:rPr>
          <w:rFonts w:ascii="宋体" w:hAnsi="宋体"/>
          <w:b/>
          <w:color w:val="auto"/>
          <w:sz w:val="24"/>
          <w:szCs w:val="24"/>
          <w:highlight w:val="none"/>
        </w:rPr>
        <w:t xml:space="preserve">  </w:t>
      </w:r>
      <w:r>
        <w:rPr>
          <w:rFonts w:hint="eastAsia" w:ascii="宋体" w:hAnsi="宋体"/>
          <w:b/>
          <w:color w:val="auto"/>
          <w:sz w:val="24"/>
          <w:szCs w:val="24"/>
          <w:highlight w:val="none"/>
        </w:rPr>
        <w:t>争议解决</w:t>
      </w:r>
    </w:p>
    <w:p>
      <w:pPr>
        <w:tabs>
          <w:tab w:val="left" w:pos="540"/>
          <w:tab w:val="left" w:pos="1260"/>
          <w:tab w:val="left" w:pos="1440"/>
        </w:tabs>
        <w:spacing w:line="40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27.1 因货物的质量问题发生争议的，可在国家认可的质量检测机构对货物质量进行鉴定。货物符合标准的，鉴定费由买方承担；货物不符合质量标准的，鉴定费由卖方承担。</w:t>
      </w:r>
    </w:p>
    <w:p>
      <w:pPr>
        <w:tabs>
          <w:tab w:val="left" w:pos="540"/>
          <w:tab w:val="left" w:pos="1260"/>
          <w:tab w:val="left" w:pos="1440"/>
        </w:tabs>
        <w:spacing w:line="40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27.2因履行本合同引起的或与本合同有关的争议，甲、乙双方应首先通过友好协商解决；如果协商不能解决争议，买卖双方同意采取下列两种方式的第（ 1 ）种方式解决争议：</w:t>
      </w:r>
    </w:p>
    <w:p>
      <w:pPr>
        <w:tabs>
          <w:tab w:val="left" w:pos="540"/>
          <w:tab w:val="left" w:pos="1260"/>
          <w:tab w:val="left" w:pos="1440"/>
        </w:tabs>
        <w:spacing w:line="40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（1）向买方住所地的基层人民法院提起诉讼，适用中华人民共和国法律；</w:t>
      </w:r>
    </w:p>
    <w:p>
      <w:pPr>
        <w:tabs>
          <w:tab w:val="left" w:pos="540"/>
          <w:tab w:val="left" w:pos="1260"/>
          <w:tab w:val="left" w:pos="1440"/>
        </w:tabs>
        <w:spacing w:line="40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（2）向扬州仲裁委员会按其仲裁规则申请仲裁。</w:t>
      </w:r>
    </w:p>
    <w:p>
      <w:pPr>
        <w:tabs>
          <w:tab w:val="left" w:pos="540"/>
          <w:tab w:val="left" w:pos="1260"/>
          <w:tab w:val="left" w:pos="1440"/>
        </w:tabs>
        <w:spacing w:line="40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27.3 若买卖双方任何一方都没有选择解除合同的，为避免扩大损失，在诉讼或仲裁期间，双方应继续履行。</w:t>
      </w:r>
    </w:p>
    <w:p>
      <w:pPr>
        <w:pStyle w:val="47"/>
        <w:ind w:firstLine="420"/>
        <w:rPr>
          <w:color w:val="auto"/>
          <w:highlight w:val="none"/>
        </w:rPr>
      </w:pPr>
    </w:p>
    <w:p>
      <w:pPr>
        <w:tabs>
          <w:tab w:val="left" w:pos="1260"/>
          <w:tab w:val="left" w:pos="1440"/>
        </w:tabs>
        <w:spacing w:line="400" w:lineRule="exact"/>
        <w:ind w:left="720" w:firstLine="0" w:firstLineChars="0"/>
        <w:rPr>
          <w:rFonts w:ascii="宋体" w:hAnsi="宋体"/>
          <w:color w:val="auto"/>
          <w:sz w:val="24"/>
          <w:szCs w:val="24"/>
          <w:highlight w:val="none"/>
        </w:rPr>
      </w:pPr>
    </w:p>
    <w:p>
      <w:pPr>
        <w:spacing w:line="400" w:lineRule="exact"/>
        <w:ind w:firstLine="570" w:firstLineChars="0"/>
        <w:rPr>
          <w:rFonts w:ascii="宋体" w:hAnsi="宋体"/>
          <w:b/>
          <w:color w:val="auto"/>
          <w:sz w:val="24"/>
          <w:szCs w:val="24"/>
          <w:highlight w:val="none"/>
        </w:rPr>
      </w:pPr>
      <w:r>
        <w:rPr>
          <w:rFonts w:hint="eastAsia" w:ascii="宋体" w:hAnsi="宋体"/>
          <w:b/>
          <w:color w:val="auto"/>
          <w:sz w:val="24"/>
          <w:szCs w:val="24"/>
          <w:highlight w:val="none"/>
        </w:rPr>
        <w:t>第二十八条</w:t>
      </w:r>
      <w:r>
        <w:rPr>
          <w:rFonts w:ascii="宋体" w:hAnsi="宋体"/>
          <w:b/>
          <w:color w:val="auto"/>
          <w:sz w:val="24"/>
          <w:szCs w:val="24"/>
          <w:highlight w:val="none"/>
        </w:rPr>
        <w:t xml:space="preserve">  </w:t>
      </w:r>
      <w:r>
        <w:rPr>
          <w:rFonts w:hint="eastAsia" w:ascii="宋体" w:hAnsi="宋体"/>
          <w:b/>
          <w:color w:val="auto"/>
          <w:sz w:val="24"/>
          <w:szCs w:val="24"/>
          <w:highlight w:val="none"/>
        </w:rPr>
        <w:t>其他</w:t>
      </w:r>
    </w:p>
    <w:p>
      <w:pPr>
        <w:tabs>
          <w:tab w:val="left" w:pos="540"/>
          <w:tab w:val="left" w:pos="1260"/>
          <w:tab w:val="left" w:pos="1440"/>
        </w:tabs>
        <w:spacing w:line="400" w:lineRule="exact"/>
        <w:ind w:left="540" w:firstLine="0" w:firstLineChars="0"/>
        <w:rPr>
          <w:rFonts w:ascii="宋体" w:hAnsi="宋体"/>
          <w:color w:val="auto"/>
          <w:sz w:val="24"/>
          <w:szCs w:val="24"/>
          <w:highlight w:val="none"/>
        </w:rPr>
      </w:pPr>
      <w:r>
        <w:rPr>
          <w:rFonts w:hint="eastAsia" w:ascii="宋体" w:hAnsi="宋体"/>
          <w:color w:val="auto"/>
          <w:sz w:val="24"/>
          <w:szCs w:val="24"/>
          <w:highlight w:val="none"/>
        </w:rPr>
        <w:t>28.1本合同正本贰份，买方、卖方双方各执壹份，副本伍份，买方执肆份、卖方执壹份。下述合同附件为本合同不可分割的部分并与本合同具有同等效力：</w:t>
      </w:r>
    </w:p>
    <w:p>
      <w:pPr>
        <w:tabs>
          <w:tab w:val="left" w:pos="1260"/>
          <w:tab w:val="left" w:pos="1440"/>
        </w:tabs>
        <w:spacing w:line="400" w:lineRule="exact"/>
        <w:ind w:left="540" w:firstLine="0" w:firstLineChars="0"/>
        <w:rPr>
          <w:rFonts w:ascii="宋体" w:hAnsi="宋体"/>
          <w:b/>
          <w:color w:val="auto"/>
          <w:sz w:val="24"/>
          <w:szCs w:val="24"/>
          <w:highlight w:val="none"/>
        </w:rPr>
      </w:pPr>
      <w:r>
        <w:rPr>
          <w:rFonts w:hint="eastAsia" w:ascii="宋体" w:hAnsi="宋体"/>
          <w:color w:val="auto"/>
          <w:sz w:val="24"/>
          <w:szCs w:val="24"/>
          <w:highlight w:val="none"/>
        </w:rPr>
        <w:t>28.2本合同若有未尽事宜，以招标文件为准，或经双方协商一致后签订补充合同。</w:t>
      </w:r>
    </w:p>
    <w:p>
      <w:pPr>
        <w:spacing w:line="400" w:lineRule="exact"/>
        <w:ind w:firstLine="602" w:firstLineChars="250"/>
        <w:rPr>
          <w:rFonts w:ascii="宋体" w:hAnsi="宋体"/>
          <w:b/>
          <w:color w:val="auto"/>
          <w:sz w:val="24"/>
          <w:szCs w:val="24"/>
          <w:highlight w:val="none"/>
        </w:rPr>
      </w:pPr>
      <w:r>
        <w:rPr>
          <w:rFonts w:hint="eastAsia" w:ascii="宋体" w:hAnsi="宋体"/>
          <w:b/>
          <w:color w:val="auto"/>
          <w:sz w:val="24"/>
          <w:szCs w:val="24"/>
          <w:highlight w:val="none"/>
        </w:rPr>
        <w:t>附件：履约保函格式</w:t>
      </w:r>
    </w:p>
    <w:p>
      <w:pPr>
        <w:spacing w:line="400" w:lineRule="exact"/>
        <w:ind w:firstLine="0" w:firstLineChars="0"/>
        <w:rPr>
          <w:rFonts w:ascii="宋体" w:hAnsi="宋体"/>
          <w:color w:val="auto"/>
          <w:sz w:val="24"/>
          <w:szCs w:val="24"/>
          <w:highlight w:val="none"/>
        </w:rPr>
      </w:pPr>
    </w:p>
    <w:p>
      <w:pPr>
        <w:spacing w:line="40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买方：</w:t>
      </w:r>
      <w:r>
        <w:rPr>
          <w:rFonts w:ascii="宋体" w:hAnsi="宋体"/>
          <w:color w:val="auto"/>
          <w:sz w:val="24"/>
          <w:szCs w:val="24"/>
          <w:highlight w:val="none"/>
        </w:rPr>
        <w:t xml:space="preserve">                             </w:t>
      </w:r>
      <w:r>
        <w:rPr>
          <w:rFonts w:hint="eastAsia" w:ascii="宋体" w:hAnsi="宋体"/>
          <w:color w:val="auto"/>
          <w:sz w:val="24"/>
          <w:szCs w:val="24"/>
          <w:highlight w:val="none"/>
        </w:rPr>
        <w:t>卖方：</w:t>
      </w:r>
    </w:p>
    <w:p>
      <w:pPr>
        <w:spacing w:line="40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授权代表人：</w:t>
      </w:r>
      <w:r>
        <w:rPr>
          <w:rFonts w:ascii="宋体" w:hAnsi="宋体"/>
          <w:color w:val="auto"/>
          <w:sz w:val="24"/>
          <w:szCs w:val="24"/>
          <w:highlight w:val="none"/>
        </w:rPr>
        <w:t xml:space="preserve">       </w:t>
      </w:r>
      <w:r>
        <w:rPr>
          <w:rFonts w:hint="eastAsia" w:ascii="宋体" w:hAnsi="宋体"/>
          <w:color w:val="auto"/>
          <w:sz w:val="24"/>
          <w:szCs w:val="24"/>
          <w:highlight w:val="none"/>
        </w:rPr>
        <w:t>　　　　　</w:t>
      </w:r>
      <w:r>
        <w:rPr>
          <w:rFonts w:ascii="宋体" w:hAnsi="宋体"/>
          <w:color w:val="auto"/>
          <w:sz w:val="24"/>
          <w:szCs w:val="24"/>
          <w:highlight w:val="none"/>
        </w:rPr>
        <w:t xml:space="preserve">      </w:t>
      </w:r>
      <w:r>
        <w:rPr>
          <w:rFonts w:hint="eastAsia" w:ascii="宋体" w:hAnsi="宋体"/>
          <w:color w:val="auto"/>
          <w:sz w:val="24"/>
          <w:szCs w:val="24"/>
          <w:highlight w:val="none"/>
        </w:rPr>
        <w:t>授权代表人：</w:t>
      </w:r>
    </w:p>
    <w:p>
      <w:pPr>
        <w:spacing w:line="400" w:lineRule="exact"/>
        <w:ind w:left="4680" w:hanging="4680" w:hangingChars="1950"/>
        <w:rPr>
          <w:rFonts w:ascii="宋体" w:hAnsi="宋体"/>
          <w:color w:val="auto"/>
          <w:sz w:val="24"/>
          <w:szCs w:val="24"/>
          <w:highlight w:val="none"/>
        </w:rPr>
      </w:pPr>
      <w:r>
        <w:rPr>
          <w:rFonts w:hint="eastAsia" w:ascii="宋体" w:hAnsi="宋体"/>
          <w:color w:val="auto"/>
          <w:sz w:val="24"/>
          <w:szCs w:val="24"/>
          <w:highlight w:val="none"/>
        </w:rPr>
        <w:t>开户银行：</w:t>
      </w:r>
      <w:r>
        <w:rPr>
          <w:rFonts w:ascii="宋体" w:hAnsi="宋体"/>
          <w:color w:val="auto"/>
          <w:sz w:val="24"/>
          <w:szCs w:val="24"/>
          <w:highlight w:val="none"/>
        </w:rPr>
        <w:t xml:space="preserve">            </w:t>
      </w:r>
      <w:r>
        <w:rPr>
          <w:rFonts w:hint="eastAsia" w:ascii="宋体" w:hAnsi="宋体"/>
          <w:color w:val="auto"/>
          <w:sz w:val="24"/>
          <w:szCs w:val="24"/>
          <w:highlight w:val="none"/>
        </w:rPr>
        <w:t>　　　　</w:t>
      </w:r>
      <w:r>
        <w:rPr>
          <w:rFonts w:ascii="宋体" w:hAnsi="宋体"/>
          <w:color w:val="auto"/>
          <w:sz w:val="24"/>
          <w:szCs w:val="24"/>
          <w:highlight w:val="none"/>
        </w:rPr>
        <w:t xml:space="preserve">     </w:t>
      </w:r>
      <w:r>
        <w:rPr>
          <w:rFonts w:hint="eastAsia" w:ascii="宋体" w:hAnsi="宋体"/>
          <w:color w:val="auto"/>
          <w:sz w:val="24"/>
          <w:szCs w:val="24"/>
          <w:highlight w:val="none"/>
        </w:rPr>
        <w:t>开户银行：</w:t>
      </w:r>
    </w:p>
    <w:p>
      <w:pPr>
        <w:spacing w:line="40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账　号：</w:t>
      </w:r>
      <w:r>
        <w:rPr>
          <w:rFonts w:ascii="宋体" w:hAnsi="宋体"/>
          <w:color w:val="auto"/>
          <w:sz w:val="24"/>
          <w:szCs w:val="24"/>
          <w:highlight w:val="none"/>
        </w:rPr>
        <w:t xml:space="preserve">                   </w:t>
      </w:r>
      <w:r>
        <w:rPr>
          <w:rFonts w:hint="eastAsia" w:ascii="宋体" w:hAnsi="宋体"/>
          <w:color w:val="auto"/>
          <w:sz w:val="24"/>
          <w:szCs w:val="24"/>
          <w:highlight w:val="none"/>
        </w:rPr>
        <w:t>　</w:t>
      </w:r>
      <w:r>
        <w:rPr>
          <w:rFonts w:ascii="宋体" w:hAnsi="宋体"/>
          <w:color w:val="auto"/>
          <w:sz w:val="24"/>
          <w:szCs w:val="24"/>
          <w:highlight w:val="none"/>
        </w:rPr>
        <w:t xml:space="preserve">      </w:t>
      </w:r>
      <w:r>
        <w:rPr>
          <w:rFonts w:hint="eastAsia" w:ascii="宋体" w:hAnsi="宋体"/>
          <w:color w:val="auto"/>
          <w:sz w:val="24"/>
          <w:szCs w:val="24"/>
          <w:highlight w:val="none"/>
        </w:rPr>
        <w:t>账　号：</w:t>
      </w:r>
    </w:p>
    <w:p>
      <w:pPr>
        <w:spacing w:line="400" w:lineRule="exact"/>
        <w:ind w:left="720" w:hanging="720" w:hangingChars="300"/>
        <w:jc w:val="left"/>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 xml:space="preserve">                             </w:t>
      </w:r>
      <w:r>
        <w:rPr>
          <w:rFonts w:hint="eastAsia" w:ascii="宋体" w:hAnsi="宋体"/>
          <w:color w:val="auto"/>
          <w:sz w:val="24"/>
          <w:szCs w:val="24"/>
          <w:highlight w:val="none"/>
        </w:rPr>
        <w:t>地</w:t>
      </w:r>
      <w:r>
        <w:rPr>
          <w:rFonts w:ascii="宋体" w:hAnsi="宋体"/>
          <w:color w:val="auto"/>
          <w:sz w:val="24"/>
          <w:szCs w:val="24"/>
          <w:highlight w:val="none"/>
        </w:rPr>
        <w:t xml:space="preserve">  </w:t>
      </w:r>
      <w:r>
        <w:rPr>
          <w:rFonts w:hint="eastAsia" w:ascii="宋体" w:hAnsi="宋体"/>
          <w:color w:val="auto"/>
          <w:sz w:val="24"/>
          <w:szCs w:val="24"/>
          <w:highlight w:val="none"/>
        </w:rPr>
        <w:t>址：</w:t>
      </w:r>
    </w:p>
    <w:p>
      <w:pPr>
        <w:spacing w:line="40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邮　编：</w:t>
      </w:r>
      <w:r>
        <w:rPr>
          <w:rFonts w:ascii="宋体" w:hAnsi="宋体"/>
          <w:color w:val="auto"/>
          <w:sz w:val="24"/>
          <w:szCs w:val="24"/>
          <w:highlight w:val="none"/>
        </w:rPr>
        <w:t xml:space="preserve">      </w:t>
      </w:r>
      <w:r>
        <w:rPr>
          <w:rFonts w:hint="eastAsia" w:ascii="宋体" w:hAnsi="宋体"/>
          <w:color w:val="auto"/>
          <w:sz w:val="24"/>
          <w:szCs w:val="24"/>
          <w:highlight w:val="none"/>
        </w:rPr>
        <w:t>　　　　　　　　</w:t>
      </w:r>
      <w:r>
        <w:rPr>
          <w:rFonts w:ascii="宋体" w:hAnsi="宋体"/>
          <w:color w:val="auto"/>
          <w:sz w:val="24"/>
          <w:szCs w:val="24"/>
          <w:highlight w:val="none"/>
        </w:rPr>
        <w:t xml:space="preserve">     </w:t>
      </w:r>
      <w:r>
        <w:rPr>
          <w:rFonts w:hint="eastAsia" w:ascii="宋体" w:hAnsi="宋体"/>
          <w:color w:val="auto"/>
          <w:sz w:val="24"/>
          <w:szCs w:val="24"/>
          <w:highlight w:val="none"/>
        </w:rPr>
        <w:t>邮　编：</w:t>
      </w:r>
    </w:p>
    <w:p>
      <w:pPr>
        <w:spacing w:line="400" w:lineRule="exact"/>
        <w:ind w:firstLine="0" w:firstLineChars="0"/>
        <w:rPr>
          <w:rFonts w:ascii="宋体" w:hAnsi="宋体"/>
          <w:color w:val="auto"/>
          <w:sz w:val="24"/>
          <w:szCs w:val="24"/>
          <w:highlight w:val="none"/>
        </w:rPr>
      </w:pPr>
      <w:r>
        <w:rPr>
          <w:rFonts w:hint="eastAsia" w:ascii="宋体" w:hAnsi="宋体"/>
          <w:color w:val="auto"/>
          <w:sz w:val="24"/>
          <w:szCs w:val="24"/>
          <w:highlight w:val="none"/>
        </w:rPr>
        <w:t>电　话：</w:t>
      </w:r>
      <w:r>
        <w:rPr>
          <w:rFonts w:ascii="宋体" w:hAnsi="宋体"/>
          <w:color w:val="auto"/>
          <w:sz w:val="24"/>
          <w:szCs w:val="24"/>
          <w:highlight w:val="none"/>
        </w:rPr>
        <w:t xml:space="preserve">                  </w:t>
      </w:r>
      <w:r>
        <w:rPr>
          <w:rFonts w:hint="eastAsia" w:ascii="宋体" w:hAnsi="宋体"/>
          <w:color w:val="auto"/>
          <w:sz w:val="24"/>
          <w:szCs w:val="24"/>
          <w:highlight w:val="none"/>
        </w:rPr>
        <w:t>　　</w:t>
      </w:r>
      <w:r>
        <w:rPr>
          <w:rFonts w:ascii="宋体" w:hAnsi="宋体"/>
          <w:color w:val="auto"/>
          <w:sz w:val="24"/>
          <w:szCs w:val="24"/>
          <w:highlight w:val="none"/>
        </w:rPr>
        <w:t xml:space="preserve">     </w:t>
      </w:r>
      <w:r>
        <w:rPr>
          <w:rFonts w:hint="eastAsia" w:ascii="宋体" w:hAnsi="宋体"/>
          <w:color w:val="auto"/>
          <w:sz w:val="24"/>
          <w:szCs w:val="24"/>
          <w:highlight w:val="none"/>
        </w:rPr>
        <w:t>电　话：</w:t>
      </w:r>
    </w:p>
    <w:p>
      <w:pPr>
        <w:ind w:firstLine="480"/>
        <w:rPr>
          <w:color w:val="auto"/>
          <w:highlight w:val="none"/>
        </w:rPr>
      </w:pP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日期：</w:t>
      </w:r>
    </w:p>
    <w:p>
      <w:pPr>
        <w:pStyle w:val="4"/>
        <w:rPr>
          <w:rFonts w:hint="eastAsia" w:ascii="宋体" w:hAnsi="宋体" w:eastAsia="宋体" w:cs="宋体"/>
          <w:bCs/>
          <w:color w:val="auto"/>
          <w:sz w:val="24"/>
          <w:szCs w:val="24"/>
          <w:highlight w:val="none"/>
        </w:rPr>
      </w:pPr>
    </w:p>
    <w:p>
      <w:pPr>
        <w:pStyle w:val="4"/>
        <w:rPr>
          <w:rFonts w:hint="eastAsia" w:ascii="宋体" w:hAnsi="宋体" w:eastAsia="宋体" w:cs="宋体"/>
          <w:bCs/>
          <w:color w:val="auto"/>
          <w:sz w:val="24"/>
          <w:szCs w:val="24"/>
          <w:highlight w:val="none"/>
        </w:rPr>
      </w:pPr>
    </w:p>
    <w:p>
      <w:pPr>
        <w:pStyle w:val="4"/>
        <w:rPr>
          <w:rFonts w:hint="eastAsia"/>
          <w:color w:val="auto"/>
          <w:highlight w:val="none"/>
        </w:rPr>
      </w:pPr>
      <w:r>
        <w:rPr>
          <w:rFonts w:hint="eastAsia" w:ascii="宋体" w:hAnsi="宋体" w:eastAsia="宋体" w:cs="宋体"/>
          <w:bCs/>
          <w:color w:val="auto"/>
          <w:sz w:val="24"/>
          <w:szCs w:val="24"/>
          <w:highlight w:val="none"/>
        </w:rPr>
        <w:br w:type="column"/>
      </w:r>
      <w:bookmarkEnd w:id="4"/>
      <w:bookmarkStart w:id="6" w:name="_Toc205628638"/>
      <w:bookmarkStart w:id="7" w:name="_Toc158691779"/>
      <w:r>
        <w:rPr>
          <w:rFonts w:hint="eastAsia"/>
          <w:color w:val="auto"/>
          <w:highlight w:val="none"/>
        </w:rPr>
        <w:t>第</w:t>
      </w:r>
      <w:r>
        <w:rPr>
          <w:rFonts w:hint="eastAsia"/>
          <w:color w:val="auto"/>
          <w:highlight w:val="none"/>
          <w:lang w:eastAsia="zh-CN"/>
        </w:rPr>
        <w:t>二</w:t>
      </w:r>
      <w:r>
        <w:rPr>
          <w:rFonts w:hint="eastAsia"/>
          <w:color w:val="auto"/>
          <w:highlight w:val="none"/>
        </w:rPr>
        <w:t>章 报价文件格式</w:t>
      </w:r>
    </w:p>
    <w:p>
      <w:pPr>
        <w:pStyle w:val="4"/>
        <w:rPr>
          <w:rFonts w:hint="eastAsia"/>
          <w:color w:val="auto"/>
          <w:highlight w:val="none"/>
        </w:rPr>
      </w:pPr>
    </w:p>
    <w:p>
      <w:pPr>
        <w:pStyle w:val="4"/>
        <w:rPr>
          <w:rFonts w:hint="eastAsia"/>
          <w:color w:val="auto"/>
          <w:highlight w:val="none"/>
        </w:rPr>
      </w:pPr>
      <w:r>
        <w:rPr>
          <w:rFonts w:hint="eastAsia"/>
          <w:color w:val="auto"/>
          <w:highlight w:val="none"/>
        </w:rPr>
        <w:t>报价一览表</w:t>
      </w:r>
    </w:p>
    <w:p>
      <w:pPr>
        <w:rPr>
          <w:rFonts w:hint="eastAsia"/>
          <w:b/>
          <w:color w:val="auto"/>
          <w:sz w:val="24"/>
          <w:szCs w:val="24"/>
          <w:highlight w:val="none"/>
        </w:rPr>
      </w:pPr>
      <w:r>
        <w:rPr>
          <w:rFonts w:hint="eastAsia" w:ascii="宋体" w:hAnsi="宋体"/>
          <w:b/>
          <w:color w:val="auto"/>
          <w:sz w:val="24"/>
          <w:szCs w:val="24"/>
          <w:highlight w:val="none"/>
        </w:rPr>
        <w:t>项目编号：</w:t>
      </w:r>
    </w:p>
    <w:p>
      <w:pPr>
        <w:rPr>
          <w:rFonts w:hint="eastAsia"/>
          <w:color w:val="auto"/>
          <w:highlight w:val="none"/>
        </w:rPr>
      </w:pPr>
    </w:p>
    <w:p>
      <w:pPr>
        <w:pStyle w:val="47"/>
        <w:rPr>
          <w:rFonts w:hint="eastAsia" w:ascii="宋体" w:hAnsi="宋体"/>
          <w:color w:val="auto"/>
          <w:sz w:val="24"/>
          <w:szCs w:val="24"/>
          <w:highlight w:val="none"/>
        </w:rPr>
      </w:pPr>
    </w:p>
    <w:tbl>
      <w:tblPr>
        <w:tblStyle w:val="40"/>
        <w:tblW w:w="99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358"/>
        <w:gridCol w:w="2861"/>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199" w:type="dxa"/>
            <w:vMerge w:val="restart"/>
            <w:vAlign w:val="center"/>
          </w:tcPr>
          <w:p>
            <w:pPr>
              <w:jc w:val="center"/>
              <w:rPr>
                <w:rFonts w:hint="eastAsia" w:ascii="宋体" w:hAnsi="宋体"/>
                <w:b/>
                <w:color w:val="auto"/>
                <w:sz w:val="24"/>
                <w:szCs w:val="24"/>
                <w:highlight w:val="none"/>
              </w:rPr>
            </w:pPr>
            <w:bookmarkStart w:id="8" w:name="_Toc462564140"/>
            <w:r>
              <w:rPr>
                <w:rFonts w:hint="eastAsia" w:ascii="宋体" w:hAnsi="宋体"/>
                <w:b/>
                <w:color w:val="auto"/>
                <w:sz w:val="24"/>
                <w:szCs w:val="24"/>
                <w:highlight w:val="none"/>
              </w:rPr>
              <w:t>产品名称</w:t>
            </w:r>
          </w:p>
        </w:tc>
        <w:tc>
          <w:tcPr>
            <w:tcW w:w="5219" w:type="dxa"/>
            <w:gridSpan w:val="2"/>
            <w:vAlign w:val="center"/>
          </w:tcPr>
          <w:p>
            <w:pPr>
              <w:jc w:val="center"/>
              <w:rPr>
                <w:rFonts w:hint="eastAsia" w:ascii="宋体" w:hAnsi="宋体"/>
                <w:b/>
                <w:color w:val="auto"/>
                <w:sz w:val="24"/>
                <w:szCs w:val="24"/>
                <w:highlight w:val="none"/>
              </w:rPr>
            </w:pPr>
            <w:r>
              <w:rPr>
                <w:rFonts w:hint="eastAsia" w:ascii="宋体" w:hAnsi="宋体"/>
                <w:b/>
                <w:color w:val="auto"/>
                <w:spacing w:val="8"/>
                <w:sz w:val="24"/>
                <w:szCs w:val="24"/>
                <w:highlight w:val="none"/>
              </w:rPr>
              <w:t>总价（元）分别大小写</w:t>
            </w:r>
          </w:p>
        </w:tc>
        <w:tc>
          <w:tcPr>
            <w:tcW w:w="2544" w:type="dxa"/>
            <w:vMerge w:val="restart"/>
            <w:vAlign w:val="center"/>
          </w:tcPr>
          <w:p>
            <w:pPr>
              <w:jc w:val="center"/>
              <w:rPr>
                <w:rFonts w:hint="eastAsia" w:ascii="宋体" w:hAnsi="宋体"/>
                <w:bCs/>
                <w:color w:val="auto"/>
                <w:sz w:val="24"/>
                <w:szCs w:val="24"/>
                <w:highlight w:val="none"/>
              </w:rPr>
            </w:pPr>
            <w:r>
              <w:rPr>
                <w:rFonts w:hint="eastAsia" w:ascii="宋体" w:hAnsi="宋体"/>
                <w:b/>
                <w:color w:val="auto"/>
                <w:spacing w:val="8"/>
                <w:sz w:val="24"/>
                <w:szCs w:val="24"/>
                <w:highlight w:val="none"/>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199" w:type="dxa"/>
            <w:vMerge w:val="continue"/>
            <w:vAlign w:val="center"/>
          </w:tcPr>
          <w:p>
            <w:pPr>
              <w:jc w:val="center"/>
              <w:rPr>
                <w:rFonts w:hint="eastAsia" w:ascii="宋体" w:hAnsi="宋体"/>
                <w:b/>
                <w:color w:val="auto"/>
                <w:sz w:val="24"/>
                <w:szCs w:val="24"/>
                <w:highlight w:val="none"/>
              </w:rPr>
            </w:pPr>
          </w:p>
        </w:tc>
        <w:tc>
          <w:tcPr>
            <w:tcW w:w="2358" w:type="dxa"/>
            <w:vAlign w:val="center"/>
          </w:tcPr>
          <w:p>
            <w:pPr>
              <w:jc w:val="center"/>
              <w:rPr>
                <w:rFonts w:hint="eastAsia" w:ascii="宋体" w:hAnsi="宋体" w:eastAsia="宋体"/>
                <w:b/>
                <w:color w:val="auto"/>
                <w:spacing w:val="8"/>
                <w:sz w:val="24"/>
                <w:szCs w:val="24"/>
                <w:highlight w:val="none"/>
                <w:lang w:eastAsia="zh-CN"/>
              </w:rPr>
            </w:pPr>
            <w:r>
              <w:rPr>
                <w:rFonts w:hint="eastAsia" w:ascii="宋体" w:hAnsi="宋体"/>
                <w:b/>
                <w:color w:val="auto"/>
                <w:spacing w:val="8"/>
                <w:sz w:val="24"/>
                <w:szCs w:val="24"/>
                <w:highlight w:val="none"/>
                <w:lang w:eastAsia="zh-CN"/>
              </w:rPr>
              <w:t>单（套）价</w:t>
            </w:r>
          </w:p>
        </w:tc>
        <w:tc>
          <w:tcPr>
            <w:tcW w:w="2861" w:type="dxa"/>
            <w:vAlign w:val="center"/>
          </w:tcPr>
          <w:p>
            <w:pPr>
              <w:jc w:val="center"/>
              <w:rPr>
                <w:rFonts w:hint="eastAsia" w:ascii="宋体" w:hAnsi="宋体" w:eastAsia="宋体"/>
                <w:b/>
                <w:color w:val="auto"/>
                <w:spacing w:val="8"/>
                <w:sz w:val="24"/>
                <w:szCs w:val="24"/>
                <w:highlight w:val="none"/>
                <w:lang w:eastAsia="zh-CN"/>
              </w:rPr>
            </w:pPr>
            <w:r>
              <w:rPr>
                <w:rFonts w:hint="eastAsia" w:ascii="宋体" w:hAnsi="宋体"/>
                <w:b/>
                <w:color w:val="auto"/>
                <w:spacing w:val="8"/>
                <w:sz w:val="24"/>
                <w:szCs w:val="24"/>
                <w:highlight w:val="none"/>
                <w:lang w:eastAsia="zh-CN"/>
              </w:rPr>
              <w:t>总价</w:t>
            </w:r>
          </w:p>
        </w:tc>
        <w:tc>
          <w:tcPr>
            <w:tcW w:w="2544" w:type="dxa"/>
            <w:vMerge w:val="continue"/>
            <w:vAlign w:val="center"/>
          </w:tcPr>
          <w:p>
            <w:pPr>
              <w:jc w:val="center"/>
              <w:rPr>
                <w:rFonts w:hint="eastAsia" w:ascii="宋体" w:hAnsi="宋体"/>
                <w:b/>
                <w:color w:val="auto"/>
                <w:spacing w:val="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2199" w:type="dxa"/>
            <w:vAlign w:val="center"/>
          </w:tcPr>
          <w:p>
            <w:pPr>
              <w:jc w:val="center"/>
              <w:rPr>
                <w:rFonts w:hint="eastAsia" w:ascii="宋体" w:hAnsi="宋体"/>
                <w:color w:val="auto"/>
                <w:sz w:val="24"/>
                <w:szCs w:val="24"/>
                <w:highlight w:val="none"/>
              </w:rPr>
            </w:pPr>
          </w:p>
        </w:tc>
        <w:tc>
          <w:tcPr>
            <w:tcW w:w="2358" w:type="dxa"/>
            <w:vAlign w:val="center"/>
          </w:tcPr>
          <w:p>
            <w:pPr>
              <w:jc w:val="center"/>
              <w:rPr>
                <w:rFonts w:hint="eastAsia" w:ascii="宋体" w:hAnsi="宋体"/>
                <w:bCs/>
                <w:color w:val="auto"/>
                <w:sz w:val="24"/>
                <w:szCs w:val="24"/>
                <w:highlight w:val="none"/>
              </w:rPr>
            </w:pPr>
          </w:p>
        </w:tc>
        <w:tc>
          <w:tcPr>
            <w:tcW w:w="2861" w:type="dxa"/>
            <w:vAlign w:val="center"/>
          </w:tcPr>
          <w:p>
            <w:pPr>
              <w:jc w:val="center"/>
              <w:rPr>
                <w:rFonts w:hint="eastAsia" w:ascii="宋体" w:hAnsi="宋体"/>
                <w:bCs/>
                <w:color w:val="auto"/>
                <w:sz w:val="24"/>
                <w:szCs w:val="24"/>
                <w:highlight w:val="none"/>
              </w:rPr>
            </w:pPr>
          </w:p>
        </w:tc>
        <w:tc>
          <w:tcPr>
            <w:tcW w:w="2544" w:type="dxa"/>
            <w:vAlign w:val="center"/>
          </w:tcPr>
          <w:p>
            <w:pPr>
              <w:jc w:val="center"/>
              <w:rPr>
                <w:rFonts w:hint="eastAsia" w:ascii="宋体" w:hAnsi="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2199" w:type="dxa"/>
            <w:vAlign w:val="center"/>
          </w:tcPr>
          <w:p>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总计</w:t>
            </w:r>
          </w:p>
        </w:tc>
        <w:tc>
          <w:tcPr>
            <w:tcW w:w="2358" w:type="dxa"/>
            <w:vAlign w:val="center"/>
          </w:tcPr>
          <w:p>
            <w:pPr>
              <w:jc w:val="center"/>
              <w:rPr>
                <w:rFonts w:hint="eastAsia" w:ascii="宋体" w:hAnsi="宋体"/>
                <w:bCs/>
                <w:color w:val="auto"/>
                <w:sz w:val="24"/>
                <w:szCs w:val="24"/>
                <w:highlight w:val="none"/>
              </w:rPr>
            </w:pPr>
          </w:p>
        </w:tc>
        <w:tc>
          <w:tcPr>
            <w:tcW w:w="2861" w:type="dxa"/>
            <w:vAlign w:val="center"/>
          </w:tcPr>
          <w:p>
            <w:pPr>
              <w:jc w:val="center"/>
              <w:rPr>
                <w:rFonts w:hint="eastAsia" w:ascii="宋体" w:hAnsi="宋体"/>
                <w:bCs/>
                <w:color w:val="auto"/>
                <w:sz w:val="24"/>
                <w:szCs w:val="24"/>
                <w:highlight w:val="none"/>
              </w:rPr>
            </w:pPr>
          </w:p>
        </w:tc>
        <w:tc>
          <w:tcPr>
            <w:tcW w:w="2544" w:type="dxa"/>
            <w:vAlign w:val="center"/>
          </w:tcPr>
          <w:p>
            <w:pPr>
              <w:jc w:val="center"/>
              <w:rPr>
                <w:rFonts w:hint="eastAsia" w:ascii="宋体" w:hAnsi="宋体"/>
                <w:bCs/>
                <w:color w:val="auto"/>
                <w:sz w:val="24"/>
                <w:szCs w:val="24"/>
                <w:highlight w:val="none"/>
              </w:rPr>
            </w:pPr>
          </w:p>
        </w:tc>
      </w:tr>
    </w:tbl>
    <w:p>
      <w:pPr>
        <w:spacing w:line="430" w:lineRule="exact"/>
        <w:rPr>
          <w:rFonts w:hint="eastAsia" w:ascii="宋体" w:hAnsi="宋体"/>
          <w:b/>
          <w:color w:val="auto"/>
          <w:sz w:val="24"/>
          <w:szCs w:val="24"/>
          <w:highlight w:val="none"/>
        </w:rPr>
      </w:pPr>
    </w:p>
    <w:p>
      <w:pPr>
        <w:spacing w:line="430" w:lineRule="exact"/>
        <w:rPr>
          <w:rFonts w:hint="eastAsia" w:ascii="宋体" w:hAnsi="宋体"/>
          <w:b/>
          <w:bCs w:val="0"/>
          <w:color w:val="auto"/>
          <w:sz w:val="24"/>
          <w:szCs w:val="24"/>
          <w:highlight w:val="none"/>
        </w:rPr>
      </w:pPr>
      <w:r>
        <w:rPr>
          <w:rFonts w:hint="eastAsia" w:ascii="宋体" w:hAnsi="宋体"/>
          <w:b/>
          <w:bCs w:val="0"/>
          <w:color w:val="auto"/>
          <w:sz w:val="24"/>
          <w:szCs w:val="24"/>
          <w:highlight w:val="none"/>
        </w:rPr>
        <w:t>注：1、</w:t>
      </w:r>
      <w:r>
        <w:rPr>
          <w:rFonts w:hint="eastAsia" w:ascii="宋体" w:hAnsi="宋体"/>
          <w:b/>
          <w:bCs w:val="0"/>
          <w:color w:val="auto"/>
          <w:sz w:val="24"/>
          <w:szCs w:val="24"/>
          <w:highlight w:val="none"/>
          <w:lang w:eastAsia="zh-CN"/>
        </w:rPr>
        <w:t>此表一式两份，</w:t>
      </w:r>
      <w:r>
        <w:rPr>
          <w:rFonts w:hint="eastAsia" w:ascii="宋体" w:hAnsi="宋体"/>
          <w:b/>
          <w:bCs w:val="0"/>
          <w:color w:val="auto"/>
          <w:sz w:val="24"/>
          <w:szCs w:val="24"/>
          <w:highlight w:val="none"/>
        </w:rPr>
        <w:t>若表格不够可根据上表格式另行填制。</w:t>
      </w:r>
      <w:r>
        <w:rPr>
          <w:rFonts w:hint="eastAsia" w:ascii="宋体" w:hAnsi="宋体"/>
          <w:b/>
          <w:bCs w:val="0"/>
          <w:color w:val="auto"/>
          <w:sz w:val="24"/>
          <w:szCs w:val="24"/>
          <w:highlight w:val="none"/>
          <w:lang w:eastAsia="zh-CN"/>
        </w:rPr>
        <w:t>（须另</w:t>
      </w:r>
      <w:r>
        <w:rPr>
          <w:rFonts w:hint="eastAsia" w:ascii="宋体" w:hAnsi="宋体"/>
          <w:b/>
          <w:bCs w:val="0"/>
          <w:color w:val="auto"/>
          <w:sz w:val="24"/>
          <w:szCs w:val="24"/>
          <w:highlight w:val="none"/>
        </w:rPr>
        <w:t>提供明细报价表</w:t>
      </w:r>
      <w:r>
        <w:rPr>
          <w:rFonts w:hint="eastAsia" w:ascii="宋体" w:hAnsi="宋体"/>
          <w:b/>
          <w:bCs w:val="0"/>
          <w:color w:val="auto"/>
          <w:sz w:val="24"/>
          <w:szCs w:val="24"/>
          <w:highlight w:val="none"/>
          <w:lang w:eastAsia="zh-CN"/>
        </w:rPr>
        <w:t>，明细报价表中价格将作为质保期外维修更换的主要价格依据</w:t>
      </w:r>
      <w:r>
        <w:rPr>
          <w:rFonts w:hint="eastAsia" w:ascii="宋体" w:hAnsi="宋体"/>
          <w:b/>
          <w:bCs w:val="0"/>
          <w:color w:val="auto"/>
          <w:sz w:val="24"/>
          <w:szCs w:val="24"/>
          <w:highlight w:val="none"/>
        </w:rPr>
        <w:t>）</w:t>
      </w:r>
    </w:p>
    <w:p>
      <w:pPr>
        <w:spacing w:line="430" w:lineRule="exact"/>
        <w:ind w:firstLine="482" w:firstLineChars="200"/>
        <w:rPr>
          <w:rFonts w:hint="eastAsia" w:ascii="宋体" w:hAnsi="宋体"/>
          <w:b/>
          <w:bCs w:val="0"/>
          <w:color w:val="auto"/>
          <w:sz w:val="24"/>
          <w:szCs w:val="24"/>
          <w:highlight w:val="none"/>
        </w:rPr>
      </w:pPr>
      <w:r>
        <w:rPr>
          <w:rFonts w:hint="eastAsia" w:ascii="宋体" w:hAnsi="宋体"/>
          <w:b/>
          <w:bCs w:val="0"/>
          <w:color w:val="auto"/>
          <w:sz w:val="24"/>
          <w:szCs w:val="24"/>
          <w:highlight w:val="none"/>
        </w:rPr>
        <w:t>2、以人民币报价，</w:t>
      </w:r>
      <w:r>
        <w:rPr>
          <w:rFonts w:hint="eastAsia" w:ascii="宋体" w:hAnsi="宋体"/>
          <w:b/>
          <w:bCs w:val="0"/>
          <w:color w:val="auto"/>
          <w:sz w:val="24"/>
          <w:szCs w:val="24"/>
          <w:highlight w:val="none"/>
          <w:lang w:eastAsia="zh-CN"/>
        </w:rPr>
        <w:t>以上</w:t>
      </w:r>
      <w:r>
        <w:rPr>
          <w:rFonts w:hint="eastAsia" w:ascii="宋体" w:hAnsi="宋体"/>
          <w:b/>
          <w:bCs w:val="0"/>
          <w:color w:val="auto"/>
          <w:sz w:val="24"/>
          <w:szCs w:val="24"/>
          <w:highlight w:val="none"/>
        </w:rPr>
        <w:t>报价</w:t>
      </w:r>
      <w:r>
        <w:rPr>
          <w:rFonts w:hint="eastAsia" w:ascii="宋体" w:hAnsi="宋体"/>
          <w:b/>
          <w:bCs w:val="0"/>
          <w:color w:val="auto"/>
          <w:sz w:val="24"/>
          <w:szCs w:val="24"/>
          <w:highlight w:val="none"/>
          <w:lang w:eastAsia="zh-CN"/>
        </w:rPr>
        <w:t>含</w:t>
      </w:r>
      <w:r>
        <w:rPr>
          <w:rFonts w:hint="eastAsia" w:ascii="宋体" w:hAnsi="宋体"/>
          <w:b/>
          <w:bCs w:val="0"/>
          <w:color w:val="auto"/>
          <w:sz w:val="24"/>
          <w:szCs w:val="24"/>
          <w:highlight w:val="none"/>
        </w:rPr>
        <w:t>：设备</w:t>
      </w:r>
      <w:r>
        <w:rPr>
          <w:rFonts w:hint="eastAsia" w:ascii="宋体" w:hAnsi="宋体" w:cs="宋体"/>
          <w:b/>
          <w:bCs w:val="0"/>
          <w:color w:val="auto"/>
          <w:sz w:val="24"/>
          <w:szCs w:val="24"/>
          <w:highlight w:val="none"/>
          <w:lang w:eastAsia="zh-CN"/>
        </w:rPr>
        <w:t>（地磅秤体、地磅引桥须分别报价）</w:t>
      </w:r>
      <w:r>
        <w:rPr>
          <w:rFonts w:hint="eastAsia" w:ascii="宋体" w:hAnsi="宋体"/>
          <w:b/>
          <w:bCs w:val="0"/>
          <w:color w:val="auto"/>
          <w:sz w:val="24"/>
          <w:szCs w:val="24"/>
          <w:highlight w:val="none"/>
        </w:rPr>
        <w:t>及附件费、辅材费、包装运输费、税金</w:t>
      </w:r>
      <w:r>
        <w:rPr>
          <w:rFonts w:hint="eastAsia" w:ascii="宋体" w:hAnsi="宋体"/>
          <w:b/>
          <w:bCs w:val="0"/>
          <w:color w:val="auto"/>
          <w:sz w:val="24"/>
          <w:szCs w:val="24"/>
          <w:highlight w:val="none"/>
          <w:lang w:eastAsia="zh-CN"/>
        </w:rPr>
        <w:t>（</w:t>
      </w:r>
      <w:r>
        <w:rPr>
          <w:rFonts w:hint="eastAsia" w:ascii="宋体" w:hAnsi="宋体"/>
          <w:b/>
          <w:bCs w:val="0"/>
          <w:color w:val="auto"/>
          <w:sz w:val="24"/>
          <w:szCs w:val="24"/>
          <w:highlight w:val="none"/>
          <w:lang w:val="en-US" w:eastAsia="zh-CN"/>
        </w:rPr>
        <w:t>13%</w:t>
      </w:r>
      <w:r>
        <w:rPr>
          <w:rFonts w:hint="eastAsia" w:ascii="宋体" w:hAnsi="宋体"/>
          <w:b/>
          <w:bCs w:val="0"/>
          <w:color w:val="auto"/>
          <w:sz w:val="24"/>
          <w:szCs w:val="24"/>
          <w:highlight w:val="none"/>
          <w:lang w:eastAsia="zh-CN"/>
        </w:rPr>
        <w:t>增值税专票）</w:t>
      </w:r>
      <w:r>
        <w:rPr>
          <w:rFonts w:hint="eastAsia" w:ascii="宋体" w:hAnsi="宋体"/>
          <w:b/>
          <w:bCs w:val="0"/>
          <w:color w:val="auto"/>
          <w:sz w:val="24"/>
          <w:szCs w:val="24"/>
          <w:highlight w:val="none"/>
        </w:rPr>
        <w:t>、</w:t>
      </w:r>
      <w:r>
        <w:rPr>
          <w:rFonts w:hint="eastAsia" w:ascii="宋体" w:hAnsi="宋体"/>
          <w:b/>
          <w:bCs w:val="0"/>
          <w:color w:val="auto"/>
          <w:sz w:val="24"/>
          <w:szCs w:val="24"/>
          <w:highlight w:val="none"/>
          <w:lang w:eastAsia="zh-CN"/>
        </w:rPr>
        <w:t>配套</w:t>
      </w:r>
      <w:r>
        <w:rPr>
          <w:rFonts w:hint="eastAsia" w:ascii="宋体" w:hAnsi="宋体"/>
          <w:b/>
          <w:bCs w:val="0"/>
          <w:color w:val="auto"/>
          <w:sz w:val="24"/>
          <w:szCs w:val="24"/>
          <w:highlight w:val="none"/>
        </w:rPr>
        <w:t>服务等相关费用。</w:t>
      </w:r>
    </w:p>
    <w:p>
      <w:pPr>
        <w:spacing w:line="430" w:lineRule="exact"/>
        <w:ind w:firstLine="482" w:firstLineChars="200"/>
        <w:rPr>
          <w:rFonts w:hint="eastAsia" w:ascii="宋体" w:hAnsi="宋体"/>
          <w:b/>
          <w:bCs w:val="0"/>
          <w:color w:val="auto"/>
          <w:sz w:val="24"/>
          <w:szCs w:val="24"/>
          <w:highlight w:val="none"/>
        </w:rPr>
      </w:pPr>
      <w:r>
        <w:rPr>
          <w:rFonts w:hint="eastAsia" w:ascii="宋体" w:hAnsi="宋体"/>
          <w:b/>
          <w:bCs w:val="0"/>
          <w:color w:val="auto"/>
          <w:sz w:val="24"/>
          <w:szCs w:val="24"/>
          <w:highlight w:val="none"/>
        </w:rPr>
        <w:t>3、如报价货物与需求货物有偏离</w:t>
      </w:r>
      <w:r>
        <w:rPr>
          <w:rFonts w:hint="eastAsia" w:ascii="宋体" w:hAnsi="宋体"/>
          <w:b/>
          <w:bCs w:val="0"/>
          <w:color w:val="auto"/>
          <w:sz w:val="24"/>
          <w:szCs w:val="24"/>
          <w:highlight w:val="none"/>
          <w:lang w:eastAsia="zh-CN"/>
        </w:rPr>
        <w:t>（不得低于需求货物标准）</w:t>
      </w:r>
      <w:r>
        <w:rPr>
          <w:rFonts w:hint="eastAsia" w:ascii="宋体" w:hAnsi="宋体"/>
          <w:b/>
          <w:bCs w:val="0"/>
          <w:color w:val="auto"/>
          <w:sz w:val="24"/>
          <w:szCs w:val="24"/>
          <w:highlight w:val="none"/>
        </w:rPr>
        <w:t>，请另附说明。</w:t>
      </w:r>
    </w:p>
    <w:p>
      <w:pPr>
        <w:spacing w:line="430" w:lineRule="exact"/>
        <w:ind w:firstLine="482" w:firstLineChars="200"/>
        <w:rPr>
          <w:rFonts w:hint="eastAsia" w:ascii="宋体" w:hAnsi="宋体"/>
          <w:b/>
          <w:bCs w:val="0"/>
          <w:color w:val="auto"/>
          <w:sz w:val="24"/>
          <w:szCs w:val="24"/>
          <w:highlight w:val="none"/>
        </w:rPr>
      </w:pPr>
      <w:r>
        <w:rPr>
          <w:rFonts w:hint="eastAsia" w:ascii="宋体" w:hAnsi="宋体"/>
          <w:b/>
          <w:bCs w:val="0"/>
          <w:color w:val="auto"/>
          <w:sz w:val="24"/>
          <w:highlight w:val="none"/>
          <w:lang w:val="en-US" w:eastAsia="zh-CN"/>
        </w:rPr>
        <w:t>4</w:t>
      </w:r>
      <w:r>
        <w:rPr>
          <w:rFonts w:hint="eastAsia" w:ascii="宋体" w:hAnsi="宋体"/>
          <w:b/>
          <w:bCs w:val="0"/>
          <w:color w:val="auto"/>
          <w:sz w:val="24"/>
          <w:highlight w:val="none"/>
        </w:rPr>
        <w:t>、如因投标人填写有误，导致无法唱标，责任由投标人自负。</w:t>
      </w:r>
    </w:p>
    <w:p>
      <w:pPr>
        <w:spacing w:line="500" w:lineRule="exact"/>
        <w:ind w:firstLine="3975" w:firstLineChars="1650"/>
        <w:rPr>
          <w:rFonts w:hint="eastAsia" w:ascii="宋体" w:hAnsi="宋体"/>
          <w:b/>
          <w:bCs w:val="0"/>
          <w:color w:val="auto"/>
          <w:sz w:val="24"/>
          <w:szCs w:val="24"/>
          <w:highlight w:val="none"/>
        </w:rPr>
      </w:pPr>
      <w:r>
        <w:rPr>
          <w:rFonts w:hint="eastAsia" w:ascii="宋体" w:hAnsi="宋体"/>
          <w:b/>
          <w:bCs w:val="0"/>
          <w:color w:val="auto"/>
          <w:sz w:val="24"/>
          <w:szCs w:val="24"/>
          <w:highlight w:val="none"/>
        </w:rPr>
        <w:t>供应商公章：</w:t>
      </w:r>
    </w:p>
    <w:p>
      <w:pPr>
        <w:spacing w:line="500" w:lineRule="exact"/>
        <w:ind w:firstLine="3975" w:firstLineChars="1650"/>
        <w:rPr>
          <w:rFonts w:hint="eastAsia" w:ascii="宋体" w:hAnsi="宋体"/>
          <w:b/>
          <w:bCs w:val="0"/>
          <w:color w:val="auto"/>
          <w:sz w:val="24"/>
          <w:szCs w:val="24"/>
          <w:highlight w:val="none"/>
        </w:rPr>
      </w:pPr>
      <w:r>
        <w:rPr>
          <w:rFonts w:hint="eastAsia" w:ascii="宋体" w:hAnsi="宋体"/>
          <w:b/>
          <w:bCs w:val="0"/>
          <w:color w:val="auto"/>
          <w:sz w:val="24"/>
          <w:szCs w:val="24"/>
          <w:highlight w:val="none"/>
        </w:rPr>
        <w:t>法定代表人或授权代表（签字或盖章）：</w:t>
      </w:r>
    </w:p>
    <w:p>
      <w:pPr>
        <w:spacing w:line="500" w:lineRule="exact"/>
        <w:ind w:firstLine="3975" w:firstLineChars="1650"/>
        <w:rPr>
          <w:rFonts w:hint="eastAsia" w:ascii="宋体" w:hAnsi="宋体"/>
          <w:b/>
          <w:bCs w:val="0"/>
          <w:color w:val="auto"/>
          <w:sz w:val="24"/>
          <w:szCs w:val="24"/>
          <w:highlight w:val="none"/>
        </w:rPr>
      </w:pPr>
      <w:r>
        <w:rPr>
          <w:rFonts w:hint="eastAsia" w:ascii="宋体" w:hAnsi="宋体"/>
          <w:b/>
          <w:bCs w:val="0"/>
          <w:color w:val="auto"/>
          <w:sz w:val="24"/>
          <w:szCs w:val="24"/>
          <w:highlight w:val="none"/>
        </w:rPr>
        <w:t>日期：</w:t>
      </w:r>
      <w:bookmarkEnd w:id="8"/>
    </w:p>
    <w:p>
      <w:pPr>
        <w:pStyle w:val="4"/>
        <w:rPr>
          <w:rFonts w:hint="eastAsia"/>
          <w:b/>
          <w:bCs w:val="0"/>
          <w:color w:val="auto"/>
          <w:highlight w:val="none"/>
        </w:rPr>
        <w:sectPr>
          <w:pgSz w:w="11907" w:h="16840"/>
          <w:pgMar w:top="1134" w:right="885" w:bottom="1134" w:left="1366" w:header="567" w:footer="794" w:gutter="0"/>
          <w:cols w:space="425" w:num="1"/>
          <w:docGrid w:linePitch="305" w:charSpace="0"/>
        </w:sectPr>
      </w:pPr>
    </w:p>
    <w:bookmarkEnd w:id="6"/>
    <w:bookmarkEnd w:id="7"/>
    <w:p>
      <w:pPr>
        <w:pStyle w:val="48"/>
        <w:spacing w:line="360" w:lineRule="auto"/>
        <w:jc w:val="center"/>
        <w:rPr>
          <w:rFonts w:hint="eastAsia" w:hAnsi="宋体" w:eastAsia="宋体"/>
          <w:b/>
          <w:color w:val="auto"/>
          <w:sz w:val="30"/>
          <w:szCs w:val="30"/>
          <w:highlight w:val="none"/>
        </w:rPr>
      </w:pPr>
      <w:bookmarkStart w:id="9" w:name="_Toc158691784"/>
      <w:r>
        <w:rPr>
          <w:rFonts w:hint="eastAsia" w:hAnsi="宋体" w:eastAsia="宋体"/>
          <w:b/>
          <w:color w:val="auto"/>
          <w:sz w:val="30"/>
          <w:szCs w:val="30"/>
          <w:highlight w:val="none"/>
          <w:lang w:val="en-US" w:eastAsia="zh-CN"/>
        </w:rPr>
        <w:t>2</w:t>
      </w:r>
      <w:r>
        <w:rPr>
          <w:rFonts w:hint="eastAsia" w:hAnsi="宋体" w:eastAsia="宋体"/>
          <w:b/>
          <w:color w:val="auto"/>
          <w:sz w:val="30"/>
          <w:szCs w:val="30"/>
          <w:highlight w:val="none"/>
        </w:rPr>
        <w:t>、</w:t>
      </w:r>
      <w:r>
        <w:rPr>
          <w:rFonts w:hint="eastAsia" w:hAnsi="宋体" w:eastAsia="宋体" w:cs="宋体"/>
          <w:b/>
          <w:bCs/>
          <w:color w:val="auto"/>
          <w:sz w:val="30"/>
          <w:szCs w:val="30"/>
          <w:highlight w:val="none"/>
        </w:rPr>
        <w:t>项目技术规格偏差表格式</w:t>
      </w:r>
    </w:p>
    <w:p>
      <w:pPr>
        <w:ind w:firstLine="361" w:firstLineChars="150"/>
        <w:rPr>
          <w:rFonts w:hAnsi="宋体" w:cs="宋体"/>
          <w:b/>
          <w:bCs/>
          <w:color w:val="auto"/>
          <w:sz w:val="24"/>
          <w:szCs w:val="24"/>
          <w:highlight w:val="none"/>
        </w:rPr>
      </w:pPr>
      <w:r>
        <w:rPr>
          <w:rFonts w:hint="eastAsia" w:ascii="宋体" w:hAnsi="宋体"/>
          <w:b/>
          <w:color w:val="auto"/>
          <w:sz w:val="24"/>
          <w:szCs w:val="24"/>
          <w:highlight w:val="none"/>
        </w:rPr>
        <w:t>项目编号：</w:t>
      </w:r>
    </w:p>
    <w:tbl>
      <w:tblPr>
        <w:tblStyle w:val="40"/>
        <w:tblW w:w="87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885"/>
        <w:gridCol w:w="3635"/>
        <w:gridCol w:w="15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8"/>
              <w:jc w:val="center"/>
              <w:rPr>
                <w:rFonts w:hAnsi="宋体" w:eastAsia="宋体" w:cs="宋体"/>
                <w:color w:val="auto"/>
                <w:sz w:val="24"/>
                <w:szCs w:val="24"/>
                <w:highlight w:val="none"/>
              </w:rPr>
            </w:pPr>
            <w:r>
              <w:rPr>
                <w:rFonts w:hint="eastAsia" w:hAnsi="宋体" w:eastAsia="宋体" w:cs="宋体"/>
                <w:color w:val="auto"/>
                <w:sz w:val="24"/>
                <w:szCs w:val="24"/>
                <w:highlight w:val="none"/>
              </w:rPr>
              <w:t>序号</w:t>
            </w:r>
          </w:p>
        </w:tc>
        <w:tc>
          <w:tcPr>
            <w:tcW w:w="2885" w:type="dxa"/>
            <w:tcBorders>
              <w:top w:val="single" w:color="auto" w:sz="6" w:space="0"/>
              <w:left w:val="single" w:color="auto" w:sz="4" w:space="0"/>
              <w:bottom w:val="single" w:color="auto" w:sz="4" w:space="0"/>
              <w:right w:val="single" w:color="auto" w:sz="6" w:space="0"/>
            </w:tcBorders>
            <w:vAlign w:val="center"/>
          </w:tcPr>
          <w:p>
            <w:pPr>
              <w:pStyle w:val="48"/>
              <w:jc w:val="center"/>
              <w:rPr>
                <w:rFonts w:hAnsi="宋体" w:eastAsia="宋体" w:cs="宋体"/>
                <w:color w:val="auto"/>
                <w:sz w:val="24"/>
                <w:szCs w:val="24"/>
                <w:highlight w:val="none"/>
              </w:rPr>
            </w:pPr>
            <w:r>
              <w:rPr>
                <w:rFonts w:hint="eastAsia" w:hAnsi="宋体" w:eastAsia="宋体" w:cs="宋体"/>
                <w:color w:val="auto"/>
                <w:sz w:val="24"/>
                <w:szCs w:val="24"/>
                <w:highlight w:val="none"/>
                <w:lang w:eastAsia="zh-CN"/>
              </w:rPr>
              <w:t>比</w:t>
            </w:r>
            <w:r>
              <w:rPr>
                <w:rFonts w:hint="eastAsia" w:hAnsi="宋体" w:eastAsia="宋体" w:cs="宋体"/>
                <w:color w:val="auto"/>
                <w:sz w:val="24"/>
                <w:szCs w:val="24"/>
                <w:highlight w:val="none"/>
              </w:rPr>
              <w:t>价</w:t>
            </w:r>
            <w:r>
              <w:rPr>
                <w:rFonts w:hint="eastAsia" w:hAnsi="宋体" w:eastAsia="宋体" w:cs="宋体"/>
                <w:color w:val="auto"/>
                <w:sz w:val="24"/>
                <w:szCs w:val="24"/>
                <w:highlight w:val="none"/>
                <w:lang w:eastAsia="zh-CN"/>
              </w:rPr>
              <w:t>招标</w:t>
            </w:r>
            <w:r>
              <w:rPr>
                <w:rFonts w:hint="eastAsia" w:hAnsi="宋体" w:eastAsia="宋体" w:cs="宋体"/>
                <w:color w:val="auto"/>
                <w:sz w:val="24"/>
                <w:szCs w:val="24"/>
                <w:highlight w:val="none"/>
              </w:rPr>
              <w:t>文件技术要求</w:t>
            </w:r>
          </w:p>
        </w:tc>
        <w:tc>
          <w:tcPr>
            <w:tcW w:w="3635" w:type="dxa"/>
            <w:tcBorders>
              <w:top w:val="single" w:color="auto" w:sz="6" w:space="0"/>
              <w:left w:val="single" w:color="auto" w:sz="6" w:space="0"/>
              <w:bottom w:val="single" w:color="auto" w:sz="6" w:space="0"/>
              <w:right w:val="single" w:color="auto" w:sz="6" w:space="0"/>
            </w:tcBorders>
            <w:vAlign w:val="center"/>
          </w:tcPr>
          <w:p>
            <w:pPr>
              <w:pStyle w:val="48"/>
              <w:jc w:val="center"/>
              <w:rPr>
                <w:rFonts w:hAnsi="宋体" w:eastAsia="宋体" w:cs="宋体"/>
                <w:color w:val="auto"/>
                <w:sz w:val="24"/>
                <w:szCs w:val="24"/>
                <w:highlight w:val="none"/>
              </w:rPr>
            </w:pPr>
            <w:r>
              <w:rPr>
                <w:rFonts w:hint="eastAsia" w:hAnsi="宋体" w:eastAsia="宋体" w:cs="宋体"/>
                <w:color w:val="auto"/>
                <w:sz w:val="24"/>
                <w:szCs w:val="24"/>
                <w:highlight w:val="none"/>
              </w:rPr>
              <w:t>响应技术要求</w:t>
            </w:r>
          </w:p>
        </w:tc>
        <w:tc>
          <w:tcPr>
            <w:tcW w:w="1557" w:type="dxa"/>
            <w:tcBorders>
              <w:top w:val="single" w:color="auto" w:sz="6" w:space="0"/>
              <w:left w:val="single" w:color="auto" w:sz="6" w:space="0"/>
              <w:bottom w:val="single" w:color="auto" w:sz="6" w:space="0"/>
              <w:right w:val="single" w:color="auto" w:sz="4" w:space="0"/>
            </w:tcBorders>
            <w:vAlign w:val="center"/>
          </w:tcPr>
          <w:p>
            <w:pPr>
              <w:pStyle w:val="48"/>
              <w:jc w:val="center"/>
              <w:rPr>
                <w:rFonts w:hAnsi="宋体" w:eastAsia="宋体" w:cs="宋体"/>
                <w:color w:val="auto"/>
                <w:sz w:val="24"/>
                <w:szCs w:val="24"/>
                <w:highlight w:val="none"/>
              </w:rPr>
            </w:pPr>
            <w:r>
              <w:rPr>
                <w:rFonts w:hint="eastAsia" w:hAnsi="宋体" w:eastAsia="宋体" w:cs="宋体"/>
                <w:color w:val="auto"/>
                <w:sz w:val="24"/>
                <w:szCs w:val="24"/>
                <w:highlight w:val="none"/>
              </w:rPr>
              <w:t>偏离/响应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8"/>
              <w:jc w:val="center"/>
              <w:rPr>
                <w:rFonts w:hAnsi="宋体" w:eastAsia="宋体" w:cs="宋体"/>
                <w:color w:val="auto"/>
                <w:sz w:val="24"/>
                <w:szCs w:val="24"/>
                <w:highlight w:val="none"/>
              </w:rPr>
            </w:pPr>
            <w:r>
              <w:rPr>
                <w:rFonts w:hint="eastAsia" w:hAnsi="宋体" w:eastAsia="宋体" w:cs="宋体"/>
                <w:color w:val="auto"/>
                <w:sz w:val="24"/>
                <w:szCs w:val="24"/>
                <w:highlight w:val="none"/>
              </w:rPr>
              <w:t>1</w:t>
            </w:r>
          </w:p>
        </w:tc>
        <w:tc>
          <w:tcPr>
            <w:tcW w:w="2885" w:type="dxa"/>
            <w:tcBorders>
              <w:top w:val="single" w:color="auto" w:sz="4" w:space="0"/>
              <w:left w:val="single" w:color="auto" w:sz="4"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8"/>
              <w:rPr>
                <w:rFonts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8"/>
              <w:jc w:val="center"/>
              <w:rPr>
                <w:rFonts w:hAnsi="宋体" w:eastAsia="宋体" w:cs="宋体"/>
                <w:color w:val="auto"/>
                <w:sz w:val="24"/>
                <w:szCs w:val="24"/>
                <w:highlight w:val="none"/>
              </w:rPr>
            </w:pPr>
            <w:r>
              <w:rPr>
                <w:rFonts w:hint="eastAsia" w:hAnsi="宋体" w:eastAsia="宋体" w:cs="宋体"/>
                <w:color w:val="auto"/>
                <w:sz w:val="24"/>
                <w:szCs w:val="24"/>
                <w:highlight w:val="none"/>
              </w:rPr>
              <w:t>2</w:t>
            </w:r>
          </w:p>
        </w:tc>
        <w:tc>
          <w:tcPr>
            <w:tcW w:w="2885" w:type="dxa"/>
            <w:tcBorders>
              <w:top w:val="single" w:color="auto" w:sz="6" w:space="0"/>
              <w:left w:val="single" w:color="auto" w:sz="4"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8"/>
              <w:rPr>
                <w:rFonts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8"/>
              <w:jc w:val="center"/>
              <w:rPr>
                <w:rFonts w:hAnsi="宋体" w:eastAsia="宋体" w:cs="宋体"/>
                <w:color w:val="auto"/>
                <w:sz w:val="24"/>
                <w:szCs w:val="24"/>
                <w:highlight w:val="none"/>
              </w:rPr>
            </w:pPr>
            <w:r>
              <w:rPr>
                <w:rFonts w:hint="eastAsia" w:hAnsi="宋体" w:eastAsia="宋体" w:cs="宋体"/>
                <w:color w:val="auto"/>
                <w:sz w:val="24"/>
                <w:szCs w:val="24"/>
                <w:highlight w:val="none"/>
              </w:rPr>
              <w:t>3</w:t>
            </w:r>
          </w:p>
        </w:tc>
        <w:tc>
          <w:tcPr>
            <w:tcW w:w="2885" w:type="dxa"/>
            <w:tcBorders>
              <w:top w:val="single" w:color="auto" w:sz="6" w:space="0"/>
              <w:left w:val="single" w:color="auto" w:sz="4"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8"/>
              <w:rPr>
                <w:rFonts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8"/>
              <w:jc w:val="center"/>
              <w:rPr>
                <w:rFonts w:hAnsi="宋体" w:eastAsia="宋体" w:cs="宋体"/>
                <w:color w:val="auto"/>
                <w:sz w:val="24"/>
                <w:szCs w:val="24"/>
                <w:highlight w:val="none"/>
              </w:rPr>
            </w:pPr>
            <w:r>
              <w:rPr>
                <w:rFonts w:hint="eastAsia" w:hAnsi="宋体" w:eastAsia="宋体" w:cs="宋体"/>
                <w:color w:val="auto"/>
                <w:sz w:val="24"/>
                <w:szCs w:val="24"/>
                <w:highlight w:val="none"/>
              </w:rPr>
              <w:t>4</w:t>
            </w:r>
          </w:p>
        </w:tc>
        <w:tc>
          <w:tcPr>
            <w:tcW w:w="2885" w:type="dxa"/>
            <w:tcBorders>
              <w:top w:val="single" w:color="auto" w:sz="6" w:space="0"/>
              <w:left w:val="single" w:color="auto" w:sz="4"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8"/>
              <w:rPr>
                <w:rFonts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8"/>
              <w:jc w:val="center"/>
              <w:rPr>
                <w:rFonts w:hAnsi="宋体" w:eastAsia="宋体" w:cs="宋体"/>
                <w:color w:val="auto"/>
                <w:sz w:val="24"/>
                <w:szCs w:val="24"/>
                <w:highlight w:val="none"/>
              </w:rPr>
            </w:pPr>
            <w:r>
              <w:rPr>
                <w:rFonts w:hint="eastAsia" w:hAnsi="宋体" w:eastAsia="宋体" w:cs="宋体"/>
                <w:color w:val="auto"/>
                <w:sz w:val="24"/>
                <w:szCs w:val="24"/>
                <w:highlight w:val="none"/>
              </w:rPr>
              <w:t>5</w:t>
            </w:r>
          </w:p>
        </w:tc>
        <w:tc>
          <w:tcPr>
            <w:tcW w:w="2885" w:type="dxa"/>
            <w:tcBorders>
              <w:top w:val="single" w:color="auto" w:sz="6" w:space="0"/>
              <w:left w:val="single" w:color="auto" w:sz="4"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8"/>
              <w:rPr>
                <w:rFonts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8"/>
              <w:jc w:val="center"/>
              <w:rPr>
                <w:rFonts w:hAnsi="宋体" w:eastAsia="宋体" w:cs="宋体"/>
                <w:color w:val="auto"/>
                <w:sz w:val="24"/>
                <w:szCs w:val="24"/>
                <w:highlight w:val="none"/>
              </w:rPr>
            </w:pPr>
            <w:r>
              <w:rPr>
                <w:rFonts w:hint="eastAsia" w:hAnsi="宋体" w:eastAsia="宋体" w:cs="宋体"/>
                <w:color w:val="auto"/>
                <w:sz w:val="24"/>
                <w:szCs w:val="24"/>
                <w:highlight w:val="none"/>
              </w:rPr>
              <w:t>6</w:t>
            </w:r>
          </w:p>
        </w:tc>
        <w:tc>
          <w:tcPr>
            <w:tcW w:w="2885" w:type="dxa"/>
            <w:tcBorders>
              <w:top w:val="single" w:color="auto" w:sz="6" w:space="0"/>
              <w:left w:val="single" w:color="auto" w:sz="4"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8"/>
              <w:rPr>
                <w:rFonts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8"/>
              <w:jc w:val="center"/>
              <w:rPr>
                <w:rFonts w:hAnsi="宋体" w:eastAsia="宋体" w:cs="宋体"/>
                <w:color w:val="auto"/>
                <w:sz w:val="24"/>
                <w:szCs w:val="24"/>
                <w:highlight w:val="none"/>
              </w:rPr>
            </w:pPr>
            <w:r>
              <w:rPr>
                <w:rFonts w:hint="eastAsia" w:hAnsi="宋体" w:eastAsia="宋体" w:cs="宋体"/>
                <w:color w:val="auto"/>
                <w:sz w:val="24"/>
                <w:szCs w:val="24"/>
                <w:highlight w:val="none"/>
              </w:rPr>
              <w:t>……</w:t>
            </w:r>
          </w:p>
        </w:tc>
        <w:tc>
          <w:tcPr>
            <w:tcW w:w="2885" w:type="dxa"/>
            <w:tcBorders>
              <w:top w:val="single" w:color="auto" w:sz="6" w:space="0"/>
              <w:left w:val="single" w:color="auto" w:sz="4"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8"/>
              <w:rPr>
                <w:rFonts w:hAnsi="宋体" w:eastAsia="宋体" w:cs="宋体"/>
                <w:color w:val="auto"/>
                <w:sz w:val="24"/>
                <w:szCs w:val="24"/>
                <w:highlight w:val="none"/>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8"/>
              <w:rPr>
                <w:rFonts w:hAnsi="宋体" w:eastAsia="宋体" w:cs="宋体"/>
                <w:color w:val="auto"/>
                <w:sz w:val="24"/>
                <w:szCs w:val="24"/>
                <w:highlight w:val="none"/>
              </w:rPr>
            </w:pPr>
          </w:p>
        </w:tc>
      </w:tr>
    </w:tbl>
    <w:p>
      <w:pPr>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注：供应商应对照</w:t>
      </w:r>
      <w:r>
        <w:rPr>
          <w:rFonts w:hint="eastAsia" w:ascii="宋体" w:hAnsi="宋体" w:cs="宋体"/>
          <w:color w:val="auto"/>
          <w:sz w:val="24"/>
          <w:szCs w:val="24"/>
          <w:highlight w:val="none"/>
          <w:lang w:eastAsia="zh-CN"/>
        </w:rPr>
        <w:t>比</w:t>
      </w:r>
      <w:r>
        <w:rPr>
          <w:rFonts w:hint="eastAsia" w:ascii="宋体" w:hAnsi="宋体" w:cs="宋体"/>
          <w:color w:val="auto"/>
          <w:sz w:val="24"/>
          <w:szCs w:val="24"/>
          <w:highlight w:val="none"/>
        </w:rPr>
        <w:t>价</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文件技术规格，逐条说明所提供货物和服务已对</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eastAsia="zh-CN"/>
        </w:rPr>
        <w:t>中</w:t>
      </w:r>
      <w:r>
        <w:rPr>
          <w:rFonts w:hint="eastAsia" w:ascii="宋体" w:hAnsi="宋体" w:cs="宋体"/>
          <w:color w:val="auto"/>
          <w:sz w:val="24"/>
          <w:szCs w:val="24"/>
          <w:highlight w:val="none"/>
        </w:rPr>
        <w:t>的技术要求做出了实质性的响应，并申明与技术要求条文的偏差和例外。特别对有具体参数要求的指标，供应商必须提供所投设备的具体参数值。未在上表中说明的，将被认为完全响应询价文件的规定。</w:t>
      </w:r>
    </w:p>
    <w:p>
      <w:pPr>
        <w:spacing w:line="500" w:lineRule="exact"/>
        <w:rPr>
          <w:rFonts w:hint="eastAsia" w:ascii="宋体" w:hAnsi="宋体"/>
          <w:color w:val="auto"/>
          <w:sz w:val="22"/>
          <w:szCs w:val="22"/>
          <w:highlight w:val="none"/>
        </w:rPr>
      </w:pPr>
    </w:p>
    <w:p>
      <w:pPr>
        <w:spacing w:line="500" w:lineRule="exact"/>
        <w:ind w:firstLine="3630" w:firstLineChars="1650"/>
        <w:rPr>
          <w:rFonts w:hint="eastAsia" w:ascii="宋体" w:hAnsi="宋体"/>
          <w:color w:val="auto"/>
          <w:sz w:val="22"/>
          <w:szCs w:val="22"/>
          <w:highlight w:val="none"/>
        </w:rPr>
      </w:pPr>
    </w:p>
    <w:p>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供应商公章：</w:t>
      </w:r>
    </w:p>
    <w:p>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法定代表人或授权代表（签字或盖章）：</w:t>
      </w:r>
    </w:p>
    <w:p>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日期：</w:t>
      </w:r>
    </w:p>
    <w:p>
      <w:pPr>
        <w:spacing w:line="500" w:lineRule="exact"/>
        <w:ind w:firstLine="3960" w:firstLineChars="1650"/>
        <w:rPr>
          <w:rFonts w:hint="eastAsia" w:ascii="宋体" w:hAnsi="宋体"/>
          <w:color w:val="auto"/>
          <w:sz w:val="24"/>
          <w:szCs w:val="24"/>
          <w:highlight w:val="none"/>
        </w:rPr>
      </w:pPr>
    </w:p>
    <w:p>
      <w:pPr>
        <w:spacing w:line="500" w:lineRule="exact"/>
        <w:ind w:firstLine="3960" w:firstLineChars="1650"/>
        <w:rPr>
          <w:rFonts w:hint="eastAsia" w:ascii="宋体" w:hAnsi="宋体"/>
          <w:color w:val="auto"/>
          <w:sz w:val="24"/>
          <w:szCs w:val="24"/>
          <w:highlight w:val="none"/>
        </w:rPr>
      </w:pPr>
    </w:p>
    <w:p>
      <w:pPr>
        <w:spacing w:line="500" w:lineRule="exact"/>
        <w:ind w:firstLine="3630" w:firstLineChars="1650"/>
        <w:rPr>
          <w:rFonts w:hint="eastAsia" w:ascii="宋体" w:hAnsi="宋体"/>
          <w:color w:val="auto"/>
          <w:sz w:val="22"/>
          <w:szCs w:val="22"/>
          <w:highlight w:val="none"/>
        </w:rPr>
      </w:pPr>
    </w:p>
    <w:p>
      <w:pPr>
        <w:spacing w:line="500" w:lineRule="exact"/>
        <w:ind w:firstLine="3630" w:firstLineChars="1650"/>
        <w:rPr>
          <w:rFonts w:hint="eastAsia" w:ascii="宋体" w:hAnsi="宋体"/>
          <w:color w:val="auto"/>
          <w:sz w:val="22"/>
          <w:szCs w:val="22"/>
          <w:highlight w:val="none"/>
        </w:rPr>
      </w:pPr>
    </w:p>
    <w:p>
      <w:pPr>
        <w:spacing w:line="500" w:lineRule="exact"/>
        <w:ind w:firstLine="3630" w:firstLineChars="1650"/>
        <w:rPr>
          <w:rFonts w:hint="eastAsia" w:ascii="宋体" w:hAnsi="宋体"/>
          <w:color w:val="auto"/>
          <w:sz w:val="22"/>
          <w:szCs w:val="22"/>
          <w:highlight w:val="none"/>
        </w:rPr>
      </w:pPr>
    </w:p>
    <w:p>
      <w:pPr>
        <w:spacing w:line="500" w:lineRule="exact"/>
        <w:ind w:firstLine="3630" w:firstLineChars="1650"/>
        <w:rPr>
          <w:rFonts w:hint="eastAsia" w:ascii="宋体" w:hAnsi="宋体"/>
          <w:color w:val="auto"/>
          <w:sz w:val="22"/>
          <w:szCs w:val="22"/>
          <w:highlight w:val="none"/>
        </w:rPr>
      </w:pPr>
    </w:p>
    <w:bookmarkEnd w:id="9"/>
    <w:p>
      <w:pPr>
        <w:widowControl/>
        <w:jc w:val="left"/>
        <w:rPr>
          <w:rFonts w:ascii="宋体" w:hAnsi="宋体"/>
          <w:b/>
          <w:color w:val="auto"/>
          <w:sz w:val="30"/>
          <w:szCs w:val="30"/>
          <w:highlight w:val="none"/>
        </w:rPr>
      </w:pPr>
      <w:bookmarkStart w:id="10" w:name="_Toc158691787"/>
      <w:bookmarkEnd w:id="10"/>
      <w:bookmarkStart w:id="11" w:name="_Toc205628641"/>
      <w:bookmarkEnd w:id="11"/>
      <w:r>
        <w:rPr>
          <w:rFonts w:ascii="宋体" w:hAnsi="宋体"/>
          <w:b/>
          <w:color w:val="auto"/>
          <w:sz w:val="30"/>
          <w:szCs w:val="30"/>
          <w:highlight w:val="none"/>
        </w:rPr>
        <w:br w:type="page"/>
      </w:r>
    </w:p>
    <w:p>
      <w:pPr>
        <w:spacing w:line="480" w:lineRule="exact"/>
        <w:jc w:val="center"/>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3</w:t>
      </w:r>
      <w:r>
        <w:rPr>
          <w:rFonts w:hint="eastAsia" w:ascii="宋体" w:hAnsi="宋体"/>
          <w:b/>
          <w:color w:val="auto"/>
          <w:sz w:val="30"/>
          <w:szCs w:val="30"/>
          <w:highlight w:val="none"/>
        </w:rPr>
        <w:t>、法定代表人授权书格式</w:t>
      </w:r>
    </w:p>
    <w:p>
      <w:pPr>
        <w:spacing w:line="480" w:lineRule="exact"/>
        <w:jc w:val="center"/>
        <w:rPr>
          <w:rFonts w:hint="eastAsia" w:eastAsia="黑体"/>
          <w:b/>
          <w:color w:val="auto"/>
          <w:sz w:val="32"/>
          <w:highlight w:val="none"/>
        </w:rPr>
      </w:pPr>
    </w:p>
    <w:p>
      <w:pPr>
        <w:spacing w:line="480" w:lineRule="exact"/>
        <w:jc w:val="center"/>
        <w:rPr>
          <w:rFonts w:eastAsia="黑体"/>
          <w:b/>
          <w:color w:val="auto"/>
          <w:sz w:val="32"/>
          <w:highlight w:val="none"/>
        </w:rPr>
      </w:pPr>
      <w:r>
        <w:rPr>
          <w:rFonts w:hint="eastAsia" w:eastAsia="黑体"/>
          <w:b/>
          <w:color w:val="auto"/>
          <w:sz w:val="32"/>
          <w:highlight w:val="none"/>
        </w:rPr>
        <w:t>法定代表人授权书</w:t>
      </w:r>
    </w:p>
    <w:p>
      <w:pPr>
        <w:spacing w:line="480" w:lineRule="exact"/>
        <w:jc w:val="center"/>
        <w:rPr>
          <w:rFonts w:eastAsia="黑体"/>
          <w:b/>
          <w:color w:val="auto"/>
          <w:sz w:val="32"/>
          <w:highlight w:val="none"/>
        </w:rPr>
      </w:pPr>
    </w:p>
    <w:p>
      <w:pPr>
        <w:pStyle w:val="23"/>
        <w:tabs>
          <w:tab w:val="left" w:pos="0"/>
          <w:tab w:val="clear" w:pos="1785"/>
          <w:tab w:val="clear" w:pos="1887"/>
        </w:tabs>
        <w:spacing w:line="360" w:lineRule="auto"/>
        <w:ind w:left="2" w:leftChars="0" w:firstLine="480" w:firstLineChars="200"/>
        <w:rPr>
          <w:color w:val="auto"/>
          <w:highlight w:val="none"/>
        </w:rPr>
      </w:pPr>
      <w:r>
        <w:rPr>
          <w:rFonts w:hint="eastAsia"/>
          <w:color w:val="auto"/>
          <w:highlight w:val="none"/>
        </w:rPr>
        <w:t>本授权书声明：注册于</w:t>
      </w:r>
      <w:r>
        <w:rPr>
          <w:rFonts w:hint="eastAsia"/>
          <w:i/>
          <w:color w:val="auto"/>
          <w:highlight w:val="none"/>
          <w:u w:val="single"/>
        </w:rPr>
        <w:t>（国家或地区的名称）</w:t>
      </w:r>
      <w:r>
        <w:rPr>
          <w:rFonts w:hint="eastAsia"/>
          <w:color w:val="auto"/>
          <w:highlight w:val="none"/>
        </w:rPr>
        <w:t>的</w:t>
      </w:r>
      <w:r>
        <w:rPr>
          <w:rFonts w:hint="eastAsia"/>
          <w:i/>
          <w:color w:val="auto"/>
          <w:highlight w:val="none"/>
          <w:u w:val="single"/>
        </w:rPr>
        <w:t>（公司名称）</w:t>
      </w:r>
      <w:r>
        <w:rPr>
          <w:rFonts w:hint="eastAsia"/>
          <w:color w:val="auto"/>
          <w:highlight w:val="none"/>
        </w:rPr>
        <w:t>的在下面签字的</w:t>
      </w:r>
      <w:r>
        <w:rPr>
          <w:rFonts w:hint="eastAsia"/>
          <w:i/>
          <w:color w:val="auto"/>
          <w:highlight w:val="none"/>
          <w:u w:val="single"/>
        </w:rPr>
        <w:t>（法定代表人姓名、职务）</w:t>
      </w:r>
      <w:r>
        <w:rPr>
          <w:rFonts w:hint="eastAsia"/>
          <w:color w:val="auto"/>
          <w:highlight w:val="none"/>
        </w:rPr>
        <w:t>代表本公司授权</w:t>
      </w:r>
      <w:r>
        <w:rPr>
          <w:rFonts w:hint="eastAsia"/>
          <w:i/>
          <w:color w:val="auto"/>
          <w:highlight w:val="none"/>
          <w:u w:val="single"/>
        </w:rPr>
        <w:t>（单位名称）</w:t>
      </w:r>
      <w:r>
        <w:rPr>
          <w:rFonts w:hint="eastAsia"/>
          <w:color w:val="auto"/>
          <w:highlight w:val="none"/>
        </w:rPr>
        <w:t>的在下面签字的</w:t>
      </w:r>
      <w:r>
        <w:rPr>
          <w:rFonts w:hint="eastAsia"/>
          <w:i/>
          <w:color w:val="auto"/>
          <w:highlight w:val="none"/>
          <w:u w:val="single"/>
        </w:rPr>
        <w:t>（被授权人的姓名、职务）</w:t>
      </w:r>
      <w:r>
        <w:rPr>
          <w:rFonts w:hint="eastAsia"/>
          <w:color w:val="auto"/>
          <w:highlight w:val="none"/>
        </w:rPr>
        <w:t>为本公司的合法代理人，就</w:t>
      </w:r>
      <w:r>
        <w:rPr>
          <w:rFonts w:hint="eastAsia"/>
          <w:i/>
          <w:color w:val="auto"/>
          <w:highlight w:val="none"/>
          <w:u w:val="single"/>
        </w:rPr>
        <w:t>（项目编号）</w:t>
      </w:r>
      <w:r>
        <w:rPr>
          <w:rFonts w:hint="eastAsia"/>
          <w:color w:val="auto"/>
          <w:highlight w:val="none"/>
        </w:rPr>
        <w:t>的</w:t>
      </w:r>
      <w:r>
        <w:rPr>
          <w:rFonts w:hint="eastAsia"/>
          <w:i/>
          <w:color w:val="auto"/>
          <w:highlight w:val="none"/>
          <w:u w:val="single"/>
        </w:rPr>
        <w:t>（项目名称）</w:t>
      </w:r>
      <w:r>
        <w:rPr>
          <w:rFonts w:hint="eastAsia"/>
          <w:color w:val="auto"/>
          <w:highlight w:val="none"/>
        </w:rPr>
        <w:t>报价，以本公司名义处理一切与之有关的事务。</w:t>
      </w:r>
    </w:p>
    <w:p>
      <w:pPr>
        <w:spacing w:line="360" w:lineRule="auto"/>
        <w:ind w:left="105" w:firstLine="525"/>
        <w:rPr>
          <w:rFonts w:ascii="宋体"/>
          <w:color w:val="auto"/>
          <w:sz w:val="24"/>
          <w:highlight w:val="none"/>
        </w:rPr>
      </w:pPr>
      <w:r>
        <w:rPr>
          <w:rFonts w:hint="eastAsia" w:ascii="宋体"/>
          <w:color w:val="auto"/>
          <w:sz w:val="24"/>
          <w:highlight w:val="none"/>
        </w:rPr>
        <w:t>本授权书于 年月日签字生效，特此声明。</w:t>
      </w:r>
    </w:p>
    <w:p>
      <w:pPr>
        <w:spacing w:line="360" w:lineRule="auto"/>
        <w:ind w:left="105"/>
        <w:rPr>
          <w:rFonts w:ascii="宋体"/>
          <w:color w:val="auto"/>
          <w:sz w:val="24"/>
          <w:highlight w:val="none"/>
        </w:rPr>
      </w:pPr>
    </w:p>
    <w:p>
      <w:pPr>
        <w:spacing w:line="360" w:lineRule="auto"/>
        <w:ind w:left="105"/>
        <w:rPr>
          <w:rFonts w:ascii="宋体"/>
          <w:color w:val="auto"/>
          <w:sz w:val="24"/>
          <w:highlight w:val="none"/>
        </w:rPr>
      </w:pPr>
    </w:p>
    <w:p>
      <w:pPr>
        <w:spacing w:line="480" w:lineRule="exact"/>
        <w:ind w:left="105" w:firstLine="434" w:firstLineChars="181"/>
        <w:rPr>
          <w:rFonts w:ascii="宋体"/>
          <w:color w:val="auto"/>
          <w:sz w:val="24"/>
          <w:highlight w:val="none"/>
        </w:rPr>
      </w:pPr>
      <w:r>
        <w:rPr>
          <w:rFonts w:hint="eastAsia" w:ascii="宋体"/>
          <w:color w:val="auto"/>
          <w:sz w:val="24"/>
          <w:highlight w:val="none"/>
        </w:rPr>
        <w:t>法定代表人（授权人）签字或盖章：</w:t>
      </w:r>
      <w:r>
        <w:rPr>
          <w:rFonts w:hint="eastAsia" w:ascii="宋体"/>
          <w:color w:val="auto"/>
          <w:sz w:val="24"/>
          <w:highlight w:val="none"/>
        </w:rPr>
        <w:tab/>
      </w:r>
    </w:p>
    <w:p>
      <w:pPr>
        <w:spacing w:line="480" w:lineRule="exact"/>
        <w:ind w:left="105" w:firstLine="434" w:firstLineChars="181"/>
        <w:rPr>
          <w:rFonts w:ascii="宋体"/>
          <w:color w:val="auto"/>
          <w:sz w:val="24"/>
          <w:highlight w:val="none"/>
        </w:rPr>
      </w:pPr>
      <w:r>
        <w:rPr>
          <w:rFonts w:hint="eastAsia" w:ascii="宋体"/>
          <w:color w:val="auto"/>
          <w:sz w:val="24"/>
          <w:highlight w:val="none"/>
        </w:rPr>
        <w:t>职                        务：</w:t>
      </w:r>
      <w:r>
        <w:rPr>
          <w:rFonts w:hint="eastAsia" w:ascii="宋体"/>
          <w:color w:val="auto"/>
          <w:sz w:val="24"/>
          <w:highlight w:val="none"/>
        </w:rPr>
        <w:tab/>
      </w:r>
    </w:p>
    <w:p>
      <w:pPr>
        <w:spacing w:line="480" w:lineRule="exact"/>
        <w:ind w:left="105" w:firstLine="434" w:firstLineChars="181"/>
        <w:rPr>
          <w:rFonts w:ascii="宋体"/>
          <w:color w:val="auto"/>
          <w:sz w:val="24"/>
          <w:highlight w:val="none"/>
        </w:rPr>
      </w:pPr>
      <w:r>
        <w:rPr>
          <w:rFonts w:hint="eastAsia" w:ascii="宋体"/>
          <w:color w:val="auto"/>
          <w:sz w:val="24"/>
          <w:highlight w:val="none"/>
        </w:rPr>
        <w:t>单     位     名    称（公章）：</w:t>
      </w:r>
      <w:r>
        <w:rPr>
          <w:rFonts w:hint="eastAsia" w:ascii="宋体"/>
          <w:color w:val="auto"/>
          <w:sz w:val="24"/>
          <w:highlight w:val="none"/>
        </w:rPr>
        <w:tab/>
      </w:r>
    </w:p>
    <w:p>
      <w:pPr>
        <w:spacing w:line="480" w:lineRule="exact"/>
        <w:ind w:left="105" w:firstLine="434" w:firstLineChars="181"/>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rPr>
        <w:tab/>
      </w:r>
    </w:p>
    <w:p>
      <w:pPr>
        <w:spacing w:line="480" w:lineRule="exact"/>
        <w:ind w:left="105" w:firstLine="434" w:firstLineChars="181"/>
        <w:rPr>
          <w:rFonts w:ascii="宋体"/>
          <w:color w:val="auto"/>
          <w:sz w:val="24"/>
          <w:highlight w:val="none"/>
        </w:rPr>
      </w:pPr>
      <w:r>
        <w:rPr>
          <w:rFonts w:hint="eastAsia" w:ascii="宋体"/>
          <w:color w:val="auto"/>
          <w:sz w:val="24"/>
          <w:highlight w:val="none"/>
        </w:rPr>
        <w:tab/>
      </w:r>
    </w:p>
    <w:p>
      <w:pPr>
        <w:spacing w:line="480" w:lineRule="exact"/>
        <w:ind w:left="105" w:firstLine="434" w:firstLineChars="181"/>
        <w:rPr>
          <w:rFonts w:ascii="宋体"/>
          <w:color w:val="auto"/>
          <w:sz w:val="24"/>
          <w:highlight w:val="none"/>
        </w:rPr>
      </w:pPr>
      <w:r>
        <w:rPr>
          <w:rFonts w:hint="eastAsia" w:ascii="宋体"/>
          <w:color w:val="auto"/>
          <w:sz w:val="24"/>
          <w:highlight w:val="none"/>
        </w:rPr>
        <w:t>供应商代表（被授权人）签字或盖章：</w:t>
      </w:r>
      <w:r>
        <w:rPr>
          <w:rFonts w:hint="eastAsia" w:ascii="宋体"/>
          <w:color w:val="auto"/>
          <w:sz w:val="24"/>
          <w:highlight w:val="none"/>
        </w:rPr>
        <w:tab/>
      </w:r>
    </w:p>
    <w:p>
      <w:pPr>
        <w:spacing w:line="480" w:lineRule="exact"/>
        <w:ind w:left="105" w:firstLine="434" w:firstLineChars="181"/>
        <w:rPr>
          <w:rFonts w:ascii="宋体"/>
          <w:color w:val="auto"/>
          <w:sz w:val="24"/>
          <w:highlight w:val="none"/>
        </w:rPr>
      </w:pPr>
      <w:r>
        <w:rPr>
          <w:rFonts w:hint="eastAsia" w:ascii="宋体"/>
          <w:color w:val="auto"/>
          <w:sz w:val="24"/>
          <w:highlight w:val="none"/>
        </w:rPr>
        <w:t>职                        务：</w:t>
      </w:r>
      <w:r>
        <w:rPr>
          <w:rFonts w:hint="eastAsia" w:ascii="宋体"/>
          <w:color w:val="auto"/>
          <w:sz w:val="24"/>
          <w:highlight w:val="none"/>
        </w:rPr>
        <w:tab/>
      </w:r>
    </w:p>
    <w:p>
      <w:pPr>
        <w:spacing w:line="480" w:lineRule="exact"/>
        <w:ind w:left="105" w:firstLine="434" w:firstLineChars="181"/>
        <w:rPr>
          <w:rFonts w:ascii="宋体"/>
          <w:color w:val="auto"/>
          <w:sz w:val="24"/>
          <w:highlight w:val="none"/>
        </w:rPr>
      </w:pPr>
      <w:r>
        <w:rPr>
          <w:rFonts w:hint="eastAsia" w:ascii="宋体"/>
          <w:color w:val="auto"/>
          <w:sz w:val="24"/>
          <w:highlight w:val="none"/>
        </w:rPr>
        <w:t>单       位       名      称：</w:t>
      </w:r>
      <w:r>
        <w:rPr>
          <w:rFonts w:hint="eastAsia" w:ascii="宋体"/>
          <w:color w:val="auto"/>
          <w:sz w:val="24"/>
          <w:highlight w:val="none"/>
        </w:rPr>
        <w:tab/>
      </w:r>
    </w:p>
    <w:p>
      <w:pPr>
        <w:spacing w:line="480" w:lineRule="exact"/>
        <w:ind w:left="105" w:firstLine="434" w:firstLineChars="181"/>
        <w:rPr>
          <w:rFonts w:ascii="宋体"/>
          <w:color w:val="auto"/>
          <w:sz w:val="24"/>
          <w:highlight w:val="none"/>
        </w:rPr>
      </w:pPr>
      <w:r>
        <w:rPr>
          <w:rFonts w:hint="eastAsia" w:ascii="宋体"/>
          <w:color w:val="auto"/>
          <w:sz w:val="24"/>
          <w:highlight w:val="none"/>
        </w:rPr>
        <w:t>地                        址：</w:t>
      </w:r>
    </w:p>
    <w:p>
      <w:pPr>
        <w:widowControl/>
        <w:jc w:val="left"/>
        <w:rPr>
          <w:rFonts w:ascii="宋体"/>
          <w:color w:val="auto"/>
          <w:sz w:val="24"/>
          <w:highlight w:val="none"/>
        </w:rPr>
      </w:pPr>
      <w:r>
        <w:rPr>
          <w:rFonts w:ascii="宋体"/>
          <w:color w:val="auto"/>
          <w:sz w:val="24"/>
          <w:highlight w:val="none"/>
        </w:rPr>
        <w:br w:type="page"/>
      </w:r>
    </w:p>
    <w:p>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lang w:val="en-US" w:eastAsia="zh-CN"/>
        </w:rPr>
        <w:t>4</w:t>
      </w:r>
      <w:r>
        <w:rPr>
          <w:rFonts w:hint="eastAsia" w:ascii="宋体" w:hAnsi="宋体"/>
          <w:b/>
          <w:color w:val="auto"/>
          <w:sz w:val="30"/>
          <w:szCs w:val="30"/>
          <w:highlight w:val="none"/>
        </w:rPr>
        <w:t>、其它资料</w:t>
      </w:r>
    </w:p>
    <w:p>
      <w:pPr>
        <w:spacing w:line="480" w:lineRule="exact"/>
        <w:rPr>
          <w:rFonts w:ascii="宋体" w:hAnsi="宋体"/>
          <w:b/>
          <w:color w:val="auto"/>
          <w:sz w:val="30"/>
          <w:szCs w:val="30"/>
          <w:highlight w:val="none"/>
        </w:rPr>
      </w:pP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供应商营业执照复印件</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hint="eastAsia" w:ascii="宋体" w:hAnsi="宋体" w:eastAsia="宋体" w:cs="宋体"/>
          <w:color w:val="auto"/>
          <w:sz w:val="24"/>
          <w:szCs w:val="24"/>
          <w:highlight w:val="none"/>
        </w:rPr>
        <w:t>投标产品制造商授权委托书。（提供营业执照复印件加盖公章授权委托书原件）。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设备制造的相关资质证明文件，包括</w:t>
      </w:r>
      <w:r>
        <w:rPr>
          <w:rFonts w:hint="eastAsia" w:ascii="宋体" w:hAnsi="宋体" w:cs="宋体"/>
          <w:color w:val="auto"/>
          <w:sz w:val="24"/>
          <w:szCs w:val="24"/>
          <w:highlight w:val="none"/>
          <w:lang w:eastAsia="zh-CN"/>
        </w:rPr>
        <w:t>营业执照、</w:t>
      </w:r>
      <w:r>
        <w:rPr>
          <w:rFonts w:hint="eastAsia" w:ascii="宋体" w:hAnsi="宋体" w:eastAsia="宋体" w:cs="宋体"/>
          <w:color w:val="auto"/>
          <w:sz w:val="24"/>
          <w:szCs w:val="24"/>
          <w:highlight w:val="none"/>
        </w:rPr>
        <w:t>生产许可证、产品质量检验报告等。（复印件加盖制造商公章</w:t>
      </w:r>
      <w:r>
        <w:rPr>
          <w:rFonts w:hint="eastAsia" w:ascii="宋体" w:hAnsi="宋体" w:eastAsia="宋体" w:cs="宋体"/>
          <w:color w:val="auto"/>
          <w:sz w:val="24"/>
          <w:szCs w:val="24"/>
          <w:highlight w:val="none"/>
          <w:lang w:eastAsia="zh-CN"/>
        </w:rPr>
        <w:t>，原件</w:t>
      </w:r>
      <w:r>
        <w:rPr>
          <w:rFonts w:hint="eastAsia" w:ascii="宋体" w:hAnsi="宋体" w:cs="宋体"/>
          <w:color w:val="auto"/>
          <w:sz w:val="24"/>
          <w:szCs w:val="24"/>
          <w:highlight w:val="none"/>
          <w:lang w:eastAsia="zh-CN"/>
        </w:rPr>
        <w:t>备查</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设备制造商</w:t>
      </w:r>
      <w:r>
        <w:rPr>
          <w:rFonts w:hint="eastAsia" w:ascii="宋体" w:hAnsi="宋体"/>
          <w:color w:val="auto"/>
          <w:sz w:val="24"/>
          <w:szCs w:val="24"/>
          <w:highlight w:val="none"/>
          <w:lang w:eastAsia="zh-CN"/>
        </w:rPr>
        <w:t>中华人民共和国计量器具型式批准证书。</w:t>
      </w:r>
      <w:r>
        <w:rPr>
          <w:rFonts w:hint="eastAsia" w:ascii="宋体" w:hAnsi="宋体"/>
          <w:color w:val="auto"/>
          <w:sz w:val="24"/>
          <w:szCs w:val="24"/>
          <w:highlight w:val="none"/>
        </w:rPr>
        <w:t>（</w:t>
      </w:r>
      <w:r>
        <w:rPr>
          <w:rFonts w:hint="eastAsia" w:ascii="宋体" w:hAnsi="宋体"/>
          <w:color w:val="auto"/>
          <w:sz w:val="24"/>
          <w:szCs w:val="24"/>
          <w:highlight w:val="none"/>
          <w:lang w:eastAsia="zh-CN"/>
        </w:rPr>
        <w:t>复印件加盖公章，原件备查</w:t>
      </w:r>
      <w:r>
        <w:rPr>
          <w:rFonts w:hint="eastAsia" w:ascii="宋体" w:hAnsi="宋体"/>
          <w:color w:val="auto"/>
          <w:sz w:val="24"/>
          <w:szCs w:val="24"/>
          <w:highlight w:val="none"/>
        </w:rPr>
        <w:t>）</w:t>
      </w:r>
    </w:p>
    <w:p>
      <w:pPr>
        <w:spacing w:line="48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设备制造商</w:t>
      </w:r>
      <w:r>
        <w:rPr>
          <w:rFonts w:hint="eastAsia" w:ascii="宋体" w:hAnsi="宋体"/>
          <w:color w:val="auto"/>
          <w:sz w:val="24"/>
          <w:szCs w:val="24"/>
          <w:highlight w:val="none"/>
          <w:lang w:eastAsia="zh-CN"/>
        </w:rPr>
        <w:t>中华人民共和国制造计量器具许可证。</w:t>
      </w:r>
      <w:r>
        <w:rPr>
          <w:rFonts w:hint="eastAsia" w:ascii="宋体" w:hAnsi="宋体"/>
          <w:color w:val="auto"/>
          <w:sz w:val="24"/>
          <w:szCs w:val="24"/>
          <w:highlight w:val="none"/>
        </w:rPr>
        <w:t>（</w:t>
      </w:r>
      <w:r>
        <w:rPr>
          <w:rFonts w:hint="eastAsia" w:ascii="宋体" w:hAnsi="宋体"/>
          <w:color w:val="auto"/>
          <w:sz w:val="24"/>
          <w:szCs w:val="24"/>
          <w:highlight w:val="none"/>
          <w:lang w:eastAsia="zh-CN"/>
        </w:rPr>
        <w:t>复印件加盖公章，原件备查</w:t>
      </w:r>
      <w:r>
        <w:rPr>
          <w:rFonts w:hint="eastAsia" w:ascii="宋体" w:hAnsi="宋体"/>
          <w:color w:val="auto"/>
          <w:sz w:val="24"/>
          <w:szCs w:val="24"/>
          <w:highlight w:val="none"/>
        </w:rPr>
        <w:t>）</w:t>
      </w:r>
    </w:p>
    <w:p>
      <w:pPr>
        <w:spacing w:line="48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投标人企业20</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年度财务审计报告。（</w:t>
      </w:r>
      <w:r>
        <w:rPr>
          <w:rFonts w:hint="eastAsia" w:ascii="宋体" w:hAnsi="宋体"/>
          <w:color w:val="auto"/>
          <w:sz w:val="24"/>
          <w:szCs w:val="24"/>
          <w:highlight w:val="none"/>
          <w:lang w:eastAsia="zh-CN"/>
        </w:rPr>
        <w:t>复印件加盖公章，原件备查</w:t>
      </w:r>
      <w:r>
        <w:rPr>
          <w:rFonts w:hint="eastAsia" w:ascii="宋体" w:hAnsi="宋体"/>
          <w:color w:val="auto"/>
          <w:sz w:val="24"/>
          <w:szCs w:val="24"/>
          <w:highlight w:val="none"/>
        </w:rPr>
        <w:t>）</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7、备品备件的详细清单及报价。</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质保期承诺（格式自拟，并由供应商盖章、签字）。</w:t>
      </w:r>
    </w:p>
    <w:p>
      <w:pPr>
        <w:spacing w:line="48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设备制造商通过ISO9001质量管理体系认证证书</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eastAsia="zh-CN"/>
        </w:rPr>
        <w:t>复印件加盖公章，原件备查</w:t>
      </w:r>
      <w:r>
        <w:rPr>
          <w:rFonts w:hint="eastAsia" w:ascii="宋体" w:hAnsi="宋体"/>
          <w:color w:val="auto"/>
          <w:sz w:val="24"/>
          <w:szCs w:val="24"/>
          <w:highlight w:val="none"/>
        </w:rPr>
        <w:t>）</w:t>
      </w:r>
    </w:p>
    <w:p>
      <w:pPr>
        <w:spacing w:line="48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10、投标人2018年1月</w:t>
      </w:r>
      <w:r>
        <w:rPr>
          <w:rFonts w:hint="eastAsia" w:ascii="宋体" w:hAnsi="宋体"/>
          <w:color w:val="auto"/>
          <w:sz w:val="24"/>
          <w:szCs w:val="24"/>
          <w:highlight w:val="none"/>
        </w:rPr>
        <w:t>以来同类货物供货业绩</w:t>
      </w:r>
      <w:r>
        <w:rPr>
          <w:rFonts w:hint="eastAsia" w:ascii="宋体" w:hAnsi="宋体"/>
          <w:color w:val="auto"/>
          <w:sz w:val="24"/>
          <w:szCs w:val="24"/>
          <w:highlight w:val="none"/>
          <w:lang w:eastAsia="zh-CN"/>
        </w:rPr>
        <w:t>（单份合同金额十万元以上）。</w:t>
      </w:r>
    </w:p>
    <w:p>
      <w:pPr>
        <w:spacing w:line="48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w:t>
      </w:r>
      <w:r>
        <w:rPr>
          <w:rFonts w:hint="eastAsia" w:ascii="宋体" w:hAnsi="宋体"/>
          <w:color w:val="auto"/>
          <w:sz w:val="24"/>
          <w:szCs w:val="24"/>
          <w:highlight w:val="none"/>
          <w:lang w:eastAsia="zh-CN"/>
        </w:rPr>
        <w:t>投标货物主要部件</w:t>
      </w:r>
      <w:r>
        <w:rPr>
          <w:rFonts w:hint="eastAsia" w:ascii="宋体" w:hAnsi="宋体"/>
          <w:color w:val="auto"/>
          <w:sz w:val="24"/>
          <w:szCs w:val="24"/>
          <w:highlight w:val="none"/>
        </w:rPr>
        <w:t>的材质</w:t>
      </w:r>
      <w:r>
        <w:rPr>
          <w:rFonts w:hint="eastAsia" w:ascii="宋体" w:hAnsi="宋体"/>
          <w:color w:val="auto"/>
          <w:sz w:val="24"/>
          <w:szCs w:val="24"/>
          <w:highlight w:val="none"/>
          <w:lang w:eastAsia="zh-CN"/>
        </w:rPr>
        <w:t>、</w:t>
      </w:r>
      <w:r>
        <w:rPr>
          <w:rFonts w:hint="eastAsia" w:ascii="宋体" w:hAnsi="宋体"/>
          <w:color w:val="auto"/>
          <w:sz w:val="24"/>
          <w:szCs w:val="24"/>
          <w:highlight w:val="none"/>
        </w:rPr>
        <w:t>性能</w:t>
      </w:r>
      <w:r>
        <w:rPr>
          <w:rFonts w:hint="eastAsia" w:ascii="宋体" w:hAnsi="宋体"/>
          <w:color w:val="auto"/>
          <w:sz w:val="24"/>
          <w:szCs w:val="24"/>
          <w:highlight w:val="none"/>
          <w:lang w:eastAsia="zh-CN"/>
        </w:rPr>
        <w:t>、</w:t>
      </w:r>
      <w:r>
        <w:rPr>
          <w:rFonts w:hint="eastAsia" w:ascii="宋体" w:hAnsi="宋体"/>
          <w:color w:val="auto"/>
          <w:sz w:val="24"/>
          <w:szCs w:val="24"/>
          <w:highlight w:val="none"/>
        </w:rPr>
        <w:t>品牌</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技术参数等情况。</w:t>
      </w:r>
    </w:p>
    <w:p>
      <w:pPr>
        <w:spacing w:line="48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项目所在地的售后服务机构</w:t>
      </w:r>
      <w:r>
        <w:rPr>
          <w:rFonts w:hint="eastAsia" w:ascii="宋体" w:hAnsi="宋体"/>
          <w:color w:val="auto"/>
          <w:sz w:val="24"/>
          <w:szCs w:val="24"/>
          <w:highlight w:val="none"/>
          <w:lang w:eastAsia="zh-CN"/>
        </w:rPr>
        <w:t>、</w:t>
      </w:r>
      <w:r>
        <w:rPr>
          <w:rFonts w:hint="eastAsia" w:ascii="宋体" w:hAnsi="宋体"/>
          <w:color w:val="auto"/>
          <w:sz w:val="24"/>
          <w:szCs w:val="24"/>
          <w:highlight w:val="none"/>
        </w:rPr>
        <w:t>人员配置情况</w:t>
      </w:r>
      <w:r>
        <w:rPr>
          <w:rFonts w:hint="eastAsia" w:ascii="宋体" w:hAnsi="宋体"/>
          <w:color w:val="auto"/>
          <w:sz w:val="24"/>
          <w:szCs w:val="24"/>
          <w:highlight w:val="none"/>
          <w:lang w:val="en-US" w:eastAsia="zh-CN"/>
        </w:rPr>
        <w:t>及售后服务措施。</w:t>
      </w:r>
    </w:p>
    <w:p>
      <w:pPr>
        <w:spacing w:line="48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13、针对本项目的施工措施。</w:t>
      </w:r>
    </w:p>
    <w:p>
      <w:pPr>
        <w:spacing w:line="48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w:t>
      </w:r>
      <w:r>
        <w:rPr>
          <w:rFonts w:hint="eastAsia" w:ascii="宋体" w:hAnsi="宋体"/>
          <w:color w:val="auto"/>
          <w:sz w:val="24"/>
          <w:szCs w:val="24"/>
          <w:highlight w:val="none"/>
        </w:rPr>
        <w:t>、供应商认为需要递交的其它资料。</w:t>
      </w:r>
    </w:p>
    <w:p>
      <w:pPr>
        <w:spacing w:line="480" w:lineRule="exact"/>
        <w:ind w:firstLine="480" w:firstLineChars="200"/>
        <w:rPr>
          <w:rFonts w:hint="eastAsia" w:ascii="宋体" w:hAnsi="宋体"/>
          <w:color w:val="auto"/>
          <w:sz w:val="24"/>
          <w:szCs w:val="24"/>
          <w:highlight w:val="none"/>
        </w:rPr>
      </w:pPr>
    </w:p>
    <w:p>
      <w:pPr>
        <w:spacing w:line="500" w:lineRule="exact"/>
        <w:ind w:firstLine="3960" w:firstLineChars="1650"/>
        <w:rPr>
          <w:rFonts w:ascii="宋体" w:hAnsi="宋体"/>
          <w:color w:val="auto"/>
          <w:sz w:val="24"/>
          <w:szCs w:val="24"/>
          <w:highlight w:val="none"/>
        </w:rPr>
      </w:pPr>
    </w:p>
    <w:p>
      <w:pPr>
        <w:spacing w:line="500" w:lineRule="exact"/>
        <w:ind w:firstLine="3960" w:firstLineChars="1650"/>
        <w:rPr>
          <w:rFonts w:ascii="宋体" w:hAnsi="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color w:val="auto"/>
          <w:highlight w:val="none"/>
        </w:rPr>
      </w:pPr>
    </w:p>
    <w:sectPr>
      <w:footerReference r:id="rId3" w:type="default"/>
      <w:pgSz w:w="11907" w:h="16840"/>
      <w:pgMar w:top="1134" w:right="1418" w:bottom="1134" w:left="1418" w:header="567" w:footer="794" w:gutter="0"/>
      <w:cols w:space="425" w:num="1"/>
      <w:docGrid w:linePitch="3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rPr>
      <w:t>第</w:t>
    </w:r>
    <w:r>
      <w:fldChar w:fldCharType="begin"/>
    </w:r>
    <w:r>
      <w:instrText xml:space="preserve"> PAGE   \* MERGEFORMAT </w:instrText>
    </w:r>
    <w:r>
      <w:fldChar w:fldCharType="separate"/>
    </w:r>
    <w:r>
      <w:rPr>
        <w:lang w:val="zh-CN"/>
      </w:rPr>
      <w:t>10</w:t>
    </w:r>
    <w:r>
      <w:fldChar w:fldCharType="end"/>
    </w:r>
    <w:r>
      <w:rPr>
        <w:rFonts w:hint="eastAsia"/>
      </w:rPr>
      <w:t>页</w:t>
    </w:r>
  </w:p>
  <w:p>
    <w:pPr>
      <w:pStyle w:val="24"/>
      <w:ind w:right="360"/>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9.%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decimal"/>
      <w:lvlText w:val="15.1.%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multilevel"/>
    <w:tmpl w:val="0000000D"/>
    <w:lvl w:ilvl="0" w:tentative="0">
      <w:start w:val="1"/>
      <w:numFmt w:val="decimal"/>
      <w:lvlText w:val="7.%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2"/>
    <w:multiLevelType w:val="multilevel"/>
    <w:tmpl w:val="00000012"/>
    <w:lvl w:ilvl="0" w:tentative="0">
      <w:start w:val="1"/>
      <w:numFmt w:val="decimal"/>
      <w:lvlText w:val="8.%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660"/>
        </w:tabs>
        <w:ind w:left="660" w:hanging="420"/>
      </w:p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4">
    <w:nsid w:val="00000015"/>
    <w:multiLevelType w:val="multilevel"/>
    <w:tmpl w:val="00000015"/>
    <w:lvl w:ilvl="0" w:tentative="0">
      <w:start w:val="1"/>
      <w:numFmt w:val="decimal"/>
      <w:lvlText w:val="18.%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6"/>
    <w:multiLevelType w:val="multilevel"/>
    <w:tmpl w:val="00000016"/>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6">
    <w:nsid w:val="00000017"/>
    <w:multiLevelType w:val="multilevel"/>
    <w:tmpl w:val="00000017"/>
    <w:lvl w:ilvl="0" w:tentative="0">
      <w:start w:val="1"/>
      <w:numFmt w:val="decimal"/>
      <w:lvlText w:val="17.%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A"/>
    <w:multiLevelType w:val="multilevel"/>
    <w:tmpl w:val="0000001A"/>
    <w:lvl w:ilvl="0" w:tentative="0">
      <w:start w:val="1"/>
      <w:numFmt w:val="decimal"/>
      <w:lvlText w:val="16.%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E"/>
    <w:multiLevelType w:val="multilevel"/>
    <w:tmpl w:val="0000001E"/>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9">
    <w:nsid w:val="00000020"/>
    <w:multiLevelType w:val="multilevel"/>
    <w:tmpl w:val="00000020"/>
    <w:lvl w:ilvl="0" w:tentative="0">
      <w:start w:val="1"/>
      <w:numFmt w:val="decimal"/>
      <w:lvlText w:val="13.%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1"/>
    <w:multiLevelType w:val="multilevel"/>
    <w:tmpl w:val="00000021"/>
    <w:lvl w:ilvl="0" w:tentative="0">
      <w:start w:val="1"/>
      <w:numFmt w:val="decimal"/>
      <w:lvlText w:val="4.%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5"/>
    <w:multiLevelType w:val="multilevel"/>
    <w:tmpl w:val="00000025"/>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2">
    <w:nsid w:val="00000028"/>
    <w:multiLevelType w:val="multilevel"/>
    <w:tmpl w:val="00000028"/>
    <w:lvl w:ilvl="0" w:tentative="0">
      <w:start w:val="1"/>
      <w:numFmt w:val="decimal"/>
      <w:lvlText w:val="14.%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E"/>
    <w:multiLevelType w:val="multilevel"/>
    <w:tmpl w:val="0000002E"/>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F"/>
    <w:multiLevelType w:val="multilevel"/>
    <w:tmpl w:val="0000002F"/>
    <w:lvl w:ilvl="0" w:tentative="0">
      <w:start w:val="1"/>
      <w:numFmt w:val="decimal"/>
      <w:lvlText w:val="11.%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30"/>
    <w:multiLevelType w:val="multilevel"/>
    <w:tmpl w:val="00000030"/>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31"/>
    <w:multiLevelType w:val="multilevel"/>
    <w:tmpl w:val="00000031"/>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7">
    <w:nsid w:val="00000034"/>
    <w:multiLevelType w:val="multilevel"/>
    <w:tmpl w:val="00000034"/>
    <w:lvl w:ilvl="0" w:tentative="0">
      <w:start w:val="1"/>
      <w:numFmt w:val="decimal"/>
      <w:lvlText w:val="15.%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35"/>
    <w:multiLevelType w:val="multilevel"/>
    <w:tmpl w:val="00000035"/>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9">
    <w:nsid w:val="00000036"/>
    <w:multiLevelType w:val="multilevel"/>
    <w:tmpl w:val="00000036"/>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679"/>
        </w:tabs>
        <w:ind w:left="679" w:hanging="420"/>
      </w:pPr>
    </w:lvl>
    <w:lvl w:ilvl="2" w:tentative="0">
      <w:start w:val="1"/>
      <w:numFmt w:val="lowerRoman"/>
      <w:lvlText w:val="%3."/>
      <w:lvlJc w:val="right"/>
      <w:pPr>
        <w:tabs>
          <w:tab w:val="left" w:pos="1099"/>
        </w:tabs>
        <w:ind w:left="1099" w:hanging="420"/>
      </w:pPr>
    </w:lvl>
    <w:lvl w:ilvl="3" w:tentative="0">
      <w:start w:val="1"/>
      <w:numFmt w:val="decimal"/>
      <w:lvlText w:val="%4."/>
      <w:lvlJc w:val="left"/>
      <w:pPr>
        <w:tabs>
          <w:tab w:val="left" w:pos="1519"/>
        </w:tabs>
        <w:ind w:left="1519" w:hanging="420"/>
      </w:pPr>
    </w:lvl>
    <w:lvl w:ilvl="4" w:tentative="0">
      <w:start w:val="1"/>
      <w:numFmt w:val="lowerLetter"/>
      <w:lvlText w:val="%5)"/>
      <w:lvlJc w:val="left"/>
      <w:pPr>
        <w:tabs>
          <w:tab w:val="left" w:pos="1939"/>
        </w:tabs>
        <w:ind w:left="1939" w:hanging="420"/>
      </w:pPr>
    </w:lvl>
    <w:lvl w:ilvl="5" w:tentative="0">
      <w:start w:val="1"/>
      <w:numFmt w:val="lowerRoman"/>
      <w:lvlText w:val="%6."/>
      <w:lvlJc w:val="right"/>
      <w:pPr>
        <w:tabs>
          <w:tab w:val="left" w:pos="2359"/>
        </w:tabs>
        <w:ind w:left="2359" w:hanging="420"/>
      </w:pPr>
    </w:lvl>
    <w:lvl w:ilvl="6" w:tentative="0">
      <w:start w:val="1"/>
      <w:numFmt w:val="decimal"/>
      <w:lvlText w:val="%7."/>
      <w:lvlJc w:val="left"/>
      <w:pPr>
        <w:tabs>
          <w:tab w:val="left" w:pos="2779"/>
        </w:tabs>
        <w:ind w:left="2779" w:hanging="420"/>
      </w:pPr>
    </w:lvl>
    <w:lvl w:ilvl="7" w:tentative="0">
      <w:start w:val="1"/>
      <w:numFmt w:val="lowerLetter"/>
      <w:lvlText w:val="%8)"/>
      <w:lvlJc w:val="left"/>
      <w:pPr>
        <w:tabs>
          <w:tab w:val="left" w:pos="3199"/>
        </w:tabs>
        <w:ind w:left="3199" w:hanging="420"/>
      </w:pPr>
    </w:lvl>
    <w:lvl w:ilvl="8" w:tentative="0">
      <w:start w:val="1"/>
      <w:numFmt w:val="lowerRoman"/>
      <w:lvlText w:val="%9."/>
      <w:lvlJc w:val="right"/>
      <w:pPr>
        <w:tabs>
          <w:tab w:val="left" w:pos="3619"/>
        </w:tabs>
        <w:ind w:left="3619" w:hanging="420"/>
      </w:pPr>
    </w:lvl>
  </w:abstractNum>
  <w:abstractNum w:abstractNumId="20">
    <w:nsid w:val="00000037"/>
    <w:multiLevelType w:val="multilevel"/>
    <w:tmpl w:val="00000037"/>
    <w:lvl w:ilvl="0" w:tentative="0">
      <w:start w:val="1"/>
      <w:numFmt w:val="decimal"/>
      <w:lvlText w:val="6.%1"/>
      <w:lvlJc w:val="left"/>
      <w:pPr>
        <w:tabs>
          <w:tab w:val="left" w:pos="900"/>
        </w:tabs>
        <w:ind w:left="900" w:hanging="360"/>
      </w:pPr>
      <w:rPr>
        <w:rFonts w:hint="eastAsia" w:ascii="宋体" w:hAnsi="宋体" w:eastAsia="宋体"/>
        <w:b w:val="0"/>
        <w:i w:val="0"/>
      </w:rPr>
    </w:lvl>
    <w:lvl w:ilvl="1" w:tentative="0">
      <w:start w:val="1"/>
      <w:numFmt w:val="lowerLetter"/>
      <w:lvlText w:val="%2)"/>
      <w:lvlJc w:val="left"/>
      <w:pPr>
        <w:tabs>
          <w:tab w:val="left" w:pos="660"/>
        </w:tabs>
        <w:ind w:left="660" w:hanging="420"/>
      </w:p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21">
    <w:nsid w:val="00000038"/>
    <w:multiLevelType w:val="multilevel"/>
    <w:tmpl w:val="00000038"/>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3A"/>
    <w:multiLevelType w:val="multilevel"/>
    <w:tmpl w:val="0000003A"/>
    <w:lvl w:ilvl="0" w:tentative="0">
      <w:start w:val="1"/>
      <w:numFmt w:val="decimal"/>
      <w:lvlText w:val="16.6.%1"/>
      <w:lvlJc w:val="left"/>
      <w:pPr>
        <w:tabs>
          <w:tab w:val="left" w:pos="1080"/>
        </w:tabs>
        <w:ind w:left="1080" w:hanging="360"/>
      </w:pPr>
      <w:rPr>
        <w:rFonts w:hint="eastAsia" w:ascii="宋体" w:hAnsi="宋体" w:eastAsia="宋体"/>
        <w:b w:val="0"/>
        <w:i w:val="0"/>
        <w:sz w:val="24"/>
        <w:szCs w:val="24"/>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20C153B"/>
    <w:multiLevelType w:val="multilevel"/>
    <w:tmpl w:val="420C153B"/>
    <w:lvl w:ilvl="0" w:tentative="0">
      <w:start w:val="1"/>
      <w:numFmt w:val="decimal"/>
      <w:pStyle w:val="5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color w:val="auto"/>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56DE7E4B"/>
    <w:multiLevelType w:val="multilevel"/>
    <w:tmpl w:val="56DE7E4B"/>
    <w:lvl w:ilvl="0" w:tentative="0">
      <w:start w:val="0"/>
      <w:numFmt w:val="bullet"/>
      <w:lvlText w:val="◆"/>
      <w:lvlJc w:val="left"/>
      <w:pPr>
        <w:tabs>
          <w:tab w:val="left" w:pos="930"/>
        </w:tabs>
        <w:ind w:left="930" w:hanging="360"/>
      </w:pPr>
      <w:rPr>
        <w:rFonts w:hint="eastAsia" w:ascii="楷体_GB2312" w:hAnsi="Times New Roman" w:eastAsia="楷体_GB2312" w:cs="Times New Roman"/>
      </w:rPr>
    </w:lvl>
    <w:lvl w:ilvl="1" w:tentative="0">
      <w:start w:val="1"/>
      <w:numFmt w:val="bullet"/>
      <w:lvlText w:val=""/>
      <w:lvlJc w:val="left"/>
      <w:pPr>
        <w:tabs>
          <w:tab w:val="left" w:pos="1410"/>
        </w:tabs>
        <w:ind w:left="1410" w:hanging="420"/>
      </w:pPr>
      <w:rPr>
        <w:rFonts w:hint="default" w:ascii="Wingdings" w:hAnsi="Wingdings"/>
      </w:rPr>
    </w:lvl>
    <w:lvl w:ilvl="2" w:tentative="0">
      <w:start w:val="1"/>
      <w:numFmt w:val="bullet"/>
      <w:lvlText w:val=""/>
      <w:lvlJc w:val="left"/>
      <w:pPr>
        <w:tabs>
          <w:tab w:val="left" w:pos="1830"/>
        </w:tabs>
        <w:ind w:left="1830" w:hanging="420"/>
      </w:pPr>
      <w:rPr>
        <w:rFonts w:hint="default" w:ascii="Wingdings" w:hAnsi="Wingdings"/>
      </w:rPr>
    </w:lvl>
    <w:lvl w:ilvl="3" w:tentative="0">
      <w:start w:val="1"/>
      <w:numFmt w:val="bullet"/>
      <w:lvlText w:val=""/>
      <w:lvlJc w:val="left"/>
      <w:pPr>
        <w:tabs>
          <w:tab w:val="left" w:pos="2250"/>
        </w:tabs>
        <w:ind w:left="2250" w:hanging="420"/>
      </w:pPr>
      <w:rPr>
        <w:rFonts w:hint="default" w:ascii="Wingdings" w:hAnsi="Wingdings"/>
      </w:rPr>
    </w:lvl>
    <w:lvl w:ilvl="4" w:tentative="0">
      <w:start w:val="1"/>
      <w:numFmt w:val="bullet"/>
      <w:lvlText w:val=""/>
      <w:lvlJc w:val="left"/>
      <w:pPr>
        <w:tabs>
          <w:tab w:val="left" w:pos="2670"/>
        </w:tabs>
        <w:ind w:left="2670" w:hanging="420"/>
      </w:pPr>
      <w:rPr>
        <w:rFonts w:hint="default" w:ascii="Wingdings" w:hAnsi="Wingdings"/>
      </w:rPr>
    </w:lvl>
    <w:lvl w:ilvl="5" w:tentative="0">
      <w:start w:val="1"/>
      <w:numFmt w:val="bullet"/>
      <w:lvlText w:val=""/>
      <w:lvlJc w:val="left"/>
      <w:pPr>
        <w:tabs>
          <w:tab w:val="left" w:pos="3090"/>
        </w:tabs>
        <w:ind w:left="3090" w:hanging="420"/>
      </w:pPr>
      <w:rPr>
        <w:rFonts w:hint="default" w:ascii="Wingdings" w:hAnsi="Wingdings"/>
      </w:rPr>
    </w:lvl>
    <w:lvl w:ilvl="6" w:tentative="0">
      <w:start w:val="1"/>
      <w:numFmt w:val="bullet"/>
      <w:lvlText w:val=""/>
      <w:lvlJc w:val="left"/>
      <w:pPr>
        <w:tabs>
          <w:tab w:val="left" w:pos="3510"/>
        </w:tabs>
        <w:ind w:left="3510" w:hanging="420"/>
      </w:pPr>
      <w:rPr>
        <w:rFonts w:hint="default" w:ascii="Wingdings" w:hAnsi="Wingdings"/>
      </w:rPr>
    </w:lvl>
    <w:lvl w:ilvl="7" w:tentative="0">
      <w:start w:val="1"/>
      <w:numFmt w:val="bullet"/>
      <w:lvlText w:val=""/>
      <w:lvlJc w:val="left"/>
      <w:pPr>
        <w:tabs>
          <w:tab w:val="left" w:pos="3930"/>
        </w:tabs>
        <w:ind w:left="3930" w:hanging="420"/>
      </w:pPr>
      <w:rPr>
        <w:rFonts w:hint="default" w:ascii="Wingdings" w:hAnsi="Wingdings"/>
      </w:rPr>
    </w:lvl>
    <w:lvl w:ilvl="8" w:tentative="0">
      <w:start w:val="1"/>
      <w:numFmt w:val="bullet"/>
      <w:lvlText w:val=""/>
      <w:lvlJc w:val="left"/>
      <w:pPr>
        <w:tabs>
          <w:tab w:val="left" w:pos="4350"/>
        </w:tabs>
        <w:ind w:left="4350" w:hanging="420"/>
      </w:pPr>
      <w:rPr>
        <w:rFonts w:hint="default" w:ascii="Wingdings" w:hAnsi="Wingdings"/>
      </w:rPr>
    </w:lvl>
  </w:abstractNum>
  <w:abstractNum w:abstractNumId="25">
    <w:nsid w:val="56DE7E56"/>
    <w:multiLevelType w:val="multilevel"/>
    <w:tmpl w:val="56DE7E56"/>
    <w:lvl w:ilvl="0" w:tentative="0">
      <w:start w:val="0"/>
      <w:numFmt w:val="bullet"/>
      <w:lvlText w:val="◆"/>
      <w:lvlJc w:val="left"/>
      <w:pPr>
        <w:tabs>
          <w:tab w:val="left" w:pos="930"/>
        </w:tabs>
        <w:ind w:left="930" w:hanging="360"/>
      </w:pPr>
      <w:rPr>
        <w:rFonts w:hint="eastAsia" w:ascii="楷体_GB2312" w:hAnsi="Times New Roman" w:eastAsia="楷体_GB2312" w:cs="Times New Roman"/>
      </w:rPr>
    </w:lvl>
    <w:lvl w:ilvl="1" w:tentative="0">
      <w:start w:val="1"/>
      <w:numFmt w:val="bullet"/>
      <w:lvlText w:val=""/>
      <w:lvlJc w:val="left"/>
      <w:pPr>
        <w:tabs>
          <w:tab w:val="left" w:pos="1410"/>
        </w:tabs>
        <w:ind w:left="1410" w:hanging="420"/>
      </w:pPr>
      <w:rPr>
        <w:rFonts w:hint="default" w:ascii="Wingdings" w:hAnsi="Wingdings"/>
      </w:rPr>
    </w:lvl>
    <w:lvl w:ilvl="2" w:tentative="0">
      <w:start w:val="1"/>
      <w:numFmt w:val="bullet"/>
      <w:lvlText w:val=""/>
      <w:lvlJc w:val="left"/>
      <w:pPr>
        <w:tabs>
          <w:tab w:val="left" w:pos="1830"/>
        </w:tabs>
        <w:ind w:left="1830" w:hanging="420"/>
      </w:pPr>
      <w:rPr>
        <w:rFonts w:hint="default" w:ascii="Wingdings" w:hAnsi="Wingdings"/>
      </w:rPr>
    </w:lvl>
    <w:lvl w:ilvl="3" w:tentative="0">
      <w:start w:val="1"/>
      <w:numFmt w:val="bullet"/>
      <w:lvlText w:val=""/>
      <w:lvlJc w:val="left"/>
      <w:pPr>
        <w:tabs>
          <w:tab w:val="left" w:pos="2250"/>
        </w:tabs>
        <w:ind w:left="2250" w:hanging="420"/>
      </w:pPr>
      <w:rPr>
        <w:rFonts w:hint="default" w:ascii="Wingdings" w:hAnsi="Wingdings"/>
      </w:rPr>
    </w:lvl>
    <w:lvl w:ilvl="4" w:tentative="0">
      <w:start w:val="1"/>
      <w:numFmt w:val="bullet"/>
      <w:lvlText w:val=""/>
      <w:lvlJc w:val="left"/>
      <w:pPr>
        <w:tabs>
          <w:tab w:val="left" w:pos="2670"/>
        </w:tabs>
        <w:ind w:left="2670" w:hanging="420"/>
      </w:pPr>
      <w:rPr>
        <w:rFonts w:hint="default" w:ascii="Wingdings" w:hAnsi="Wingdings"/>
      </w:rPr>
    </w:lvl>
    <w:lvl w:ilvl="5" w:tentative="0">
      <w:start w:val="1"/>
      <w:numFmt w:val="bullet"/>
      <w:lvlText w:val=""/>
      <w:lvlJc w:val="left"/>
      <w:pPr>
        <w:tabs>
          <w:tab w:val="left" w:pos="3090"/>
        </w:tabs>
        <w:ind w:left="3090" w:hanging="420"/>
      </w:pPr>
      <w:rPr>
        <w:rFonts w:hint="default" w:ascii="Wingdings" w:hAnsi="Wingdings"/>
      </w:rPr>
    </w:lvl>
    <w:lvl w:ilvl="6" w:tentative="0">
      <w:start w:val="1"/>
      <w:numFmt w:val="bullet"/>
      <w:lvlText w:val=""/>
      <w:lvlJc w:val="left"/>
      <w:pPr>
        <w:tabs>
          <w:tab w:val="left" w:pos="3510"/>
        </w:tabs>
        <w:ind w:left="3510" w:hanging="420"/>
      </w:pPr>
      <w:rPr>
        <w:rFonts w:hint="default" w:ascii="Wingdings" w:hAnsi="Wingdings"/>
      </w:rPr>
    </w:lvl>
    <w:lvl w:ilvl="7" w:tentative="0">
      <w:start w:val="1"/>
      <w:numFmt w:val="bullet"/>
      <w:lvlText w:val=""/>
      <w:lvlJc w:val="left"/>
      <w:pPr>
        <w:tabs>
          <w:tab w:val="left" w:pos="3930"/>
        </w:tabs>
        <w:ind w:left="3930" w:hanging="420"/>
      </w:pPr>
      <w:rPr>
        <w:rFonts w:hint="default" w:ascii="Wingdings" w:hAnsi="Wingdings"/>
      </w:rPr>
    </w:lvl>
    <w:lvl w:ilvl="8" w:tentative="0">
      <w:start w:val="1"/>
      <w:numFmt w:val="bullet"/>
      <w:lvlText w:val=""/>
      <w:lvlJc w:val="left"/>
      <w:pPr>
        <w:tabs>
          <w:tab w:val="left" w:pos="4350"/>
        </w:tabs>
        <w:ind w:left="4350" w:hanging="420"/>
      </w:pPr>
      <w:rPr>
        <w:rFonts w:hint="default" w:ascii="Wingdings" w:hAnsi="Wingdings"/>
      </w:rPr>
    </w:lvl>
  </w:abstractNum>
  <w:abstractNum w:abstractNumId="26">
    <w:nsid w:val="56DE7E61"/>
    <w:multiLevelType w:val="multilevel"/>
    <w:tmpl w:val="56DE7E61"/>
    <w:lvl w:ilvl="0" w:tentative="0">
      <w:start w:val="0"/>
      <w:numFmt w:val="bullet"/>
      <w:lvlText w:val="◆"/>
      <w:lvlJc w:val="left"/>
      <w:pPr>
        <w:tabs>
          <w:tab w:val="left" w:pos="360"/>
        </w:tabs>
        <w:ind w:left="360" w:hanging="360"/>
      </w:pPr>
      <w:rPr>
        <w:rFonts w:hint="default" w:ascii="楷体_GB2312" w:hAnsi="Times New Roman" w:eastAsia="楷体_GB2312" w:cs="Times New Roman"/>
        <w:color w:val="auto"/>
      </w:rPr>
    </w:lvl>
    <w:lvl w:ilvl="1" w:tentative="0">
      <w:start w:val="1"/>
      <w:numFmt w:val="bullet"/>
      <w:lvlText w:val=""/>
      <w:lvlJc w:val="left"/>
      <w:pPr>
        <w:tabs>
          <w:tab w:val="left" w:pos="270"/>
        </w:tabs>
        <w:ind w:left="270" w:hanging="420"/>
      </w:pPr>
      <w:rPr>
        <w:rFonts w:hint="default" w:ascii="Wingdings" w:hAnsi="Wingdings"/>
      </w:rPr>
    </w:lvl>
    <w:lvl w:ilvl="2" w:tentative="0">
      <w:start w:val="1"/>
      <w:numFmt w:val="bullet"/>
      <w:lvlText w:val=""/>
      <w:lvlJc w:val="left"/>
      <w:pPr>
        <w:tabs>
          <w:tab w:val="left" w:pos="690"/>
        </w:tabs>
        <w:ind w:left="690" w:hanging="420"/>
      </w:pPr>
      <w:rPr>
        <w:rFonts w:hint="default" w:ascii="Wingdings" w:hAnsi="Wingdings"/>
      </w:rPr>
    </w:lvl>
    <w:lvl w:ilvl="3" w:tentative="0">
      <w:start w:val="1"/>
      <w:numFmt w:val="bullet"/>
      <w:lvlText w:val=""/>
      <w:lvlJc w:val="left"/>
      <w:pPr>
        <w:tabs>
          <w:tab w:val="left" w:pos="1110"/>
        </w:tabs>
        <w:ind w:left="1110" w:hanging="420"/>
      </w:pPr>
      <w:rPr>
        <w:rFonts w:hint="default" w:ascii="Wingdings" w:hAnsi="Wingdings"/>
      </w:rPr>
    </w:lvl>
    <w:lvl w:ilvl="4" w:tentative="0">
      <w:start w:val="1"/>
      <w:numFmt w:val="bullet"/>
      <w:lvlText w:val=""/>
      <w:lvlJc w:val="left"/>
      <w:pPr>
        <w:tabs>
          <w:tab w:val="left" w:pos="1530"/>
        </w:tabs>
        <w:ind w:left="1530" w:hanging="420"/>
      </w:pPr>
      <w:rPr>
        <w:rFonts w:hint="default" w:ascii="Wingdings" w:hAnsi="Wingdings"/>
      </w:rPr>
    </w:lvl>
    <w:lvl w:ilvl="5" w:tentative="0">
      <w:start w:val="1"/>
      <w:numFmt w:val="bullet"/>
      <w:lvlText w:val=""/>
      <w:lvlJc w:val="left"/>
      <w:pPr>
        <w:tabs>
          <w:tab w:val="left" w:pos="1950"/>
        </w:tabs>
        <w:ind w:left="1950" w:hanging="420"/>
      </w:pPr>
      <w:rPr>
        <w:rFonts w:hint="default" w:ascii="Wingdings" w:hAnsi="Wingdings"/>
      </w:rPr>
    </w:lvl>
    <w:lvl w:ilvl="6" w:tentative="0">
      <w:start w:val="1"/>
      <w:numFmt w:val="bullet"/>
      <w:lvlText w:val=""/>
      <w:lvlJc w:val="left"/>
      <w:pPr>
        <w:tabs>
          <w:tab w:val="left" w:pos="2370"/>
        </w:tabs>
        <w:ind w:left="2370" w:hanging="420"/>
      </w:pPr>
      <w:rPr>
        <w:rFonts w:hint="default" w:ascii="Wingdings" w:hAnsi="Wingdings"/>
      </w:rPr>
    </w:lvl>
    <w:lvl w:ilvl="7" w:tentative="0">
      <w:start w:val="1"/>
      <w:numFmt w:val="bullet"/>
      <w:lvlText w:val=""/>
      <w:lvlJc w:val="left"/>
      <w:pPr>
        <w:tabs>
          <w:tab w:val="left" w:pos="2790"/>
        </w:tabs>
        <w:ind w:left="2790" w:hanging="420"/>
      </w:pPr>
      <w:rPr>
        <w:rFonts w:hint="default" w:ascii="Wingdings" w:hAnsi="Wingdings"/>
      </w:rPr>
    </w:lvl>
    <w:lvl w:ilvl="8" w:tentative="0">
      <w:start w:val="1"/>
      <w:numFmt w:val="bullet"/>
      <w:lvlText w:val=""/>
      <w:lvlJc w:val="left"/>
      <w:pPr>
        <w:tabs>
          <w:tab w:val="left" w:pos="3210"/>
        </w:tabs>
        <w:ind w:left="3210" w:hanging="420"/>
      </w:pPr>
      <w:rPr>
        <w:rFonts w:hint="default" w:ascii="Wingdings" w:hAnsi="Wingdings"/>
      </w:rPr>
    </w:lvl>
  </w:abstractNum>
  <w:abstractNum w:abstractNumId="27">
    <w:nsid w:val="56DE7E6C"/>
    <w:multiLevelType w:val="singleLevel"/>
    <w:tmpl w:val="56DE7E6C"/>
    <w:lvl w:ilvl="0" w:tentative="0">
      <w:start w:val="1"/>
      <w:numFmt w:val="bullet"/>
      <w:lvlText w:val=""/>
      <w:lvlJc w:val="left"/>
      <w:pPr>
        <w:tabs>
          <w:tab w:val="left" w:pos="420"/>
        </w:tabs>
        <w:ind w:left="420" w:hanging="420"/>
      </w:pPr>
      <w:rPr>
        <w:rFonts w:hint="default" w:ascii="Wingdings" w:hAnsi="Wingdings"/>
      </w:rPr>
    </w:lvl>
  </w:abstractNum>
  <w:abstractNum w:abstractNumId="28">
    <w:nsid w:val="56DE7E77"/>
    <w:multiLevelType w:val="singleLevel"/>
    <w:tmpl w:val="56DE7E77"/>
    <w:lvl w:ilvl="0" w:tentative="0">
      <w:start w:val="1"/>
      <w:numFmt w:val="bullet"/>
      <w:lvlText w:val=""/>
      <w:lvlJc w:val="left"/>
      <w:pPr>
        <w:tabs>
          <w:tab w:val="left" w:pos="420"/>
        </w:tabs>
        <w:ind w:left="420" w:hanging="420"/>
      </w:pPr>
      <w:rPr>
        <w:rFonts w:hint="default" w:ascii="Wingdings" w:hAnsi="Wingdings"/>
      </w:rPr>
    </w:lvl>
  </w:abstractNum>
  <w:abstractNum w:abstractNumId="29">
    <w:nsid w:val="56DE7E82"/>
    <w:multiLevelType w:val="multilevel"/>
    <w:tmpl w:val="56DE7E82"/>
    <w:lvl w:ilvl="0" w:tentative="0">
      <w:start w:val="0"/>
      <w:numFmt w:val="bullet"/>
      <w:lvlText w:val="◆"/>
      <w:lvlJc w:val="left"/>
      <w:pPr>
        <w:tabs>
          <w:tab w:val="left" w:pos="360"/>
        </w:tabs>
        <w:ind w:left="360" w:hanging="360"/>
      </w:pPr>
      <w:rPr>
        <w:rFonts w:hint="default" w:ascii="楷体_GB2312" w:hAnsi="Times New Roman" w:eastAsia="楷体_GB2312" w:cs="Times New Roman"/>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3"/>
  </w:num>
  <w:num w:numId="2">
    <w:abstractNumId w:val="30"/>
  </w:num>
  <w:num w:numId="3">
    <w:abstractNumId w:val="24"/>
  </w:num>
  <w:num w:numId="4">
    <w:abstractNumId w:val="25"/>
  </w:num>
  <w:num w:numId="5">
    <w:abstractNumId w:val="26"/>
  </w:num>
  <w:num w:numId="6">
    <w:abstractNumId w:val="27"/>
  </w:num>
  <w:num w:numId="7">
    <w:abstractNumId w:val="28"/>
  </w:num>
  <w:num w:numId="8">
    <w:abstractNumId w:val="29"/>
  </w:num>
  <w:num w:numId="9">
    <w:abstractNumId w:val="19"/>
  </w:num>
  <w:num w:numId="10">
    <w:abstractNumId w:val="13"/>
  </w:num>
  <w:num w:numId="11">
    <w:abstractNumId w:val="10"/>
  </w:num>
  <w:num w:numId="12">
    <w:abstractNumId w:val="20"/>
  </w:num>
  <w:num w:numId="13">
    <w:abstractNumId w:val="21"/>
  </w:num>
  <w:num w:numId="14">
    <w:abstractNumId w:val="15"/>
  </w:num>
  <w:num w:numId="15">
    <w:abstractNumId w:val="2"/>
  </w:num>
  <w:num w:numId="16">
    <w:abstractNumId w:val="11"/>
  </w:num>
  <w:num w:numId="17">
    <w:abstractNumId w:val="3"/>
  </w:num>
  <w:num w:numId="18">
    <w:abstractNumId w:val="14"/>
  </w:num>
  <w:num w:numId="19">
    <w:abstractNumId w:val="9"/>
  </w:num>
  <w:num w:numId="20">
    <w:abstractNumId w:val="12"/>
  </w:num>
  <w:num w:numId="21">
    <w:abstractNumId w:val="17"/>
  </w:num>
  <w:num w:numId="22">
    <w:abstractNumId w:val="1"/>
  </w:num>
  <w:num w:numId="23">
    <w:abstractNumId w:val="7"/>
  </w:num>
  <w:num w:numId="24">
    <w:abstractNumId w:val="22"/>
  </w:num>
  <w:num w:numId="25">
    <w:abstractNumId w:val="16"/>
  </w:num>
  <w:num w:numId="26">
    <w:abstractNumId w:val="18"/>
  </w:num>
  <w:num w:numId="27">
    <w:abstractNumId w:val="6"/>
  </w:num>
  <w:num w:numId="28">
    <w:abstractNumId w:val="4"/>
  </w:num>
  <w:num w:numId="29">
    <w:abstractNumId w:val="0"/>
  </w:num>
  <w:num w:numId="30">
    <w:abstractNumId w:val="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02"/>
    <w:rsid w:val="00001085"/>
    <w:rsid w:val="000011D0"/>
    <w:rsid w:val="000017BD"/>
    <w:rsid w:val="0000346A"/>
    <w:rsid w:val="00003F68"/>
    <w:rsid w:val="00004C45"/>
    <w:rsid w:val="00005D94"/>
    <w:rsid w:val="00007DCD"/>
    <w:rsid w:val="0001070C"/>
    <w:rsid w:val="00010AF2"/>
    <w:rsid w:val="00010E14"/>
    <w:rsid w:val="00010EB1"/>
    <w:rsid w:val="00010FF4"/>
    <w:rsid w:val="000111AF"/>
    <w:rsid w:val="00012621"/>
    <w:rsid w:val="00013E35"/>
    <w:rsid w:val="00013E75"/>
    <w:rsid w:val="000145F6"/>
    <w:rsid w:val="00014B46"/>
    <w:rsid w:val="0001528E"/>
    <w:rsid w:val="000161F3"/>
    <w:rsid w:val="00016524"/>
    <w:rsid w:val="00016983"/>
    <w:rsid w:val="00016C92"/>
    <w:rsid w:val="00017543"/>
    <w:rsid w:val="0001765F"/>
    <w:rsid w:val="0001788A"/>
    <w:rsid w:val="00017908"/>
    <w:rsid w:val="000179B2"/>
    <w:rsid w:val="0002041B"/>
    <w:rsid w:val="00020A40"/>
    <w:rsid w:val="00021169"/>
    <w:rsid w:val="00021469"/>
    <w:rsid w:val="00021894"/>
    <w:rsid w:val="000248E8"/>
    <w:rsid w:val="000250F9"/>
    <w:rsid w:val="000252D0"/>
    <w:rsid w:val="00025A6A"/>
    <w:rsid w:val="0002656F"/>
    <w:rsid w:val="00026697"/>
    <w:rsid w:val="00027E56"/>
    <w:rsid w:val="00030073"/>
    <w:rsid w:val="0003139D"/>
    <w:rsid w:val="00031A37"/>
    <w:rsid w:val="0003203D"/>
    <w:rsid w:val="000324DA"/>
    <w:rsid w:val="00032C5D"/>
    <w:rsid w:val="000341B4"/>
    <w:rsid w:val="00034CC2"/>
    <w:rsid w:val="00034FAC"/>
    <w:rsid w:val="00035833"/>
    <w:rsid w:val="00035CC2"/>
    <w:rsid w:val="00035F09"/>
    <w:rsid w:val="00037168"/>
    <w:rsid w:val="00037227"/>
    <w:rsid w:val="00037275"/>
    <w:rsid w:val="000375A5"/>
    <w:rsid w:val="000378B9"/>
    <w:rsid w:val="000402E0"/>
    <w:rsid w:val="00041D7A"/>
    <w:rsid w:val="00041FC8"/>
    <w:rsid w:val="00041FEF"/>
    <w:rsid w:val="00042765"/>
    <w:rsid w:val="00042799"/>
    <w:rsid w:val="000437D5"/>
    <w:rsid w:val="0004383B"/>
    <w:rsid w:val="00043B33"/>
    <w:rsid w:val="00045E0B"/>
    <w:rsid w:val="00046CA7"/>
    <w:rsid w:val="0004724E"/>
    <w:rsid w:val="00047ABC"/>
    <w:rsid w:val="00047FB7"/>
    <w:rsid w:val="0005084D"/>
    <w:rsid w:val="00050A52"/>
    <w:rsid w:val="00050C21"/>
    <w:rsid w:val="00050F25"/>
    <w:rsid w:val="0005118F"/>
    <w:rsid w:val="00051382"/>
    <w:rsid w:val="000518B6"/>
    <w:rsid w:val="00052569"/>
    <w:rsid w:val="0005296A"/>
    <w:rsid w:val="00052A12"/>
    <w:rsid w:val="000533B0"/>
    <w:rsid w:val="00054099"/>
    <w:rsid w:val="0005497F"/>
    <w:rsid w:val="00054B0D"/>
    <w:rsid w:val="00054DEA"/>
    <w:rsid w:val="000553EE"/>
    <w:rsid w:val="00056B3A"/>
    <w:rsid w:val="00056F5E"/>
    <w:rsid w:val="00056FC3"/>
    <w:rsid w:val="00057ADF"/>
    <w:rsid w:val="00060251"/>
    <w:rsid w:val="00061A2A"/>
    <w:rsid w:val="00062B63"/>
    <w:rsid w:val="00063640"/>
    <w:rsid w:val="00063DF9"/>
    <w:rsid w:val="000640C1"/>
    <w:rsid w:val="00065B24"/>
    <w:rsid w:val="0006602D"/>
    <w:rsid w:val="000661F4"/>
    <w:rsid w:val="00066C81"/>
    <w:rsid w:val="000676D8"/>
    <w:rsid w:val="00067A2F"/>
    <w:rsid w:val="00067AB8"/>
    <w:rsid w:val="00067B7C"/>
    <w:rsid w:val="000712FE"/>
    <w:rsid w:val="000718A6"/>
    <w:rsid w:val="00072297"/>
    <w:rsid w:val="00072723"/>
    <w:rsid w:val="00073179"/>
    <w:rsid w:val="000748E4"/>
    <w:rsid w:val="000749F8"/>
    <w:rsid w:val="00075ED9"/>
    <w:rsid w:val="00076774"/>
    <w:rsid w:val="00076BBB"/>
    <w:rsid w:val="00076BD1"/>
    <w:rsid w:val="00076F45"/>
    <w:rsid w:val="000779BE"/>
    <w:rsid w:val="00080778"/>
    <w:rsid w:val="00080872"/>
    <w:rsid w:val="00080972"/>
    <w:rsid w:val="000817FA"/>
    <w:rsid w:val="00081DB8"/>
    <w:rsid w:val="0008211D"/>
    <w:rsid w:val="000827BD"/>
    <w:rsid w:val="00082C9E"/>
    <w:rsid w:val="00083840"/>
    <w:rsid w:val="00083E1E"/>
    <w:rsid w:val="00084243"/>
    <w:rsid w:val="00084254"/>
    <w:rsid w:val="000845D1"/>
    <w:rsid w:val="00084A2E"/>
    <w:rsid w:val="00084B71"/>
    <w:rsid w:val="00084FD5"/>
    <w:rsid w:val="0008581B"/>
    <w:rsid w:val="0008584D"/>
    <w:rsid w:val="00085AE9"/>
    <w:rsid w:val="0008695A"/>
    <w:rsid w:val="00086987"/>
    <w:rsid w:val="00086A8E"/>
    <w:rsid w:val="00086CB3"/>
    <w:rsid w:val="00086E9F"/>
    <w:rsid w:val="00086F4D"/>
    <w:rsid w:val="00087EC0"/>
    <w:rsid w:val="00090331"/>
    <w:rsid w:val="00090777"/>
    <w:rsid w:val="00090B6D"/>
    <w:rsid w:val="00091149"/>
    <w:rsid w:val="00091257"/>
    <w:rsid w:val="00091B03"/>
    <w:rsid w:val="00092624"/>
    <w:rsid w:val="00092EFA"/>
    <w:rsid w:val="0009431C"/>
    <w:rsid w:val="00094436"/>
    <w:rsid w:val="00094828"/>
    <w:rsid w:val="00094D6B"/>
    <w:rsid w:val="00095B23"/>
    <w:rsid w:val="00095E60"/>
    <w:rsid w:val="000975A1"/>
    <w:rsid w:val="00097FC2"/>
    <w:rsid w:val="000A124C"/>
    <w:rsid w:val="000A1F22"/>
    <w:rsid w:val="000A2447"/>
    <w:rsid w:val="000A25AB"/>
    <w:rsid w:val="000A27AC"/>
    <w:rsid w:val="000A2DF6"/>
    <w:rsid w:val="000A40E6"/>
    <w:rsid w:val="000A4EEF"/>
    <w:rsid w:val="000A5260"/>
    <w:rsid w:val="000A5648"/>
    <w:rsid w:val="000A6063"/>
    <w:rsid w:val="000A620C"/>
    <w:rsid w:val="000A6A04"/>
    <w:rsid w:val="000B0093"/>
    <w:rsid w:val="000B0F68"/>
    <w:rsid w:val="000B246A"/>
    <w:rsid w:val="000B2ADB"/>
    <w:rsid w:val="000B2C8D"/>
    <w:rsid w:val="000B396A"/>
    <w:rsid w:val="000B4116"/>
    <w:rsid w:val="000B4291"/>
    <w:rsid w:val="000B4852"/>
    <w:rsid w:val="000B529F"/>
    <w:rsid w:val="000B67B4"/>
    <w:rsid w:val="000B72F3"/>
    <w:rsid w:val="000B762C"/>
    <w:rsid w:val="000C0182"/>
    <w:rsid w:val="000C1276"/>
    <w:rsid w:val="000C18FC"/>
    <w:rsid w:val="000C1BBF"/>
    <w:rsid w:val="000C1F0F"/>
    <w:rsid w:val="000C2D63"/>
    <w:rsid w:val="000C3B40"/>
    <w:rsid w:val="000C487D"/>
    <w:rsid w:val="000C4BCB"/>
    <w:rsid w:val="000C4F0D"/>
    <w:rsid w:val="000C5120"/>
    <w:rsid w:val="000C6482"/>
    <w:rsid w:val="000C6E98"/>
    <w:rsid w:val="000C74A8"/>
    <w:rsid w:val="000D076E"/>
    <w:rsid w:val="000D18D2"/>
    <w:rsid w:val="000D2EA2"/>
    <w:rsid w:val="000D2F73"/>
    <w:rsid w:val="000D675F"/>
    <w:rsid w:val="000D68CC"/>
    <w:rsid w:val="000E16F5"/>
    <w:rsid w:val="000E228D"/>
    <w:rsid w:val="000E2413"/>
    <w:rsid w:val="000E2946"/>
    <w:rsid w:val="000E4628"/>
    <w:rsid w:val="000E52C1"/>
    <w:rsid w:val="000E55B0"/>
    <w:rsid w:val="000E5DC0"/>
    <w:rsid w:val="000E6DC5"/>
    <w:rsid w:val="000E6E9D"/>
    <w:rsid w:val="000E6FA4"/>
    <w:rsid w:val="000E74CA"/>
    <w:rsid w:val="000F0168"/>
    <w:rsid w:val="000F0A20"/>
    <w:rsid w:val="000F16E5"/>
    <w:rsid w:val="000F1FDA"/>
    <w:rsid w:val="000F218B"/>
    <w:rsid w:val="000F2369"/>
    <w:rsid w:val="000F23BF"/>
    <w:rsid w:val="000F2BDA"/>
    <w:rsid w:val="000F30C9"/>
    <w:rsid w:val="000F388B"/>
    <w:rsid w:val="000F431C"/>
    <w:rsid w:val="000F475E"/>
    <w:rsid w:val="000F47ED"/>
    <w:rsid w:val="000F4DE4"/>
    <w:rsid w:val="000F4F0D"/>
    <w:rsid w:val="000F578A"/>
    <w:rsid w:val="000F5AD5"/>
    <w:rsid w:val="000F7012"/>
    <w:rsid w:val="000F752E"/>
    <w:rsid w:val="001002F1"/>
    <w:rsid w:val="0010109C"/>
    <w:rsid w:val="00101449"/>
    <w:rsid w:val="00102261"/>
    <w:rsid w:val="00102458"/>
    <w:rsid w:val="00105CE6"/>
    <w:rsid w:val="00106554"/>
    <w:rsid w:val="0010715E"/>
    <w:rsid w:val="001071A5"/>
    <w:rsid w:val="001073F1"/>
    <w:rsid w:val="00110D7F"/>
    <w:rsid w:val="00110F74"/>
    <w:rsid w:val="001113EC"/>
    <w:rsid w:val="0011146F"/>
    <w:rsid w:val="00112730"/>
    <w:rsid w:val="001130EC"/>
    <w:rsid w:val="0011381E"/>
    <w:rsid w:val="00113F64"/>
    <w:rsid w:val="00114668"/>
    <w:rsid w:val="00115CE6"/>
    <w:rsid w:val="00116704"/>
    <w:rsid w:val="00116A8F"/>
    <w:rsid w:val="001177CE"/>
    <w:rsid w:val="001179B3"/>
    <w:rsid w:val="00120A21"/>
    <w:rsid w:val="001217E8"/>
    <w:rsid w:val="00122170"/>
    <w:rsid w:val="00122683"/>
    <w:rsid w:val="00123F7D"/>
    <w:rsid w:val="00124648"/>
    <w:rsid w:val="00124B62"/>
    <w:rsid w:val="00124ED3"/>
    <w:rsid w:val="001310C9"/>
    <w:rsid w:val="001310DC"/>
    <w:rsid w:val="0013173F"/>
    <w:rsid w:val="00131CB7"/>
    <w:rsid w:val="0013333E"/>
    <w:rsid w:val="00133944"/>
    <w:rsid w:val="00134240"/>
    <w:rsid w:val="001346BF"/>
    <w:rsid w:val="00134D19"/>
    <w:rsid w:val="0013504F"/>
    <w:rsid w:val="001353B8"/>
    <w:rsid w:val="00135828"/>
    <w:rsid w:val="00136180"/>
    <w:rsid w:val="001361BB"/>
    <w:rsid w:val="001374A1"/>
    <w:rsid w:val="00137E7D"/>
    <w:rsid w:val="00137F05"/>
    <w:rsid w:val="00140AAC"/>
    <w:rsid w:val="00141633"/>
    <w:rsid w:val="00142988"/>
    <w:rsid w:val="00142BEA"/>
    <w:rsid w:val="00142C74"/>
    <w:rsid w:val="00142F78"/>
    <w:rsid w:val="001445CC"/>
    <w:rsid w:val="001446E6"/>
    <w:rsid w:val="00144C66"/>
    <w:rsid w:val="001463E9"/>
    <w:rsid w:val="0014656A"/>
    <w:rsid w:val="001468DE"/>
    <w:rsid w:val="0014717E"/>
    <w:rsid w:val="00147199"/>
    <w:rsid w:val="00147673"/>
    <w:rsid w:val="00147706"/>
    <w:rsid w:val="00147789"/>
    <w:rsid w:val="00147BF8"/>
    <w:rsid w:val="00150107"/>
    <w:rsid w:val="00150113"/>
    <w:rsid w:val="001509D3"/>
    <w:rsid w:val="001537D0"/>
    <w:rsid w:val="00153ABB"/>
    <w:rsid w:val="00154790"/>
    <w:rsid w:val="00154CF2"/>
    <w:rsid w:val="00155304"/>
    <w:rsid w:val="00155BBF"/>
    <w:rsid w:val="001562C6"/>
    <w:rsid w:val="0015662A"/>
    <w:rsid w:val="00156C7F"/>
    <w:rsid w:val="00160087"/>
    <w:rsid w:val="00160C2D"/>
    <w:rsid w:val="00161682"/>
    <w:rsid w:val="00161D82"/>
    <w:rsid w:val="00162BB1"/>
    <w:rsid w:val="00162C82"/>
    <w:rsid w:val="00163299"/>
    <w:rsid w:val="00164310"/>
    <w:rsid w:val="00164EC5"/>
    <w:rsid w:val="0016594A"/>
    <w:rsid w:val="00165BC3"/>
    <w:rsid w:val="00170B56"/>
    <w:rsid w:val="001713F6"/>
    <w:rsid w:val="00172393"/>
    <w:rsid w:val="001723CE"/>
    <w:rsid w:val="001737CD"/>
    <w:rsid w:val="00173C34"/>
    <w:rsid w:val="00173DCE"/>
    <w:rsid w:val="00175DD5"/>
    <w:rsid w:val="00180158"/>
    <w:rsid w:val="00181359"/>
    <w:rsid w:val="00181916"/>
    <w:rsid w:val="00181C59"/>
    <w:rsid w:val="0018226B"/>
    <w:rsid w:val="0018370D"/>
    <w:rsid w:val="00183F70"/>
    <w:rsid w:val="00184B57"/>
    <w:rsid w:val="00184BE6"/>
    <w:rsid w:val="00184EDB"/>
    <w:rsid w:val="00186062"/>
    <w:rsid w:val="001871D6"/>
    <w:rsid w:val="00187DE2"/>
    <w:rsid w:val="00190C1D"/>
    <w:rsid w:val="00190E79"/>
    <w:rsid w:val="00192FDA"/>
    <w:rsid w:val="001936E5"/>
    <w:rsid w:val="00193A9C"/>
    <w:rsid w:val="00194246"/>
    <w:rsid w:val="00195172"/>
    <w:rsid w:val="001955F3"/>
    <w:rsid w:val="00195D9B"/>
    <w:rsid w:val="001964EA"/>
    <w:rsid w:val="00196706"/>
    <w:rsid w:val="001968E9"/>
    <w:rsid w:val="00196A9E"/>
    <w:rsid w:val="00197077"/>
    <w:rsid w:val="001975F2"/>
    <w:rsid w:val="001A0262"/>
    <w:rsid w:val="001A0346"/>
    <w:rsid w:val="001A03C2"/>
    <w:rsid w:val="001A0908"/>
    <w:rsid w:val="001A0A96"/>
    <w:rsid w:val="001A0B30"/>
    <w:rsid w:val="001A0D97"/>
    <w:rsid w:val="001A129C"/>
    <w:rsid w:val="001A1677"/>
    <w:rsid w:val="001A179D"/>
    <w:rsid w:val="001A2940"/>
    <w:rsid w:val="001A2A2A"/>
    <w:rsid w:val="001A3B94"/>
    <w:rsid w:val="001A412C"/>
    <w:rsid w:val="001A440D"/>
    <w:rsid w:val="001A47A6"/>
    <w:rsid w:val="001A572C"/>
    <w:rsid w:val="001A5B00"/>
    <w:rsid w:val="001A6E1B"/>
    <w:rsid w:val="001A7B25"/>
    <w:rsid w:val="001A7D12"/>
    <w:rsid w:val="001A7E46"/>
    <w:rsid w:val="001B0D22"/>
    <w:rsid w:val="001B0E94"/>
    <w:rsid w:val="001B2993"/>
    <w:rsid w:val="001B33E4"/>
    <w:rsid w:val="001B420C"/>
    <w:rsid w:val="001B5127"/>
    <w:rsid w:val="001B5FE1"/>
    <w:rsid w:val="001B61FC"/>
    <w:rsid w:val="001B7EFA"/>
    <w:rsid w:val="001C09DC"/>
    <w:rsid w:val="001C0A5A"/>
    <w:rsid w:val="001C0B48"/>
    <w:rsid w:val="001C0B9E"/>
    <w:rsid w:val="001C1451"/>
    <w:rsid w:val="001C1542"/>
    <w:rsid w:val="001C15A9"/>
    <w:rsid w:val="001C2303"/>
    <w:rsid w:val="001C2FD5"/>
    <w:rsid w:val="001C3356"/>
    <w:rsid w:val="001C3B07"/>
    <w:rsid w:val="001C3E14"/>
    <w:rsid w:val="001C5405"/>
    <w:rsid w:val="001C629E"/>
    <w:rsid w:val="001C7260"/>
    <w:rsid w:val="001D0F0E"/>
    <w:rsid w:val="001D205E"/>
    <w:rsid w:val="001D2BB8"/>
    <w:rsid w:val="001D2BE7"/>
    <w:rsid w:val="001D2BF4"/>
    <w:rsid w:val="001D3B21"/>
    <w:rsid w:val="001D3E7F"/>
    <w:rsid w:val="001D4A8B"/>
    <w:rsid w:val="001D56C2"/>
    <w:rsid w:val="001D687E"/>
    <w:rsid w:val="001D73B9"/>
    <w:rsid w:val="001D7C0F"/>
    <w:rsid w:val="001E114B"/>
    <w:rsid w:val="001E11A2"/>
    <w:rsid w:val="001E15D9"/>
    <w:rsid w:val="001E26D4"/>
    <w:rsid w:val="001E40D5"/>
    <w:rsid w:val="001E524E"/>
    <w:rsid w:val="001E5C46"/>
    <w:rsid w:val="001E622E"/>
    <w:rsid w:val="001E6863"/>
    <w:rsid w:val="001E6FFE"/>
    <w:rsid w:val="001E77B7"/>
    <w:rsid w:val="001F013C"/>
    <w:rsid w:val="001F0E08"/>
    <w:rsid w:val="001F10E3"/>
    <w:rsid w:val="001F1BBB"/>
    <w:rsid w:val="001F2D48"/>
    <w:rsid w:val="001F4FCB"/>
    <w:rsid w:val="001F5DC7"/>
    <w:rsid w:val="001F5F4B"/>
    <w:rsid w:val="001F667A"/>
    <w:rsid w:val="001F7742"/>
    <w:rsid w:val="001F7EDE"/>
    <w:rsid w:val="002006BF"/>
    <w:rsid w:val="00200C08"/>
    <w:rsid w:val="002015DF"/>
    <w:rsid w:val="00202BDF"/>
    <w:rsid w:val="00202E2D"/>
    <w:rsid w:val="002035C4"/>
    <w:rsid w:val="0020404A"/>
    <w:rsid w:val="00205252"/>
    <w:rsid w:val="00206B1B"/>
    <w:rsid w:val="002074EA"/>
    <w:rsid w:val="002077BE"/>
    <w:rsid w:val="002078A8"/>
    <w:rsid w:val="0020792D"/>
    <w:rsid w:val="00210131"/>
    <w:rsid w:val="0021023E"/>
    <w:rsid w:val="00211E81"/>
    <w:rsid w:val="00212C58"/>
    <w:rsid w:val="00213610"/>
    <w:rsid w:val="0021416E"/>
    <w:rsid w:val="002156CE"/>
    <w:rsid w:val="00215A63"/>
    <w:rsid w:val="00217752"/>
    <w:rsid w:val="00220550"/>
    <w:rsid w:val="00220D4D"/>
    <w:rsid w:val="00221535"/>
    <w:rsid w:val="002242D0"/>
    <w:rsid w:val="002246D9"/>
    <w:rsid w:val="0022476A"/>
    <w:rsid w:val="002249C9"/>
    <w:rsid w:val="002256B2"/>
    <w:rsid w:val="00225C65"/>
    <w:rsid w:val="00225DF3"/>
    <w:rsid w:val="0022644F"/>
    <w:rsid w:val="002267D8"/>
    <w:rsid w:val="00226A65"/>
    <w:rsid w:val="0022710E"/>
    <w:rsid w:val="00230CB5"/>
    <w:rsid w:val="00230EF6"/>
    <w:rsid w:val="002318FA"/>
    <w:rsid w:val="00231AF7"/>
    <w:rsid w:val="00231DCE"/>
    <w:rsid w:val="00232B0C"/>
    <w:rsid w:val="00233462"/>
    <w:rsid w:val="00233899"/>
    <w:rsid w:val="00233D75"/>
    <w:rsid w:val="00234C3C"/>
    <w:rsid w:val="00235615"/>
    <w:rsid w:val="00235AD1"/>
    <w:rsid w:val="00236135"/>
    <w:rsid w:val="002365A8"/>
    <w:rsid w:val="002368A8"/>
    <w:rsid w:val="00237204"/>
    <w:rsid w:val="002373C9"/>
    <w:rsid w:val="002409C3"/>
    <w:rsid w:val="002412F7"/>
    <w:rsid w:val="0024242A"/>
    <w:rsid w:val="002436DB"/>
    <w:rsid w:val="002437DB"/>
    <w:rsid w:val="00243ADB"/>
    <w:rsid w:val="00243F55"/>
    <w:rsid w:val="00244031"/>
    <w:rsid w:val="002447DA"/>
    <w:rsid w:val="00244DB8"/>
    <w:rsid w:val="002450DD"/>
    <w:rsid w:val="00245168"/>
    <w:rsid w:val="002452D7"/>
    <w:rsid w:val="002467D3"/>
    <w:rsid w:val="00246906"/>
    <w:rsid w:val="00247270"/>
    <w:rsid w:val="00247E0C"/>
    <w:rsid w:val="0025170D"/>
    <w:rsid w:val="0025197A"/>
    <w:rsid w:val="00252C52"/>
    <w:rsid w:val="00253681"/>
    <w:rsid w:val="00253F89"/>
    <w:rsid w:val="002545A3"/>
    <w:rsid w:val="002545FB"/>
    <w:rsid w:val="00254838"/>
    <w:rsid w:val="00254D26"/>
    <w:rsid w:val="00256402"/>
    <w:rsid w:val="0025684E"/>
    <w:rsid w:val="00257B32"/>
    <w:rsid w:val="00260511"/>
    <w:rsid w:val="002608EE"/>
    <w:rsid w:val="00260A23"/>
    <w:rsid w:val="00260C08"/>
    <w:rsid w:val="00260C79"/>
    <w:rsid w:val="002610A8"/>
    <w:rsid w:val="00261CF7"/>
    <w:rsid w:val="00262CA3"/>
    <w:rsid w:val="00262F7D"/>
    <w:rsid w:val="002636C5"/>
    <w:rsid w:val="00263E90"/>
    <w:rsid w:val="00263F20"/>
    <w:rsid w:val="00265335"/>
    <w:rsid w:val="002657FF"/>
    <w:rsid w:val="002658FF"/>
    <w:rsid w:val="00265A4E"/>
    <w:rsid w:val="00266D00"/>
    <w:rsid w:val="00266EB0"/>
    <w:rsid w:val="00267E20"/>
    <w:rsid w:val="002700B9"/>
    <w:rsid w:val="0027023E"/>
    <w:rsid w:val="00270334"/>
    <w:rsid w:val="0027091B"/>
    <w:rsid w:val="00270B7B"/>
    <w:rsid w:val="00270E8A"/>
    <w:rsid w:val="00271F48"/>
    <w:rsid w:val="00272632"/>
    <w:rsid w:val="00272655"/>
    <w:rsid w:val="00273384"/>
    <w:rsid w:val="002742F0"/>
    <w:rsid w:val="0027465E"/>
    <w:rsid w:val="00275735"/>
    <w:rsid w:val="00276B8E"/>
    <w:rsid w:val="00280AEC"/>
    <w:rsid w:val="00281B61"/>
    <w:rsid w:val="00281BFA"/>
    <w:rsid w:val="00282716"/>
    <w:rsid w:val="00282CD2"/>
    <w:rsid w:val="002841F4"/>
    <w:rsid w:val="0028646A"/>
    <w:rsid w:val="0028749B"/>
    <w:rsid w:val="00287A91"/>
    <w:rsid w:val="00287D65"/>
    <w:rsid w:val="00287E02"/>
    <w:rsid w:val="00290F73"/>
    <w:rsid w:val="00291561"/>
    <w:rsid w:val="00291DC3"/>
    <w:rsid w:val="00293808"/>
    <w:rsid w:val="00293D52"/>
    <w:rsid w:val="00295AC6"/>
    <w:rsid w:val="00295C65"/>
    <w:rsid w:val="002962E6"/>
    <w:rsid w:val="002964E1"/>
    <w:rsid w:val="00297173"/>
    <w:rsid w:val="0029731A"/>
    <w:rsid w:val="002A1559"/>
    <w:rsid w:val="002A16C2"/>
    <w:rsid w:val="002A1716"/>
    <w:rsid w:val="002A18FD"/>
    <w:rsid w:val="002A268C"/>
    <w:rsid w:val="002A37DD"/>
    <w:rsid w:val="002A3A4D"/>
    <w:rsid w:val="002A3E10"/>
    <w:rsid w:val="002A4AEA"/>
    <w:rsid w:val="002A4D8A"/>
    <w:rsid w:val="002A5151"/>
    <w:rsid w:val="002A5C6F"/>
    <w:rsid w:val="002A5CEF"/>
    <w:rsid w:val="002A6141"/>
    <w:rsid w:val="002B00D7"/>
    <w:rsid w:val="002B27AB"/>
    <w:rsid w:val="002B29B9"/>
    <w:rsid w:val="002B32C7"/>
    <w:rsid w:val="002B3539"/>
    <w:rsid w:val="002B408C"/>
    <w:rsid w:val="002B5652"/>
    <w:rsid w:val="002B57A7"/>
    <w:rsid w:val="002B59D9"/>
    <w:rsid w:val="002B6060"/>
    <w:rsid w:val="002B7B57"/>
    <w:rsid w:val="002C005C"/>
    <w:rsid w:val="002C0828"/>
    <w:rsid w:val="002C15FA"/>
    <w:rsid w:val="002C19CE"/>
    <w:rsid w:val="002C1FD6"/>
    <w:rsid w:val="002C241A"/>
    <w:rsid w:val="002C29C8"/>
    <w:rsid w:val="002C37A8"/>
    <w:rsid w:val="002C427D"/>
    <w:rsid w:val="002C4534"/>
    <w:rsid w:val="002C59B4"/>
    <w:rsid w:val="002C605A"/>
    <w:rsid w:val="002C74B1"/>
    <w:rsid w:val="002C784F"/>
    <w:rsid w:val="002D04A8"/>
    <w:rsid w:val="002D0E47"/>
    <w:rsid w:val="002D183C"/>
    <w:rsid w:val="002D199C"/>
    <w:rsid w:val="002D27F1"/>
    <w:rsid w:val="002D40F0"/>
    <w:rsid w:val="002D5C39"/>
    <w:rsid w:val="002D6B55"/>
    <w:rsid w:val="002E1256"/>
    <w:rsid w:val="002E1538"/>
    <w:rsid w:val="002E1F0F"/>
    <w:rsid w:val="002E2E9E"/>
    <w:rsid w:val="002E462A"/>
    <w:rsid w:val="002E4993"/>
    <w:rsid w:val="002E4ACC"/>
    <w:rsid w:val="002E4B62"/>
    <w:rsid w:val="002E582B"/>
    <w:rsid w:val="002E5DA8"/>
    <w:rsid w:val="002E6322"/>
    <w:rsid w:val="002E66B7"/>
    <w:rsid w:val="002E6978"/>
    <w:rsid w:val="002E78B4"/>
    <w:rsid w:val="002E7ED1"/>
    <w:rsid w:val="002F0105"/>
    <w:rsid w:val="002F104D"/>
    <w:rsid w:val="002F13FA"/>
    <w:rsid w:val="002F195B"/>
    <w:rsid w:val="002F1E25"/>
    <w:rsid w:val="002F2D49"/>
    <w:rsid w:val="002F2E74"/>
    <w:rsid w:val="002F31B0"/>
    <w:rsid w:val="002F3371"/>
    <w:rsid w:val="002F3A9A"/>
    <w:rsid w:val="002F41DB"/>
    <w:rsid w:val="002F56E0"/>
    <w:rsid w:val="002F5738"/>
    <w:rsid w:val="002F6F4C"/>
    <w:rsid w:val="002F70A6"/>
    <w:rsid w:val="002F7640"/>
    <w:rsid w:val="002F7BE3"/>
    <w:rsid w:val="00300486"/>
    <w:rsid w:val="0030099F"/>
    <w:rsid w:val="003009EA"/>
    <w:rsid w:val="0030163F"/>
    <w:rsid w:val="00302157"/>
    <w:rsid w:val="00302B02"/>
    <w:rsid w:val="00304315"/>
    <w:rsid w:val="00304A96"/>
    <w:rsid w:val="00305090"/>
    <w:rsid w:val="003058C4"/>
    <w:rsid w:val="00306311"/>
    <w:rsid w:val="00306623"/>
    <w:rsid w:val="00307AD5"/>
    <w:rsid w:val="00310320"/>
    <w:rsid w:val="003110B6"/>
    <w:rsid w:val="0031159B"/>
    <w:rsid w:val="0031166C"/>
    <w:rsid w:val="00311926"/>
    <w:rsid w:val="00311B05"/>
    <w:rsid w:val="00312740"/>
    <w:rsid w:val="00314619"/>
    <w:rsid w:val="00315092"/>
    <w:rsid w:val="003157DF"/>
    <w:rsid w:val="00316644"/>
    <w:rsid w:val="003166F9"/>
    <w:rsid w:val="00316FBB"/>
    <w:rsid w:val="00317365"/>
    <w:rsid w:val="00317CDA"/>
    <w:rsid w:val="00320A52"/>
    <w:rsid w:val="0032117B"/>
    <w:rsid w:val="00321B6D"/>
    <w:rsid w:val="00322281"/>
    <w:rsid w:val="00322CB2"/>
    <w:rsid w:val="0032434F"/>
    <w:rsid w:val="00324725"/>
    <w:rsid w:val="003261A8"/>
    <w:rsid w:val="00326BD1"/>
    <w:rsid w:val="0032764E"/>
    <w:rsid w:val="00331545"/>
    <w:rsid w:val="00332420"/>
    <w:rsid w:val="003326CD"/>
    <w:rsid w:val="00332E4C"/>
    <w:rsid w:val="00333756"/>
    <w:rsid w:val="003347B2"/>
    <w:rsid w:val="003349EE"/>
    <w:rsid w:val="00334F56"/>
    <w:rsid w:val="0033552D"/>
    <w:rsid w:val="003367C5"/>
    <w:rsid w:val="003368F8"/>
    <w:rsid w:val="00337340"/>
    <w:rsid w:val="003377C8"/>
    <w:rsid w:val="0033782A"/>
    <w:rsid w:val="00337970"/>
    <w:rsid w:val="00337AE0"/>
    <w:rsid w:val="00342521"/>
    <w:rsid w:val="0034406B"/>
    <w:rsid w:val="00344301"/>
    <w:rsid w:val="003453A9"/>
    <w:rsid w:val="00347000"/>
    <w:rsid w:val="00350401"/>
    <w:rsid w:val="00351009"/>
    <w:rsid w:val="00351495"/>
    <w:rsid w:val="00351522"/>
    <w:rsid w:val="0035212C"/>
    <w:rsid w:val="003523A7"/>
    <w:rsid w:val="00353A93"/>
    <w:rsid w:val="00353CA3"/>
    <w:rsid w:val="003543E3"/>
    <w:rsid w:val="003549F4"/>
    <w:rsid w:val="003551F2"/>
    <w:rsid w:val="00355F7B"/>
    <w:rsid w:val="003560E7"/>
    <w:rsid w:val="003568FC"/>
    <w:rsid w:val="00356ADB"/>
    <w:rsid w:val="003573D1"/>
    <w:rsid w:val="00360FCE"/>
    <w:rsid w:val="003612B0"/>
    <w:rsid w:val="00362B7B"/>
    <w:rsid w:val="003649A8"/>
    <w:rsid w:val="00365F0E"/>
    <w:rsid w:val="00366F0E"/>
    <w:rsid w:val="003674DB"/>
    <w:rsid w:val="00367D9C"/>
    <w:rsid w:val="00367DB5"/>
    <w:rsid w:val="00370012"/>
    <w:rsid w:val="00372107"/>
    <w:rsid w:val="00372B2B"/>
    <w:rsid w:val="00372F80"/>
    <w:rsid w:val="00373A64"/>
    <w:rsid w:val="00374CC0"/>
    <w:rsid w:val="00374E18"/>
    <w:rsid w:val="00375BD8"/>
    <w:rsid w:val="00375D2A"/>
    <w:rsid w:val="0038098F"/>
    <w:rsid w:val="00380B34"/>
    <w:rsid w:val="0038100D"/>
    <w:rsid w:val="00381556"/>
    <w:rsid w:val="00381731"/>
    <w:rsid w:val="00382D3F"/>
    <w:rsid w:val="003832AB"/>
    <w:rsid w:val="003847FB"/>
    <w:rsid w:val="0038520E"/>
    <w:rsid w:val="0038645B"/>
    <w:rsid w:val="00386991"/>
    <w:rsid w:val="00386A84"/>
    <w:rsid w:val="00386E11"/>
    <w:rsid w:val="00386FE3"/>
    <w:rsid w:val="0038720E"/>
    <w:rsid w:val="00387D19"/>
    <w:rsid w:val="00390267"/>
    <w:rsid w:val="003907F8"/>
    <w:rsid w:val="003914B2"/>
    <w:rsid w:val="00391C6F"/>
    <w:rsid w:val="00393DF9"/>
    <w:rsid w:val="00393E8C"/>
    <w:rsid w:val="003946DE"/>
    <w:rsid w:val="00394A94"/>
    <w:rsid w:val="00394B88"/>
    <w:rsid w:val="00394F4C"/>
    <w:rsid w:val="0039579A"/>
    <w:rsid w:val="00396AFA"/>
    <w:rsid w:val="0039710C"/>
    <w:rsid w:val="003974B9"/>
    <w:rsid w:val="0039767A"/>
    <w:rsid w:val="003A01C9"/>
    <w:rsid w:val="003A25A2"/>
    <w:rsid w:val="003A3244"/>
    <w:rsid w:val="003A3281"/>
    <w:rsid w:val="003A3397"/>
    <w:rsid w:val="003A341B"/>
    <w:rsid w:val="003A472D"/>
    <w:rsid w:val="003A63D3"/>
    <w:rsid w:val="003A6651"/>
    <w:rsid w:val="003A76B1"/>
    <w:rsid w:val="003A789C"/>
    <w:rsid w:val="003B014A"/>
    <w:rsid w:val="003B02DC"/>
    <w:rsid w:val="003B0366"/>
    <w:rsid w:val="003B1AEC"/>
    <w:rsid w:val="003B2807"/>
    <w:rsid w:val="003B2FB6"/>
    <w:rsid w:val="003B32EC"/>
    <w:rsid w:val="003B3433"/>
    <w:rsid w:val="003B3704"/>
    <w:rsid w:val="003B41FB"/>
    <w:rsid w:val="003B46F0"/>
    <w:rsid w:val="003B6D52"/>
    <w:rsid w:val="003B74E0"/>
    <w:rsid w:val="003B7564"/>
    <w:rsid w:val="003C037E"/>
    <w:rsid w:val="003C0911"/>
    <w:rsid w:val="003C0A41"/>
    <w:rsid w:val="003C1A85"/>
    <w:rsid w:val="003C2E3B"/>
    <w:rsid w:val="003C326B"/>
    <w:rsid w:val="003C3383"/>
    <w:rsid w:val="003C362A"/>
    <w:rsid w:val="003C3CFC"/>
    <w:rsid w:val="003C3EDD"/>
    <w:rsid w:val="003C44F1"/>
    <w:rsid w:val="003C4CD5"/>
    <w:rsid w:val="003C501B"/>
    <w:rsid w:val="003C657A"/>
    <w:rsid w:val="003C6834"/>
    <w:rsid w:val="003C6839"/>
    <w:rsid w:val="003C6E47"/>
    <w:rsid w:val="003D20C7"/>
    <w:rsid w:val="003D2134"/>
    <w:rsid w:val="003D2E36"/>
    <w:rsid w:val="003D3B32"/>
    <w:rsid w:val="003D4027"/>
    <w:rsid w:val="003D40AF"/>
    <w:rsid w:val="003E051D"/>
    <w:rsid w:val="003E0F9F"/>
    <w:rsid w:val="003E18CE"/>
    <w:rsid w:val="003E19FC"/>
    <w:rsid w:val="003E1DF7"/>
    <w:rsid w:val="003E2566"/>
    <w:rsid w:val="003E26F1"/>
    <w:rsid w:val="003E30AE"/>
    <w:rsid w:val="003E3EC9"/>
    <w:rsid w:val="003E4396"/>
    <w:rsid w:val="003E4888"/>
    <w:rsid w:val="003E6A5A"/>
    <w:rsid w:val="003E6B73"/>
    <w:rsid w:val="003E6BF3"/>
    <w:rsid w:val="003E6E9C"/>
    <w:rsid w:val="003E78CF"/>
    <w:rsid w:val="003F20CF"/>
    <w:rsid w:val="003F3F7A"/>
    <w:rsid w:val="003F60A0"/>
    <w:rsid w:val="003F6CF2"/>
    <w:rsid w:val="003F7491"/>
    <w:rsid w:val="003F7A4E"/>
    <w:rsid w:val="0040099A"/>
    <w:rsid w:val="00401193"/>
    <w:rsid w:val="0040129A"/>
    <w:rsid w:val="00401938"/>
    <w:rsid w:val="00401A4A"/>
    <w:rsid w:val="00401C39"/>
    <w:rsid w:val="00402154"/>
    <w:rsid w:val="0040312F"/>
    <w:rsid w:val="00403F2E"/>
    <w:rsid w:val="00404274"/>
    <w:rsid w:val="00404588"/>
    <w:rsid w:val="004047C6"/>
    <w:rsid w:val="00404EDF"/>
    <w:rsid w:val="004056C3"/>
    <w:rsid w:val="00407475"/>
    <w:rsid w:val="004077FA"/>
    <w:rsid w:val="00410A31"/>
    <w:rsid w:val="00410D89"/>
    <w:rsid w:val="00410E85"/>
    <w:rsid w:val="004122DC"/>
    <w:rsid w:val="004124FB"/>
    <w:rsid w:val="00412CE8"/>
    <w:rsid w:val="00413237"/>
    <w:rsid w:val="004145E9"/>
    <w:rsid w:val="00414A53"/>
    <w:rsid w:val="00414A9B"/>
    <w:rsid w:val="00414DEB"/>
    <w:rsid w:val="004151C8"/>
    <w:rsid w:val="00416B77"/>
    <w:rsid w:val="00417230"/>
    <w:rsid w:val="00417BE0"/>
    <w:rsid w:val="00420656"/>
    <w:rsid w:val="00420A22"/>
    <w:rsid w:val="0042344C"/>
    <w:rsid w:val="004237DA"/>
    <w:rsid w:val="00423CFD"/>
    <w:rsid w:val="00423DB3"/>
    <w:rsid w:val="00423E85"/>
    <w:rsid w:val="004242E0"/>
    <w:rsid w:val="00424AF7"/>
    <w:rsid w:val="00424CC6"/>
    <w:rsid w:val="0042508E"/>
    <w:rsid w:val="00425113"/>
    <w:rsid w:val="004252C6"/>
    <w:rsid w:val="004257F0"/>
    <w:rsid w:val="004260AA"/>
    <w:rsid w:val="004267D7"/>
    <w:rsid w:val="00426C7F"/>
    <w:rsid w:val="004279A9"/>
    <w:rsid w:val="004307B7"/>
    <w:rsid w:val="004308B2"/>
    <w:rsid w:val="00431622"/>
    <w:rsid w:val="0043212F"/>
    <w:rsid w:val="00432D68"/>
    <w:rsid w:val="00433054"/>
    <w:rsid w:val="004333C8"/>
    <w:rsid w:val="0043468D"/>
    <w:rsid w:val="00434C0D"/>
    <w:rsid w:val="00434F65"/>
    <w:rsid w:val="004358A0"/>
    <w:rsid w:val="00435A68"/>
    <w:rsid w:val="00435F61"/>
    <w:rsid w:val="00436A08"/>
    <w:rsid w:val="00436E81"/>
    <w:rsid w:val="004376CD"/>
    <w:rsid w:val="00437C78"/>
    <w:rsid w:val="00440B8E"/>
    <w:rsid w:val="00441079"/>
    <w:rsid w:val="00441A7F"/>
    <w:rsid w:val="00441F62"/>
    <w:rsid w:val="0044203F"/>
    <w:rsid w:val="00442075"/>
    <w:rsid w:val="004431BC"/>
    <w:rsid w:val="00443394"/>
    <w:rsid w:val="00444D28"/>
    <w:rsid w:val="00445915"/>
    <w:rsid w:val="00445B06"/>
    <w:rsid w:val="00446921"/>
    <w:rsid w:val="0045059B"/>
    <w:rsid w:val="0045064F"/>
    <w:rsid w:val="00451ABF"/>
    <w:rsid w:val="004528EF"/>
    <w:rsid w:val="004536CF"/>
    <w:rsid w:val="00455C68"/>
    <w:rsid w:val="00455D3E"/>
    <w:rsid w:val="00457122"/>
    <w:rsid w:val="004575D3"/>
    <w:rsid w:val="00457E5A"/>
    <w:rsid w:val="00460171"/>
    <w:rsid w:val="00461348"/>
    <w:rsid w:val="00461492"/>
    <w:rsid w:val="004619F4"/>
    <w:rsid w:val="00461CB9"/>
    <w:rsid w:val="00462608"/>
    <w:rsid w:val="00462D9F"/>
    <w:rsid w:val="00463B01"/>
    <w:rsid w:val="004644EA"/>
    <w:rsid w:val="004654AF"/>
    <w:rsid w:val="00465626"/>
    <w:rsid w:val="004659BA"/>
    <w:rsid w:val="00466212"/>
    <w:rsid w:val="00466E3C"/>
    <w:rsid w:val="00467E5A"/>
    <w:rsid w:val="00467F49"/>
    <w:rsid w:val="00471CA3"/>
    <w:rsid w:val="00472413"/>
    <w:rsid w:val="0047250E"/>
    <w:rsid w:val="00473B32"/>
    <w:rsid w:val="004741DB"/>
    <w:rsid w:val="00474E8E"/>
    <w:rsid w:val="00474FF5"/>
    <w:rsid w:val="004767BA"/>
    <w:rsid w:val="004770D0"/>
    <w:rsid w:val="00477101"/>
    <w:rsid w:val="00480071"/>
    <w:rsid w:val="004806DD"/>
    <w:rsid w:val="004812E6"/>
    <w:rsid w:val="004818C0"/>
    <w:rsid w:val="00483CA4"/>
    <w:rsid w:val="00485272"/>
    <w:rsid w:val="00485934"/>
    <w:rsid w:val="00486868"/>
    <w:rsid w:val="004869A2"/>
    <w:rsid w:val="004869C4"/>
    <w:rsid w:val="00486A7B"/>
    <w:rsid w:val="00487DC9"/>
    <w:rsid w:val="00487FEF"/>
    <w:rsid w:val="00490464"/>
    <w:rsid w:val="00493B3E"/>
    <w:rsid w:val="004949D0"/>
    <w:rsid w:val="00496825"/>
    <w:rsid w:val="00496EF5"/>
    <w:rsid w:val="00497079"/>
    <w:rsid w:val="00497AC0"/>
    <w:rsid w:val="004A158C"/>
    <w:rsid w:val="004A209C"/>
    <w:rsid w:val="004A265B"/>
    <w:rsid w:val="004A28A8"/>
    <w:rsid w:val="004A3825"/>
    <w:rsid w:val="004A3D83"/>
    <w:rsid w:val="004A3E3D"/>
    <w:rsid w:val="004A415C"/>
    <w:rsid w:val="004A439C"/>
    <w:rsid w:val="004A4D12"/>
    <w:rsid w:val="004A5983"/>
    <w:rsid w:val="004A5F28"/>
    <w:rsid w:val="004A67D1"/>
    <w:rsid w:val="004A7AF9"/>
    <w:rsid w:val="004A7AFB"/>
    <w:rsid w:val="004B189A"/>
    <w:rsid w:val="004B19F5"/>
    <w:rsid w:val="004B1A12"/>
    <w:rsid w:val="004B38B1"/>
    <w:rsid w:val="004B3996"/>
    <w:rsid w:val="004B41D0"/>
    <w:rsid w:val="004B458D"/>
    <w:rsid w:val="004B4773"/>
    <w:rsid w:val="004B4BF9"/>
    <w:rsid w:val="004B4D6A"/>
    <w:rsid w:val="004B53C0"/>
    <w:rsid w:val="004B5860"/>
    <w:rsid w:val="004B59F2"/>
    <w:rsid w:val="004B5D51"/>
    <w:rsid w:val="004B5FF0"/>
    <w:rsid w:val="004B6613"/>
    <w:rsid w:val="004B6EC5"/>
    <w:rsid w:val="004B72ED"/>
    <w:rsid w:val="004B75A9"/>
    <w:rsid w:val="004B7AF6"/>
    <w:rsid w:val="004B7B5E"/>
    <w:rsid w:val="004C08D3"/>
    <w:rsid w:val="004C0EAB"/>
    <w:rsid w:val="004C142D"/>
    <w:rsid w:val="004C151F"/>
    <w:rsid w:val="004C20B6"/>
    <w:rsid w:val="004C2E4C"/>
    <w:rsid w:val="004C2E58"/>
    <w:rsid w:val="004C3077"/>
    <w:rsid w:val="004C3891"/>
    <w:rsid w:val="004C4394"/>
    <w:rsid w:val="004C520A"/>
    <w:rsid w:val="004C626C"/>
    <w:rsid w:val="004C75A4"/>
    <w:rsid w:val="004C7A39"/>
    <w:rsid w:val="004C7AAF"/>
    <w:rsid w:val="004D046F"/>
    <w:rsid w:val="004D2246"/>
    <w:rsid w:val="004D2301"/>
    <w:rsid w:val="004D23EE"/>
    <w:rsid w:val="004D268C"/>
    <w:rsid w:val="004D3817"/>
    <w:rsid w:val="004D39FB"/>
    <w:rsid w:val="004D4203"/>
    <w:rsid w:val="004D54BF"/>
    <w:rsid w:val="004D5514"/>
    <w:rsid w:val="004D6078"/>
    <w:rsid w:val="004D666D"/>
    <w:rsid w:val="004D73A6"/>
    <w:rsid w:val="004E0274"/>
    <w:rsid w:val="004E09DC"/>
    <w:rsid w:val="004E21F9"/>
    <w:rsid w:val="004E2A46"/>
    <w:rsid w:val="004E32DF"/>
    <w:rsid w:val="004E3496"/>
    <w:rsid w:val="004E3DCE"/>
    <w:rsid w:val="004E4AC2"/>
    <w:rsid w:val="004E4F16"/>
    <w:rsid w:val="004E565B"/>
    <w:rsid w:val="004E5B70"/>
    <w:rsid w:val="004E6953"/>
    <w:rsid w:val="004E755E"/>
    <w:rsid w:val="004E7A90"/>
    <w:rsid w:val="004F17EF"/>
    <w:rsid w:val="004F2EE2"/>
    <w:rsid w:val="004F31CA"/>
    <w:rsid w:val="004F38CA"/>
    <w:rsid w:val="004F3902"/>
    <w:rsid w:val="004F3EBC"/>
    <w:rsid w:val="004F4D02"/>
    <w:rsid w:val="004F5EAE"/>
    <w:rsid w:val="004F5EE1"/>
    <w:rsid w:val="004F6AE6"/>
    <w:rsid w:val="004F78DF"/>
    <w:rsid w:val="004F7BAC"/>
    <w:rsid w:val="0050053F"/>
    <w:rsid w:val="005006AC"/>
    <w:rsid w:val="005016F0"/>
    <w:rsid w:val="00501808"/>
    <w:rsid w:val="0050292A"/>
    <w:rsid w:val="00503273"/>
    <w:rsid w:val="0050327A"/>
    <w:rsid w:val="00504A3A"/>
    <w:rsid w:val="00504A50"/>
    <w:rsid w:val="00506301"/>
    <w:rsid w:val="0050677E"/>
    <w:rsid w:val="00506C66"/>
    <w:rsid w:val="00507D3C"/>
    <w:rsid w:val="00507FE2"/>
    <w:rsid w:val="0051084F"/>
    <w:rsid w:val="005119AB"/>
    <w:rsid w:val="00511F35"/>
    <w:rsid w:val="0051226E"/>
    <w:rsid w:val="00512ADA"/>
    <w:rsid w:val="00512CDA"/>
    <w:rsid w:val="005143F7"/>
    <w:rsid w:val="005143FD"/>
    <w:rsid w:val="0051453C"/>
    <w:rsid w:val="00515AEA"/>
    <w:rsid w:val="00515E1D"/>
    <w:rsid w:val="005163EE"/>
    <w:rsid w:val="00516CAD"/>
    <w:rsid w:val="00517439"/>
    <w:rsid w:val="00517671"/>
    <w:rsid w:val="005178BB"/>
    <w:rsid w:val="00517BDC"/>
    <w:rsid w:val="00520AEB"/>
    <w:rsid w:val="00520B71"/>
    <w:rsid w:val="00521457"/>
    <w:rsid w:val="00523E6D"/>
    <w:rsid w:val="0052779E"/>
    <w:rsid w:val="0053121D"/>
    <w:rsid w:val="00532884"/>
    <w:rsid w:val="00532DFE"/>
    <w:rsid w:val="00533B92"/>
    <w:rsid w:val="00534B73"/>
    <w:rsid w:val="00535593"/>
    <w:rsid w:val="00535DCC"/>
    <w:rsid w:val="0053615B"/>
    <w:rsid w:val="0053625C"/>
    <w:rsid w:val="00536291"/>
    <w:rsid w:val="005362BA"/>
    <w:rsid w:val="005375FF"/>
    <w:rsid w:val="0054134A"/>
    <w:rsid w:val="00541AE0"/>
    <w:rsid w:val="00541CB1"/>
    <w:rsid w:val="00541DDB"/>
    <w:rsid w:val="00541EC7"/>
    <w:rsid w:val="005421E8"/>
    <w:rsid w:val="005422CC"/>
    <w:rsid w:val="005434D6"/>
    <w:rsid w:val="00543734"/>
    <w:rsid w:val="00544114"/>
    <w:rsid w:val="00544861"/>
    <w:rsid w:val="00544D36"/>
    <w:rsid w:val="00545356"/>
    <w:rsid w:val="00546386"/>
    <w:rsid w:val="005467F8"/>
    <w:rsid w:val="00546A78"/>
    <w:rsid w:val="00546D76"/>
    <w:rsid w:val="00547A36"/>
    <w:rsid w:val="00547B3E"/>
    <w:rsid w:val="00547CBD"/>
    <w:rsid w:val="00547DC1"/>
    <w:rsid w:val="00550623"/>
    <w:rsid w:val="0055123B"/>
    <w:rsid w:val="0055159D"/>
    <w:rsid w:val="00551A14"/>
    <w:rsid w:val="0055253B"/>
    <w:rsid w:val="005525E1"/>
    <w:rsid w:val="00552A52"/>
    <w:rsid w:val="00553151"/>
    <w:rsid w:val="00553DA1"/>
    <w:rsid w:val="005542DB"/>
    <w:rsid w:val="005558A2"/>
    <w:rsid w:val="00555D2E"/>
    <w:rsid w:val="005561D5"/>
    <w:rsid w:val="00557324"/>
    <w:rsid w:val="005579BD"/>
    <w:rsid w:val="00560AAD"/>
    <w:rsid w:val="0056219C"/>
    <w:rsid w:val="005623D8"/>
    <w:rsid w:val="005632CD"/>
    <w:rsid w:val="00564FFB"/>
    <w:rsid w:val="005651FA"/>
    <w:rsid w:val="0056638D"/>
    <w:rsid w:val="00566F59"/>
    <w:rsid w:val="0056712A"/>
    <w:rsid w:val="005674C0"/>
    <w:rsid w:val="00570672"/>
    <w:rsid w:val="00570A79"/>
    <w:rsid w:val="00570C9B"/>
    <w:rsid w:val="00571118"/>
    <w:rsid w:val="005727B3"/>
    <w:rsid w:val="00572EFB"/>
    <w:rsid w:val="005749AE"/>
    <w:rsid w:val="00575733"/>
    <w:rsid w:val="00580C62"/>
    <w:rsid w:val="0058113E"/>
    <w:rsid w:val="00581E71"/>
    <w:rsid w:val="00582EC0"/>
    <w:rsid w:val="005838FD"/>
    <w:rsid w:val="00583DBA"/>
    <w:rsid w:val="005840C7"/>
    <w:rsid w:val="00584A0A"/>
    <w:rsid w:val="00584F89"/>
    <w:rsid w:val="005862CF"/>
    <w:rsid w:val="00586586"/>
    <w:rsid w:val="0058703D"/>
    <w:rsid w:val="0058753A"/>
    <w:rsid w:val="005879D0"/>
    <w:rsid w:val="00587A20"/>
    <w:rsid w:val="00587CB3"/>
    <w:rsid w:val="00587CB7"/>
    <w:rsid w:val="00590162"/>
    <w:rsid w:val="00590417"/>
    <w:rsid w:val="00592322"/>
    <w:rsid w:val="00592EAF"/>
    <w:rsid w:val="005933D1"/>
    <w:rsid w:val="005956D7"/>
    <w:rsid w:val="00596C1A"/>
    <w:rsid w:val="00597648"/>
    <w:rsid w:val="00597B08"/>
    <w:rsid w:val="00597CB1"/>
    <w:rsid w:val="005A025E"/>
    <w:rsid w:val="005A0EE1"/>
    <w:rsid w:val="005A1090"/>
    <w:rsid w:val="005A15A2"/>
    <w:rsid w:val="005A1A1C"/>
    <w:rsid w:val="005A1ACC"/>
    <w:rsid w:val="005A1D80"/>
    <w:rsid w:val="005A2664"/>
    <w:rsid w:val="005A2813"/>
    <w:rsid w:val="005A3B18"/>
    <w:rsid w:val="005A4731"/>
    <w:rsid w:val="005A5869"/>
    <w:rsid w:val="005A5E96"/>
    <w:rsid w:val="005A61AD"/>
    <w:rsid w:val="005A7229"/>
    <w:rsid w:val="005B0235"/>
    <w:rsid w:val="005B0C53"/>
    <w:rsid w:val="005B16C8"/>
    <w:rsid w:val="005B21C9"/>
    <w:rsid w:val="005B22BE"/>
    <w:rsid w:val="005B2CDA"/>
    <w:rsid w:val="005B4FAA"/>
    <w:rsid w:val="005B767E"/>
    <w:rsid w:val="005B7789"/>
    <w:rsid w:val="005B7A28"/>
    <w:rsid w:val="005C0872"/>
    <w:rsid w:val="005C18C1"/>
    <w:rsid w:val="005C1D42"/>
    <w:rsid w:val="005C231A"/>
    <w:rsid w:val="005C290D"/>
    <w:rsid w:val="005C47B3"/>
    <w:rsid w:val="005C72ED"/>
    <w:rsid w:val="005C74EE"/>
    <w:rsid w:val="005C7753"/>
    <w:rsid w:val="005D1D16"/>
    <w:rsid w:val="005D208A"/>
    <w:rsid w:val="005D2A09"/>
    <w:rsid w:val="005D31B1"/>
    <w:rsid w:val="005D4311"/>
    <w:rsid w:val="005D434C"/>
    <w:rsid w:val="005D46BF"/>
    <w:rsid w:val="005D46F7"/>
    <w:rsid w:val="005D4765"/>
    <w:rsid w:val="005D4965"/>
    <w:rsid w:val="005D528F"/>
    <w:rsid w:val="005D52CC"/>
    <w:rsid w:val="005D52F8"/>
    <w:rsid w:val="005D6E0F"/>
    <w:rsid w:val="005D6F0B"/>
    <w:rsid w:val="005D78C2"/>
    <w:rsid w:val="005E1266"/>
    <w:rsid w:val="005E1583"/>
    <w:rsid w:val="005E2A0C"/>
    <w:rsid w:val="005E2A47"/>
    <w:rsid w:val="005E430C"/>
    <w:rsid w:val="005E50E7"/>
    <w:rsid w:val="005E536F"/>
    <w:rsid w:val="005E5A98"/>
    <w:rsid w:val="005E710C"/>
    <w:rsid w:val="005E7B4B"/>
    <w:rsid w:val="005F0468"/>
    <w:rsid w:val="005F049B"/>
    <w:rsid w:val="005F062B"/>
    <w:rsid w:val="005F128C"/>
    <w:rsid w:val="005F4649"/>
    <w:rsid w:val="005F4D66"/>
    <w:rsid w:val="005F5302"/>
    <w:rsid w:val="005F5550"/>
    <w:rsid w:val="005F59C2"/>
    <w:rsid w:val="005F59FC"/>
    <w:rsid w:val="005F5FBE"/>
    <w:rsid w:val="005F613B"/>
    <w:rsid w:val="005F633A"/>
    <w:rsid w:val="005F64BB"/>
    <w:rsid w:val="005F6D4A"/>
    <w:rsid w:val="005F778F"/>
    <w:rsid w:val="00600BEF"/>
    <w:rsid w:val="0060136A"/>
    <w:rsid w:val="0060152F"/>
    <w:rsid w:val="00601939"/>
    <w:rsid w:val="00602290"/>
    <w:rsid w:val="0060246D"/>
    <w:rsid w:val="006028BF"/>
    <w:rsid w:val="006029FF"/>
    <w:rsid w:val="00603AFA"/>
    <w:rsid w:val="00603CFD"/>
    <w:rsid w:val="00604F32"/>
    <w:rsid w:val="00605576"/>
    <w:rsid w:val="00606264"/>
    <w:rsid w:val="006070FA"/>
    <w:rsid w:val="00607843"/>
    <w:rsid w:val="00610CD6"/>
    <w:rsid w:val="00611983"/>
    <w:rsid w:val="00611D6C"/>
    <w:rsid w:val="006125B6"/>
    <w:rsid w:val="0061300F"/>
    <w:rsid w:val="0061352B"/>
    <w:rsid w:val="00614099"/>
    <w:rsid w:val="00614AC9"/>
    <w:rsid w:val="00614BA1"/>
    <w:rsid w:val="00614D17"/>
    <w:rsid w:val="00615485"/>
    <w:rsid w:val="00615C1E"/>
    <w:rsid w:val="00615F29"/>
    <w:rsid w:val="0061645F"/>
    <w:rsid w:val="00617430"/>
    <w:rsid w:val="006174D7"/>
    <w:rsid w:val="006201C3"/>
    <w:rsid w:val="00620E57"/>
    <w:rsid w:val="0062122B"/>
    <w:rsid w:val="00622D02"/>
    <w:rsid w:val="00623D0E"/>
    <w:rsid w:val="00624BC7"/>
    <w:rsid w:val="00624C1D"/>
    <w:rsid w:val="00624C22"/>
    <w:rsid w:val="00624ED9"/>
    <w:rsid w:val="006250CB"/>
    <w:rsid w:val="006257B7"/>
    <w:rsid w:val="0062633A"/>
    <w:rsid w:val="00627320"/>
    <w:rsid w:val="00627DE8"/>
    <w:rsid w:val="00630171"/>
    <w:rsid w:val="0063065E"/>
    <w:rsid w:val="0063162C"/>
    <w:rsid w:val="00631F14"/>
    <w:rsid w:val="006327E6"/>
    <w:rsid w:val="00632B10"/>
    <w:rsid w:val="006332ED"/>
    <w:rsid w:val="00634124"/>
    <w:rsid w:val="00634DF0"/>
    <w:rsid w:val="00635068"/>
    <w:rsid w:val="00636B47"/>
    <w:rsid w:val="00636F8A"/>
    <w:rsid w:val="00636FBC"/>
    <w:rsid w:val="00640C8C"/>
    <w:rsid w:val="006413AC"/>
    <w:rsid w:val="00641758"/>
    <w:rsid w:val="0064235F"/>
    <w:rsid w:val="006429BC"/>
    <w:rsid w:val="00642FE9"/>
    <w:rsid w:val="00643AD0"/>
    <w:rsid w:val="00643E21"/>
    <w:rsid w:val="00644C68"/>
    <w:rsid w:val="006454AC"/>
    <w:rsid w:val="00645838"/>
    <w:rsid w:val="00647867"/>
    <w:rsid w:val="006478DE"/>
    <w:rsid w:val="00647D8D"/>
    <w:rsid w:val="006504E6"/>
    <w:rsid w:val="006504F8"/>
    <w:rsid w:val="0065087A"/>
    <w:rsid w:val="006517A6"/>
    <w:rsid w:val="00652279"/>
    <w:rsid w:val="00652E52"/>
    <w:rsid w:val="00653190"/>
    <w:rsid w:val="00655A5A"/>
    <w:rsid w:val="00655C96"/>
    <w:rsid w:val="00660251"/>
    <w:rsid w:val="00660A7C"/>
    <w:rsid w:val="006616A5"/>
    <w:rsid w:val="00661847"/>
    <w:rsid w:val="006618C1"/>
    <w:rsid w:val="0066279E"/>
    <w:rsid w:val="00662F81"/>
    <w:rsid w:val="00663149"/>
    <w:rsid w:val="00663478"/>
    <w:rsid w:val="00664321"/>
    <w:rsid w:val="00664B9D"/>
    <w:rsid w:val="00665FAD"/>
    <w:rsid w:val="00666DB8"/>
    <w:rsid w:val="00666E15"/>
    <w:rsid w:val="00667250"/>
    <w:rsid w:val="00667BC5"/>
    <w:rsid w:val="00667D5F"/>
    <w:rsid w:val="0067002E"/>
    <w:rsid w:val="00670808"/>
    <w:rsid w:val="00670B56"/>
    <w:rsid w:val="00670EE8"/>
    <w:rsid w:val="00671319"/>
    <w:rsid w:val="0067186D"/>
    <w:rsid w:val="0067192C"/>
    <w:rsid w:val="006734FC"/>
    <w:rsid w:val="00673573"/>
    <w:rsid w:val="006742CE"/>
    <w:rsid w:val="00674D68"/>
    <w:rsid w:val="0067510B"/>
    <w:rsid w:val="00675576"/>
    <w:rsid w:val="006757C3"/>
    <w:rsid w:val="0067699C"/>
    <w:rsid w:val="006773AD"/>
    <w:rsid w:val="0067772B"/>
    <w:rsid w:val="00680C5A"/>
    <w:rsid w:val="00680EA7"/>
    <w:rsid w:val="00682428"/>
    <w:rsid w:val="006827AE"/>
    <w:rsid w:val="00682876"/>
    <w:rsid w:val="00683145"/>
    <w:rsid w:val="006832F4"/>
    <w:rsid w:val="0068369B"/>
    <w:rsid w:val="00683F67"/>
    <w:rsid w:val="006840EA"/>
    <w:rsid w:val="00684CB8"/>
    <w:rsid w:val="0068546B"/>
    <w:rsid w:val="00685B01"/>
    <w:rsid w:val="00685E07"/>
    <w:rsid w:val="0068617A"/>
    <w:rsid w:val="0068622C"/>
    <w:rsid w:val="00686E96"/>
    <w:rsid w:val="00687014"/>
    <w:rsid w:val="00687C22"/>
    <w:rsid w:val="0069091C"/>
    <w:rsid w:val="00690D69"/>
    <w:rsid w:val="0069117C"/>
    <w:rsid w:val="006922FF"/>
    <w:rsid w:val="00692933"/>
    <w:rsid w:val="00693185"/>
    <w:rsid w:val="00693769"/>
    <w:rsid w:val="00693C8F"/>
    <w:rsid w:val="00693EBE"/>
    <w:rsid w:val="00694A92"/>
    <w:rsid w:val="00695A01"/>
    <w:rsid w:val="00695AA0"/>
    <w:rsid w:val="0069605F"/>
    <w:rsid w:val="00696078"/>
    <w:rsid w:val="00696906"/>
    <w:rsid w:val="00697C45"/>
    <w:rsid w:val="00697CEC"/>
    <w:rsid w:val="006A08F9"/>
    <w:rsid w:val="006A09A8"/>
    <w:rsid w:val="006A1037"/>
    <w:rsid w:val="006A10C6"/>
    <w:rsid w:val="006A18BD"/>
    <w:rsid w:val="006A1985"/>
    <w:rsid w:val="006A1A1F"/>
    <w:rsid w:val="006A1F48"/>
    <w:rsid w:val="006A2ADA"/>
    <w:rsid w:val="006A3A74"/>
    <w:rsid w:val="006A3EFA"/>
    <w:rsid w:val="006A3FED"/>
    <w:rsid w:val="006A4681"/>
    <w:rsid w:val="006A4DDF"/>
    <w:rsid w:val="006A5C44"/>
    <w:rsid w:val="006A6494"/>
    <w:rsid w:val="006A66BF"/>
    <w:rsid w:val="006A6DBD"/>
    <w:rsid w:val="006B0471"/>
    <w:rsid w:val="006B19AC"/>
    <w:rsid w:val="006B3C12"/>
    <w:rsid w:val="006B3DAF"/>
    <w:rsid w:val="006B414D"/>
    <w:rsid w:val="006B4407"/>
    <w:rsid w:val="006B4692"/>
    <w:rsid w:val="006B5125"/>
    <w:rsid w:val="006B5643"/>
    <w:rsid w:val="006B5A4C"/>
    <w:rsid w:val="006B70C5"/>
    <w:rsid w:val="006B7420"/>
    <w:rsid w:val="006C04D0"/>
    <w:rsid w:val="006C0ABF"/>
    <w:rsid w:val="006C16C4"/>
    <w:rsid w:val="006C2578"/>
    <w:rsid w:val="006C5121"/>
    <w:rsid w:val="006C54D5"/>
    <w:rsid w:val="006C64CB"/>
    <w:rsid w:val="006C6602"/>
    <w:rsid w:val="006D0FC4"/>
    <w:rsid w:val="006D26FF"/>
    <w:rsid w:val="006D2811"/>
    <w:rsid w:val="006D2BC3"/>
    <w:rsid w:val="006D4B54"/>
    <w:rsid w:val="006D4D5C"/>
    <w:rsid w:val="006D6355"/>
    <w:rsid w:val="006D6C05"/>
    <w:rsid w:val="006D7279"/>
    <w:rsid w:val="006D7887"/>
    <w:rsid w:val="006D78AC"/>
    <w:rsid w:val="006E04F8"/>
    <w:rsid w:val="006E0535"/>
    <w:rsid w:val="006E10B7"/>
    <w:rsid w:val="006E21DA"/>
    <w:rsid w:val="006E21DC"/>
    <w:rsid w:val="006E28B8"/>
    <w:rsid w:val="006E2A63"/>
    <w:rsid w:val="006E2D93"/>
    <w:rsid w:val="006E39BD"/>
    <w:rsid w:val="006E4FC0"/>
    <w:rsid w:val="006E51B1"/>
    <w:rsid w:val="006E5335"/>
    <w:rsid w:val="006F0FBF"/>
    <w:rsid w:val="006F12B4"/>
    <w:rsid w:val="006F13DB"/>
    <w:rsid w:val="006F2351"/>
    <w:rsid w:val="006F3069"/>
    <w:rsid w:val="006F32C8"/>
    <w:rsid w:val="006F33C4"/>
    <w:rsid w:val="006F3878"/>
    <w:rsid w:val="006F3BFF"/>
    <w:rsid w:val="006F51CD"/>
    <w:rsid w:val="006F5D04"/>
    <w:rsid w:val="006F5D09"/>
    <w:rsid w:val="006F6DB1"/>
    <w:rsid w:val="006F7045"/>
    <w:rsid w:val="006F7959"/>
    <w:rsid w:val="006F79E9"/>
    <w:rsid w:val="006F7B21"/>
    <w:rsid w:val="006F7F6D"/>
    <w:rsid w:val="00700F3F"/>
    <w:rsid w:val="0070157E"/>
    <w:rsid w:val="0070250A"/>
    <w:rsid w:val="007026DA"/>
    <w:rsid w:val="00702AA8"/>
    <w:rsid w:val="00703521"/>
    <w:rsid w:val="00703726"/>
    <w:rsid w:val="00704CC7"/>
    <w:rsid w:val="007050F4"/>
    <w:rsid w:val="00706693"/>
    <w:rsid w:val="00706E62"/>
    <w:rsid w:val="00707268"/>
    <w:rsid w:val="00707687"/>
    <w:rsid w:val="00707A03"/>
    <w:rsid w:val="0071019A"/>
    <w:rsid w:val="0071139C"/>
    <w:rsid w:val="00711CC3"/>
    <w:rsid w:val="00711DCA"/>
    <w:rsid w:val="0071228B"/>
    <w:rsid w:val="00712696"/>
    <w:rsid w:val="00712738"/>
    <w:rsid w:val="00713B72"/>
    <w:rsid w:val="00713D09"/>
    <w:rsid w:val="00714225"/>
    <w:rsid w:val="00714508"/>
    <w:rsid w:val="00714717"/>
    <w:rsid w:val="00714A4D"/>
    <w:rsid w:val="00715E48"/>
    <w:rsid w:val="00716953"/>
    <w:rsid w:val="00716A29"/>
    <w:rsid w:val="00716A88"/>
    <w:rsid w:val="007176EA"/>
    <w:rsid w:val="0072046B"/>
    <w:rsid w:val="0072072C"/>
    <w:rsid w:val="00720778"/>
    <w:rsid w:val="00720F79"/>
    <w:rsid w:val="007212C9"/>
    <w:rsid w:val="007213FC"/>
    <w:rsid w:val="00721BAC"/>
    <w:rsid w:val="00722FE1"/>
    <w:rsid w:val="00722FE2"/>
    <w:rsid w:val="00723CA1"/>
    <w:rsid w:val="00724070"/>
    <w:rsid w:val="00725607"/>
    <w:rsid w:val="007260DD"/>
    <w:rsid w:val="007263FC"/>
    <w:rsid w:val="00727785"/>
    <w:rsid w:val="00727ED8"/>
    <w:rsid w:val="00727F81"/>
    <w:rsid w:val="007304D6"/>
    <w:rsid w:val="00730F02"/>
    <w:rsid w:val="0073201E"/>
    <w:rsid w:val="0073246E"/>
    <w:rsid w:val="00732762"/>
    <w:rsid w:val="007329EA"/>
    <w:rsid w:val="00732D02"/>
    <w:rsid w:val="0073398B"/>
    <w:rsid w:val="00734361"/>
    <w:rsid w:val="00734701"/>
    <w:rsid w:val="0073470A"/>
    <w:rsid w:val="00734E57"/>
    <w:rsid w:val="0073726A"/>
    <w:rsid w:val="00737D1A"/>
    <w:rsid w:val="007404A9"/>
    <w:rsid w:val="00740737"/>
    <w:rsid w:val="00740AA5"/>
    <w:rsid w:val="007411C8"/>
    <w:rsid w:val="00741C7E"/>
    <w:rsid w:val="007434FF"/>
    <w:rsid w:val="00743976"/>
    <w:rsid w:val="00743E8D"/>
    <w:rsid w:val="00743E92"/>
    <w:rsid w:val="00743F36"/>
    <w:rsid w:val="00744C4F"/>
    <w:rsid w:val="0074591D"/>
    <w:rsid w:val="00745D33"/>
    <w:rsid w:val="00747AE5"/>
    <w:rsid w:val="0075071B"/>
    <w:rsid w:val="00750D11"/>
    <w:rsid w:val="00750F79"/>
    <w:rsid w:val="007520FC"/>
    <w:rsid w:val="00752BEA"/>
    <w:rsid w:val="00753477"/>
    <w:rsid w:val="00753E00"/>
    <w:rsid w:val="00754C2F"/>
    <w:rsid w:val="0075592F"/>
    <w:rsid w:val="007571D4"/>
    <w:rsid w:val="007573FD"/>
    <w:rsid w:val="00757658"/>
    <w:rsid w:val="00757700"/>
    <w:rsid w:val="00757901"/>
    <w:rsid w:val="00757AA5"/>
    <w:rsid w:val="0076022F"/>
    <w:rsid w:val="00760F94"/>
    <w:rsid w:val="0076148A"/>
    <w:rsid w:val="0076174A"/>
    <w:rsid w:val="00761C6D"/>
    <w:rsid w:val="00762337"/>
    <w:rsid w:val="00763C77"/>
    <w:rsid w:val="00763E99"/>
    <w:rsid w:val="007644B1"/>
    <w:rsid w:val="007659BB"/>
    <w:rsid w:val="00766D1C"/>
    <w:rsid w:val="007675A7"/>
    <w:rsid w:val="00770683"/>
    <w:rsid w:val="0077072D"/>
    <w:rsid w:val="00770CE9"/>
    <w:rsid w:val="00770DB7"/>
    <w:rsid w:val="0077179D"/>
    <w:rsid w:val="00771815"/>
    <w:rsid w:val="00771CFB"/>
    <w:rsid w:val="0077379B"/>
    <w:rsid w:val="0077645E"/>
    <w:rsid w:val="00776A9F"/>
    <w:rsid w:val="007770AA"/>
    <w:rsid w:val="00777223"/>
    <w:rsid w:val="00780311"/>
    <w:rsid w:val="00780467"/>
    <w:rsid w:val="00780E90"/>
    <w:rsid w:val="007813C6"/>
    <w:rsid w:val="00781448"/>
    <w:rsid w:val="007815D3"/>
    <w:rsid w:val="0078165B"/>
    <w:rsid w:val="007816AB"/>
    <w:rsid w:val="00781B52"/>
    <w:rsid w:val="00781FC9"/>
    <w:rsid w:val="00782110"/>
    <w:rsid w:val="00785622"/>
    <w:rsid w:val="00785C1A"/>
    <w:rsid w:val="00787522"/>
    <w:rsid w:val="00787B35"/>
    <w:rsid w:val="00790FC3"/>
    <w:rsid w:val="00791C2D"/>
    <w:rsid w:val="007920D6"/>
    <w:rsid w:val="007928C2"/>
    <w:rsid w:val="00792954"/>
    <w:rsid w:val="00792E8F"/>
    <w:rsid w:val="0079445B"/>
    <w:rsid w:val="00794551"/>
    <w:rsid w:val="007952BF"/>
    <w:rsid w:val="00796276"/>
    <w:rsid w:val="007968E4"/>
    <w:rsid w:val="0079710F"/>
    <w:rsid w:val="007A067F"/>
    <w:rsid w:val="007A0D83"/>
    <w:rsid w:val="007A1033"/>
    <w:rsid w:val="007A1654"/>
    <w:rsid w:val="007A2331"/>
    <w:rsid w:val="007A2A5D"/>
    <w:rsid w:val="007A3514"/>
    <w:rsid w:val="007A360A"/>
    <w:rsid w:val="007A3BBB"/>
    <w:rsid w:val="007A5A85"/>
    <w:rsid w:val="007A5D2C"/>
    <w:rsid w:val="007A6545"/>
    <w:rsid w:val="007A7139"/>
    <w:rsid w:val="007A7CC6"/>
    <w:rsid w:val="007B0235"/>
    <w:rsid w:val="007B0A72"/>
    <w:rsid w:val="007B0B58"/>
    <w:rsid w:val="007B1759"/>
    <w:rsid w:val="007B31DA"/>
    <w:rsid w:val="007B4A74"/>
    <w:rsid w:val="007B5BEE"/>
    <w:rsid w:val="007B6346"/>
    <w:rsid w:val="007B6CA5"/>
    <w:rsid w:val="007C059B"/>
    <w:rsid w:val="007C07E5"/>
    <w:rsid w:val="007C1904"/>
    <w:rsid w:val="007C1B8E"/>
    <w:rsid w:val="007C31BE"/>
    <w:rsid w:val="007C36FF"/>
    <w:rsid w:val="007C5710"/>
    <w:rsid w:val="007C5BF5"/>
    <w:rsid w:val="007C61CF"/>
    <w:rsid w:val="007C6F90"/>
    <w:rsid w:val="007C7603"/>
    <w:rsid w:val="007C762B"/>
    <w:rsid w:val="007D089A"/>
    <w:rsid w:val="007D11C4"/>
    <w:rsid w:val="007D1248"/>
    <w:rsid w:val="007D1E1E"/>
    <w:rsid w:val="007D21A0"/>
    <w:rsid w:val="007D21BA"/>
    <w:rsid w:val="007D2B33"/>
    <w:rsid w:val="007D3036"/>
    <w:rsid w:val="007D3648"/>
    <w:rsid w:val="007D3C53"/>
    <w:rsid w:val="007D5B4E"/>
    <w:rsid w:val="007D5ED4"/>
    <w:rsid w:val="007D5FFC"/>
    <w:rsid w:val="007D61BF"/>
    <w:rsid w:val="007E1667"/>
    <w:rsid w:val="007E4911"/>
    <w:rsid w:val="007E59AD"/>
    <w:rsid w:val="007E5C1A"/>
    <w:rsid w:val="007E64B7"/>
    <w:rsid w:val="007E6ADD"/>
    <w:rsid w:val="007E6CBB"/>
    <w:rsid w:val="007E720B"/>
    <w:rsid w:val="007E778A"/>
    <w:rsid w:val="007E7A34"/>
    <w:rsid w:val="007F0384"/>
    <w:rsid w:val="007F0BD9"/>
    <w:rsid w:val="007F11DC"/>
    <w:rsid w:val="007F1828"/>
    <w:rsid w:val="007F2AA4"/>
    <w:rsid w:val="007F2EC4"/>
    <w:rsid w:val="007F3408"/>
    <w:rsid w:val="007F39DB"/>
    <w:rsid w:val="007F3FBD"/>
    <w:rsid w:val="007F4226"/>
    <w:rsid w:val="007F45C4"/>
    <w:rsid w:val="007F5C4E"/>
    <w:rsid w:val="007F5F8A"/>
    <w:rsid w:val="007F6298"/>
    <w:rsid w:val="007F6E02"/>
    <w:rsid w:val="007F7B4A"/>
    <w:rsid w:val="008020E9"/>
    <w:rsid w:val="00802C63"/>
    <w:rsid w:val="00803181"/>
    <w:rsid w:val="008034AE"/>
    <w:rsid w:val="00803B56"/>
    <w:rsid w:val="00804A26"/>
    <w:rsid w:val="0080622A"/>
    <w:rsid w:val="008066A1"/>
    <w:rsid w:val="00806700"/>
    <w:rsid w:val="00807227"/>
    <w:rsid w:val="00810739"/>
    <w:rsid w:val="008115D6"/>
    <w:rsid w:val="008117F3"/>
    <w:rsid w:val="00811B3F"/>
    <w:rsid w:val="00812B97"/>
    <w:rsid w:val="00812DFC"/>
    <w:rsid w:val="00813B0F"/>
    <w:rsid w:val="00814FBF"/>
    <w:rsid w:val="00815CBE"/>
    <w:rsid w:val="00816C99"/>
    <w:rsid w:val="00816EA6"/>
    <w:rsid w:val="0081718D"/>
    <w:rsid w:val="0081754E"/>
    <w:rsid w:val="00820B54"/>
    <w:rsid w:val="00820C25"/>
    <w:rsid w:val="00820DD2"/>
    <w:rsid w:val="008211CA"/>
    <w:rsid w:val="008218DC"/>
    <w:rsid w:val="008229F6"/>
    <w:rsid w:val="00822D2C"/>
    <w:rsid w:val="008230A0"/>
    <w:rsid w:val="00823858"/>
    <w:rsid w:val="0082524C"/>
    <w:rsid w:val="0082538C"/>
    <w:rsid w:val="0082586D"/>
    <w:rsid w:val="0082689D"/>
    <w:rsid w:val="0082770E"/>
    <w:rsid w:val="00827C68"/>
    <w:rsid w:val="0083071F"/>
    <w:rsid w:val="00830BDA"/>
    <w:rsid w:val="00830CDF"/>
    <w:rsid w:val="008317B7"/>
    <w:rsid w:val="00831E3E"/>
    <w:rsid w:val="0083266A"/>
    <w:rsid w:val="00832F57"/>
    <w:rsid w:val="0083357C"/>
    <w:rsid w:val="00835901"/>
    <w:rsid w:val="00835B30"/>
    <w:rsid w:val="008361E2"/>
    <w:rsid w:val="00837682"/>
    <w:rsid w:val="00837D0F"/>
    <w:rsid w:val="0084015A"/>
    <w:rsid w:val="00841207"/>
    <w:rsid w:val="008417D6"/>
    <w:rsid w:val="008419C3"/>
    <w:rsid w:val="00841D9B"/>
    <w:rsid w:val="0084234B"/>
    <w:rsid w:val="00842983"/>
    <w:rsid w:val="00842D80"/>
    <w:rsid w:val="008436C6"/>
    <w:rsid w:val="00843A05"/>
    <w:rsid w:val="00844426"/>
    <w:rsid w:val="00845C8F"/>
    <w:rsid w:val="00846653"/>
    <w:rsid w:val="008472A5"/>
    <w:rsid w:val="00847D17"/>
    <w:rsid w:val="00850874"/>
    <w:rsid w:val="00850EA0"/>
    <w:rsid w:val="008516A5"/>
    <w:rsid w:val="00851898"/>
    <w:rsid w:val="00851DC8"/>
    <w:rsid w:val="00852F02"/>
    <w:rsid w:val="008533F6"/>
    <w:rsid w:val="00854831"/>
    <w:rsid w:val="0085503D"/>
    <w:rsid w:val="008553F8"/>
    <w:rsid w:val="00855873"/>
    <w:rsid w:val="00855CF8"/>
    <w:rsid w:val="008564DA"/>
    <w:rsid w:val="00857BCF"/>
    <w:rsid w:val="008602ED"/>
    <w:rsid w:val="00860BF3"/>
    <w:rsid w:val="00860E77"/>
    <w:rsid w:val="00861096"/>
    <w:rsid w:val="00861EC9"/>
    <w:rsid w:val="008622D2"/>
    <w:rsid w:val="00863DEE"/>
    <w:rsid w:val="00864315"/>
    <w:rsid w:val="0086459B"/>
    <w:rsid w:val="008649C4"/>
    <w:rsid w:val="00865F38"/>
    <w:rsid w:val="00866E95"/>
    <w:rsid w:val="00867048"/>
    <w:rsid w:val="008672C9"/>
    <w:rsid w:val="00867C35"/>
    <w:rsid w:val="00870D9D"/>
    <w:rsid w:val="00871169"/>
    <w:rsid w:val="008715B6"/>
    <w:rsid w:val="00871919"/>
    <w:rsid w:val="00871B6A"/>
    <w:rsid w:val="00871C13"/>
    <w:rsid w:val="00872F0A"/>
    <w:rsid w:val="00873620"/>
    <w:rsid w:val="00873F4D"/>
    <w:rsid w:val="008747A9"/>
    <w:rsid w:val="00874A4E"/>
    <w:rsid w:val="00874F5D"/>
    <w:rsid w:val="0087543B"/>
    <w:rsid w:val="00876B9A"/>
    <w:rsid w:val="00882928"/>
    <w:rsid w:val="00882F0A"/>
    <w:rsid w:val="008839F8"/>
    <w:rsid w:val="00883D70"/>
    <w:rsid w:val="008847D8"/>
    <w:rsid w:val="00885146"/>
    <w:rsid w:val="00885170"/>
    <w:rsid w:val="00890785"/>
    <w:rsid w:val="00890B06"/>
    <w:rsid w:val="008918F3"/>
    <w:rsid w:val="00891FFE"/>
    <w:rsid w:val="0089207F"/>
    <w:rsid w:val="00892A44"/>
    <w:rsid w:val="008939B2"/>
    <w:rsid w:val="00894118"/>
    <w:rsid w:val="00894363"/>
    <w:rsid w:val="00894FDD"/>
    <w:rsid w:val="00895A46"/>
    <w:rsid w:val="00895A4C"/>
    <w:rsid w:val="00895DC1"/>
    <w:rsid w:val="00896B43"/>
    <w:rsid w:val="00896DA6"/>
    <w:rsid w:val="00897060"/>
    <w:rsid w:val="008A02C2"/>
    <w:rsid w:val="008A0977"/>
    <w:rsid w:val="008A1488"/>
    <w:rsid w:val="008A1FA4"/>
    <w:rsid w:val="008A24A4"/>
    <w:rsid w:val="008A279F"/>
    <w:rsid w:val="008A39D0"/>
    <w:rsid w:val="008A528D"/>
    <w:rsid w:val="008A55EF"/>
    <w:rsid w:val="008A598E"/>
    <w:rsid w:val="008B0583"/>
    <w:rsid w:val="008B090F"/>
    <w:rsid w:val="008B2AD6"/>
    <w:rsid w:val="008B2F17"/>
    <w:rsid w:val="008B36BD"/>
    <w:rsid w:val="008B4A99"/>
    <w:rsid w:val="008B5BA5"/>
    <w:rsid w:val="008B6279"/>
    <w:rsid w:val="008B7BA1"/>
    <w:rsid w:val="008C09FB"/>
    <w:rsid w:val="008C1593"/>
    <w:rsid w:val="008C27B5"/>
    <w:rsid w:val="008C289B"/>
    <w:rsid w:val="008C2E90"/>
    <w:rsid w:val="008C2F10"/>
    <w:rsid w:val="008C37AE"/>
    <w:rsid w:val="008C3DA0"/>
    <w:rsid w:val="008C44F1"/>
    <w:rsid w:val="008C454D"/>
    <w:rsid w:val="008C4B9E"/>
    <w:rsid w:val="008C5304"/>
    <w:rsid w:val="008C60C2"/>
    <w:rsid w:val="008C6566"/>
    <w:rsid w:val="008C6731"/>
    <w:rsid w:val="008C6873"/>
    <w:rsid w:val="008C6D02"/>
    <w:rsid w:val="008C71DB"/>
    <w:rsid w:val="008C78E5"/>
    <w:rsid w:val="008D0462"/>
    <w:rsid w:val="008D0483"/>
    <w:rsid w:val="008D1922"/>
    <w:rsid w:val="008D1BA8"/>
    <w:rsid w:val="008D2257"/>
    <w:rsid w:val="008D427C"/>
    <w:rsid w:val="008D4752"/>
    <w:rsid w:val="008D4831"/>
    <w:rsid w:val="008D4967"/>
    <w:rsid w:val="008D4C71"/>
    <w:rsid w:val="008D62D7"/>
    <w:rsid w:val="008D7AE6"/>
    <w:rsid w:val="008D7C7C"/>
    <w:rsid w:val="008D7F76"/>
    <w:rsid w:val="008E0AC2"/>
    <w:rsid w:val="008E0F2D"/>
    <w:rsid w:val="008E3D77"/>
    <w:rsid w:val="008E4480"/>
    <w:rsid w:val="008E542B"/>
    <w:rsid w:val="008E5ED3"/>
    <w:rsid w:val="008E62C7"/>
    <w:rsid w:val="008E68F9"/>
    <w:rsid w:val="008E6CF2"/>
    <w:rsid w:val="008E7224"/>
    <w:rsid w:val="008F0FC4"/>
    <w:rsid w:val="008F14C9"/>
    <w:rsid w:val="008F1E0D"/>
    <w:rsid w:val="008F2CFA"/>
    <w:rsid w:val="008F33CE"/>
    <w:rsid w:val="008F33F1"/>
    <w:rsid w:val="008F36C1"/>
    <w:rsid w:val="008F38BD"/>
    <w:rsid w:val="008F3BDC"/>
    <w:rsid w:val="008F5258"/>
    <w:rsid w:val="008F5312"/>
    <w:rsid w:val="008F64B5"/>
    <w:rsid w:val="008F6E34"/>
    <w:rsid w:val="008F7B31"/>
    <w:rsid w:val="008F7F32"/>
    <w:rsid w:val="0090020F"/>
    <w:rsid w:val="009004F4"/>
    <w:rsid w:val="00901296"/>
    <w:rsid w:val="00902516"/>
    <w:rsid w:val="00902C8A"/>
    <w:rsid w:val="009038F8"/>
    <w:rsid w:val="00903EEF"/>
    <w:rsid w:val="009050B5"/>
    <w:rsid w:val="00905263"/>
    <w:rsid w:val="0090537E"/>
    <w:rsid w:val="009059C6"/>
    <w:rsid w:val="009059EC"/>
    <w:rsid w:val="00905D52"/>
    <w:rsid w:val="00907475"/>
    <w:rsid w:val="009100E9"/>
    <w:rsid w:val="009103E3"/>
    <w:rsid w:val="00911B19"/>
    <w:rsid w:val="009126A5"/>
    <w:rsid w:val="0091361F"/>
    <w:rsid w:val="0091398A"/>
    <w:rsid w:val="00913E79"/>
    <w:rsid w:val="00914135"/>
    <w:rsid w:val="00914547"/>
    <w:rsid w:val="00914745"/>
    <w:rsid w:val="00915C18"/>
    <w:rsid w:val="00916840"/>
    <w:rsid w:val="00916961"/>
    <w:rsid w:val="009171E1"/>
    <w:rsid w:val="00917995"/>
    <w:rsid w:val="00917F9E"/>
    <w:rsid w:val="00920A22"/>
    <w:rsid w:val="00920CA3"/>
    <w:rsid w:val="00921795"/>
    <w:rsid w:val="009222CC"/>
    <w:rsid w:val="0092256A"/>
    <w:rsid w:val="00922A4D"/>
    <w:rsid w:val="00922D2F"/>
    <w:rsid w:val="009235B0"/>
    <w:rsid w:val="0092484D"/>
    <w:rsid w:val="00924D15"/>
    <w:rsid w:val="009272E7"/>
    <w:rsid w:val="0092756E"/>
    <w:rsid w:val="009276AA"/>
    <w:rsid w:val="00930902"/>
    <w:rsid w:val="00931DCA"/>
    <w:rsid w:val="00934C56"/>
    <w:rsid w:val="00934EF7"/>
    <w:rsid w:val="009370A4"/>
    <w:rsid w:val="009373C8"/>
    <w:rsid w:val="00937687"/>
    <w:rsid w:val="00937A49"/>
    <w:rsid w:val="00940DCA"/>
    <w:rsid w:val="0094165D"/>
    <w:rsid w:val="009417B0"/>
    <w:rsid w:val="009423BB"/>
    <w:rsid w:val="0094246C"/>
    <w:rsid w:val="009426F0"/>
    <w:rsid w:val="00943037"/>
    <w:rsid w:val="00943044"/>
    <w:rsid w:val="00943593"/>
    <w:rsid w:val="00943AE0"/>
    <w:rsid w:val="00944B75"/>
    <w:rsid w:val="009473D3"/>
    <w:rsid w:val="00950A58"/>
    <w:rsid w:val="00952C0E"/>
    <w:rsid w:val="00952DC7"/>
    <w:rsid w:val="00954A32"/>
    <w:rsid w:val="009550A7"/>
    <w:rsid w:val="009559E7"/>
    <w:rsid w:val="00955DCA"/>
    <w:rsid w:val="00955EA2"/>
    <w:rsid w:val="00956A95"/>
    <w:rsid w:val="00956AF0"/>
    <w:rsid w:val="00956BF5"/>
    <w:rsid w:val="0095765B"/>
    <w:rsid w:val="00957908"/>
    <w:rsid w:val="00957C6F"/>
    <w:rsid w:val="00957F21"/>
    <w:rsid w:val="00960716"/>
    <w:rsid w:val="0096071E"/>
    <w:rsid w:val="00960B9F"/>
    <w:rsid w:val="009623A9"/>
    <w:rsid w:val="00962542"/>
    <w:rsid w:val="00962F76"/>
    <w:rsid w:val="0096410D"/>
    <w:rsid w:val="0096493C"/>
    <w:rsid w:val="00964B85"/>
    <w:rsid w:val="0096520E"/>
    <w:rsid w:val="00965346"/>
    <w:rsid w:val="00965C16"/>
    <w:rsid w:val="00966510"/>
    <w:rsid w:val="00966584"/>
    <w:rsid w:val="009672BE"/>
    <w:rsid w:val="00967FDD"/>
    <w:rsid w:val="00970AE4"/>
    <w:rsid w:val="00970E95"/>
    <w:rsid w:val="00971510"/>
    <w:rsid w:val="00972861"/>
    <w:rsid w:val="00973353"/>
    <w:rsid w:val="00973A9C"/>
    <w:rsid w:val="009742A4"/>
    <w:rsid w:val="00974BDC"/>
    <w:rsid w:val="00974C6B"/>
    <w:rsid w:val="00974D50"/>
    <w:rsid w:val="00974F2B"/>
    <w:rsid w:val="00975AAE"/>
    <w:rsid w:val="00976D07"/>
    <w:rsid w:val="00976E8E"/>
    <w:rsid w:val="009773FC"/>
    <w:rsid w:val="00980C6F"/>
    <w:rsid w:val="00980E9E"/>
    <w:rsid w:val="00981D66"/>
    <w:rsid w:val="0098207E"/>
    <w:rsid w:val="009821E7"/>
    <w:rsid w:val="009837ED"/>
    <w:rsid w:val="009851F8"/>
    <w:rsid w:val="009857FF"/>
    <w:rsid w:val="009862FC"/>
    <w:rsid w:val="00986B30"/>
    <w:rsid w:val="00986F88"/>
    <w:rsid w:val="00986F8C"/>
    <w:rsid w:val="00987127"/>
    <w:rsid w:val="00987991"/>
    <w:rsid w:val="00987E48"/>
    <w:rsid w:val="00991495"/>
    <w:rsid w:val="0099176C"/>
    <w:rsid w:val="00991B89"/>
    <w:rsid w:val="00992B8A"/>
    <w:rsid w:val="00992E65"/>
    <w:rsid w:val="00993B7F"/>
    <w:rsid w:val="00993CF9"/>
    <w:rsid w:val="00994D9F"/>
    <w:rsid w:val="00995251"/>
    <w:rsid w:val="0099681B"/>
    <w:rsid w:val="0099683E"/>
    <w:rsid w:val="00997157"/>
    <w:rsid w:val="00997322"/>
    <w:rsid w:val="009A06C2"/>
    <w:rsid w:val="009A06EC"/>
    <w:rsid w:val="009A147E"/>
    <w:rsid w:val="009A17AE"/>
    <w:rsid w:val="009A1EEA"/>
    <w:rsid w:val="009A3666"/>
    <w:rsid w:val="009A3D55"/>
    <w:rsid w:val="009A50B0"/>
    <w:rsid w:val="009A539B"/>
    <w:rsid w:val="009A5BF8"/>
    <w:rsid w:val="009A74AD"/>
    <w:rsid w:val="009A77AF"/>
    <w:rsid w:val="009B161D"/>
    <w:rsid w:val="009B2AA2"/>
    <w:rsid w:val="009B2FA3"/>
    <w:rsid w:val="009B420E"/>
    <w:rsid w:val="009B4408"/>
    <w:rsid w:val="009B49DD"/>
    <w:rsid w:val="009B6747"/>
    <w:rsid w:val="009B7A29"/>
    <w:rsid w:val="009B7D1A"/>
    <w:rsid w:val="009C0D30"/>
    <w:rsid w:val="009C1CF8"/>
    <w:rsid w:val="009C2234"/>
    <w:rsid w:val="009C2FE6"/>
    <w:rsid w:val="009C3E14"/>
    <w:rsid w:val="009C5301"/>
    <w:rsid w:val="009D08C7"/>
    <w:rsid w:val="009D1A6A"/>
    <w:rsid w:val="009D24EF"/>
    <w:rsid w:val="009D298F"/>
    <w:rsid w:val="009D2B89"/>
    <w:rsid w:val="009D3834"/>
    <w:rsid w:val="009D3896"/>
    <w:rsid w:val="009D44CE"/>
    <w:rsid w:val="009D4A54"/>
    <w:rsid w:val="009D5E6C"/>
    <w:rsid w:val="009D6B47"/>
    <w:rsid w:val="009D7475"/>
    <w:rsid w:val="009E02BD"/>
    <w:rsid w:val="009E0446"/>
    <w:rsid w:val="009E130B"/>
    <w:rsid w:val="009E1BFC"/>
    <w:rsid w:val="009E1D9D"/>
    <w:rsid w:val="009E1E88"/>
    <w:rsid w:val="009E2327"/>
    <w:rsid w:val="009E2E00"/>
    <w:rsid w:val="009E40E1"/>
    <w:rsid w:val="009E4240"/>
    <w:rsid w:val="009E47FB"/>
    <w:rsid w:val="009E4E7B"/>
    <w:rsid w:val="009E5A57"/>
    <w:rsid w:val="009E5DEE"/>
    <w:rsid w:val="009E60E1"/>
    <w:rsid w:val="009E6238"/>
    <w:rsid w:val="009E7113"/>
    <w:rsid w:val="009F07E9"/>
    <w:rsid w:val="009F1386"/>
    <w:rsid w:val="009F15C3"/>
    <w:rsid w:val="009F181C"/>
    <w:rsid w:val="009F1EC9"/>
    <w:rsid w:val="009F253D"/>
    <w:rsid w:val="009F25F1"/>
    <w:rsid w:val="009F3A0D"/>
    <w:rsid w:val="009F4BC8"/>
    <w:rsid w:val="009F61AB"/>
    <w:rsid w:val="009F71C7"/>
    <w:rsid w:val="009F7334"/>
    <w:rsid w:val="009F78EA"/>
    <w:rsid w:val="00A008B3"/>
    <w:rsid w:val="00A01D12"/>
    <w:rsid w:val="00A0276F"/>
    <w:rsid w:val="00A02C86"/>
    <w:rsid w:val="00A03B6B"/>
    <w:rsid w:val="00A04E17"/>
    <w:rsid w:val="00A0542D"/>
    <w:rsid w:val="00A06E7F"/>
    <w:rsid w:val="00A07519"/>
    <w:rsid w:val="00A077A9"/>
    <w:rsid w:val="00A07EEB"/>
    <w:rsid w:val="00A102F0"/>
    <w:rsid w:val="00A10CF8"/>
    <w:rsid w:val="00A12EA6"/>
    <w:rsid w:val="00A130C7"/>
    <w:rsid w:val="00A1328A"/>
    <w:rsid w:val="00A13519"/>
    <w:rsid w:val="00A139C3"/>
    <w:rsid w:val="00A13BAF"/>
    <w:rsid w:val="00A14BFD"/>
    <w:rsid w:val="00A1664E"/>
    <w:rsid w:val="00A168CC"/>
    <w:rsid w:val="00A168FB"/>
    <w:rsid w:val="00A16CF5"/>
    <w:rsid w:val="00A16D17"/>
    <w:rsid w:val="00A170B2"/>
    <w:rsid w:val="00A172EB"/>
    <w:rsid w:val="00A200C5"/>
    <w:rsid w:val="00A20367"/>
    <w:rsid w:val="00A21090"/>
    <w:rsid w:val="00A21762"/>
    <w:rsid w:val="00A21A55"/>
    <w:rsid w:val="00A22347"/>
    <w:rsid w:val="00A227AF"/>
    <w:rsid w:val="00A246F2"/>
    <w:rsid w:val="00A25523"/>
    <w:rsid w:val="00A25557"/>
    <w:rsid w:val="00A256DD"/>
    <w:rsid w:val="00A25EA0"/>
    <w:rsid w:val="00A264A0"/>
    <w:rsid w:val="00A26CF8"/>
    <w:rsid w:val="00A272D5"/>
    <w:rsid w:val="00A30769"/>
    <w:rsid w:val="00A30CB3"/>
    <w:rsid w:val="00A316D3"/>
    <w:rsid w:val="00A32681"/>
    <w:rsid w:val="00A32B1A"/>
    <w:rsid w:val="00A33BB1"/>
    <w:rsid w:val="00A34357"/>
    <w:rsid w:val="00A34F4E"/>
    <w:rsid w:val="00A35629"/>
    <w:rsid w:val="00A35949"/>
    <w:rsid w:val="00A35962"/>
    <w:rsid w:val="00A36598"/>
    <w:rsid w:val="00A3683C"/>
    <w:rsid w:val="00A37729"/>
    <w:rsid w:val="00A37AAA"/>
    <w:rsid w:val="00A37ECB"/>
    <w:rsid w:val="00A40031"/>
    <w:rsid w:val="00A406E7"/>
    <w:rsid w:val="00A4225C"/>
    <w:rsid w:val="00A42E2E"/>
    <w:rsid w:val="00A43AF6"/>
    <w:rsid w:val="00A43C9C"/>
    <w:rsid w:val="00A441D4"/>
    <w:rsid w:val="00A4559A"/>
    <w:rsid w:val="00A45731"/>
    <w:rsid w:val="00A45F06"/>
    <w:rsid w:val="00A46161"/>
    <w:rsid w:val="00A476C3"/>
    <w:rsid w:val="00A47ACB"/>
    <w:rsid w:val="00A47FDE"/>
    <w:rsid w:val="00A50176"/>
    <w:rsid w:val="00A508C8"/>
    <w:rsid w:val="00A50D11"/>
    <w:rsid w:val="00A52524"/>
    <w:rsid w:val="00A525AB"/>
    <w:rsid w:val="00A52A81"/>
    <w:rsid w:val="00A52B7C"/>
    <w:rsid w:val="00A53091"/>
    <w:rsid w:val="00A534DF"/>
    <w:rsid w:val="00A53FFE"/>
    <w:rsid w:val="00A543D8"/>
    <w:rsid w:val="00A54433"/>
    <w:rsid w:val="00A546C1"/>
    <w:rsid w:val="00A5477C"/>
    <w:rsid w:val="00A54C4F"/>
    <w:rsid w:val="00A56934"/>
    <w:rsid w:val="00A56A5E"/>
    <w:rsid w:val="00A57C9A"/>
    <w:rsid w:val="00A57F83"/>
    <w:rsid w:val="00A609C8"/>
    <w:rsid w:val="00A60E44"/>
    <w:rsid w:val="00A61706"/>
    <w:rsid w:val="00A61DB9"/>
    <w:rsid w:val="00A62A80"/>
    <w:rsid w:val="00A62AE4"/>
    <w:rsid w:val="00A62D98"/>
    <w:rsid w:val="00A64A3A"/>
    <w:rsid w:val="00A652CC"/>
    <w:rsid w:val="00A66030"/>
    <w:rsid w:val="00A66EA3"/>
    <w:rsid w:val="00A67195"/>
    <w:rsid w:val="00A67211"/>
    <w:rsid w:val="00A6752C"/>
    <w:rsid w:val="00A70289"/>
    <w:rsid w:val="00A70E77"/>
    <w:rsid w:val="00A713B1"/>
    <w:rsid w:val="00A716A6"/>
    <w:rsid w:val="00A716D2"/>
    <w:rsid w:val="00A71806"/>
    <w:rsid w:val="00A71B5A"/>
    <w:rsid w:val="00A72030"/>
    <w:rsid w:val="00A72598"/>
    <w:rsid w:val="00A75390"/>
    <w:rsid w:val="00A755D7"/>
    <w:rsid w:val="00A758DC"/>
    <w:rsid w:val="00A75989"/>
    <w:rsid w:val="00A762A0"/>
    <w:rsid w:val="00A77038"/>
    <w:rsid w:val="00A77A59"/>
    <w:rsid w:val="00A80766"/>
    <w:rsid w:val="00A80AF7"/>
    <w:rsid w:val="00A80F5F"/>
    <w:rsid w:val="00A80FC2"/>
    <w:rsid w:val="00A81952"/>
    <w:rsid w:val="00A819F4"/>
    <w:rsid w:val="00A82040"/>
    <w:rsid w:val="00A82094"/>
    <w:rsid w:val="00A82D4D"/>
    <w:rsid w:val="00A8333B"/>
    <w:rsid w:val="00A839C6"/>
    <w:rsid w:val="00A83A1E"/>
    <w:rsid w:val="00A84FC4"/>
    <w:rsid w:val="00A8694D"/>
    <w:rsid w:val="00A86DFA"/>
    <w:rsid w:val="00A87A65"/>
    <w:rsid w:val="00A912C9"/>
    <w:rsid w:val="00A91D50"/>
    <w:rsid w:val="00A93A94"/>
    <w:rsid w:val="00A9423F"/>
    <w:rsid w:val="00A94307"/>
    <w:rsid w:val="00A947DB"/>
    <w:rsid w:val="00A94922"/>
    <w:rsid w:val="00A94A98"/>
    <w:rsid w:val="00A94B55"/>
    <w:rsid w:val="00A958DE"/>
    <w:rsid w:val="00A95D51"/>
    <w:rsid w:val="00A969F2"/>
    <w:rsid w:val="00AA06EB"/>
    <w:rsid w:val="00AA0F1F"/>
    <w:rsid w:val="00AA1F16"/>
    <w:rsid w:val="00AA209E"/>
    <w:rsid w:val="00AA2F4C"/>
    <w:rsid w:val="00AA3311"/>
    <w:rsid w:val="00AA3419"/>
    <w:rsid w:val="00AA48F1"/>
    <w:rsid w:val="00AA576B"/>
    <w:rsid w:val="00AB167D"/>
    <w:rsid w:val="00AB1DCA"/>
    <w:rsid w:val="00AB34C9"/>
    <w:rsid w:val="00AB43A9"/>
    <w:rsid w:val="00AB5C02"/>
    <w:rsid w:val="00AB6003"/>
    <w:rsid w:val="00AC1091"/>
    <w:rsid w:val="00AC1667"/>
    <w:rsid w:val="00AC291F"/>
    <w:rsid w:val="00AC3EF1"/>
    <w:rsid w:val="00AC3F43"/>
    <w:rsid w:val="00AC6073"/>
    <w:rsid w:val="00AD0686"/>
    <w:rsid w:val="00AD0970"/>
    <w:rsid w:val="00AD0D5B"/>
    <w:rsid w:val="00AD12FA"/>
    <w:rsid w:val="00AD27E9"/>
    <w:rsid w:val="00AD3292"/>
    <w:rsid w:val="00AD493A"/>
    <w:rsid w:val="00AD49C4"/>
    <w:rsid w:val="00AD4A4D"/>
    <w:rsid w:val="00AD7642"/>
    <w:rsid w:val="00AD7857"/>
    <w:rsid w:val="00AD7E23"/>
    <w:rsid w:val="00AD7F7C"/>
    <w:rsid w:val="00AE010C"/>
    <w:rsid w:val="00AE1048"/>
    <w:rsid w:val="00AE189E"/>
    <w:rsid w:val="00AE24EA"/>
    <w:rsid w:val="00AE2944"/>
    <w:rsid w:val="00AE3ACE"/>
    <w:rsid w:val="00AE3B5B"/>
    <w:rsid w:val="00AE41E1"/>
    <w:rsid w:val="00AE438D"/>
    <w:rsid w:val="00AE45B2"/>
    <w:rsid w:val="00AE4BA6"/>
    <w:rsid w:val="00AE5BF8"/>
    <w:rsid w:val="00AE626B"/>
    <w:rsid w:val="00AE6899"/>
    <w:rsid w:val="00AE73FD"/>
    <w:rsid w:val="00AE782E"/>
    <w:rsid w:val="00AF03C0"/>
    <w:rsid w:val="00AF0815"/>
    <w:rsid w:val="00AF1981"/>
    <w:rsid w:val="00AF1DF9"/>
    <w:rsid w:val="00AF26A2"/>
    <w:rsid w:val="00AF3A86"/>
    <w:rsid w:val="00AF57B6"/>
    <w:rsid w:val="00AF6F6C"/>
    <w:rsid w:val="00AF7073"/>
    <w:rsid w:val="00AF7608"/>
    <w:rsid w:val="00AF79FC"/>
    <w:rsid w:val="00AF7FA5"/>
    <w:rsid w:val="00B02085"/>
    <w:rsid w:val="00B02550"/>
    <w:rsid w:val="00B027A1"/>
    <w:rsid w:val="00B027B7"/>
    <w:rsid w:val="00B0287C"/>
    <w:rsid w:val="00B02C08"/>
    <w:rsid w:val="00B037A7"/>
    <w:rsid w:val="00B04559"/>
    <w:rsid w:val="00B048AE"/>
    <w:rsid w:val="00B0545C"/>
    <w:rsid w:val="00B05D6D"/>
    <w:rsid w:val="00B073A0"/>
    <w:rsid w:val="00B079C3"/>
    <w:rsid w:val="00B079F2"/>
    <w:rsid w:val="00B07DBE"/>
    <w:rsid w:val="00B102B0"/>
    <w:rsid w:val="00B10EF3"/>
    <w:rsid w:val="00B111CC"/>
    <w:rsid w:val="00B1156F"/>
    <w:rsid w:val="00B11FED"/>
    <w:rsid w:val="00B12011"/>
    <w:rsid w:val="00B12315"/>
    <w:rsid w:val="00B12F33"/>
    <w:rsid w:val="00B140B4"/>
    <w:rsid w:val="00B14D49"/>
    <w:rsid w:val="00B14F66"/>
    <w:rsid w:val="00B15AAE"/>
    <w:rsid w:val="00B164D5"/>
    <w:rsid w:val="00B17689"/>
    <w:rsid w:val="00B177B7"/>
    <w:rsid w:val="00B2085F"/>
    <w:rsid w:val="00B20A27"/>
    <w:rsid w:val="00B2276D"/>
    <w:rsid w:val="00B22B36"/>
    <w:rsid w:val="00B22F6C"/>
    <w:rsid w:val="00B23271"/>
    <w:rsid w:val="00B23B24"/>
    <w:rsid w:val="00B24CB5"/>
    <w:rsid w:val="00B24D2F"/>
    <w:rsid w:val="00B2543C"/>
    <w:rsid w:val="00B257B0"/>
    <w:rsid w:val="00B25CA4"/>
    <w:rsid w:val="00B25CF8"/>
    <w:rsid w:val="00B25FE8"/>
    <w:rsid w:val="00B26028"/>
    <w:rsid w:val="00B268DD"/>
    <w:rsid w:val="00B27723"/>
    <w:rsid w:val="00B30E96"/>
    <w:rsid w:val="00B329FF"/>
    <w:rsid w:val="00B32E8C"/>
    <w:rsid w:val="00B33530"/>
    <w:rsid w:val="00B3384E"/>
    <w:rsid w:val="00B33D17"/>
    <w:rsid w:val="00B33FA8"/>
    <w:rsid w:val="00B344A9"/>
    <w:rsid w:val="00B354E1"/>
    <w:rsid w:val="00B36473"/>
    <w:rsid w:val="00B36F20"/>
    <w:rsid w:val="00B371AA"/>
    <w:rsid w:val="00B42052"/>
    <w:rsid w:val="00B446C3"/>
    <w:rsid w:val="00B44EFD"/>
    <w:rsid w:val="00B45313"/>
    <w:rsid w:val="00B46312"/>
    <w:rsid w:val="00B464FB"/>
    <w:rsid w:val="00B46D67"/>
    <w:rsid w:val="00B47DC3"/>
    <w:rsid w:val="00B50168"/>
    <w:rsid w:val="00B52744"/>
    <w:rsid w:val="00B5343F"/>
    <w:rsid w:val="00B5355F"/>
    <w:rsid w:val="00B538DB"/>
    <w:rsid w:val="00B5659A"/>
    <w:rsid w:val="00B5664B"/>
    <w:rsid w:val="00B575A8"/>
    <w:rsid w:val="00B6058B"/>
    <w:rsid w:val="00B60B3A"/>
    <w:rsid w:val="00B616A6"/>
    <w:rsid w:val="00B61B52"/>
    <w:rsid w:val="00B62513"/>
    <w:rsid w:val="00B6300F"/>
    <w:rsid w:val="00B6373E"/>
    <w:rsid w:val="00B6406A"/>
    <w:rsid w:val="00B6430C"/>
    <w:rsid w:val="00B64818"/>
    <w:rsid w:val="00B65B93"/>
    <w:rsid w:val="00B712B2"/>
    <w:rsid w:val="00B71FAA"/>
    <w:rsid w:val="00B72265"/>
    <w:rsid w:val="00B7240B"/>
    <w:rsid w:val="00B72802"/>
    <w:rsid w:val="00B72CCA"/>
    <w:rsid w:val="00B73922"/>
    <w:rsid w:val="00B755F4"/>
    <w:rsid w:val="00B75758"/>
    <w:rsid w:val="00B75B04"/>
    <w:rsid w:val="00B75D5F"/>
    <w:rsid w:val="00B75DBC"/>
    <w:rsid w:val="00B7630A"/>
    <w:rsid w:val="00B76659"/>
    <w:rsid w:val="00B76F35"/>
    <w:rsid w:val="00B77385"/>
    <w:rsid w:val="00B804F9"/>
    <w:rsid w:val="00B808C0"/>
    <w:rsid w:val="00B81768"/>
    <w:rsid w:val="00B81E75"/>
    <w:rsid w:val="00B82662"/>
    <w:rsid w:val="00B82EEF"/>
    <w:rsid w:val="00B844CA"/>
    <w:rsid w:val="00B84D34"/>
    <w:rsid w:val="00B85070"/>
    <w:rsid w:val="00B85651"/>
    <w:rsid w:val="00B856B3"/>
    <w:rsid w:val="00B856F5"/>
    <w:rsid w:val="00B8572F"/>
    <w:rsid w:val="00B859AF"/>
    <w:rsid w:val="00B85AD6"/>
    <w:rsid w:val="00B85BF5"/>
    <w:rsid w:val="00B86F81"/>
    <w:rsid w:val="00B86FE7"/>
    <w:rsid w:val="00B87959"/>
    <w:rsid w:val="00B90FA5"/>
    <w:rsid w:val="00B91375"/>
    <w:rsid w:val="00B9262B"/>
    <w:rsid w:val="00B92670"/>
    <w:rsid w:val="00B92B5B"/>
    <w:rsid w:val="00B92F4F"/>
    <w:rsid w:val="00B9329C"/>
    <w:rsid w:val="00B93ED1"/>
    <w:rsid w:val="00B941D5"/>
    <w:rsid w:val="00B94CA8"/>
    <w:rsid w:val="00B95D10"/>
    <w:rsid w:val="00B96444"/>
    <w:rsid w:val="00B96AC2"/>
    <w:rsid w:val="00B97F72"/>
    <w:rsid w:val="00BA072B"/>
    <w:rsid w:val="00BA181D"/>
    <w:rsid w:val="00BA1837"/>
    <w:rsid w:val="00BA1E48"/>
    <w:rsid w:val="00BA24A7"/>
    <w:rsid w:val="00BA2E8A"/>
    <w:rsid w:val="00BA2F1E"/>
    <w:rsid w:val="00BA31F8"/>
    <w:rsid w:val="00BA35EC"/>
    <w:rsid w:val="00BA3F80"/>
    <w:rsid w:val="00BA460C"/>
    <w:rsid w:val="00BA4F1C"/>
    <w:rsid w:val="00BA51EC"/>
    <w:rsid w:val="00BA6AC5"/>
    <w:rsid w:val="00BA6C5F"/>
    <w:rsid w:val="00BA6F96"/>
    <w:rsid w:val="00BA732D"/>
    <w:rsid w:val="00BA75A3"/>
    <w:rsid w:val="00BB0A70"/>
    <w:rsid w:val="00BB0BA2"/>
    <w:rsid w:val="00BB16DC"/>
    <w:rsid w:val="00BB24C2"/>
    <w:rsid w:val="00BB2A72"/>
    <w:rsid w:val="00BB2BB9"/>
    <w:rsid w:val="00BB419A"/>
    <w:rsid w:val="00BB4B4E"/>
    <w:rsid w:val="00BB4C21"/>
    <w:rsid w:val="00BB5E4D"/>
    <w:rsid w:val="00BB7BC5"/>
    <w:rsid w:val="00BC0661"/>
    <w:rsid w:val="00BC1AA8"/>
    <w:rsid w:val="00BC27DB"/>
    <w:rsid w:val="00BC2AB0"/>
    <w:rsid w:val="00BC2AD8"/>
    <w:rsid w:val="00BC43EE"/>
    <w:rsid w:val="00BC5847"/>
    <w:rsid w:val="00BC611A"/>
    <w:rsid w:val="00BC64FA"/>
    <w:rsid w:val="00BC6A56"/>
    <w:rsid w:val="00BC6BFD"/>
    <w:rsid w:val="00BC6DF1"/>
    <w:rsid w:val="00BC7C65"/>
    <w:rsid w:val="00BD1575"/>
    <w:rsid w:val="00BD38D5"/>
    <w:rsid w:val="00BD502B"/>
    <w:rsid w:val="00BD52D7"/>
    <w:rsid w:val="00BD6384"/>
    <w:rsid w:val="00BD64CE"/>
    <w:rsid w:val="00BD6EFE"/>
    <w:rsid w:val="00BD7CE3"/>
    <w:rsid w:val="00BE12A0"/>
    <w:rsid w:val="00BE25C3"/>
    <w:rsid w:val="00BE353F"/>
    <w:rsid w:val="00BE3696"/>
    <w:rsid w:val="00BE3BD7"/>
    <w:rsid w:val="00BE51A3"/>
    <w:rsid w:val="00BE5701"/>
    <w:rsid w:val="00BE6529"/>
    <w:rsid w:val="00BE6DB8"/>
    <w:rsid w:val="00BE7868"/>
    <w:rsid w:val="00BE7A59"/>
    <w:rsid w:val="00BF06A3"/>
    <w:rsid w:val="00BF090F"/>
    <w:rsid w:val="00BF0ACF"/>
    <w:rsid w:val="00BF1582"/>
    <w:rsid w:val="00BF15B1"/>
    <w:rsid w:val="00BF2A3C"/>
    <w:rsid w:val="00BF2AAD"/>
    <w:rsid w:val="00BF3874"/>
    <w:rsid w:val="00BF41E1"/>
    <w:rsid w:val="00BF420C"/>
    <w:rsid w:val="00BF60FA"/>
    <w:rsid w:val="00BF68F6"/>
    <w:rsid w:val="00C000BD"/>
    <w:rsid w:val="00C011C5"/>
    <w:rsid w:val="00C0131C"/>
    <w:rsid w:val="00C03A4B"/>
    <w:rsid w:val="00C042C6"/>
    <w:rsid w:val="00C04879"/>
    <w:rsid w:val="00C0604A"/>
    <w:rsid w:val="00C06707"/>
    <w:rsid w:val="00C06901"/>
    <w:rsid w:val="00C06E9B"/>
    <w:rsid w:val="00C10A58"/>
    <w:rsid w:val="00C10D30"/>
    <w:rsid w:val="00C10F0A"/>
    <w:rsid w:val="00C12A38"/>
    <w:rsid w:val="00C13D50"/>
    <w:rsid w:val="00C14007"/>
    <w:rsid w:val="00C151B2"/>
    <w:rsid w:val="00C156F0"/>
    <w:rsid w:val="00C15D07"/>
    <w:rsid w:val="00C16042"/>
    <w:rsid w:val="00C17742"/>
    <w:rsid w:val="00C20D8C"/>
    <w:rsid w:val="00C223FC"/>
    <w:rsid w:val="00C22863"/>
    <w:rsid w:val="00C23260"/>
    <w:rsid w:val="00C233DD"/>
    <w:rsid w:val="00C24415"/>
    <w:rsid w:val="00C24744"/>
    <w:rsid w:val="00C2643F"/>
    <w:rsid w:val="00C2799D"/>
    <w:rsid w:val="00C301E3"/>
    <w:rsid w:val="00C30F34"/>
    <w:rsid w:val="00C311F3"/>
    <w:rsid w:val="00C31A94"/>
    <w:rsid w:val="00C33600"/>
    <w:rsid w:val="00C33EDF"/>
    <w:rsid w:val="00C346ED"/>
    <w:rsid w:val="00C35336"/>
    <w:rsid w:val="00C35FC5"/>
    <w:rsid w:val="00C3706A"/>
    <w:rsid w:val="00C372AC"/>
    <w:rsid w:val="00C372E1"/>
    <w:rsid w:val="00C400B7"/>
    <w:rsid w:val="00C41869"/>
    <w:rsid w:val="00C4230B"/>
    <w:rsid w:val="00C4248E"/>
    <w:rsid w:val="00C444AA"/>
    <w:rsid w:val="00C4467C"/>
    <w:rsid w:val="00C44BD6"/>
    <w:rsid w:val="00C45A17"/>
    <w:rsid w:val="00C45AE3"/>
    <w:rsid w:val="00C45C8E"/>
    <w:rsid w:val="00C46307"/>
    <w:rsid w:val="00C4775C"/>
    <w:rsid w:val="00C50BD1"/>
    <w:rsid w:val="00C50EB3"/>
    <w:rsid w:val="00C517B0"/>
    <w:rsid w:val="00C53925"/>
    <w:rsid w:val="00C53F00"/>
    <w:rsid w:val="00C54561"/>
    <w:rsid w:val="00C56655"/>
    <w:rsid w:val="00C57E5A"/>
    <w:rsid w:val="00C613B7"/>
    <w:rsid w:val="00C613E1"/>
    <w:rsid w:val="00C6216A"/>
    <w:rsid w:val="00C62808"/>
    <w:rsid w:val="00C62B6B"/>
    <w:rsid w:val="00C6314A"/>
    <w:rsid w:val="00C63257"/>
    <w:rsid w:val="00C636D7"/>
    <w:rsid w:val="00C63CF6"/>
    <w:rsid w:val="00C646F3"/>
    <w:rsid w:val="00C658C8"/>
    <w:rsid w:val="00C662C3"/>
    <w:rsid w:val="00C66BEE"/>
    <w:rsid w:val="00C6729B"/>
    <w:rsid w:val="00C703A8"/>
    <w:rsid w:val="00C707CB"/>
    <w:rsid w:val="00C711F5"/>
    <w:rsid w:val="00C7162A"/>
    <w:rsid w:val="00C720FE"/>
    <w:rsid w:val="00C73249"/>
    <w:rsid w:val="00C73AFA"/>
    <w:rsid w:val="00C73C11"/>
    <w:rsid w:val="00C74FA8"/>
    <w:rsid w:val="00C756A6"/>
    <w:rsid w:val="00C75954"/>
    <w:rsid w:val="00C76B15"/>
    <w:rsid w:val="00C77B7D"/>
    <w:rsid w:val="00C800A8"/>
    <w:rsid w:val="00C80229"/>
    <w:rsid w:val="00C80676"/>
    <w:rsid w:val="00C80D4C"/>
    <w:rsid w:val="00C80DED"/>
    <w:rsid w:val="00C812A6"/>
    <w:rsid w:val="00C8150F"/>
    <w:rsid w:val="00C8192E"/>
    <w:rsid w:val="00C8219B"/>
    <w:rsid w:val="00C82238"/>
    <w:rsid w:val="00C8279D"/>
    <w:rsid w:val="00C82872"/>
    <w:rsid w:val="00C82A7B"/>
    <w:rsid w:val="00C836D7"/>
    <w:rsid w:val="00C839C7"/>
    <w:rsid w:val="00C84096"/>
    <w:rsid w:val="00C843BA"/>
    <w:rsid w:val="00C845D2"/>
    <w:rsid w:val="00C84A08"/>
    <w:rsid w:val="00C85732"/>
    <w:rsid w:val="00C86052"/>
    <w:rsid w:val="00C86136"/>
    <w:rsid w:val="00C862BD"/>
    <w:rsid w:val="00C86EDF"/>
    <w:rsid w:val="00C87448"/>
    <w:rsid w:val="00C87EED"/>
    <w:rsid w:val="00C9008F"/>
    <w:rsid w:val="00C90C91"/>
    <w:rsid w:val="00C910BF"/>
    <w:rsid w:val="00C92BD2"/>
    <w:rsid w:val="00C92E67"/>
    <w:rsid w:val="00C93916"/>
    <w:rsid w:val="00C93A2B"/>
    <w:rsid w:val="00C93FD1"/>
    <w:rsid w:val="00C94DB1"/>
    <w:rsid w:val="00C9544A"/>
    <w:rsid w:val="00C96450"/>
    <w:rsid w:val="00C967C9"/>
    <w:rsid w:val="00C9695A"/>
    <w:rsid w:val="00C96AA4"/>
    <w:rsid w:val="00C97279"/>
    <w:rsid w:val="00CA0E57"/>
    <w:rsid w:val="00CA1FBE"/>
    <w:rsid w:val="00CA28A7"/>
    <w:rsid w:val="00CA2C52"/>
    <w:rsid w:val="00CA35F1"/>
    <w:rsid w:val="00CA4B9F"/>
    <w:rsid w:val="00CA50E0"/>
    <w:rsid w:val="00CA54DC"/>
    <w:rsid w:val="00CA5714"/>
    <w:rsid w:val="00CA65AB"/>
    <w:rsid w:val="00CA7111"/>
    <w:rsid w:val="00CA7207"/>
    <w:rsid w:val="00CA73E4"/>
    <w:rsid w:val="00CA7BE9"/>
    <w:rsid w:val="00CB0891"/>
    <w:rsid w:val="00CB0B6C"/>
    <w:rsid w:val="00CB184C"/>
    <w:rsid w:val="00CB1EC0"/>
    <w:rsid w:val="00CB2320"/>
    <w:rsid w:val="00CB2612"/>
    <w:rsid w:val="00CB2A45"/>
    <w:rsid w:val="00CB300F"/>
    <w:rsid w:val="00CB3971"/>
    <w:rsid w:val="00CB4086"/>
    <w:rsid w:val="00CB5211"/>
    <w:rsid w:val="00CB541C"/>
    <w:rsid w:val="00CB564E"/>
    <w:rsid w:val="00CB602B"/>
    <w:rsid w:val="00CB6674"/>
    <w:rsid w:val="00CB7524"/>
    <w:rsid w:val="00CB75C0"/>
    <w:rsid w:val="00CB777E"/>
    <w:rsid w:val="00CB7B2E"/>
    <w:rsid w:val="00CB7E1F"/>
    <w:rsid w:val="00CC0D37"/>
    <w:rsid w:val="00CC14A8"/>
    <w:rsid w:val="00CC1DE6"/>
    <w:rsid w:val="00CC2200"/>
    <w:rsid w:val="00CC26BE"/>
    <w:rsid w:val="00CC2F49"/>
    <w:rsid w:val="00CC3182"/>
    <w:rsid w:val="00CC49E9"/>
    <w:rsid w:val="00CC4D66"/>
    <w:rsid w:val="00CC5B8D"/>
    <w:rsid w:val="00CC5C9D"/>
    <w:rsid w:val="00CC728E"/>
    <w:rsid w:val="00CC732C"/>
    <w:rsid w:val="00CC7494"/>
    <w:rsid w:val="00CD0EA9"/>
    <w:rsid w:val="00CD198B"/>
    <w:rsid w:val="00CD2107"/>
    <w:rsid w:val="00CD26B9"/>
    <w:rsid w:val="00CD2FEF"/>
    <w:rsid w:val="00CD30D6"/>
    <w:rsid w:val="00CD3447"/>
    <w:rsid w:val="00CD3C65"/>
    <w:rsid w:val="00CD4493"/>
    <w:rsid w:val="00CD5CB3"/>
    <w:rsid w:val="00CD6D7C"/>
    <w:rsid w:val="00CD7122"/>
    <w:rsid w:val="00CD7999"/>
    <w:rsid w:val="00CE05A4"/>
    <w:rsid w:val="00CE069B"/>
    <w:rsid w:val="00CE0F5C"/>
    <w:rsid w:val="00CE15C5"/>
    <w:rsid w:val="00CE2D90"/>
    <w:rsid w:val="00CE3465"/>
    <w:rsid w:val="00CE34DA"/>
    <w:rsid w:val="00CE3CBF"/>
    <w:rsid w:val="00CE4257"/>
    <w:rsid w:val="00CE56CA"/>
    <w:rsid w:val="00CE5D56"/>
    <w:rsid w:val="00CE61AF"/>
    <w:rsid w:val="00CE61F3"/>
    <w:rsid w:val="00CE7D09"/>
    <w:rsid w:val="00CE7FB8"/>
    <w:rsid w:val="00CF01BA"/>
    <w:rsid w:val="00CF07CB"/>
    <w:rsid w:val="00CF0C23"/>
    <w:rsid w:val="00CF2110"/>
    <w:rsid w:val="00CF2339"/>
    <w:rsid w:val="00CF2E12"/>
    <w:rsid w:val="00CF467C"/>
    <w:rsid w:val="00CF4E47"/>
    <w:rsid w:val="00CF534D"/>
    <w:rsid w:val="00CF59A8"/>
    <w:rsid w:val="00CF5EAA"/>
    <w:rsid w:val="00CF6707"/>
    <w:rsid w:val="00CF79C1"/>
    <w:rsid w:val="00CF7E9B"/>
    <w:rsid w:val="00D0027D"/>
    <w:rsid w:val="00D015C5"/>
    <w:rsid w:val="00D01DEA"/>
    <w:rsid w:val="00D03332"/>
    <w:rsid w:val="00D03EB8"/>
    <w:rsid w:val="00D06AD0"/>
    <w:rsid w:val="00D10262"/>
    <w:rsid w:val="00D102DE"/>
    <w:rsid w:val="00D105D5"/>
    <w:rsid w:val="00D10D09"/>
    <w:rsid w:val="00D12CC5"/>
    <w:rsid w:val="00D1301E"/>
    <w:rsid w:val="00D131C1"/>
    <w:rsid w:val="00D136E3"/>
    <w:rsid w:val="00D141E0"/>
    <w:rsid w:val="00D14BA1"/>
    <w:rsid w:val="00D14BF0"/>
    <w:rsid w:val="00D1569C"/>
    <w:rsid w:val="00D156C2"/>
    <w:rsid w:val="00D16BEA"/>
    <w:rsid w:val="00D171F2"/>
    <w:rsid w:val="00D17638"/>
    <w:rsid w:val="00D17A7E"/>
    <w:rsid w:val="00D209D1"/>
    <w:rsid w:val="00D20E83"/>
    <w:rsid w:val="00D21C02"/>
    <w:rsid w:val="00D21D75"/>
    <w:rsid w:val="00D21FD8"/>
    <w:rsid w:val="00D22246"/>
    <w:rsid w:val="00D22AAA"/>
    <w:rsid w:val="00D25270"/>
    <w:rsid w:val="00D2539F"/>
    <w:rsid w:val="00D3078F"/>
    <w:rsid w:val="00D3083C"/>
    <w:rsid w:val="00D30C09"/>
    <w:rsid w:val="00D30E52"/>
    <w:rsid w:val="00D31185"/>
    <w:rsid w:val="00D31D4A"/>
    <w:rsid w:val="00D32459"/>
    <w:rsid w:val="00D32544"/>
    <w:rsid w:val="00D32865"/>
    <w:rsid w:val="00D32BBC"/>
    <w:rsid w:val="00D34D60"/>
    <w:rsid w:val="00D3581A"/>
    <w:rsid w:val="00D359A2"/>
    <w:rsid w:val="00D360FD"/>
    <w:rsid w:val="00D3637A"/>
    <w:rsid w:val="00D3700B"/>
    <w:rsid w:val="00D3728E"/>
    <w:rsid w:val="00D37FE6"/>
    <w:rsid w:val="00D4045D"/>
    <w:rsid w:val="00D40A40"/>
    <w:rsid w:val="00D40C84"/>
    <w:rsid w:val="00D41396"/>
    <w:rsid w:val="00D41436"/>
    <w:rsid w:val="00D41E54"/>
    <w:rsid w:val="00D426CA"/>
    <w:rsid w:val="00D428A8"/>
    <w:rsid w:val="00D43663"/>
    <w:rsid w:val="00D44A37"/>
    <w:rsid w:val="00D45E40"/>
    <w:rsid w:val="00D503BA"/>
    <w:rsid w:val="00D522FB"/>
    <w:rsid w:val="00D52A01"/>
    <w:rsid w:val="00D5337E"/>
    <w:rsid w:val="00D5354C"/>
    <w:rsid w:val="00D53703"/>
    <w:rsid w:val="00D53F27"/>
    <w:rsid w:val="00D54332"/>
    <w:rsid w:val="00D55E26"/>
    <w:rsid w:val="00D56455"/>
    <w:rsid w:val="00D57105"/>
    <w:rsid w:val="00D574B5"/>
    <w:rsid w:val="00D60A65"/>
    <w:rsid w:val="00D60DE8"/>
    <w:rsid w:val="00D61323"/>
    <w:rsid w:val="00D62AB8"/>
    <w:rsid w:val="00D63A8D"/>
    <w:rsid w:val="00D64276"/>
    <w:rsid w:val="00D64ED2"/>
    <w:rsid w:val="00D66136"/>
    <w:rsid w:val="00D66A16"/>
    <w:rsid w:val="00D705EE"/>
    <w:rsid w:val="00D71076"/>
    <w:rsid w:val="00D72281"/>
    <w:rsid w:val="00D73CD5"/>
    <w:rsid w:val="00D751A4"/>
    <w:rsid w:val="00D7619B"/>
    <w:rsid w:val="00D769E7"/>
    <w:rsid w:val="00D76C6C"/>
    <w:rsid w:val="00D7717B"/>
    <w:rsid w:val="00D804A2"/>
    <w:rsid w:val="00D80D91"/>
    <w:rsid w:val="00D82E87"/>
    <w:rsid w:val="00D83E43"/>
    <w:rsid w:val="00D84093"/>
    <w:rsid w:val="00D843E3"/>
    <w:rsid w:val="00D845F3"/>
    <w:rsid w:val="00D846A1"/>
    <w:rsid w:val="00D84B8B"/>
    <w:rsid w:val="00D87858"/>
    <w:rsid w:val="00D87D7C"/>
    <w:rsid w:val="00D90E36"/>
    <w:rsid w:val="00D911F4"/>
    <w:rsid w:val="00D91913"/>
    <w:rsid w:val="00D91CE5"/>
    <w:rsid w:val="00D9322F"/>
    <w:rsid w:val="00D938D1"/>
    <w:rsid w:val="00D93E06"/>
    <w:rsid w:val="00D9421A"/>
    <w:rsid w:val="00D9426E"/>
    <w:rsid w:val="00D952CA"/>
    <w:rsid w:val="00D95442"/>
    <w:rsid w:val="00D96A4E"/>
    <w:rsid w:val="00D96CAB"/>
    <w:rsid w:val="00DA0884"/>
    <w:rsid w:val="00DA0D5A"/>
    <w:rsid w:val="00DA1CFE"/>
    <w:rsid w:val="00DA1F63"/>
    <w:rsid w:val="00DA2238"/>
    <w:rsid w:val="00DA2DC0"/>
    <w:rsid w:val="00DA321D"/>
    <w:rsid w:val="00DA34A8"/>
    <w:rsid w:val="00DA354D"/>
    <w:rsid w:val="00DA4190"/>
    <w:rsid w:val="00DA4381"/>
    <w:rsid w:val="00DA5CD4"/>
    <w:rsid w:val="00DA670A"/>
    <w:rsid w:val="00DA6887"/>
    <w:rsid w:val="00DA6D2E"/>
    <w:rsid w:val="00DA7047"/>
    <w:rsid w:val="00DA7BFB"/>
    <w:rsid w:val="00DB032E"/>
    <w:rsid w:val="00DB0750"/>
    <w:rsid w:val="00DB2A56"/>
    <w:rsid w:val="00DB3A99"/>
    <w:rsid w:val="00DB43A9"/>
    <w:rsid w:val="00DB4BD3"/>
    <w:rsid w:val="00DB55F1"/>
    <w:rsid w:val="00DB5DD5"/>
    <w:rsid w:val="00DB6915"/>
    <w:rsid w:val="00DB7C6E"/>
    <w:rsid w:val="00DC013F"/>
    <w:rsid w:val="00DC038F"/>
    <w:rsid w:val="00DC099A"/>
    <w:rsid w:val="00DC09EE"/>
    <w:rsid w:val="00DC0E11"/>
    <w:rsid w:val="00DC1852"/>
    <w:rsid w:val="00DC24FC"/>
    <w:rsid w:val="00DC2A38"/>
    <w:rsid w:val="00DC2EBB"/>
    <w:rsid w:val="00DC3642"/>
    <w:rsid w:val="00DC3E21"/>
    <w:rsid w:val="00DC449F"/>
    <w:rsid w:val="00DC4B97"/>
    <w:rsid w:val="00DC51D2"/>
    <w:rsid w:val="00DC52E3"/>
    <w:rsid w:val="00DC630A"/>
    <w:rsid w:val="00DC783F"/>
    <w:rsid w:val="00DD027F"/>
    <w:rsid w:val="00DD0785"/>
    <w:rsid w:val="00DD1165"/>
    <w:rsid w:val="00DD423A"/>
    <w:rsid w:val="00DD569A"/>
    <w:rsid w:val="00DD58E4"/>
    <w:rsid w:val="00DD5B7B"/>
    <w:rsid w:val="00DD5C7E"/>
    <w:rsid w:val="00DD6693"/>
    <w:rsid w:val="00DD7045"/>
    <w:rsid w:val="00DD72DA"/>
    <w:rsid w:val="00DD7C9C"/>
    <w:rsid w:val="00DE11D6"/>
    <w:rsid w:val="00DE13F9"/>
    <w:rsid w:val="00DE1FC5"/>
    <w:rsid w:val="00DE2282"/>
    <w:rsid w:val="00DE3D52"/>
    <w:rsid w:val="00DE4024"/>
    <w:rsid w:val="00DE4692"/>
    <w:rsid w:val="00DE4C5A"/>
    <w:rsid w:val="00DE51E0"/>
    <w:rsid w:val="00DE6067"/>
    <w:rsid w:val="00DE6608"/>
    <w:rsid w:val="00DE6A11"/>
    <w:rsid w:val="00DE6C7C"/>
    <w:rsid w:val="00DE7461"/>
    <w:rsid w:val="00DE7D8A"/>
    <w:rsid w:val="00DF0DEE"/>
    <w:rsid w:val="00DF204E"/>
    <w:rsid w:val="00DF2395"/>
    <w:rsid w:val="00DF3582"/>
    <w:rsid w:val="00DF3B10"/>
    <w:rsid w:val="00DF3F86"/>
    <w:rsid w:val="00DF4CF8"/>
    <w:rsid w:val="00DF51EE"/>
    <w:rsid w:val="00DF59F5"/>
    <w:rsid w:val="00DF5C88"/>
    <w:rsid w:val="00DF774D"/>
    <w:rsid w:val="00E00105"/>
    <w:rsid w:val="00E02058"/>
    <w:rsid w:val="00E02913"/>
    <w:rsid w:val="00E02AF5"/>
    <w:rsid w:val="00E03803"/>
    <w:rsid w:val="00E046A3"/>
    <w:rsid w:val="00E046AF"/>
    <w:rsid w:val="00E04E62"/>
    <w:rsid w:val="00E059C8"/>
    <w:rsid w:val="00E063C4"/>
    <w:rsid w:val="00E06D4C"/>
    <w:rsid w:val="00E0710A"/>
    <w:rsid w:val="00E0732D"/>
    <w:rsid w:val="00E07C03"/>
    <w:rsid w:val="00E112B3"/>
    <w:rsid w:val="00E11540"/>
    <w:rsid w:val="00E12EAA"/>
    <w:rsid w:val="00E138AC"/>
    <w:rsid w:val="00E15F89"/>
    <w:rsid w:val="00E1753F"/>
    <w:rsid w:val="00E17CFC"/>
    <w:rsid w:val="00E17DE7"/>
    <w:rsid w:val="00E2092A"/>
    <w:rsid w:val="00E209DA"/>
    <w:rsid w:val="00E20C06"/>
    <w:rsid w:val="00E21DD3"/>
    <w:rsid w:val="00E226FE"/>
    <w:rsid w:val="00E22717"/>
    <w:rsid w:val="00E2275A"/>
    <w:rsid w:val="00E23F2F"/>
    <w:rsid w:val="00E24914"/>
    <w:rsid w:val="00E24DAA"/>
    <w:rsid w:val="00E2617F"/>
    <w:rsid w:val="00E269D3"/>
    <w:rsid w:val="00E26FF0"/>
    <w:rsid w:val="00E27E4B"/>
    <w:rsid w:val="00E30093"/>
    <w:rsid w:val="00E305F6"/>
    <w:rsid w:val="00E30F1E"/>
    <w:rsid w:val="00E31B70"/>
    <w:rsid w:val="00E3357D"/>
    <w:rsid w:val="00E33AEF"/>
    <w:rsid w:val="00E34246"/>
    <w:rsid w:val="00E34763"/>
    <w:rsid w:val="00E34CEB"/>
    <w:rsid w:val="00E35DF6"/>
    <w:rsid w:val="00E368A6"/>
    <w:rsid w:val="00E37390"/>
    <w:rsid w:val="00E4061D"/>
    <w:rsid w:val="00E40B7D"/>
    <w:rsid w:val="00E412C1"/>
    <w:rsid w:val="00E4153D"/>
    <w:rsid w:val="00E43DCF"/>
    <w:rsid w:val="00E44EA2"/>
    <w:rsid w:val="00E453F8"/>
    <w:rsid w:val="00E45B60"/>
    <w:rsid w:val="00E47013"/>
    <w:rsid w:val="00E473FE"/>
    <w:rsid w:val="00E47C8E"/>
    <w:rsid w:val="00E50D04"/>
    <w:rsid w:val="00E51412"/>
    <w:rsid w:val="00E519BC"/>
    <w:rsid w:val="00E51A4B"/>
    <w:rsid w:val="00E53368"/>
    <w:rsid w:val="00E54508"/>
    <w:rsid w:val="00E54853"/>
    <w:rsid w:val="00E54A02"/>
    <w:rsid w:val="00E54B6D"/>
    <w:rsid w:val="00E55556"/>
    <w:rsid w:val="00E55B61"/>
    <w:rsid w:val="00E562AF"/>
    <w:rsid w:val="00E56A91"/>
    <w:rsid w:val="00E57621"/>
    <w:rsid w:val="00E6121A"/>
    <w:rsid w:val="00E615ED"/>
    <w:rsid w:val="00E61AE0"/>
    <w:rsid w:val="00E61AE7"/>
    <w:rsid w:val="00E61BB7"/>
    <w:rsid w:val="00E620F0"/>
    <w:rsid w:val="00E6211A"/>
    <w:rsid w:val="00E633F1"/>
    <w:rsid w:val="00E64E4B"/>
    <w:rsid w:val="00E650FF"/>
    <w:rsid w:val="00E65972"/>
    <w:rsid w:val="00E659BF"/>
    <w:rsid w:val="00E65DCB"/>
    <w:rsid w:val="00E65EB2"/>
    <w:rsid w:val="00E65F43"/>
    <w:rsid w:val="00E67944"/>
    <w:rsid w:val="00E67BCD"/>
    <w:rsid w:val="00E703D4"/>
    <w:rsid w:val="00E7137A"/>
    <w:rsid w:val="00E71B4F"/>
    <w:rsid w:val="00E72431"/>
    <w:rsid w:val="00E72733"/>
    <w:rsid w:val="00E7283D"/>
    <w:rsid w:val="00E7291B"/>
    <w:rsid w:val="00E72C98"/>
    <w:rsid w:val="00E74213"/>
    <w:rsid w:val="00E745CA"/>
    <w:rsid w:val="00E755AE"/>
    <w:rsid w:val="00E75E40"/>
    <w:rsid w:val="00E76231"/>
    <w:rsid w:val="00E77386"/>
    <w:rsid w:val="00E81926"/>
    <w:rsid w:val="00E81F68"/>
    <w:rsid w:val="00E82D19"/>
    <w:rsid w:val="00E83850"/>
    <w:rsid w:val="00E84543"/>
    <w:rsid w:val="00E84E01"/>
    <w:rsid w:val="00E84ECC"/>
    <w:rsid w:val="00E85451"/>
    <w:rsid w:val="00E85B8C"/>
    <w:rsid w:val="00E8617D"/>
    <w:rsid w:val="00E86288"/>
    <w:rsid w:val="00E8701E"/>
    <w:rsid w:val="00E87179"/>
    <w:rsid w:val="00E87432"/>
    <w:rsid w:val="00E87DB6"/>
    <w:rsid w:val="00E87F1B"/>
    <w:rsid w:val="00E9087E"/>
    <w:rsid w:val="00E90D5B"/>
    <w:rsid w:val="00E91628"/>
    <w:rsid w:val="00E925B6"/>
    <w:rsid w:val="00E92A48"/>
    <w:rsid w:val="00E93469"/>
    <w:rsid w:val="00E944E7"/>
    <w:rsid w:val="00E94933"/>
    <w:rsid w:val="00E957C4"/>
    <w:rsid w:val="00E9663F"/>
    <w:rsid w:val="00E96651"/>
    <w:rsid w:val="00E97476"/>
    <w:rsid w:val="00EA1688"/>
    <w:rsid w:val="00EA1A20"/>
    <w:rsid w:val="00EA1CF0"/>
    <w:rsid w:val="00EA219E"/>
    <w:rsid w:val="00EA21B0"/>
    <w:rsid w:val="00EA2812"/>
    <w:rsid w:val="00EA2DA7"/>
    <w:rsid w:val="00EA361D"/>
    <w:rsid w:val="00EA3898"/>
    <w:rsid w:val="00EA3B05"/>
    <w:rsid w:val="00EA4828"/>
    <w:rsid w:val="00EA507F"/>
    <w:rsid w:val="00EA61A7"/>
    <w:rsid w:val="00EA6524"/>
    <w:rsid w:val="00EA69F2"/>
    <w:rsid w:val="00EA7433"/>
    <w:rsid w:val="00EB0295"/>
    <w:rsid w:val="00EB0BB6"/>
    <w:rsid w:val="00EB1A07"/>
    <w:rsid w:val="00EB251C"/>
    <w:rsid w:val="00EB349A"/>
    <w:rsid w:val="00EB38DB"/>
    <w:rsid w:val="00EB4D1F"/>
    <w:rsid w:val="00EB6311"/>
    <w:rsid w:val="00EB6549"/>
    <w:rsid w:val="00EB71BE"/>
    <w:rsid w:val="00EB7AFD"/>
    <w:rsid w:val="00EC0525"/>
    <w:rsid w:val="00EC1393"/>
    <w:rsid w:val="00EC17B8"/>
    <w:rsid w:val="00EC3CB1"/>
    <w:rsid w:val="00EC3DE8"/>
    <w:rsid w:val="00EC49E2"/>
    <w:rsid w:val="00EC4EEB"/>
    <w:rsid w:val="00EC4FB4"/>
    <w:rsid w:val="00EC7898"/>
    <w:rsid w:val="00ED08C3"/>
    <w:rsid w:val="00ED13BD"/>
    <w:rsid w:val="00ED16C8"/>
    <w:rsid w:val="00ED1A28"/>
    <w:rsid w:val="00ED1B7A"/>
    <w:rsid w:val="00ED2AD2"/>
    <w:rsid w:val="00ED3128"/>
    <w:rsid w:val="00ED3786"/>
    <w:rsid w:val="00ED3E5F"/>
    <w:rsid w:val="00ED5B29"/>
    <w:rsid w:val="00ED6B2F"/>
    <w:rsid w:val="00ED6B33"/>
    <w:rsid w:val="00ED6B62"/>
    <w:rsid w:val="00EE1148"/>
    <w:rsid w:val="00EE13A6"/>
    <w:rsid w:val="00EE316D"/>
    <w:rsid w:val="00EE5C80"/>
    <w:rsid w:val="00EE65B8"/>
    <w:rsid w:val="00EE70D6"/>
    <w:rsid w:val="00EE72A9"/>
    <w:rsid w:val="00EE7FAD"/>
    <w:rsid w:val="00EF05A9"/>
    <w:rsid w:val="00EF0FB4"/>
    <w:rsid w:val="00EF20F3"/>
    <w:rsid w:val="00EF3394"/>
    <w:rsid w:val="00EF430F"/>
    <w:rsid w:val="00EF46B4"/>
    <w:rsid w:val="00EF5807"/>
    <w:rsid w:val="00EF62F2"/>
    <w:rsid w:val="00EF7508"/>
    <w:rsid w:val="00EF7F72"/>
    <w:rsid w:val="00F00ED1"/>
    <w:rsid w:val="00F01048"/>
    <w:rsid w:val="00F011C9"/>
    <w:rsid w:val="00F01628"/>
    <w:rsid w:val="00F01D4D"/>
    <w:rsid w:val="00F02B89"/>
    <w:rsid w:val="00F03227"/>
    <w:rsid w:val="00F0373F"/>
    <w:rsid w:val="00F04344"/>
    <w:rsid w:val="00F04D9D"/>
    <w:rsid w:val="00F06233"/>
    <w:rsid w:val="00F13D0F"/>
    <w:rsid w:val="00F13DDB"/>
    <w:rsid w:val="00F14631"/>
    <w:rsid w:val="00F15959"/>
    <w:rsid w:val="00F159A9"/>
    <w:rsid w:val="00F160C2"/>
    <w:rsid w:val="00F16485"/>
    <w:rsid w:val="00F1653B"/>
    <w:rsid w:val="00F1703C"/>
    <w:rsid w:val="00F173C8"/>
    <w:rsid w:val="00F17712"/>
    <w:rsid w:val="00F20719"/>
    <w:rsid w:val="00F20DC9"/>
    <w:rsid w:val="00F211D6"/>
    <w:rsid w:val="00F21690"/>
    <w:rsid w:val="00F218A8"/>
    <w:rsid w:val="00F21BAA"/>
    <w:rsid w:val="00F21CFF"/>
    <w:rsid w:val="00F2240A"/>
    <w:rsid w:val="00F2336B"/>
    <w:rsid w:val="00F23C4C"/>
    <w:rsid w:val="00F24A99"/>
    <w:rsid w:val="00F25FD5"/>
    <w:rsid w:val="00F274C9"/>
    <w:rsid w:val="00F27AE1"/>
    <w:rsid w:val="00F30BE7"/>
    <w:rsid w:val="00F323B3"/>
    <w:rsid w:val="00F335C9"/>
    <w:rsid w:val="00F3392F"/>
    <w:rsid w:val="00F33AC2"/>
    <w:rsid w:val="00F34411"/>
    <w:rsid w:val="00F34F1C"/>
    <w:rsid w:val="00F35ED6"/>
    <w:rsid w:val="00F35FE1"/>
    <w:rsid w:val="00F362BF"/>
    <w:rsid w:val="00F366BB"/>
    <w:rsid w:val="00F36FA5"/>
    <w:rsid w:val="00F376A2"/>
    <w:rsid w:val="00F37C2D"/>
    <w:rsid w:val="00F402C5"/>
    <w:rsid w:val="00F40645"/>
    <w:rsid w:val="00F41785"/>
    <w:rsid w:val="00F41E00"/>
    <w:rsid w:val="00F42986"/>
    <w:rsid w:val="00F42A0D"/>
    <w:rsid w:val="00F4385D"/>
    <w:rsid w:val="00F43DA3"/>
    <w:rsid w:val="00F43E8A"/>
    <w:rsid w:val="00F43F09"/>
    <w:rsid w:val="00F440A8"/>
    <w:rsid w:val="00F442AC"/>
    <w:rsid w:val="00F442D1"/>
    <w:rsid w:val="00F44934"/>
    <w:rsid w:val="00F45081"/>
    <w:rsid w:val="00F45572"/>
    <w:rsid w:val="00F45924"/>
    <w:rsid w:val="00F45AD9"/>
    <w:rsid w:val="00F45D7F"/>
    <w:rsid w:val="00F45DCA"/>
    <w:rsid w:val="00F462DF"/>
    <w:rsid w:val="00F46AEC"/>
    <w:rsid w:val="00F46D1A"/>
    <w:rsid w:val="00F47209"/>
    <w:rsid w:val="00F47604"/>
    <w:rsid w:val="00F51376"/>
    <w:rsid w:val="00F51678"/>
    <w:rsid w:val="00F52573"/>
    <w:rsid w:val="00F53D75"/>
    <w:rsid w:val="00F553D5"/>
    <w:rsid w:val="00F5626C"/>
    <w:rsid w:val="00F56532"/>
    <w:rsid w:val="00F56638"/>
    <w:rsid w:val="00F605FD"/>
    <w:rsid w:val="00F61D7C"/>
    <w:rsid w:val="00F64083"/>
    <w:rsid w:val="00F6418B"/>
    <w:rsid w:val="00F647A4"/>
    <w:rsid w:val="00F64F9D"/>
    <w:rsid w:val="00F65508"/>
    <w:rsid w:val="00F65E22"/>
    <w:rsid w:val="00F66168"/>
    <w:rsid w:val="00F676EE"/>
    <w:rsid w:val="00F67F62"/>
    <w:rsid w:val="00F70569"/>
    <w:rsid w:val="00F7095D"/>
    <w:rsid w:val="00F71144"/>
    <w:rsid w:val="00F719E8"/>
    <w:rsid w:val="00F71C27"/>
    <w:rsid w:val="00F721CB"/>
    <w:rsid w:val="00F721DD"/>
    <w:rsid w:val="00F72762"/>
    <w:rsid w:val="00F72C3D"/>
    <w:rsid w:val="00F73A98"/>
    <w:rsid w:val="00F73D5B"/>
    <w:rsid w:val="00F74B5D"/>
    <w:rsid w:val="00F75200"/>
    <w:rsid w:val="00F75947"/>
    <w:rsid w:val="00F75D9B"/>
    <w:rsid w:val="00F77DD5"/>
    <w:rsid w:val="00F801A6"/>
    <w:rsid w:val="00F80B3B"/>
    <w:rsid w:val="00F822E6"/>
    <w:rsid w:val="00F82773"/>
    <w:rsid w:val="00F8297F"/>
    <w:rsid w:val="00F82CEA"/>
    <w:rsid w:val="00F82E72"/>
    <w:rsid w:val="00F8302A"/>
    <w:rsid w:val="00F830DE"/>
    <w:rsid w:val="00F83742"/>
    <w:rsid w:val="00F83CF0"/>
    <w:rsid w:val="00F84202"/>
    <w:rsid w:val="00F84600"/>
    <w:rsid w:val="00F84BE5"/>
    <w:rsid w:val="00F852FD"/>
    <w:rsid w:val="00F863A0"/>
    <w:rsid w:val="00F8716B"/>
    <w:rsid w:val="00F87A95"/>
    <w:rsid w:val="00F90B96"/>
    <w:rsid w:val="00F922A1"/>
    <w:rsid w:val="00F92D69"/>
    <w:rsid w:val="00F946BF"/>
    <w:rsid w:val="00F949B3"/>
    <w:rsid w:val="00F94C8A"/>
    <w:rsid w:val="00F95059"/>
    <w:rsid w:val="00F972B6"/>
    <w:rsid w:val="00FA05F0"/>
    <w:rsid w:val="00FA13F9"/>
    <w:rsid w:val="00FA15A9"/>
    <w:rsid w:val="00FA1987"/>
    <w:rsid w:val="00FA1AB1"/>
    <w:rsid w:val="00FA21F2"/>
    <w:rsid w:val="00FA2303"/>
    <w:rsid w:val="00FA2502"/>
    <w:rsid w:val="00FA2A85"/>
    <w:rsid w:val="00FA3257"/>
    <w:rsid w:val="00FA3915"/>
    <w:rsid w:val="00FA3A20"/>
    <w:rsid w:val="00FA4984"/>
    <w:rsid w:val="00FA5FEA"/>
    <w:rsid w:val="00FA6202"/>
    <w:rsid w:val="00FA7469"/>
    <w:rsid w:val="00FA766D"/>
    <w:rsid w:val="00FA7938"/>
    <w:rsid w:val="00FA7FFA"/>
    <w:rsid w:val="00FB097D"/>
    <w:rsid w:val="00FB0A10"/>
    <w:rsid w:val="00FB1771"/>
    <w:rsid w:val="00FB18DB"/>
    <w:rsid w:val="00FB1F14"/>
    <w:rsid w:val="00FB221B"/>
    <w:rsid w:val="00FB2F56"/>
    <w:rsid w:val="00FB37FA"/>
    <w:rsid w:val="00FB4816"/>
    <w:rsid w:val="00FB5511"/>
    <w:rsid w:val="00FB6600"/>
    <w:rsid w:val="00FB6F1A"/>
    <w:rsid w:val="00FB70D5"/>
    <w:rsid w:val="00FB724E"/>
    <w:rsid w:val="00FB7A3E"/>
    <w:rsid w:val="00FB7AFF"/>
    <w:rsid w:val="00FC02BC"/>
    <w:rsid w:val="00FC073B"/>
    <w:rsid w:val="00FC07E9"/>
    <w:rsid w:val="00FC12BF"/>
    <w:rsid w:val="00FC16BD"/>
    <w:rsid w:val="00FC1A69"/>
    <w:rsid w:val="00FC22C3"/>
    <w:rsid w:val="00FC2CC5"/>
    <w:rsid w:val="00FC346C"/>
    <w:rsid w:val="00FC34E7"/>
    <w:rsid w:val="00FC3B90"/>
    <w:rsid w:val="00FC4317"/>
    <w:rsid w:val="00FC51FC"/>
    <w:rsid w:val="00FC5F91"/>
    <w:rsid w:val="00FC6ACE"/>
    <w:rsid w:val="00FC6BDE"/>
    <w:rsid w:val="00FD0ACA"/>
    <w:rsid w:val="00FD0C44"/>
    <w:rsid w:val="00FD1051"/>
    <w:rsid w:val="00FD1821"/>
    <w:rsid w:val="00FD19D9"/>
    <w:rsid w:val="00FD2F0C"/>
    <w:rsid w:val="00FD3F17"/>
    <w:rsid w:val="00FD44EB"/>
    <w:rsid w:val="00FD499D"/>
    <w:rsid w:val="00FD52A5"/>
    <w:rsid w:val="00FD5701"/>
    <w:rsid w:val="00FD67F8"/>
    <w:rsid w:val="00FD6DFB"/>
    <w:rsid w:val="00FD6E95"/>
    <w:rsid w:val="00FE019A"/>
    <w:rsid w:val="00FE10C1"/>
    <w:rsid w:val="00FE121C"/>
    <w:rsid w:val="00FE2D85"/>
    <w:rsid w:val="00FE400E"/>
    <w:rsid w:val="00FE4019"/>
    <w:rsid w:val="00FE4A58"/>
    <w:rsid w:val="00FE74C1"/>
    <w:rsid w:val="00FE764A"/>
    <w:rsid w:val="00FF02BD"/>
    <w:rsid w:val="00FF0DF3"/>
    <w:rsid w:val="00FF27DD"/>
    <w:rsid w:val="00FF3F93"/>
    <w:rsid w:val="00FF4D72"/>
    <w:rsid w:val="00FF5723"/>
    <w:rsid w:val="00FF5E3E"/>
    <w:rsid w:val="00FF6D85"/>
    <w:rsid w:val="00FF6E09"/>
    <w:rsid w:val="00FF70BD"/>
    <w:rsid w:val="00FF79B8"/>
    <w:rsid w:val="00FF7C2F"/>
    <w:rsid w:val="00FF7C49"/>
    <w:rsid w:val="014B217D"/>
    <w:rsid w:val="01561D1E"/>
    <w:rsid w:val="017E4D59"/>
    <w:rsid w:val="02332146"/>
    <w:rsid w:val="03CE5C1E"/>
    <w:rsid w:val="05243019"/>
    <w:rsid w:val="0855244C"/>
    <w:rsid w:val="08685333"/>
    <w:rsid w:val="090D1C0A"/>
    <w:rsid w:val="09657501"/>
    <w:rsid w:val="09F621EC"/>
    <w:rsid w:val="0A5D5DE0"/>
    <w:rsid w:val="0B336B63"/>
    <w:rsid w:val="0C69687E"/>
    <w:rsid w:val="0D0D18B1"/>
    <w:rsid w:val="0E1E2E9A"/>
    <w:rsid w:val="10755EBF"/>
    <w:rsid w:val="12050C65"/>
    <w:rsid w:val="124512A8"/>
    <w:rsid w:val="12921713"/>
    <w:rsid w:val="12A11044"/>
    <w:rsid w:val="138448EE"/>
    <w:rsid w:val="16643FE0"/>
    <w:rsid w:val="16F121BD"/>
    <w:rsid w:val="17040229"/>
    <w:rsid w:val="17991F6C"/>
    <w:rsid w:val="18B6480E"/>
    <w:rsid w:val="18E44557"/>
    <w:rsid w:val="19B13016"/>
    <w:rsid w:val="1B0A237E"/>
    <w:rsid w:val="1C97657A"/>
    <w:rsid w:val="1D864A6D"/>
    <w:rsid w:val="1E7D2418"/>
    <w:rsid w:val="1F9F7F14"/>
    <w:rsid w:val="1FC11404"/>
    <w:rsid w:val="1FD92149"/>
    <w:rsid w:val="207D1D0F"/>
    <w:rsid w:val="20857BC8"/>
    <w:rsid w:val="21320BF1"/>
    <w:rsid w:val="215422CC"/>
    <w:rsid w:val="225D02D0"/>
    <w:rsid w:val="22A276B9"/>
    <w:rsid w:val="23A37AEB"/>
    <w:rsid w:val="23CE0B41"/>
    <w:rsid w:val="245240BF"/>
    <w:rsid w:val="24E51F06"/>
    <w:rsid w:val="258E145B"/>
    <w:rsid w:val="26DD7B62"/>
    <w:rsid w:val="27646638"/>
    <w:rsid w:val="2A120D2A"/>
    <w:rsid w:val="2A621372"/>
    <w:rsid w:val="2C863F53"/>
    <w:rsid w:val="2CC74C3C"/>
    <w:rsid w:val="2CE72270"/>
    <w:rsid w:val="2D45227E"/>
    <w:rsid w:val="2E7C33FB"/>
    <w:rsid w:val="2E80471D"/>
    <w:rsid w:val="2E826856"/>
    <w:rsid w:val="2EDD6FD2"/>
    <w:rsid w:val="310659AD"/>
    <w:rsid w:val="31EE523B"/>
    <w:rsid w:val="33076021"/>
    <w:rsid w:val="33F25C6A"/>
    <w:rsid w:val="361D549E"/>
    <w:rsid w:val="36716136"/>
    <w:rsid w:val="36DA7BB4"/>
    <w:rsid w:val="36F857B8"/>
    <w:rsid w:val="386231AD"/>
    <w:rsid w:val="3AE4031E"/>
    <w:rsid w:val="3B4A6005"/>
    <w:rsid w:val="3B905A64"/>
    <w:rsid w:val="3BD80559"/>
    <w:rsid w:val="3C861354"/>
    <w:rsid w:val="3D96395C"/>
    <w:rsid w:val="3DAF4A02"/>
    <w:rsid w:val="3ED214A1"/>
    <w:rsid w:val="402E2A06"/>
    <w:rsid w:val="411B6A1E"/>
    <w:rsid w:val="41243B11"/>
    <w:rsid w:val="416D1D22"/>
    <w:rsid w:val="437F1489"/>
    <w:rsid w:val="44E60AB5"/>
    <w:rsid w:val="45710AE1"/>
    <w:rsid w:val="46AA57FC"/>
    <w:rsid w:val="479145D7"/>
    <w:rsid w:val="47B12722"/>
    <w:rsid w:val="480C43B4"/>
    <w:rsid w:val="48213B12"/>
    <w:rsid w:val="492A6F01"/>
    <w:rsid w:val="4A277D29"/>
    <w:rsid w:val="4A3414A3"/>
    <w:rsid w:val="4AA44043"/>
    <w:rsid w:val="4B6933B8"/>
    <w:rsid w:val="4BCC08F2"/>
    <w:rsid w:val="4CD01C41"/>
    <w:rsid w:val="4E345D35"/>
    <w:rsid w:val="4E493E7D"/>
    <w:rsid w:val="4E4D2EB2"/>
    <w:rsid w:val="4EF102E4"/>
    <w:rsid w:val="50051414"/>
    <w:rsid w:val="50EE42A3"/>
    <w:rsid w:val="52415ECA"/>
    <w:rsid w:val="5475641D"/>
    <w:rsid w:val="547E7931"/>
    <w:rsid w:val="54B175FD"/>
    <w:rsid w:val="55F753E7"/>
    <w:rsid w:val="563B1504"/>
    <w:rsid w:val="57344B36"/>
    <w:rsid w:val="58B901EB"/>
    <w:rsid w:val="59C1132D"/>
    <w:rsid w:val="5A044048"/>
    <w:rsid w:val="5A2E42EC"/>
    <w:rsid w:val="5AD56788"/>
    <w:rsid w:val="5AF96739"/>
    <w:rsid w:val="5B540F05"/>
    <w:rsid w:val="5C735109"/>
    <w:rsid w:val="5CA45E17"/>
    <w:rsid w:val="5E71750F"/>
    <w:rsid w:val="60F37F3A"/>
    <w:rsid w:val="610767DD"/>
    <w:rsid w:val="61797AD6"/>
    <w:rsid w:val="64583B79"/>
    <w:rsid w:val="657916E3"/>
    <w:rsid w:val="65ED2E57"/>
    <w:rsid w:val="67306F77"/>
    <w:rsid w:val="69567D34"/>
    <w:rsid w:val="69D35543"/>
    <w:rsid w:val="6A6C6699"/>
    <w:rsid w:val="6CC35974"/>
    <w:rsid w:val="6E656063"/>
    <w:rsid w:val="6F0C5B12"/>
    <w:rsid w:val="6F9661D7"/>
    <w:rsid w:val="6FB047B7"/>
    <w:rsid w:val="70D57FC2"/>
    <w:rsid w:val="711F5665"/>
    <w:rsid w:val="74264959"/>
    <w:rsid w:val="75B94CE5"/>
    <w:rsid w:val="75DC41EF"/>
    <w:rsid w:val="778B66E9"/>
    <w:rsid w:val="77AF58D5"/>
    <w:rsid w:val="7BCF7C83"/>
    <w:rsid w:val="7BFA5EAE"/>
    <w:rsid w:val="7DB57C8A"/>
    <w:rsid w:val="7F3416F2"/>
    <w:rsid w:val="7F584927"/>
    <w:rsid w:val="7FAE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200"/>
      </w:tabs>
      <w:ind w:left="180"/>
      <w:jc w:val="center"/>
      <w:outlineLvl w:val="0"/>
    </w:pPr>
    <w:rPr>
      <w:rFonts w:ascii="宋体" w:hAnsi="宋体"/>
      <w:b/>
      <w:sz w:val="30"/>
      <w:szCs w:val="30"/>
    </w:rPr>
  </w:style>
  <w:style w:type="paragraph" w:styleId="4">
    <w:name w:val="heading 2"/>
    <w:basedOn w:val="1"/>
    <w:next w:val="1"/>
    <w:qFormat/>
    <w:uiPriority w:val="0"/>
    <w:pPr>
      <w:keepNext/>
      <w:jc w:val="center"/>
      <w:outlineLvl w:val="1"/>
    </w:pPr>
    <w:rPr>
      <w:rFonts w:ascii="宋体" w:hAnsi="宋体"/>
      <w:b/>
      <w:bCs/>
      <w:sz w:val="30"/>
      <w:szCs w:val="30"/>
    </w:rPr>
  </w:style>
  <w:style w:type="paragraph" w:styleId="5">
    <w:name w:val="heading 3"/>
    <w:basedOn w:val="1"/>
    <w:next w:val="1"/>
    <w:qFormat/>
    <w:uiPriority w:val="0"/>
    <w:pPr>
      <w:keepNext/>
      <w:jc w:val="center"/>
      <w:outlineLvl w:val="2"/>
    </w:pPr>
    <w:rPr>
      <w:rFonts w:ascii="宋体" w:hAnsi="宋体"/>
      <w:sz w:val="28"/>
    </w:rPr>
  </w:style>
  <w:style w:type="paragraph" w:styleId="6">
    <w:name w:val="heading 4"/>
    <w:basedOn w:val="1"/>
    <w:next w:val="1"/>
    <w:qFormat/>
    <w:uiPriority w:val="0"/>
    <w:pPr>
      <w:keepNext/>
      <w:outlineLvl w:val="3"/>
    </w:pPr>
    <w:rPr>
      <w:b/>
      <w:bCs/>
      <w:sz w:val="18"/>
    </w:rPr>
  </w:style>
  <w:style w:type="paragraph" w:styleId="7">
    <w:name w:val="heading 5"/>
    <w:basedOn w:val="1"/>
    <w:next w:val="1"/>
    <w:qFormat/>
    <w:uiPriority w:val="0"/>
    <w:pPr>
      <w:keepNext/>
      <w:jc w:val="center"/>
      <w:outlineLvl w:val="4"/>
    </w:pPr>
    <w:rPr>
      <w:b/>
      <w:bCs/>
      <w:sz w:val="18"/>
    </w:rPr>
  </w:style>
  <w:style w:type="character" w:default="1" w:styleId="42">
    <w:name w:val="Default Paragraph Font"/>
    <w:link w:val="43"/>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8">
    <w:name w:val="toc 7"/>
    <w:basedOn w:val="1"/>
    <w:next w:val="1"/>
    <w:semiHidden/>
    <w:qFormat/>
    <w:uiPriority w:val="0"/>
    <w:pPr>
      <w:ind w:left="1260"/>
      <w:jc w:val="left"/>
    </w:pPr>
    <w:rPr>
      <w:szCs w:val="21"/>
    </w:rPr>
  </w:style>
  <w:style w:type="paragraph" w:styleId="9">
    <w:name w:val="index 8"/>
    <w:basedOn w:val="1"/>
    <w:next w:val="1"/>
    <w:semiHidden/>
    <w:qFormat/>
    <w:uiPriority w:val="0"/>
    <w:pPr>
      <w:ind w:left="1400" w:leftChars="1400"/>
    </w:pPr>
  </w:style>
  <w:style w:type="paragraph" w:styleId="10">
    <w:name w:val="Normal Indent"/>
    <w:basedOn w:val="1"/>
    <w:qFormat/>
    <w:uiPriority w:val="0"/>
    <w:pPr>
      <w:ind w:firstLine="420"/>
    </w:pPr>
  </w:style>
  <w:style w:type="paragraph" w:styleId="11">
    <w:name w:val="index 5"/>
    <w:basedOn w:val="1"/>
    <w:next w:val="1"/>
    <w:semiHidden/>
    <w:qFormat/>
    <w:uiPriority w:val="0"/>
    <w:pPr>
      <w:ind w:left="800" w:leftChars="800"/>
    </w:pPr>
  </w:style>
  <w:style w:type="paragraph" w:styleId="12">
    <w:name w:val="index 6"/>
    <w:basedOn w:val="1"/>
    <w:next w:val="1"/>
    <w:semiHidden/>
    <w:qFormat/>
    <w:uiPriority w:val="0"/>
    <w:pPr>
      <w:ind w:left="1000" w:leftChars="1000"/>
    </w:pPr>
  </w:style>
  <w:style w:type="paragraph" w:styleId="13">
    <w:name w:val="Body Text"/>
    <w:basedOn w:val="1"/>
    <w:qFormat/>
    <w:uiPriority w:val="0"/>
    <w:rPr>
      <w:rFonts w:ascii="楷体_GB2312" w:hAnsi="Arial" w:eastAsia="楷体_GB2312"/>
      <w:sz w:val="28"/>
    </w:rPr>
  </w:style>
  <w:style w:type="paragraph" w:styleId="14">
    <w:name w:val="Body Text Indent"/>
    <w:basedOn w:val="1"/>
    <w:qFormat/>
    <w:uiPriority w:val="0"/>
    <w:pPr>
      <w:adjustRightInd w:val="0"/>
      <w:spacing w:line="312" w:lineRule="atLeast"/>
      <w:ind w:firstLine="574"/>
      <w:textAlignment w:val="baseline"/>
    </w:pPr>
    <w:rPr>
      <w:rFonts w:ascii="宋体"/>
      <w:kern w:val="0"/>
      <w:sz w:val="28"/>
    </w:rPr>
  </w:style>
  <w:style w:type="paragraph" w:styleId="15">
    <w:name w:val="Block Text"/>
    <w:basedOn w:val="1"/>
    <w:qFormat/>
    <w:uiPriority w:val="0"/>
    <w:pPr>
      <w:tabs>
        <w:tab w:val="left" w:pos="822"/>
        <w:tab w:val="left" w:pos="2205"/>
        <w:tab w:val="left" w:pos="9000"/>
      </w:tabs>
      <w:adjustRightInd w:val="0"/>
      <w:snapToGrid w:val="0"/>
      <w:spacing w:before="89"/>
      <w:ind w:left="1890" w:leftChars="229" w:right="11" w:hanging="1409" w:hangingChars="587"/>
    </w:pPr>
    <w:rPr>
      <w:sz w:val="24"/>
    </w:rPr>
  </w:style>
  <w:style w:type="paragraph" w:styleId="16">
    <w:name w:val="index 4"/>
    <w:basedOn w:val="1"/>
    <w:next w:val="1"/>
    <w:semiHidden/>
    <w:qFormat/>
    <w:uiPriority w:val="0"/>
    <w:pPr>
      <w:ind w:left="600" w:leftChars="600"/>
    </w:pPr>
  </w:style>
  <w:style w:type="paragraph" w:styleId="17">
    <w:name w:val="toc 5"/>
    <w:basedOn w:val="1"/>
    <w:next w:val="1"/>
    <w:semiHidden/>
    <w:qFormat/>
    <w:uiPriority w:val="0"/>
    <w:pPr>
      <w:ind w:left="840"/>
      <w:jc w:val="left"/>
    </w:pPr>
    <w:rPr>
      <w:szCs w:val="21"/>
    </w:rPr>
  </w:style>
  <w:style w:type="paragraph" w:styleId="18">
    <w:name w:val="toc 3"/>
    <w:basedOn w:val="1"/>
    <w:next w:val="1"/>
    <w:semiHidden/>
    <w:qFormat/>
    <w:uiPriority w:val="0"/>
    <w:pPr>
      <w:ind w:left="420"/>
      <w:jc w:val="left"/>
    </w:pPr>
    <w:rPr>
      <w:i/>
      <w:iCs/>
      <w:szCs w:val="24"/>
    </w:rPr>
  </w:style>
  <w:style w:type="paragraph" w:styleId="19">
    <w:name w:val="Plain Text"/>
    <w:basedOn w:val="1"/>
    <w:qFormat/>
    <w:uiPriority w:val="0"/>
    <w:rPr>
      <w:rFonts w:ascii="宋体" w:hAnsi="Courier New"/>
    </w:rPr>
  </w:style>
  <w:style w:type="paragraph" w:styleId="20">
    <w:name w:val="toc 8"/>
    <w:basedOn w:val="1"/>
    <w:next w:val="1"/>
    <w:semiHidden/>
    <w:qFormat/>
    <w:uiPriority w:val="0"/>
    <w:pPr>
      <w:ind w:left="1470"/>
      <w:jc w:val="left"/>
    </w:pPr>
    <w:rPr>
      <w:szCs w:val="21"/>
    </w:rPr>
  </w:style>
  <w:style w:type="paragraph" w:styleId="21">
    <w:name w:val="index 3"/>
    <w:basedOn w:val="1"/>
    <w:next w:val="1"/>
    <w:semiHidden/>
    <w:qFormat/>
    <w:uiPriority w:val="0"/>
    <w:pPr>
      <w:ind w:left="400" w:leftChars="400"/>
    </w:pPr>
  </w:style>
  <w:style w:type="paragraph" w:styleId="22">
    <w:name w:val="Date"/>
    <w:basedOn w:val="1"/>
    <w:next w:val="1"/>
    <w:qFormat/>
    <w:uiPriority w:val="0"/>
    <w:pPr>
      <w:adjustRightInd w:val="0"/>
      <w:spacing w:line="312" w:lineRule="atLeast"/>
      <w:textAlignment w:val="baseline"/>
    </w:pPr>
    <w:rPr>
      <w:rFonts w:ascii="宋体"/>
      <w:kern w:val="0"/>
      <w:sz w:val="28"/>
    </w:rPr>
  </w:style>
  <w:style w:type="paragraph" w:styleId="23">
    <w:name w:val="Body Text Indent 2"/>
    <w:basedOn w:val="1"/>
    <w:link w:val="55"/>
    <w:qFormat/>
    <w:uiPriority w:val="0"/>
    <w:pPr>
      <w:tabs>
        <w:tab w:val="left" w:pos="1785"/>
        <w:tab w:val="left" w:pos="1887"/>
        <w:tab w:val="left" w:pos="2112"/>
        <w:tab w:val="left" w:pos="9000"/>
      </w:tabs>
      <w:adjustRightInd w:val="0"/>
      <w:snapToGrid w:val="0"/>
      <w:ind w:left="1890" w:leftChars="229" w:hanging="1409" w:hangingChars="587"/>
    </w:pPr>
    <w:rPr>
      <w:sz w:val="24"/>
    </w:rPr>
  </w:style>
  <w:style w:type="paragraph" w:styleId="24">
    <w:name w:val="footer"/>
    <w:basedOn w:val="1"/>
    <w:link w:val="56"/>
    <w:qFormat/>
    <w:uiPriority w:val="99"/>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27">
    <w:name w:val="toc 1"/>
    <w:basedOn w:val="1"/>
    <w:next w:val="1"/>
    <w:semiHidden/>
    <w:qFormat/>
    <w:uiPriority w:val="0"/>
    <w:pPr>
      <w:tabs>
        <w:tab w:val="right" w:leader="dot" w:pos="9450"/>
      </w:tabs>
      <w:spacing w:before="100" w:beforeAutospacing="1" w:after="100" w:afterAutospacing="1" w:line="480" w:lineRule="exact"/>
      <w:ind w:left="210" w:leftChars="100"/>
    </w:pPr>
    <w:rPr>
      <w:rFonts w:eastAsia="楷体_GB2312"/>
      <w:b/>
      <w:bCs/>
      <w:caps/>
      <w:sz w:val="32"/>
      <w:szCs w:val="36"/>
    </w:rPr>
  </w:style>
  <w:style w:type="paragraph" w:styleId="28">
    <w:name w:val="toc 4"/>
    <w:basedOn w:val="1"/>
    <w:next w:val="1"/>
    <w:semiHidden/>
    <w:qFormat/>
    <w:uiPriority w:val="0"/>
    <w:pPr>
      <w:ind w:left="630"/>
      <w:jc w:val="left"/>
    </w:pPr>
    <w:rPr>
      <w:szCs w:val="21"/>
    </w:rPr>
  </w:style>
  <w:style w:type="paragraph" w:styleId="29">
    <w:name w:val="index heading"/>
    <w:basedOn w:val="1"/>
    <w:next w:val="30"/>
    <w:semiHidden/>
    <w:qFormat/>
    <w:uiPriority w:val="0"/>
  </w:style>
  <w:style w:type="paragraph" w:styleId="30">
    <w:name w:val="index 1"/>
    <w:basedOn w:val="1"/>
    <w:next w:val="1"/>
    <w:semiHidden/>
    <w:qFormat/>
    <w:uiPriority w:val="0"/>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ind w:firstLine="555"/>
    </w:pPr>
    <w:rPr>
      <w:b/>
      <w:bCs/>
      <w:sz w:val="28"/>
      <w:u w:val="single"/>
    </w:rPr>
  </w:style>
  <w:style w:type="paragraph" w:styleId="33">
    <w:name w:val="index 7"/>
    <w:basedOn w:val="1"/>
    <w:next w:val="1"/>
    <w:semiHidden/>
    <w:qFormat/>
    <w:uiPriority w:val="0"/>
    <w:pPr>
      <w:ind w:left="1200" w:leftChars="1200"/>
    </w:pPr>
  </w:style>
  <w:style w:type="paragraph" w:styleId="34">
    <w:name w:val="index 9"/>
    <w:basedOn w:val="1"/>
    <w:next w:val="1"/>
    <w:semiHidden/>
    <w:qFormat/>
    <w:uiPriority w:val="0"/>
    <w:pPr>
      <w:ind w:left="1600" w:leftChars="1600"/>
    </w:pPr>
  </w:style>
  <w:style w:type="paragraph" w:styleId="35">
    <w:name w:val="table of figures"/>
    <w:basedOn w:val="1"/>
    <w:next w:val="1"/>
    <w:semiHidden/>
    <w:qFormat/>
    <w:uiPriority w:val="0"/>
    <w:pPr>
      <w:ind w:left="840" w:leftChars="200" w:hanging="420" w:hangingChars="200"/>
    </w:pPr>
  </w:style>
  <w:style w:type="paragraph" w:styleId="36">
    <w:name w:val="toc 2"/>
    <w:basedOn w:val="1"/>
    <w:next w:val="1"/>
    <w:semiHidden/>
    <w:qFormat/>
    <w:uiPriority w:val="0"/>
    <w:pPr>
      <w:tabs>
        <w:tab w:val="right" w:leader="dot" w:pos="9450"/>
      </w:tabs>
      <w:spacing w:line="400" w:lineRule="exact"/>
      <w:ind w:left="525" w:leftChars="250"/>
      <w:jc w:val="left"/>
    </w:pPr>
    <w:rPr>
      <w:rFonts w:eastAsia="楷体_GB2312"/>
      <w:bCs/>
      <w:smallCaps/>
      <w:sz w:val="30"/>
      <w:szCs w:val="24"/>
    </w:rPr>
  </w:style>
  <w:style w:type="paragraph" w:styleId="37">
    <w:name w:val="toc 9"/>
    <w:basedOn w:val="1"/>
    <w:next w:val="1"/>
    <w:semiHidden/>
    <w:qFormat/>
    <w:uiPriority w:val="0"/>
    <w:pPr>
      <w:ind w:left="1680"/>
      <w:jc w:val="left"/>
    </w:pPr>
    <w:rPr>
      <w:szCs w:val="21"/>
    </w:rPr>
  </w:style>
  <w:style w:type="paragraph" w:styleId="38">
    <w:name w:val="index 2"/>
    <w:basedOn w:val="1"/>
    <w:next w:val="1"/>
    <w:semiHidden/>
    <w:qFormat/>
    <w:uiPriority w:val="0"/>
    <w:pPr>
      <w:ind w:left="200" w:leftChars="200"/>
    </w:pPr>
  </w:style>
  <w:style w:type="paragraph" w:styleId="39">
    <w:name w:val="Title"/>
    <w:basedOn w:val="1"/>
    <w:next w:val="1"/>
    <w:qFormat/>
    <w:uiPriority w:val="0"/>
    <w:pPr>
      <w:spacing w:before="240" w:after="60"/>
      <w:jc w:val="center"/>
      <w:outlineLvl w:val="0"/>
    </w:pPr>
    <w:rPr>
      <w:rFonts w:ascii="Cambria" w:hAnsi="Cambria"/>
      <w:b/>
      <w:bCs/>
      <w:kern w:val="0"/>
      <w:sz w:val="32"/>
      <w:szCs w:val="32"/>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 Char Char1 Char Char Char Char Char Char Char Char"/>
    <w:basedOn w:val="1"/>
    <w:link w:val="42"/>
    <w:qFormat/>
    <w:uiPriority w:val="0"/>
    <w:pPr>
      <w:widowControl/>
      <w:spacing w:after="160" w:line="240" w:lineRule="exact"/>
      <w:jc w:val="left"/>
    </w:pPr>
    <w:rPr>
      <w:rFonts w:ascii="Verdana" w:hAnsi="Verdana"/>
      <w:kern w:val="0"/>
      <w:sz w:val="20"/>
      <w:lang w:eastAsia="en-US"/>
    </w:rPr>
  </w:style>
  <w:style w:type="character" w:styleId="44">
    <w:name w:val="page number"/>
    <w:basedOn w:val="42"/>
    <w:qFormat/>
    <w:uiPriority w:val="0"/>
  </w:style>
  <w:style w:type="character" w:styleId="45">
    <w:name w:val="Emphasis"/>
    <w:basedOn w:val="42"/>
    <w:qFormat/>
    <w:uiPriority w:val="20"/>
    <w:rPr>
      <w:i/>
      <w:iCs/>
    </w:rPr>
  </w:style>
  <w:style w:type="character" w:styleId="46">
    <w:name w:val="Hyperlink"/>
    <w:qFormat/>
    <w:uiPriority w:val="0"/>
    <w:rPr>
      <w:color w:val="0000FF"/>
      <w:u w:val="single"/>
    </w:rPr>
  </w:style>
  <w:style w:type="paragraph" w:customStyle="1" w:styleId="47">
    <w:name w:val="正文（缩进）"/>
    <w:basedOn w:val="1"/>
    <w:qFormat/>
    <w:uiPriority w:val="99"/>
    <w:pPr>
      <w:ind w:firstLine="480"/>
    </w:pPr>
  </w:style>
  <w:style w:type="paragraph" w:customStyle="1" w:styleId="48">
    <w:name w:val="Plain Text"/>
    <w:basedOn w:val="1"/>
    <w:qFormat/>
    <w:uiPriority w:val="0"/>
    <w:pPr>
      <w:adjustRightInd w:val="0"/>
      <w:textAlignment w:val="baseline"/>
    </w:pPr>
    <w:rPr>
      <w:rFonts w:ascii="宋体" w:hAnsi="Courier New" w:eastAsia="楷体_GB2312"/>
      <w:sz w:val="28"/>
    </w:rPr>
  </w:style>
  <w:style w:type="character" w:customStyle="1" w:styleId="49">
    <w:name w:val="已访问的超链接1"/>
    <w:qFormat/>
    <w:uiPriority w:val="0"/>
    <w:rPr>
      <w:color w:val="800080"/>
      <w:u w:val="single"/>
    </w:rPr>
  </w:style>
  <w:style w:type="paragraph" w:customStyle="1" w:styleId="50">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51">
    <w:name w:val=" Char Char1 Char Char Char Char Char Char Char"/>
    <w:basedOn w:val="1"/>
    <w:qFormat/>
    <w:uiPriority w:val="0"/>
    <w:rPr>
      <w:rFonts w:ascii="Tahoma" w:hAnsi="Tahoma"/>
      <w:sz w:val="24"/>
    </w:rPr>
  </w:style>
  <w:style w:type="paragraph" w:customStyle="1" w:styleId="52">
    <w:name w:val="PDGInstructions"/>
    <w:basedOn w:val="1"/>
    <w:qFormat/>
    <w:uiPriority w:val="0"/>
    <w:pPr>
      <w:widowControl/>
      <w:spacing w:before="60" w:after="60"/>
      <w:ind w:right="360"/>
      <w:jc w:val="left"/>
    </w:pPr>
    <w:rPr>
      <w:rFonts w:ascii="Garamond" w:hAnsi="Garamond"/>
      <w:color w:val="FF0000"/>
      <w:kern w:val="0"/>
      <w:sz w:val="24"/>
      <w:lang w:eastAsia="en-US"/>
    </w:rPr>
  </w:style>
  <w:style w:type="table" w:customStyle="1" w:styleId="53">
    <w:name w:val="网格型1"/>
    <w:basedOn w:val="40"/>
    <w:qFormat/>
    <w:uiPriority w:val="5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2"/>
    <w:basedOn w:val="40"/>
    <w:qFormat/>
    <w:uiPriority w:val="5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正文文本缩进 2 Char"/>
    <w:basedOn w:val="42"/>
    <w:link w:val="23"/>
    <w:qFormat/>
    <w:uiPriority w:val="0"/>
    <w:rPr>
      <w:kern w:val="2"/>
      <w:sz w:val="24"/>
    </w:rPr>
  </w:style>
  <w:style w:type="character" w:customStyle="1" w:styleId="56">
    <w:name w:val="页脚 Char"/>
    <w:basedOn w:val="42"/>
    <w:link w:val="24"/>
    <w:qFormat/>
    <w:uiPriority w:val="99"/>
    <w:rPr>
      <w:kern w:val="2"/>
      <w:sz w:val="18"/>
    </w:rPr>
  </w:style>
  <w:style w:type="paragraph" w:styleId="57">
    <w:name w:val="List Paragraph"/>
    <w:basedOn w:val="1"/>
    <w:qFormat/>
    <w:uiPriority w:val="34"/>
    <w:pPr>
      <w:ind w:firstLine="420" w:firstLineChars="200"/>
    </w:pPr>
  </w:style>
  <w:style w:type="paragraph" w:customStyle="1" w:styleId="58">
    <w:name w:val="表文本"/>
    <w:basedOn w:val="1"/>
    <w:qFormat/>
    <w:uiPriority w:val="0"/>
    <w:pPr>
      <w:widowControl/>
      <w:overflowPunct w:val="0"/>
      <w:autoSpaceDE w:val="0"/>
      <w:autoSpaceDN w:val="0"/>
      <w:adjustRightInd w:val="0"/>
      <w:spacing w:before="120" w:after="120" w:line="120" w:lineRule="atLeast"/>
      <w:ind w:left="72" w:right="72"/>
    </w:pPr>
    <w:rPr>
      <w:rFonts w:ascii="Arial" w:hAnsi="Arial"/>
      <w:kern w:val="0"/>
      <w:sz w:val="20"/>
    </w:rPr>
  </w:style>
  <w:style w:type="character" w:customStyle="1" w:styleId="59">
    <w:name w:val="Message Header Label"/>
    <w:qFormat/>
    <w:uiPriority w:val="0"/>
    <w:rPr>
      <w:rFonts w:hint="default" w:ascii="Arial" w:hAnsi="Arial" w:cs="Arial"/>
      <w:b/>
      <w:spacing w:val="-4"/>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SZF</Company>
  <Pages>11</Pages>
  <Words>693</Words>
  <Characters>3952</Characters>
  <Lines>32</Lines>
  <Paragraphs>9</Paragraphs>
  <TotalTime>11</TotalTime>
  <ScaleCrop>false</ScaleCrop>
  <LinksUpToDate>false</LinksUpToDate>
  <CharactersWithSpaces>4636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2020-09-29T08:23:00Z</dcterms:created>
  <dc:creator>zjj</dc:creator>
  <cp:lastModifiedBy>Lenovo</cp:lastModifiedBy>
  <cp:lastPrinted>2021-11-02T06:59:00Z</cp:lastPrinted>
  <dcterms:modified xsi:type="dcterms:W3CDTF">2021-11-09T02:45:36Z</dcterms:modified>
  <dc:title>招  标  文  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BCE08E02B0A44B669C71DB6C07C82ED9</vt:lpwstr>
  </property>
</Properties>
</file>