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u w:val="single"/>
        </w:rPr>
      </w:pPr>
    </w:p>
    <w:p>
      <w:pPr>
        <w:jc w:val="center"/>
        <w:rPr>
          <w:sz w:val="28"/>
          <w:szCs w:val="28"/>
          <w:u w:val="single"/>
        </w:rPr>
      </w:pPr>
    </w:p>
    <w:p>
      <w:pPr>
        <w:jc w:val="center"/>
        <w:rPr>
          <w:sz w:val="28"/>
          <w:szCs w:val="28"/>
          <w:u w:val="single"/>
        </w:rPr>
      </w:pPr>
    </w:p>
    <w:p>
      <w:pPr>
        <w:jc w:val="center"/>
        <w:rPr>
          <w:sz w:val="28"/>
          <w:szCs w:val="28"/>
          <w:u w:val="single"/>
        </w:rPr>
      </w:pPr>
    </w:p>
    <w:p>
      <w:pPr>
        <w:jc w:val="center"/>
        <w:rPr>
          <w:rFonts w:ascii="宋体" w:cs="宋体"/>
          <w:kern w:val="0"/>
          <w:sz w:val="19"/>
          <w:szCs w:val="19"/>
        </w:rPr>
      </w:pPr>
      <w:r>
        <w:rPr>
          <w:rFonts w:hint="eastAsia"/>
          <w:b/>
          <w:sz w:val="44"/>
          <w:szCs w:val="44"/>
          <w:lang w:eastAsia="zh-CN"/>
        </w:rPr>
        <w:t>润扬南路快速化改造工程用地预审及征地报批项目</w:t>
      </w:r>
    </w:p>
    <w:p>
      <w:pPr>
        <w:autoSpaceDE w:val="0"/>
        <w:autoSpaceDN w:val="0"/>
        <w:adjustRightInd w:val="0"/>
        <w:spacing w:line="200" w:lineRule="exact"/>
        <w:jc w:val="left"/>
        <w:rPr>
          <w:rFonts w:ascii="宋体" w:cs="宋体"/>
          <w:kern w:val="0"/>
          <w:sz w:val="20"/>
          <w:szCs w:val="20"/>
        </w:rPr>
      </w:pPr>
    </w:p>
    <w:p>
      <w:pPr>
        <w:autoSpaceDE w:val="0"/>
        <w:autoSpaceDN w:val="0"/>
        <w:adjustRightInd w:val="0"/>
        <w:spacing w:line="200" w:lineRule="exact"/>
        <w:jc w:val="left"/>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jc w:val="center"/>
        <w:rPr>
          <w:sz w:val="44"/>
          <w:szCs w:val="44"/>
        </w:rPr>
      </w:pPr>
    </w:p>
    <w:p>
      <w:pPr>
        <w:jc w:val="center"/>
        <w:rPr>
          <w:b/>
          <w:sz w:val="52"/>
          <w:szCs w:val="52"/>
        </w:rPr>
      </w:pPr>
      <w:r>
        <w:rPr>
          <w:rFonts w:hint="eastAsia"/>
          <w:b/>
          <w:sz w:val="52"/>
          <w:szCs w:val="52"/>
        </w:rPr>
        <w:t>招标文件</w:t>
      </w:r>
    </w:p>
    <w:p>
      <w:pPr>
        <w:jc w:val="center"/>
        <w:rPr>
          <w:b/>
          <w:sz w:val="28"/>
          <w:szCs w:val="28"/>
        </w:rPr>
      </w:pPr>
    </w:p>
    <w:p>
      <w:pPr>
        <w:jc w:val="center"/>
        <w:rPr>
          <w:b/>
          <w:sz w:val="28"/>
          <w:szCs w:val="28"/>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rFonts w:ascii="黑体" w:hAnsi="黑体" w:eastAsia="黑体" w:cs="黑体"/>
          <w:sz w:val="28"/>
          <w:szCs w:val="28"/>
        </w:rPr>
      </w:pPr>
      <w:r>
        <w:rPr>
          <w:rFonts w:hint="eastAsia" w:ascii="黑体" w:hAnsi="黑体" w:eastAsia="黑体" w:cs="黑体"/>
          <w:sz w:val="28"/>
          <w:szCs w:val="28"/>
        </w:rPr>
        <w:t>招标人：扬州万福投资发展有限责任公司</w:t>
      </w:r>
    </w:p>
    <w:p>
      <w:pPr>
        <w:jc w:val="center"/>
        <w:rPr>
          <w:rFonts w:hint="eastAsia" w:ascii="黑体" w:hAnsi="黑体" w:eastAsia="黑体" w:cs="黑体"/>
          <w:sz w:val="28"/>
          <w:szCs w:val="28"/>
          <w:lang w:eastAsia="zh-CN"/>
        </w:rPr>
      </w:pPr>
      <w:r>
        <w:rPr>
          <w:rFonts w:hint="eastAsia" w:ascii="黑体" w:hAnsi="黑体" w:eastAsia="黑体" w:cs="黑体"/>
          <w:sz w:val="28"/>
          <w:szCs w:val="28"/>
        </w:rPr>
        <w:t>招标代理机构：</w:t>
      </w:r>
      <w:r>
        <w:rPr>
          <w:rFonts w:hint="eastAsia" w:ascii="黑体" w:hAnsi="黑体" w:eastAsia="黑体" w:cs="黑体"/>
          <w:sz w:val="28"/>
          <w:szCs w:val="28"/>
          <w:lang w:eastAsia="zh-CN"/>
        </w:rPr>
        <w:t>江苏时代投资咨询有限公司</w:t>
      </w:r>
    </w:p>
    <w:p>
      <w:pPr>
        <w:jc w:val="center"/>
        <w:rPr>
          <w:rFonts w:hint="default" w:ascii="黑体" w:hAnsi="黑体" w:eastAsia="黑体" w:cs="黑体"/>
          <w:sz w:val="28"/>
          <w:szCs w:val="28"/>
          <w:lang w:val="en-US" w:eastAsia="zh-CN"/>
        </w:rPr>
      </w:pPr>
      <w:r>
        <w:rPr>
          <w:rFonts w:hint="eastAsia" w:ascii="黑体" w:hAnsi="黑体" w:eastAsia="黑体" w:cs="黑体"/>
          <w:sz w:val="28"/>
          <w:szCs w:val="28"/>
          <w:lang w:eastAsia="zh-CN"/>
        </w:rPr>
        <w:t>发布时间：</w:t>
      </w:r>
      <w:r>
        <w:rPr>
          <w:rFonts w:hint="eastAsia" w:ascii="黑体" w:hAnsi="黑体" w:eastAsia="黑体" w:cs="黑体"/>
          <w:sz w:val="28"/>
          <w:szCs w:val="28"/>
          <w:lang w:val="en-US" w:eastAsia="zh-CN"/>
        </w:rPr>
        <w:t>2022</w:t>
      </w:r>
      <w:r>
        <w:rPr>
          <w:rFonts w:hint="eastAsia" w:ascii="黑体" w:hAnsi="黑体" w:eastAsia="黑体" w:cs="黑体"/>
          <w:sz w:val="28"/>
          <w:szCs w:val="28"/>
        </w:rPr>
        <w:t>年</w:t>
      </w:r>
      <w:r>
        <w:rPr>
          <w:rFonts w:hint="eastAsia" w:ascii="黑体" w:hAnsi="黑体" w:eastAsia="黑体" w:cs="黑体"/>
          <w:sz w:val="28"/>
          <w:szCs w:val="28"/>
          <w:lang w:val="en-US" w:eastAsia="zh-CN"/>
        </w:rPr>
        <w:t>11</w:t>
      </w:r>
      <w:r>
        <w:rPr>
          <w:rFonts w:hint="eastAsia" w:ascii="黑体" w:hAnsi="黑体" w:eastAsia="黑体" w:cs="黑体"/>
          <w:sz w:val="28"/>
          <w:szCs w:val="28"/>
        </w:rPr>
        <w:t>月</w:t>
      </w:r>
      <w:r>
        <w:rPr>
          <w:rFonts w:hint="eastAsia" w:ascii="黑体" w:hAnsi="黑体" w:eastAsia="黑体" w:cs="黑体"/>
          <w:sz w:val="28"/>
          <w:szCs w:val="28"/>
          <w:lang w:val="en-US" w:eastAsia="zh-CN"/>
        </w:rPr>
        <w:t>16日</w:t>
      </w:r>
    </w:p>
    <w:p>
      <w:pPr>
        <w:jc w:val="cente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jc w:val="center"/>
      </w:pPr>
      <w:r>
        <w:rPr>
          <w:rFonts w:hint="eastAsia"/>
        </w:rPr>
        <w:t>目</w:t>
      </w:r>
      <w:r>
        <w:tab/>
      </w:r>
      <w:r>
        <w:rPr>
          <w:rFonts w:hint="eastAsia"/>
        </w:rPr>
        <w:t>录</w:t>
      </w:r>
    </w:p>
    <w:p>
      <w:pPr>
        <w:pStyle w:val="30"/>
        <w:tabs>
          <w:tab w:val="right" w:leader="dot" w:pos="8296"/>
        </w:tabs>
        <w:rPr>
          <w:rFonts w:asciiTheme="minorHAnsi" w:hAnsiTheme="minorHAnsi" w:eastAsiaTheme="minorEastAsia" w:cstheme="minorBidi"/>
          <w:szCs w:val="22"/>
        </w:rPr>
      </w:pPr>
      <w:r>
        <w:fldChar w:fldCharType="begin"/>
      </w:r>
      <w:r>
        <w:rPr>
          <w:rFonts w:hint="eastAsia"/>
        </w:rPr>
        <w:instrText xml:space="preserve">TOC \o "1-3" \h \z \u</w:instrText>
      </w:r>
      <w:r>
        <w:fldChar w:fldCharType="separate"/>
      </w:r>
      <w:r>
        <w:fldChar w:fldCharType="begin"/>
      </w:r>
      <w:r>
        <w:instrText xml:space="preserve"> HYPERLINK \l "_Toc21780663" </w:instrText>
      </w:r>
      <w:r>
        <w:fldChar w:fldCharType="separate"/>
      </w:r>
      <w:r>
        <w:rPr>
          <w:rStyle w:val="37"/>
          <w:rFonts w:hint="eastAsia"/>
          <w:color w:val="auto"/>
        </w:rPr>
        <w:t>第一章招标公告</w:t>
      </w:r>
      <w:r>
        <w:tab/>
      </w:r>
      <w:r>
        <w:fldChar w:fldCharType="begin"/>
      </w:r>
      <w:r>
        <w:instrText xml:space="preserve"> PAGEREF _Toc21780663 \h </w:instrText>
      </w:r>
      <w:r>
        <w:fldChar w:fldCharType="separate"/>
      </w:r>
      <w:r>
        <w:t>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"_Toc21780664" </w:instrText>
      </w:r>
      <w:r>
        <w:fldChar w:fldCharType="separate"/>
      </w:r>
      <w:r>
        <w:rPr>
          <w:rStyle w:val="37"/>
          <w:color w:val="auto"/>
        </w:rPr>
        <w:t xml:space="preserve">1. </w:t>
      </w:r>
      <w:r>
        <w:rPr>
          <w:rStyle w:val="37"/>
          <w:rFonts w:hint="eastAsia"/>
          <w:color w:val="auto"/>
        </w:rPr>
        <w:t>招标条件</w:t>
      </w:r>
      <w:r>
        <w:tab/>
      </w:r>
      <w:r>
        <w:fldChar w:fldCharType="begin"/>
      </w:r>
      <w:r>
        <w:instrText xml:space="preserve"> PAGEREF _Toc21780664 \h </w:instrText>
      </w:r>
      <w:r>
        <w:fldChar w:fldCharType="separate"/>
      </w:r>
      <w:r>
        <w:t>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"_Toc21780665" </w:instrText>
      </w:r>
      <w:r>
        <w:fldChar w:fldCharType="separate"/>
      </w:r>
      <w:r>
        <w:rPr>
          <w:rStyle w:val="37"/>
          <w:color w:val="auto"/>
        </w:rPr>
        <w:t xml:space="preserve">2. </w:t>
      </w:r>
      <w:r>
        <w:rPr>
          <w:rStyle w:val="37"/>
          <w:rFonts w:hint="eastAsia"/>
          <w:color w:val="auto"/>
        </w:rPr>
        <w:t>项目概况与招标范围</w:t>
      </w:r>
      <w:r>
        <w:tab/>
      </w:r>
      <w:r>
        <w:fldChar w:fldCharType="begin"/>
      </w:r>
      <w:r>
        <w:instrText xml:space="preserve"> PAGEREF _Toc21780665 \h </w:instrText>
      </w:r>
      <w:r>
        <w:fldChar w:fldCharType="separate"/>
      </w:r>
      <w:r>
        <w:t>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"_Toc21780666" </w:instrText>
      </w:r>
      <w:r>
        <w:fldChar w:fldCharType="separate"/>
      </w:r>
      <w:r>
        <w:rPr>
          <w:rStyle w:val="37"/>
          <w:color w:val="auto"/>
        </w:rPr>
        <w:t xml:space="preserve">3. </w:t>
      </w:r>
      <w:r>
        <w:rPr>
          <w:rStyle w:val="37"/>
          <w:rFonts w:hint="eastAsia"/>
          <w:color w:val="auto"/>
        </w:rPr>
        <w:t>投标人资格要求</w:t>
      </w:r>
      <w:r>
        <w:tab/>
      </w:r>
      <w:r>
        <w:fldChar w:fldCharType="begin"/>
      </w:r>
      <w:r>
        <w:instrText xml:space="preserve"> PAGEREF _Toc21780666 \h </w:instrText>
      </w:r>
      <w:r>
        <w:fldChar w:fldCharType="separate"/>
      </w:r>
      <w:r>
        <w:t>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"_Toc21780667" </w:instrText>
      </w:r>
      <w:r>
        <w:fldChar w:fldCharType="separate"/>
      </w:r>
      <w:r>
        <w:rPr>
          <w:rStyle w:val="37"/>
          <w:color w:val="auto"/>
        </w:rPr>
        <w:t xml:space="preserve">4. </w:t>
      </w:r>
      <w:r>
        <w:rPr>
          <w:rStyle w:val="37"/>
          <w:rFonts w:hint="eastAsia"/>
          <w:color w:val="auto"/>
        </w:rPr>
        <w:t>招标文件的获取</w:t>
      </w:r>
      <w:r>
        <w:tab/>
      </w:r>
      <w:r>
        <w:fldChar w:fldCharType="begin"/>
      </w:r>
      <w:r>
        <w:instrText xml:space="preserve"> PAGEREF _Toc21780667 \h </w:instrText>
      </w:r>
      <w:r>
        <w:fldChar w:fldCharType="separate"/>
      </w:r>
      <w:r>
        <w:t>3</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"_Toc21780668" </w:instrText>
      </w:r>
      <w:r>
        <w:fldChar w:fldCharType="separate"/>
      </w:r>
      <w:r>
        <w:rPr>
          <w:rStyle w:val="37"/>
          <w:color w:val="auto"/>
        </w:rPr>
        <w:t xml:space="preserve">5. </w:t>
      </w:r>
      <w:r>
        <w:rPr>
          <w:rStyle w:val="37"/>
          <w:rFonts w:hint="eastAsia"/>
          <w:color w:val="auto"/>
        </w:rPr>
        <w:t>投标文件的递交</w:t>
      </w:r>
      <w:r>
        <w:tab/>
      </w:r>
      <w:r>
        <w:fldChar w:fldCharType="begin"/>
      </w:r>
      <w:r>
        <w:instrText xml:space="preserve"> PAGEREF _Toc21780668 \h </w:instrText>
      </w:r>
      <w:r>
        <w:fldChar w:fldCharType="separate"/>
      </w:r>
      <w:r>
        <w:t>3</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"_Toc21780669" </w:instrText>
      </w:r>
      <w:r>
        <w:fldChar w:fldCharType="separate"/>
      </w:r>
      <w:r>
        <w:rPr>
          <w:rStyle w:val="37"/>
          <w:color w:val="auto"/>
        </w:rPr>
        <w:t>6. 本招标项目采用的评标方法</w:t>
      </w:r>
      <w:r>
        <w:tab/>
      </w:r>
      <w:r>
        <w:fldChar w:fldCharType="begin"/>
      </w:r>
      <w:r>
        <w:instrText xml:space="preserve"> PAGEREF _Toc21780669 \h </w:instrText>
      </w:r>
      <w:r>
        <w:fldChar w:fldCharType="separate"/>
      </w:r>
      <w:r>
        <w:t>3</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"_Toc21780670" </w:instrText>
      </w:r>
      <w:r>
        <w:fldChar w:fldCharType="separate"/>
      </w:r>
      <w:r>
        <w:rPr>
          <w:rStyle w:val="37"/>
          <w:color w:val="auto"/>
        </w:rPr>
        <w:t xml:space="preserve">7. </w:t>
      </w:r>
      <w:r>
        <w:rPr>
          <w:rStyle w:val="37"/>
          <w:rFonts w:hint="eastAsia"/>
          <w:color w:val="auto"/>
        </w:rPr>
        <w:t>发布公告的媒介</w:t>
      </w:r>
      <w:r>
        <w:tab/>
      </w:r>
      <w:r>
        <w:rPr>
          <w:rFonts w:hint="eastAsia"/>
          <w:lang w:val="en-US" w:eastAsia="zh-CN"/>
        </w:rPr>
        <w:t>3</w:t>
      </w:r>
      <w:r>
        <w:fldChar w:fldCharType="end"/>
      </w:r>
    </w:p>
    <w:p>
      <w:pPr>
        <w:pStyle w:val="30"/>
        <w:tabs>
          <w:tab w:val="right" w:leader="dot" w:pos="8296"/>
        </w:tabs>
        <w:rPr>
          <w:rFonts w:asciiTheme="minorHAnsi" w:hAnsiTheme="minorHAnsi" w:eastAsiaTheme="minorEastAsia" w:cstheme="minorBidi"/>
          <w:szCs w:val="22"/>
        </w:rPr>
      </w:pPr>
      <w:r>
        <w:fldChar w:fldCharType="begin"/>
      </w:r>
      <w:r>
        <w:instrText xml:space="preserve"> HYPERLINK \l "_Toc21780671" </w:instrText>
      </w:r>
      <w:r>
        <w:fldChar w:fldCharType="separate"/>
      </w:r>
      <w:r>
        <w:rPr>
          <w:rStyle w:val="37"/>
          <w:rFonts w:hint="eastAsia"/>
          <w:color w:val="auto"/>
        </w:rPr>
        <w:t>第二章投标人须知</w:t>
      </w:r>
      <w:r>
        <w:tab/>
      </w:r>
      <w:r>
        <w:fldChar w:fldCharType="begin"/>
      </w:r>
      <w:r>
        <w:instrText xml:space="preserve"> PAGEREF _Toc21780671 \h </w:instrText>
      </w:r>
      <w:r>
        <w:fldChar w:fldCharType="separate"/>
      </w:r>
      <w:r>
        <w:t>3</w:t>
      </w:r>
      <w:r>
        <w:fldChar w:fldCharType="end"/>
      </w:r>
      <w:r>
        <w:fldChar w:fldCharType="end"/>
      </w:r>
    </w:p>
    <w:p>
      <w:pPr>
        <w:pStyle w:val="30"/>
        <w:tabs>
          <w:tab w:val="right" w:leader="dot" w:pos="8296"/>
        </w:tabs>
        <w:rPr>
          <w:rFonts w:asciiTheme="minorHAnsi" w:hAnsiTheme="minorHAnsi" w:eastAsiaTheme="minorEastAsia" w:cstheme="minorBidi"/>
          <w:szCs w:val="22"/>
        </w:rPr>
      </w:pPr>
      <w:r>
        <w:fldChar w:fldCharType="begin"/>
      </w:r>
      <w:r>
        <w:instrText xml:space="preserve"> HYPERLINK \l "_Toc21780672" </w:instrText>
      </w:r>
      <w:r>
        <w:fldChar w:fldCharType="separate"/>
      </w:r>
      <w:r>
        <w:rPr>
          <w:rStyle w:val="37"/>
          <w:rFonts w:hint="eastAsia"/>
          <w:color w:val="auto"/>
        </w:rPr>
        <w:t>投标人须知前附表</w:t>
      </w:r>
      <w:r>
        <w:tab/>
      </w:r>
      <w:r>
        <w:fldChar w:fldCharType="begin"/>
      </w:r>
      <w:r>
        <w:instrText xml:space="preserve"> PAGEREF _Toc21780672 \h </w:instrText>
      </w:r>
      <w:r>
        <w:fldChar w:fldCharType="separate"/>
      </w:r>
      <w:r>
        <w:t>4</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"_Toc21780673" </w:instrText>
      </w:r>
      <w:r>
        <w:fldChar w:fldCharType="separate"/>
      </w:r>
      <w:r>
        <w:rPr>
          <w:rStyle w:val="37"/>
          <w:color w:val="auto"/>
        </w:rPr>
        <w:t xml:space="preserve">1. </w:t>
      </w:r>
      <w:r>
        <w:rPr>
          <w:rStyle w:val="37"/>
          <w:rFonts w:hint="eastAsia"/>
          <w:color w:val="auto"/>
        </w:rPr>
        <w:t>总则</w:t>
      </w:r>
      <w:r>
        <w:tab/>
      </w:r>
      <w:r>
        <w:rPr>
          <w:rFonts w:hint="eastAsia"/>
          <w:lang w:val="en-US" w:eastAsia="zh-CN"/>
        </w:rPr>
        <w:t>6</w:t>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"_Toc21780674" </w:instrText>
      </w:r>
      <w:r>
        <w:fldChar w:fldCharType="separate"/>
      </w:r>
      <w:r>
        <w:rPr>
          <w:rStyle w:val="37"/>
          <w:color w:val="auto"/>
        </w:rPr>
        <w:t xml:space="preserve">2. </w:t>
      </w:r>
      <w:r>
        <w:rPr>
          <w:rStyle w:val="37"/>
          <w:rFonts w:hint="eastAsia"/>
          <w:color w:val="auto"/>
        </w:rPr>
        <w:t>招标文件</w:t>
      </w:r>
      <w:r>
        <w:tab/>
      </w:r>
      <w:r>
        <w:rPr>
          <w:rFonts w:hint="eastAsia"/>
          <w:lang w:val="en-US" w:eastAsia="zh-CN"/>
        </w:rPr>
        <w:t>7</w:t>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"_Toc21780675" </w:instrText>
      </w:r>
      <w:r>
        <w:fldChar w:fldCharType="separate"/>
      </w:r>
      <w:r>
        <w:rPr>
          <w:rStyle w:val="37"/>
          <w:color w:val="auto"/>
        </w:rPr>
        <w:t xml:space="preserve">3. </w:t>
      </w:r>
      <w:r>
        <w:rPr>
          <w:rStyle w:val="37"/>
          <w:rFonts w:hint="eastAsia"/>
          <w:color w:val="auto"/>
        </w:rPr>
        <w:t>投标文件</w:t>
      </w:r>
      <w:r>
        <w:tab/>
      </w:r>
      <w:r>
        <w:rPr>
          <w:rFonts w:hint="eastAsia"/>
          <w:lang w:val="en-US" w:eastAsia="zh-CN"/>
        </w:rPr>
        <w:t>7</w:t>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"_Toc21780676" </w:instrText>
      </w:r>
      <w:r>
        <w:fldChar w:fldCharType="separate"/>
      </w:r>
      <w:r>
        <w:rPr>
          <w:rStyle w:val="37"/>
          <w:color w:val="auto"/>
        </w:rPr>
        <w:t xml:space="preserve">4. </w:t>
      </w:r>
      <w:r>
        <w:rPr>
          <w:rStyle w:val="37"/>
          <w:rFonts w:hint="eastAsia"/>
          <w:color w:val="auto"/>
        </w:rPr>
        <w:t>投标</w:t>
      </w:r>
      <w:r>
        <w:tab/>
      </w:r>
      <w:r>
        <w:rPr>
          <w:rFonts w:hint="eastAsia"/>
          <w:lang w:val="en-US" w:eastAsia="zh-CN"/>
        </w:rPr>
        <w:t>9</w:t>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"_Toc21780677" </w:instrText>
      </w:r>
      <w:r>
        <w:fldChar w:fldCharType="separate"/>
      </w:r>
      <w:r>
        <w:rPr>
          <w:rStyle w:val="37"/>
          <w:color w:val="auto"/>
        </w:rPr>
        <w:t xml:space="preserve">5. </w:t>
      </w:r>
      <w:r>
        <w:rPr>
          <w:rStyle w:val="37"/>
          <w:rFonts w:hint="eastAsia"/>
          <w:color w:val="auto"/>
        </w:rPr>
        <w:t>开标</w:t>
      </w:r>
      <w:r>
        <w:tab/>
      </w:r>
      <w:r>
        <w:rPr>
          <w:rFonts w:hint="eastAsia"/>
          <w:lang w:val="en-US" w:eastAsia="zh-CN"/>
        </w:rPr>
        <w:t>9</w:t>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"_Toc21780678" </w:instrText>
      </w:r>
      <w:r>
        <w:fldChar w:fldCharType="separate"/>
      </w:r>
      <w:r>
        <w:rPr>
          <w:rStyle w:val="37"/>
          <w:color w:val="auto"/>
        </w:rPr>
        <w:t xml:space="preserve">6. </w:t>
      </w:r>
      <w:r>
        <w:rPr>
          <w:rStyle w:val="37"/>
          <w:rFonts w:hint="eastAsia"/>
          <w:color w:val="auto"/>
        </w:rPr>
        <w:t>评标</w:t>
      </w:r>
      <w:r>
        <w:tab/>
      </w:r>
      <w:r>
        <w:fldChar w:fldCharType="begin"/>
      </w:r>
      <w:r>
        <w:instrText xml:space="preserve"> PAGEREF _Toc21780678 \h </w:instrText>
      </w:r>
      <w:r>
        <w:fldChar w:fldCharType="separate"/>
      </w:r>
      <w:r>
        <w:t>10</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"_Toc21780679" </w:instrText>
      </w:r>
      <w:r>
        <w:fldChar w:fldCharType="separate"/>
      </w:r>
      <w:r>
        <w:rPr>
          <w:rStyle w:val="37"/>
          <w:color w:val="auto"/>
        </w:rPr>
        <w:t xml:space="preserve">7. </w:t>
      </w:r>
      <w:r>
        <w:rPr>
          <w:rStyle w:val="37"/>
          <w:rFonts w:hint="eastAsia"/>
          <w:color w:val="auto"/>
        </w:rPr>
        <w:t>合同授予</w:t>
      </w:r>
      <w:r>
        <w:tab/>
      </w:r>
      <w:r>
        <w:fldChar w:fldCharType="begin"/>
      </w:r>
      <w:r>
        <w:instrText xml:space="preserve"> PAGEREF _Toc21780679 \h </w:instrText>
      </w:r>
      <w:r>
        <w:fldChar w:fldCharType="separate"/>
      </w:r>
      <w:r>
        <w:t>10</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"_Toc21780680" </w:instrText>
      </w:r>
      <w:r>
        <w:fldChar w:fldCharType="separate"/>
      </w:r>
      <w:r>
        <w:rPr>
          <w:rStyle w:val="37"/>
          <w:color w:val="auto"/>
        </w:rPr>
        <w:t xml:space="preserve">8. </w:t>
      </w:r>
      <w:r>
        <w:rPr>
          <w:rStyle w:val="37"/>
          <w:rFonts w:hint="eastAsia"/>
          <w:color w:val="auto"/>
        </w:rPr>
        <w:t>重新招标和不再招标</w:t>
      </w:r>
      <w:r>
        <w:tab/>
      </w:r>
      <w:r>
        <w:fldChar w:fldCharType="begin"/>
      </w:r>
      <w:r>
        <w:instrText xml:space="preserve"> PAGEREF _Toc21780680 \h </w:instrText>
      </w:r>
      <w:r>
        <w:fldChar w:fldCharType="separate"/>
      </w:r>
      <w:r>
        <w:t>11</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"_Toc21780681" </w:instrText>
      </w:r>
      <w:r>
        <w:fldChar w:fldCharType="separate"/>
      </w:r>
      <w:r>
        <w:rPr>
          <w:rStyle w:val="37"/>
          <w:color w:val="auto"/>
        </w:rPr>
        <w:t xml:space="preserve">9. </w:t>
      </w:r>
      <w:r>
        <w:rPr>
          <w:rStyle w:val="37"/>
          <w:rFonts w:hint="eastAsia"/>
          <w:color w:val="auto"/>
        </w:rPr>
        <w:t>纪律和监督</w:t>
      </w:r>
      <w:r>
        <w:tab/>
      </w:r>
      <w:r>
        <w:fldChar w:fldCharType="begin"/>
      </w:r>
      <w:r>
        <w:instrText xml:space="preserve"> PAGEREF _Toc21780681 \h </w:instrText>
      </w:r>
      <w:r>
        <w:fldChar w:fldCharType="separate"/>
      </w:r>
      <w:r>
        <w:t>12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"_Toc21780682" </w:instrText>
      </w:r>
      <w:r>
        <w:fldChar w:fldCharType="separate"/>
      </w:r>
      <w:r>
        <w:rPr>
          <w:rStyle w:val="37"/>
          <w:color w:val="auto"/>
        </w:rPr>
        <w:t xml:space="preserve">10. </w:t>
      </w:r>
      <w:r>
        <w:rPr>
          <w:rStyle w:val="37"/>
          <w:rFonts w:hint="eastAsia"/>
          <w:color w:val="auto"/>
        </w:rPr>
        <w:t>需要补充的其他内容</w:t>
      </w:r>
      <w:r>
        <w:tab/>
      </w:r>
      <w:r>
        <w:fldChar w:fldCharType="begin"/>
      </w:r>
      <w:r>
        <w:instrText xml:space="preserve"> PAGEREF _Toc21780682 \h </w:instrText>
      </w:r>
      <w:r>
        <w:fldChar w:fldCharType="separate"/>
      </w:r>
      <w:r>
        <w:t>12</w:t>
      </w:r>
      <w:r>
        <w:fldChar w:fldCharType="end"/>
      </w:r>
      <w:r>
        <w:fldChar w:fldCharType="end"/>
      </w:r>
    </w:p>
    <w:p>
      <w:pPr>
        <w:pStyle w:val="30"/>
        <w:tabs>
          <w:tab w:val="right" w:leader="dot" w:pos="8296"/>
        </w:tabs>
        <w:rPr>
          <w:rFonts w:hint="eastAsia" w:eastAsia="宋体" w:asciiTheme="minorHAnsi" w:hAnsiTheme="minorHAnsi" w:cstheme="minorBidi"/>
          <w:szCs w:val="22"/>
          <w:lang w:val="en-US" w:eastAsia="zh-CN"/>
        </w:rPr>
      </w:pPr>
      <w:r>
        <w:fldChar w:fldCharType="begin"/>
      </w:r>
      <w:r>
        <w:instrText xml:space="preserve"> HYPERLINK \l "_Toc21780683" </w:instrText>
      </w:r>
      <w:r>
        <w:fldChar w:fldCharType="separate"/>
      </w:r>
      <w:r>
        <w:rPr>
          <w:rStyle w:val="37"/>
          <w:rFonts w:hint="eastAsia"/>
          <w:color w:val="auto"/>
        </w:rPr>
        <w:t>第三章评标标准和方法</w:t>
      </w:r>
      <w:r>
        <w:tab/>
      </w:r>
      <w:r>
        <w:rPr>
          <w:rFonts w:hint="eastAsia"/>
          <w:lang w:val="en-US" w:eastAsia="zh-CN"/>
        </w:rPr>
        <w:t>1</w:t>
      </w:r>
      <w:r>
        <w:fldChar w:fldCharType="end"/>
      </w:r>
      <w:r>
        <w:rPr>
          <w:rFonts w:hint="eastAsia"/>
          <w:lang w:val="en-US" w:eastAsia="zh-CN"/>
        </w:rPr>
        <w:t>3</w:t>
      </w:r>
    </w:p>
    <w:p>
      <w:pPr>
        <w:pStyle w:val="30"/>
        <w:tabs>
          <w:tab w:val="right" w:leader="dot" w:pos="8296"/>
        </w:tabs>
        <w:rPr>
          <w:rFonts w:hint="eastAsia" w:eastAsia="宋体" w:asciiTheme="minorHAnsi" w:hAnsiTheme="minorHAnsi" w:cstheme="minorBidi"/>
          <w:szCs w:val="22"/>
          <w:lang w:val="en-US" w:eastAsia="zh-CN"/>
        </w:rPr>
      </w:pPr>
      <w:r>
        <w:fldChar w:fldCharType="begin"/>
      </w:r>
      <w:r>
        <w:instrText xml:space="preserve"> HYPERLINK \l "_Toc21780684" </w:instrText>
      </w:r>
      <w:r>
        <w:fldChar w:fldCharType="separate"/>
      </w:r>
      <w:r>
        <w:rPr>
          <w:rStyle w:val="37"/>
          <w:rFonts w:hint="eastAsia"/>
          <w:color w:val="auto"/>
        </w:rPr>
        <w:t>评标办法前附表</w:t>
      </w:r>
      <w:r>
        <w:tab/>
      </w:r>
      <w:r>
        <w:rPr>
          <w:rFonts w:hint="eastAsia"/>
          <w:lang w:val="en-US" w:eastAsia="zh-CN"/>
        </w:rPr>
        <w:t>1</w:t>
      </w:r>
      <w:r>
        <w:fldChar w:fldCharType="end"/>
      </w:r>
      <w:r>
        <w:rPr>
          <w:rFonts w:hint="eastAsia"/>
          <w:lang w:val="en-US" w:eastAsia="zh-CN"/>
        </w:rPr>
        <w:t>3</w:t>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"_Toc21780685" </w:instrText>
      </w:r>
      <w:r>
        <w:fldChar w:fldCharType="separate"/>
      </w:r>
      <w:r>
        <w:rPr>
          <w:rStyle w:val="37"/>
          <w:color w:val="auto"/>
        </w:rPr>
        <w:t xml:space="preserve">1. </w:t>
      </w:r>
      <w:r>
        <w:rPr>
          <w:rStyle w:val="37"/>
          <w:rFonts w:hint="eastAsia"/>
          <w:color w:val="auto"/>
        </w:rPr>
        <w:t>评标方法</w:t>
      </w:r>
      <w:r>
        <w:tab/>
      </w:r>
      <w:r>
        <w:fldChar w:fldCharType="begin"/>
      </w:r>
      <w:r>
        <w:instrText xml:space="preserve"> PAGEREF _Toc21780685 \h </w:instrText>
      </w:r>
      <w:r>
        <w:fldChar w:fldCharType="separate"/>
      </w:r>
      <w:r>
        <w:t>16</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"_Toc21780686" </w:instrText>
      </w:r>
      <w:r>
        <w:fldChar w:fldCharType="separate"/>
      </w:r>
      <w:r>
        <w:rPr>
          <w:rStyle w:val="37"/>
          <w:color w:val="auto"/>
        </w:rPr>
        <w:t xml:space="preserve">2. </w:t>
      </w:r>
      <w:r>
        <w:rPr>
          <w:rStyle w:val="37"/>
          <w:rFonts w:hint="eastAsia"/>
          <w:color w:val="auto"/>
        </w:rPr>
        <w:t>评审标准</w:t>
      </w:r>
      <w:r>
        <w:tab/>
      </w:r>
      <w:r>
        <w:fldChar w:fldCharType="begin"/>
      </w:r>
      <w:r>
        <w:instrText xml:space="preserve"> PAGEREF _Toc21780686 \h </w:instrText>
      </w:r>
      <w:r>
        <w:fldChar w:fldCharType="separate"/>
      </w:r>
      <w:r>
        <w:t>16</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"_Toc21780687" </w:instrText>
      </w:r>
      <w:r>
        <w:fldChar w:fldCharType="separate"/>
      </w:r>
      <w:r>
        <w:rPr>
          <w:rStyle w:val="37"/>
          <w:color w:val="auto"/>
        </w:rPr>
        <w:t xml:space="preserve">3. </w:t>
      </w:r>
      <w:r>
        <w:rPr>
          <w:rStyle w:val="37"/>
          <w:rFonts w:hint="eastAsia"/>
          <w:color w:val="auto"/>
        </w:rPr>
        <w:t>评标程序</w:t>
      </w:r>
      <w:r>
        <w:tab/>
      </w:r>
      <w:r>
        <w:fldChar w:fldCharType="begin"/>
      </w:r>
      <w:r>
        <w:instrText xml:space="preserve"> PAGEREF _Toc21780687 \h </w:instrText>
      </w:r>
      <w:r>
        <w:fldChar w:fldCharType="separate"/>
      </w:r>
      <w:r>
        <w:t>16</w:t>
      </w:r>
      <w:r>
        <w:fldChar w:fldCharType="end"/>
      </w:r>
      <w:r>
        <w:fldChar w:fldCharType="end"/>
      </w:r>
    </w:p>
    <w:p>
      <w:pPr>
        <w:pStyle w:val="30"/>
        <w:tabs>
          <w:tab w:val="right" w:leader="dot" w:pos="8296"/>
        </w:tabs>
        <w:rPr>
          <w:rFonts w:hint="eastAsia" w:eastAsia="宋体" w:asciiTheme="minorHAnsi" w:hAnsiTheme="minorHAnsi" w:cstheme="minorBidi"/>
          <w:szCs w:val="22"/>
          <w:lang w:val="en-US" w:eastAsia="zh-CN"/>
        </w:rPr>
      </w:pPr>
      <w:r>
        <w:fldChar w:fldCharType="begin"/>
      </w:r>
      <w:r>
        <w:instrText xml:space="preserve"> HYPERLINK \l "_Toc21780688" </w:instrText>
      </w:r>
      <w:r>
        <w:fldChar w:fldCharType="separate"/>
      </w:r>
      <w:r>
        <w:rPr>
          <w:rStyle w:val="37"/>
          <w:rFonts w:hint="eastAsia"/>
          <w:color w:val="auto"/>
          <w:kern w:val="0"/>
        </w:rPr>
        <w:t>第四章合同主要条款</w:t>
      </w:r>
      <w:r>
        <w:tab/>
      </w:r>
      <w:r>
        <w:rPr>
          <w:rFonts w:hint="eastAsia"/>
          <w:lang w:val="en-US" w:eastAsia="zh-CN"/>
        </w:rPr>
        <w:t>1</w:t>
      </w:r>
      <w:r>
        <w:fldChar w:fldCharType="end"/>
      </w:r>
      <w:r>
        <w:rPr>
          <w:rFonts w:hint="eastAsia"/>
          <w:lang w:val="en-US" w:eastAsia="zh-CN"/>
        </w:rPr>
        <w:t>8</w:t>
      </w:r>
    </w:p>
    <w:p>
      <w:pPr>
        <w:pStyle w:val="30"/>
        <w:tabs>
          <w:tab w:val="right" w:leader="dot" w:pos="8296"/>
        </w:tabs>
        <w:rPr>
          <w:rFonts w:hint="eastAsia" w:eastAsia="宋体" w:asciiTheme="minorHAnsi" w:hAnsiTheme="minorHAnsi" w:cstheme="minorBidi"/>
          <w:szCs w:val="22"/>
          <w:lang w:val="en-US" w:eastAsia="zh-CN"/>
        </w:rPr>
      </w:pPr>
      <w:r>
        <w:fldChar w:fldCharType="begin"/>
      </w:r>
      <w:r>
        <w:instrText xml:space="preserve"> HYPERLINK \l "_Toc21780689" </w:instrText>
      </w:r>
      <w:r>
        <w:fldChar w:fldCharType="separate"/>
      </w:r>
      <w:r>
        <w:rPr>
          <w:rStyle w:val="37"/>
          <w:rFonts w:hint="eastAsia"/>
          <w:color w:val="auto"/>
          <w:kern w:val="0"/>
        </w:rPr>
        <w:t>第五章服务标准及要求</w:t>
      </w:r>
      <w:r>
        <w:tab/>
      </w:r>
      <w:r>
        <w:rPr>
          <w:rFonts w:hint="eastAsia"/>
          <w:lang w:val="en-US" w:eastAsia="zh-CN"/>
        </w:rPr>
        <w:t>2</w:t>
      </w:r>
      <w:r>
        <w:fldChar w:fldCharType="end"/>
      </w:r>
      <w:r>
        <w:rPr>
          <w:rFonts w:hint="eastAsia"/>
          <w:lang w:val="en-US" w:eastAsia="zh-CN"/>
        </w:rPr>
        <w:t>4</w:t>
      </w:r>
    </w:p>
    <w:p>
      <w:pPr>
        <w:pStyle w:val="30"/>
        <w:tabs>
          <w:tab w:val="right" w:leader="dot" w:pos="8296"/>
        </w:tabs>
        <w:rPr>
          <w:rFonts w:hint="eastAsia" w:eastAsia="宋体" w:asciiTheme="minorHAnsi" w:hAnsiTheme="minorHAnsi" w:cstheme="minorBidi"/>
          <w:szCs w:val="22"/>
          <w:lang w:val="en-US" w:eastAsia="zh-CN"/>
        </w:rPr>
      </w:pPr>
      <w:r>
        <w:fldChar w:fldCharType="begin"/>
      </w:r>
      <w:r>
        <w:instrText xml:space="preserve"> HYPERLINK \l "_Toc21780690" </w:instrText>
      </w:r>
      <w:r>
        <w:fldChar w:fldCharType="separate"/>
      </w:r>
      <w:r>
        <w:rPr>
          <w:rStyle w:val="37"/>
          <w:rFonts w:hint="eastAsia"/>
          <w:color w:val="auto"/>
          <w:kern w:val="0"/>
        </w:rPr>
        <w:t>第六章投标文件格式</w:t>
      </w:r>
      <w:r>
        <w:tab/>
      </w:r>
      <w:r>
        <w:rPr>
          <w:rFonts w:hint="eastAsia"/>
          <w:lang w:val="en-US" w:eastAsia="zh-CN"/>
        </w:rPr>
        <w:t>2</w:t>
      </w:r>
      <w:r>
        <w:fldChar w:fldCharType="end"/>
      </w:r>
      <w:r>
        <w:rPr>
          <w:rFonts w:hint="eastAsia"/>
          <w:lang w:val="en-US" w:eastAsia="zh-CN"/>
        </w:rPr>
        <w:t>5</w:t>
      </w:r>
    </w:p>
    <w:p>
      <w:r>
        <w:fldChar w:fldCharType="end"/>
      </w:r>
    </w:p>
    <w:p/>
    <w:p>
      <w:pPr>
        <w:pStyle w:val="56"/>
        <w:outlineLvl w:val="1"/>
        <w:sectPr>
          <w:footerReference r:id="rId7" w:type="default"/>
          <w:footnotePr>
            <w:numFmt w:val="decimalEnclosedCircleChinese"/>
          </w:footnotePr>
          <w:pgSz w:w="11906" w:h="16838"/>
          <w:pgMar w:top="1440" w:right="1800" w:bottom="1440" w:left="1800" w:header="851" w:footer="992" w:gutter="0"/>
          <w:pgNumType w:fmt="upperRoman" w:start="1"/>
          <w:cols w:space="720" w:num="1"/>
          <w:docGrid w:type="lines" w:linePitch="312" w:charSpace="0"/>
        </w:sectPr>
      </w:pPr>
    </w:p>
    <w:p>
      <w:pPr>
        <w:pStyle w:val="56"/>
        <w:outlineLvl w:val="1"/>
      </w:pPr>
      <w:bookmarkStart w:id="0" w:name="_Toc21780663"/>
      <w:r>
        <w:rPr>
          <w:rFonts w:hint="eastAsia"/>
        </w:rPr>
        <w:t>第一章   招标公告</w:t>
      </w:r>
      <w:bookmarkEnd w:id="0"/>
    </w:p>
    <w:p>
      <w:pPr>
        <w:pStyle w:val="60"/>
        <w:spacing w:line="360" w:lineRule="auto"/>
        <w:outlineLvl w:val="2"/>
      </w:pPr>
      <w:bookmarkStart w:id="1" w:name="_Toc227671904"/>
      <w:bookmarkEnd w:id="1"/>
      <w:bookmarkStart w:id="2" w:name="_Toc21780664"/>
      <w:r>
        <w:rPr>
          <w:rFonts w:hint="eastAsia"/>
        </w:rPr>
        <w:t>1. 招标条件</w:t>
      </w:r>
      <w:bookmarkEnd w:id="2"/>
    </w:p>
    <w:p>
      <w:pPr>
        <w:spacing w:line="480" w:lineRule="exact"/>
        <w:ind w:firstLine="437"/>
      </w:pPr>
      <w:r>
        <w:rPr>
          <w:rFonts w:hint="eastAsia"/>
          <w:szCs w:val="21"/>
        </w:rPr>
        <w:t>本招标项目招标人为</w:t>
      </w:r>
      <w:r>
        <w:rPr>
          <w:rFonts w:hint="eastAsia"/>
          <w:szCs w:val="21"/>
          <w:u w:val="single"/>
        </w:rPr>
        <w:t>扬州万福投资发展有限责任公司</w:t>
      </w:r>
      <w:r>
        <w:rPr>
          <w:rFonts w:hint="eastAsia"/>
          <w:szCs w:val="21"/>
        </w:rPr>
        <w:t>，资金</w:t>
      </w:r>
      <w:r>
        <w:rPr>
          <w:rFonts w:hint="eastAsia"/>
          <w:szCs w:val="21"/>
          <w:u w:val="single"/>
        </w:rPr>
        <w:t>已落实</w:t>
      </w:r>
      <w:r>
        <w:rPr>
          <w:rFonts w:hint="eastAsia"/>
          <w:szCs w:val="21"/>
        </w:rPr>
        <w:t>。项目已具备招标条件，现对</w:t>
      </w:r>
      <w:r>
        <w:rPr>
          <w:rFonts w:hint="eastAsia"/>
          <w:szCs w:val="21"/>
          <w:u w:val="single"/>
          <w:lang w:eastAsia="zh-CN"/>
        </w:rPr>
        <w:t>润扬南路快速化改造工程用地预审及征地报批项目</w:t>
      </w:r>
      <w:r>
        <w:rPr>
          <w:rFonts w:hint="eastAsia"/>
          <w:szCs w:val="21"/>
        </w:rPr>
        <w:t>进行公开招标。</w:t>
      </w:r>
    </w:p>
    <w:p>
      <w:pPr>
        <w:pStyle w:val="60"/>
        <w:spacing w:line="360" w:lineRule="auto"/>
        <w:outlineLvl w:val="2"/>
      </w:pPr>
      <w:bookmarkStart w:id="3" w:name="_Toc21780665"/>
      <w:r>
        <w:rPr>
          <w:rFonts w:hint="eastAsia"/>
        </w:rPr>
        <w:t>2. 项目概况与招标范围</w:t>
      </w:r>
      <w:bookmarkEnd w:id="3"/>
    </w:p>
    <w:p>
      <w:pPr>
        <w:spacing w:line="400" w:lineRule="exact"/>
        <w:ind w:firstLine="420" w:firstLineChars="200"/>
        <w:rPr>
          <w:szCs w:val="21"/>
        </w:rPr>
      </w:pPr>
      <w:r>
        <w:rPr>
          <w:rFonts w:hint="eastAsia"/>
          <w:szCs w:val="21"/>
        </w:rPr>
        <w:t>服务地点：</w:t>
      </w:r>
      <w:r>
        <w:rPr>
          <w:rFonts w:hint="eastAsia" w:ascii="宋体" w:hAnsi="宋体" w:cs="宋体"/>
          <w:szCs w:val="21"/>
        </w:rPr>
        <w:t>北起牧羊路以北，顺接润阳互通，向南终于扬子津路</w:t>
      </w:r>
    </w:p>
    <w:p>
      <w:pPr>
        <w:spacing w:line="400" w:lineRule="exact"/>
        <w:ind w:left="210" w:leftChars="100" w:firstLine="210" w:firstLineChars="100"/>
        <w:rPr>
          <w:rFonts w:hint="eastAsia"/>
          <w:szCs w:val="21"/>
          <w:highlight w:val="none"/>
        </w:rPr>
      </w:pPr>
      <w:r>
        <w:rPr>
          <w:rFonts w:hint="eastAsia"/>
          <w:szCs w:val="21"/>
          <w:highlight w:val="none"/>
        </w:rPr>
        <w:t>招标范围：</w:t>
      </w:r>
      <w:r>
        <w:rPr>
          <w:rFonts w:hint="eastAsia"/>
          <w:szCs w:val="21"/>
          <w:highlight w:val="none"/>
          <w:lang w:eastAsia="zh-CN"/>
        </w:rPr>
        <w:t>润扬南路快速化改造工程用地预审及征地报批项目</w:t>
      </w:r>
      <w:r>
        <w:rPr>
          <w:rFonts w:hint="eastAsia"/>
          <w:szCs w:val="21"/>
          <w:highlight w:val="none"/>
        </w:rPr>
        <w:t>的所有工作及相关服务。</w:t>
      </w:r>
    </w:p>
    <w:p>
      <w:pPr>
        <w:spacing w:line="400" w:lineRule="exact"/>
        <w:ind w:firstLine="420" w:firstLineChars="200"/>
        <w:rPr>
          <w:rFonts w:hint="eastAsia"/>
          <w:szCs w:val="21"/>
          <w:highlight w:val="none"/>
        </w:rPr>
      </w:pPr>
      <w:r>
        <w:rPr>
          <w:rFonts w:hint="eastAsia"/>
          <w:szCs w:val="21"/>
          <w:highlight w:val="none"/>
        </w:rPr>
        <w:t>用地预审工作内容包括（但不限于）：收集前期工作材料，编制用地预审申请报告和申请表等材料，根据项目要求组卷上报区县自然资源部门初审，组卷上报扬州市自然资源和规划局审查并取得预审批复文件。</w:t>
      </w:r>
    </w:p>
    <w:p>
      <w:pPr>
        <w:spacing w:line="400" w:lineRule="exact"/>
        <w:ind w:firstLine="420" w:firstLineChars="200"/>
        <w:rPr>
          <w:szCs w:val="21"/>
          <w:highlight w:val="none"/>
        </w:rPr>
      </w:pPr>
      <w:r>
        <w:rPr>
          <w:rFonts w:hint="eastAsia"/>
          <w:szCs w:val="21"/>
          <w:highlight w:val="none"/>
        </w:rPr>
        <w:t>征地报批工作内容包括（但不限于）：配合地方政府和自然资源等部门完成征地前期调查确认以及协议签订等工作；编制土地报批组卷材料，包括编制一书四方案、土地分类面积汇总表、征收土地安置农业人口情况汇总表、标注拟占用土地位置的土地利用现状图、标注拟占用土地位置的土地利用总体规划图、请示报告和审查意见等；逐级上报审查，最终取得省政府的建设用地批复。</w:t>
      </w:r>
    </w:p>
    <w:p>
      <w:pPr>
        <w:spacing w:line="400" w:lineRule="exact"/>
        <w:ind w:firstLine="420" w:firstLineChars="200"/>
        <w:rPr>
          <w:b/>
          <w:bCs/>
          <w:szCs w:val="21"/>
          <w:highlight w:val="none"/>
          <w:u w:val="single"/>
        </w:rPr>
      </w:pPr>
      <w:r>
        <w:rPr>
          <w:rFonts w:hint="eastAsia"/>
          <w:b w:val="0"/>
          <w:bCs w:val="0"/>
          <w:szCs w:val="21"/>
          <w:highlight w:val="none"/>
          <w:u w:val="none"/>
        </w:rPr>
        <w:t>完成时间：</w:t>
      </w:r>
      <w:r>
        <w:rPr>
          <w:rFonts w:hint="eastAsia"/>
          <w:szCs w:val="21"/>
          <w:highlight w:val="none"/>
        </w:rPr>
        <w:t>可行性研究报告稳定后完成后</w:t>
      </w:r>
      <w:r>
        <w:rPr>
          <w:rFonts w:hint="eastAsia"/>
          <w:szCs w:val="21"/>
          <w:highlight w:val="none"/>
          <w:lang w:val="en-US" w:eastAsia="zh-CN"/>
        </w:rPr>
        <w:t>6</w:t>
      </w:r>
      <w:r>
        <w:rPr>
          <w:rFonts w:hint="eastAsia"/>
          <w:szCs w:val="21"/>
          <w:highlight w:val="none"/>
        </w:rPr>
        <w:t>0日历日内取得用地预审批复及</w:t>
      </w:r>
      <w:r>
        <w:rPr>
          <w:rFonts w:hint="eastAsia"/>
          <w:szCs w:val="21"/>
          <w:highlight w:val="none"/>
          <w:lang w:eastAsia="zh-CN"/>
        </w:rPr>
        <w:t>用地审批文件</w:t>
      </w:r>
      <w:r>
        <w:rPr>
          <w:rFonts w:hint="eastAsia"/>
          <w:szCs w:val="21"/>
          <w:highlight w:val="none"/>
        </w:rPr>
        <w:t>。</w:t>
      </w:r>
    </w:p>
    <w:p>
      <w:pPr>
        <w:spacing w:line="400" w:lineRule="exact"/>
        <w:ind w:firstLine="420" w:firstLineChars="200"/>
        <w:rPr>
          <w:rFonts w:hint="eastAsia"/>
          <w:szCs w:val="21"/>
          <w:highlight w:val="none"/>
        </w:rPr>
      </w:pPr>
      <w:r>
        <w:rPr>
          <w:rFonts w:hint="eastAsia" w:ascii="宋体" w:hAnsi="宋体"/>
          <w:kern w:val="0"/>
          <w:szCs w:val="21"/>
        </w:rPr>
        <w:t>本</w:t>
      </w:r>
      <w:r>
        <w:rPr>
          <w:rFonts w:hint="eastAsia"/>
          <w:szCs w:val="21"/>
          <w:highlight w:val="none"/>
        </w:rPr>
        <w:t>项目采用</w:t>
      </w:r>
      <w:r>
        <w:rPr>
          <w:rFonts w:hint="eastAsia"/>
          <w:b/>
          <w:szCs w:val="21"/>
          <w:highlight w:val="none"/>
          <w:u w:val="single"/>
        </w:rPr>
        <w:t>公开招标、资格后审</w:t>
      </w:r>
      <w:r>
        <w:rPr>
          <w:rFonts w:hint="eastAsia"/>
          <w:szCs w:val="21"/>
          <w:highlight w:val="none"/>
        </w:rPr>
        <w:t>方式。</w:t>
      </w:r>
    </w:p>
    <w:p>
      <w:pPr>
        <w:spacing w:line="400" w:lineRule="exact"/>
        <w:ind w:firstLine="420" w:firstLineChars="200"/>
        <w:rPr>
          <w:rFonts w:hint="eastAsia" w:eastAsia="宋体"/>
          <w:szCs w:val="21"/>
          <w:highlight w:val="none"/>
          <w:lang w:val="en-US" w:eastAsia="zh-CN"/>
        </w:rPr>
      </w:pPr>
      <w:r>
        <w:rPr>
          <w:rFonts w:hint="eastAsia"/>
          <w:szCs w:val="21"/>
          <w:highlight w:val="none"/>
          <w:lang w:val="en-US" w:eastAsia="zh-CN"/>
        </w:rPr>
        <w:t>最高限价：35万元</w:t>
      </w:r>
    </w:p>
    <w:p>
      <w:pPr>
        <w:pStyle w:val="60"/>
        <w:spacing w:line="360" w:lineRule="auto"/>
        <w:outlineLvl w:val="2"/>
      </w:pPr>
      <w:bookmarkStart w:id="4" w:name="_Toc21780666"/>
      <w:r>
        <w:rPr>
          <w:rFonts w:hint="eastAsia"/>
        </w:rPr>
        <w:t>3. 投标人资格要求</w:t>
      </w:r>
      <w:bookmarkEnd w:id="4"/>
    </w:p>
    <w:p>
      <w:pPr>
        <w:spacing w:line="360" w:lineRule="auto"/>
        <w:ind w:firstLine="420" w:firstLineChars="200"/>
        <w:rPr>
          <w:szCs w:val="21"/>
        </w:rPr>
      </w:pPr>
      <w:r>
        <w:rPr>
          <w:szCs w:val="21"/>
        </w:rPr>
        <w:t>3.1投标人</w:t>
      </w:r>
      <w:r>
        <w:rPr>
          <w:rFonts w:hint="eastAsia"/>
          <w:szCs w:val="21"/>
        </w:rPr>
        <w:t>须满足以下要求且</w:t>
      </w:r>
      <w:r>
        <w:rPr>
          <w:szCs w:val="21"/>
        </w:rPr>
        <w:t>必须在投标文件中提供以下每条内容的详细证明资料</w:t>
      </w:r>
      <w:r>
        <w:rPr>
          <w:rFonts w:hint="eastAsia"/>
          <w:szCs w:val="21"/>
        </w:rPr>
        <w:t>及要求提供的资料</w:t>
      </w:r>
      <w:r>
        <w:rPr>
          <w:szCs w:val="21"/>
        </w:rPr>
        <w:t>，如果不提供或提供不全，将被视作不能满足</w:t>
      </w:r>
      <w:r>
        <w:rPr>
          <w:rFonts w:hint="eastAsia"/>
          <w:szCs w:val="21"/>
        </w:rPr>
        <w:t>招标</w:t>
      </w:r>
      <w:r>
        <w:rPr>
          <w:szCs w:val="21"/>
        </w:rPr>
        <w:t>文件要求。</w:t>
      </w:r>
    </w:p>
    <w:p>
      <w:pPr>
        <w:spacing w:line="360" w:lineRule="auto"/>
        <w:ind w:firstLine="420" w:firstLineChars="200"/>
        <w:rPr>
          <w:rFonts w:hint="eastAsia"/>
          <w:szCs w:val="21"/>
          <w:highlight w:val="none"/>
        </w:rPr>
      </w:pPr>
      <w:r>
        <w:rPr>
          <w:rFonts w:hint="eastAsia"/>
          <w:szCs w:val="21"/>
          <w:highlight w:val="none"/>
        </w:rPr>
        <w:t>3.1.1资质条件：投标人为中华人民共和国境内依法注册的法人企业，投标人需具有主管部门颁发的土地规划甲级资质。</w:t>
      </w:r>
    </w:p>
    <w:p>
      <w:pPr>
        <w:pStyle w:val="2"/>
        <w:rPr>
          <w:rFonts w:hint="eastAsia" w:eastAsia="宋体"/>
          <w:highlight w:val="none"/>
          <w:lang w:eastAsia="zh-CN"/>
        </w:rPr>
      </w:pPr>
      <w:r>
        <w:rPr>
          <w:rFonts w:hint="eastAsia"/>
          <w:sz w:val="21"/>
          <w:szCs w:val="21"/>
          <w:highlight w:val="none"/>
          <w:lang w:eastAsia="zh-CN"/>
        </w:rPr>
        <w:t>项目负责人具有</w:t>
      </w:r>
      <w:r>
        <w:rPr>
          <w:rFonts w:hint="eastAsia"/>
          <w:sz w:val="21"/>
          <w:szCs w:val="21"/>
          <w:highlight w:val="none"/>
        </w:rPr>
        <w:t>城乡规划</w:t>
      </w:r>
      <w:r>
        <w:rPr>
          <w:rFonts w:hint="eastAsia"/>
          <w:sz w:val="21"/>
          <w:szCs w:val="21"/>
          <w:highlight w:val="none"/>
          <w:lang w:eastAsia="zh-CN"/>
        </w:rPr>
        <w:t>或国土资源工程</w:t>
      </w:r>
      <w:r>
        <w:rPr>
          <w:rFonts w:hint="eastAsia"/>
          <w:sz w:val="21"/>
          <w:szCs w:val="21"/>
          <w:highlight w:val="none"/>
        </w:rPr>
        <w:t>类</w:t>
      </w:r>
      <w:r>
        <w:rPr>
          <w:rFonts w:hint="eastAsia"/>
          <w:sz w:val="21"/>
          <w:szCs w:val="21"/>
          <w:highlight w:val="none"/>
          <w:lang w:eastAsia="zh-CN"/>
        </w:rPr>
        <w:t>中级职称。</w:t>
      </w:r>
    </w:p>
    <w:p>
      <w:pPr>
        <w:spacing w:line="360" w:lineRule="auto"/>
        <w:ind w:firstLine="420" w:firstLineChars="200"/>
        <w:rPr>
          <w:szCs w:val="21"/>
        </w:rPr>
      </w:pPr>
      <w:r>
        <w:rPr>
          <w:rFonts w:hint="eastAsia"/>
          <w:szCs w:val="21"/>
        </w:rPr>
        <w:t>3.1.2信誉条件：良好。</w:t>
      </w:r>
    </w:p>
    <w:p>
      <w:pPr>
        <w:spacing w:line="360" w:lineRule="auto"/>
        <w:ind w:firstLine="420" w:firstLineChars="200"/>
        <w:rPr>
          <w:szCs w:val="21"/>
        </w:rPr>
      </w:pPr>
      <w:r>
        <w:rPr>
          <w:rFonts w:hint="eastAsia"/>
          <w:szCs w:val="21"/>
        </w:rPr>
        <w:t>3.2本次招标不接受联合体投标。</w:t>
      </w:r>
    </w:p>
    <w:p>
      <w:pPr>
        <w:spacing w:line="360" w:lineRule="auto"/>
        <w:ind w:firstLine="420" w:firstLineChars="200"/>
        <w:rPr>
          <w:szCs w:val="21"/>
        </w:rPr>
      </w:pPr>
      <w:r>
        <w:rPr>
          <w:rFonts w:hint="eastAsia"/>
          <w:szCs w:val="21"/>
        </w:rPr>
        <w:t>3.3与招标人存在利害关系可能影响招标公正性的法人、其他组织或者个人，不得参加投标。具有投资参股关系的关联企业，或具有直接管理和被管理关系的母子公司，或同一母公司的子公司，不予同时参加本批次同一标段的投标；法人代表为同一人的两个及以上公司，不予同时参加本批次同一标段的投标。</w:t>
      </w:r>
    </w:p>
    <w:p>
      <w:pPr>
        <w:spacing w:line="360" w:lineRule="auto"/>
        <w:ind w:firstLine="420" w:firstLineChars="200"/>
        <w:rPr>
          <w:szCs w:val="21"/>
        </w:rPr>
      </w:pPr>
      <w:r>
        <w:rPr>
          <w:rFonts w:hint="eastAsia"/>
          <w:szCs w:val="21"/>
        </w:rPr>
        <w:t>3.4</w:t>
      </w:r>
      <w:r>
        <w:rPr>
          <w:szCs w:val="21"/>
        </w:rPr>
        <w:t>招标人有权对投标人所提供的情况进行实地考察，如提供的材料与事实不符，投标人应承担被否决投标的风险</w:t>
      </w:r>
      <w:r>
        <w:rPr>
          <w:rFonts w:hint="eastAsia"/>
          <w:szCs w:val="21"/>
        </w:rPr>
        <w:t>。</w:t>
      </w:r>
    </w:p>
    <w:p>
      <w:pPr>
        <w:pStyle w:val="60"/>
        <w:spacing w:line="360" w:lineRule="auto"/>
        <w:outlineLvl w:val="2"/>
      </w:pPr>
      <w:bookmarkStart w:id="5" w:name="_Toc21780667"/>
      <w:r>
        <w:rPr>
          <w:rFonts w:hint="eastAsia"/>
        </w:rPr>
        <w:t>4. 招标文件的获取</w:t>
      </w:r>
      <w:bookmarkEnd w:id="5"/>
    </w:p>
    <w:p>
      <w:pPr>
        <w:pStyle w:val="31"/>
        <w:spacing w:before="0" w:beforeAutospacing="0" w:after="0" w:afterAutospacing="0" w:line="360" w:lineRule="auto"/>
        <w:ind w:firstLine="482"/>
        <w:rPr>
          <w:rFonts w:hint="eastAsia" w:ascii="Times New Roman" w:hAnsi="Times New Roman" w:eastAsia="宋体" w:cs="Times New Roman"/>
          <w:kern w:val="2"/>
          <w:sz w:val="21"/>
          <w:szCs w:val="21"/>
          <w:highlight w:val="none"/>
          <w:lang w:val="en-US" w:eastAsia="zh-CN" w:bidi="ar-SA"/>
        </w:rPr>
      </w:pPr>
      <w:bookmarkStart w:id="6" w:name="_Toc21780668"/>
      <w:r>
        <w:rPr>
          <w:rFonts w:hint="eastAsia" w:ascii="Times New Roman" w:hAnsi="Times New Roman" w:eastAsia="宋体" w:cs="Times New Roman"/>
          <w:kern w:val="2"/>
          <w:sz w:val="21"/>
          <w:szCs w:val="21"/>
          <w:highlight w:val="none"/>
          <w:lang w:val="en-US" w:eastAsia="zh-CN" w:bidi="ar-SA"/>
        </w:rPr>
        <w:t>4.1招标文件费用：0元。</w:t>
      </w:r>
    </w:p>
    <w:p>
      <w:pPr>
        <w:pStyle w:val="31"/>
        <w:spacing w:before="0" w:beforeAutospacing="0" w:after="0" w:afterAutospacing="0" w:line="360" w:lineRule="auto"/>
        <w:ind w:firstLine="482"/>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4.2获取招标文件时间：2022年11月1</w:t>
      </w:r>
      <w:r>
        <w:rPr>
          <w:rFonts w:hint="eastAsia" w:ascii="Times New Roman" w:hAnsi="Times New Roman" w:cs="Times New Roman"/>
          <w:kern w:val="2"/>
          <w:sz w:val="21"/>
          <w:szCs w:val="21"/>
          <w:highlight w:val="none"/>
          <w:lang w:val="en-US" w:eastAsia="zh-CN" w:bidi="ar-SA"/>
        </w:rPr>
        <w:t>6</w:t>
      </w:r>
      <w:r>
        <w:rPr>
          <w:rFonts w:hint="eastAsia" w:ascii="Times New Roman" w:hAnsi="Times New Roman" w:eastAsia="宋体" w:cs="Times New Roman"/>
          <w:kern w:val="2"/>
          <w:sz w:val="21"/>
          <w:szCs w:val="21"/>
          <w:highlight w:val="none"/>
          <w:lang w:val="en-US" w:eastAsia="zh-CN" w:bidi="ar-SA"/>
        </w:rPr>
        <w:t>日至2022年11月</w:t>
      </w:r>
      <w:r>
        <w:rPr>
          <w:rFonts w:hint="eastAsia" w:ascii="Times New Roman" w:hAnsi="Times New Roman" w:cs="Times New Roman"/>
          <w:kern w:val="2"/>
          <w:sz w:val="21"/>
          <w:szCs w:val="21"/>
          <w:highlight w:val="none"/>
          <w:lang w:val="en-US" w:eastAsia="zh-CN" w:bidi="ar-SA"/>
        </w:rPr>
        <w:t>21</w:t>
      </w:r>
      <w:r>
        <w:rPr>
          <w:rFonts w:hint="eastAsia" w:ascii="Times New Roman" w:hAnsi="Times New Roman" w:eastAsia="宋体" w:cs="Times New Roman"/>
          <w:kern w:val="2"/>
          <w:sz w:val="21"/>
          <w:szCs w:val="21"/>
          <w:highlight w:val="none"/>
          <w:lang w:val="en-US" w:eastAsia="zh-CN" w:bidi="ar-SA"/>
        </w:rPr>
        <w:t>日</w:t>
      </w:r>
    </w:p>
    <w:p>
      <w:pPr>
        <w:pStyle w:val="31"/>
        <w:spacing w:before="0" w:beforeAutospacing="0" w:after="0" w:afterAutospacing="0" w:line="360" w:lineRule="auto"/>
        <w:ind w:firstLine="482"/>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4.3</w:t>
      </w:r>
      <w:r>
        <w:rPr>
          <w:rFonts w:hint="eastAsia" w:ascii="Times New Roman" w:hAnsi="Times New Roman" w:eastAsia="宋体" w:cs="Times New Roman"/>
          <w:kern w:val="2"/>
          <w:sz w:val="21"/>
          <w:szCs w:val="21"/>
          <w:highlight w:val="none"/>
          <w:lang w:val="en-US" w:eastAsia="zh-CN" w:bidi="ar-SA"/>
        </w:rPr>
        <w:t>获取招标文件地点：扬州市城建国有资产控股（集团）有限责任公司网站(http://www.yzckjt.com/)上自行下载。</w:t>
      </w:r>
    </w:p>
    <w:p>
      <w:pPr>
        <w:pStyle w:val="31"/>
        <w:spacing w:before="0" w:beforeAutospacing="0" w:after="0" w:afterAutospacing="0" w:line="360" w:lineRule="auto"/>
        <w:ind w:firstLine="482"/>
        <w:rPr>
          <w:rFonts w:hint="eastAsia" w:ascii="Times New Roman" w:hAnsi="Times New Roman" w:eastAsia="宋体" w:cs="Times New Roman"/>
          <w:kern w:val="2"/>
          <w:sz w:val="21"/>
          <w:szCs w:val="21"/>
          <w:highlight w:val="none"/>
          <w:lang w:val="en-US" w:eastAsia="zh-CN" w:bidi="ar-SA"/>
        </w:rPr>
      </w:pPr>
      <w:r>
        <w:rPr>
          <w:rFonts w:hint="eastAsia" w:asciiTheme="minorEastAsia" w:hAnsiTheme="minorEastAsia" w:eastAsiaTheme="minorEastAsia"/>
          <w:color w:val="333333"/>
          <w:sz w:val="21"/>
          <w:szCs w:val="21"/>
        </w:rPr>
        <w:t>4.4</w:t>
      </w:r>
      <w:r>
        <w:rPr>
          <w:rFonts w:hint="eastAsia" w:ascii="Times New Roman" w:hAnsi="Times New Roman" w:eastAsia="宋体" w:cs="Times New Roman"/>
          <w:kern w:val="2"/>
          <w:sz w:val="21"/>
          <w:szCs w:val="21"/>
          <w:highlight w:val="none"/>
          <w:lang w:val="en-US" w:eastAsia="zh-CN" w:bidi="ar-SA"/>
        </w:rPr>
        <w:t>如投标人确定参加投标，请于2022年11月</w:t>
      </w:r>
      <w:r>
        <w:rPr>
          <w:rFonts w:hint="eastAsia" w:ascii="Times New Roman" w:hAnsi="Times New Roman" w:cs="Times New Roman"/>
          <w:kern w:val="2"/>
          <w:sz w:val="21"/>
          <w:szCs w:val="21"/>
          <w:highlight w:val="none"/>
          <w:lang w:val="en-US" w:eastAsia="zh-CN" w:bidi="ar-SA"/>
        </w:rPr>
        <w:t>21</w:t>
      </w:r>
      <w:r>
        <w:rPr>
          <w:rFonts w:hint="eastAsia" w:ascii="Times New Roman" w:hAnsi="Times New Roman" w:eastAsia="宋体" w:cs="Times New Roman"/>
          <w:kern w:val="2"/>
          <w:sz w:val="21"/>
          <w:szCs w:val="21"/>
          <w:highlight w:val="none"/>
          <w:lang w:val="en-US" w:eastAsia="zh-CN" w:bidi="ar-SA"/>
        </w:rPr>
        <w:t>日23 :59前如实填写《参加投标确认函》</w:t>
      </w:r>
      <w:r>
        <w:rPr>
          <w:rFonts w:hint="eastAsia" w:ascii="Times New Roman" w:hAnsi="Times New Roman" w:eastAsia="宋体" w:cs="Times New Roman"/>
          <w:kern w:val="2"/>
          <w:sz w:val="21"/>
          <w:szCs w:val="21"/>
          <w:highlight w:val="none"/>
          <w:lang w:val="en-US" w:eastAsia="zh-CN" w:bidi="ar-SA"/>
        </w:rPr>
        <w:fldChar w:fldCharType="begin"/>
      </w:r>
      <w:r>
        <w:rPr>
          <w:rFonts w:hint="eastAsia" w:ascii="Times New Roman" w:hAnsi="Times New Roman" w:eastAsia="宋体" w:cs="Times New Roman"/>
          <w:kern w:val="2"/>
          <w:sz w:val="21"/>
          <w:szCs w:val="21"/>
          <w:highlight w:val="none"/>
          <w:lang w:val="en-US" w:eastAsia="zh-CN" w:bidi="ar-SA"/>
        </w:rPr>
        <w:instrText xml:space="preserve"> HYPERLINK "mailto:发送至代理机构邮箱1274847791@qq.com" </w:instrText>
      </w:r>
      <w:r>
        <w:rPr>
          <w:rFonts w:hint="eastAsia" w:ascii="Times New Roman" w:hAnsi="Times New Roman" w:eastAsia="宋体" w:cs="Times New Roman"/>
          <w:kern w:val="2"/>
          <w:sz w:val="21"/>
          <w:szCs w:val="21"/>
          <w:highlight w:val="none"/>
          <w:lang w:val="en-US" w:eastAsia="zh-CN" w:bidi="ar-SA"/>
        </w:rPr>
        <w:fldChar w:fldCharType="separate"/>
      </w:r>
      <w:r>
        <w:rPr>
          <w:rFonts w:hint="eastAsia" w:ascii="Times New Roman" w:hAnsi="Times New Roman" w:eastAsia="宋体" w:cs="Times New Roman"/>
          <w:kern w:val="2"/>
          <w:sz w:val="21"/>
          <w:szCs w:val="21"/>
          <w:highlight w:val="none"/>
          <w:lang w:val="en-US" w:eastAsia="zh-CN" w:bidi="ar-SA"/>
        </w:rPr>
        <w:t>发送至代理机构邮箱396759638@qq.com</w:t>
      </w:r>
      <w:r>
        <w:rPr>
          <w:rFonts w:hint="eastAsia" w:ascii="Times New Roman" w:hAnsi="Times New Roman" w:eastAsia="宋体" w:cs="Times New Roman"/>
          <w:kern w:val="2"/>
          <w:sz w:val="21"/>
          <w:szCs w:val="21"/>
          <w:highlight w:val="none"/>
          <w:lang w:val="en-US" w:eastAsia="zh-CN" w:bidi="ar-SA"/>
        </w:rPr>
        <w:fldChar w:fldCharType="end"/>
      </w:r>
      <w:r>
        <w:rPr>
          <w:rFonts w:hint="eastAsia" w:ascii="Times New Roman" w:hAnsi="Times New Roman" w:eastAsia="宋体" w:cs="Times New Roman"/>
          <w:kern w:val="2"/>
          <w:sz w:val="21"/>
          <w:szCs w:val="21"/>
          <w:highlight w:val="none"/>
          <w:lang w:val="en-US" w:eastAsia="zh-CN" w:bidi="ar-SA"/>
        </w:rPr>
        <w:t>（联系人：杨小新；联系电话：18652798268），逾期不再受理。如投标人未按上述要求去做，将自行承担所产生的风险。有关本次招标的事项若存在变动或修改，敬请及时关注“扬州市城建国有资产控股（集团）有限责任公司网站(http://www.yzckjt.com/)”发布的信息或更正公告。</w:t>
      </w:r>
    </w:p>
    <w:p>
      <w:pPr>
        <w:pStyle w:val="60"/>
        <w:spacing w:line="360" w:lineRule="auto"/>
        <w:outlineLvl w:val="2"/>
      </w:pPr>
      <w:r>
        <w:rPr>
          <w:rFonts w:hint="eastAsia"/>
        </w:rPr>
        <w:t>5. 投标文件的递交</w:t>
      </w:r>
      <w:bookmarkEnd w:id="6"/>
    </w:p>
    <w:p>
      <w:pPr>
        <w:spacing w:line="360" w:lineRule="auto"/>
        <w:ind w:firstLine="420" w:firstLineChars="200"/>
        <w:rPr>
          <w:szCs w:val="21"/>
        </w:rPr>
      </w:pPr>
      <w:bookmarkStart w:id="7" w:name="_Toc426620942"/>
      <w:r>
        <w:rPr>
          <w:rFonts w:hint="eastAsia" w:ascii="宋体" w:hAnsi="宋体" w:cs="宋体"/>
        </w:rPr>
        <w:t>投标时间截止前将投标文件按招标文件要求递交至指定开标地点，投标截止时间之后递交无效。</w:t>
      </w:r>
    </w:p>
    <w:bookmarkEnd w:id="7"/>
    <w:p>
      <w:pPr>
        <w:pStyle w:val="60"/>
        <w:spacing w:line="360" w:lineRule="auto"/>
        <w:outlineLvl w:val="2"/>
      </w:pPr>
      <w:bookmarkStart w:id="8" w:name="_Toc21780671"/>
      <w:r>
        <w:rPr>
          <w:rFonts w:hint="eastAsia"/>
        </w:rPr>
        <w:t xml:space="preserve">6. </w:t>
      </w:r>
      <w:r>
        <w:t>本招标项目采用的评标方法</w:t>
      </w:r>
    </w:p>
    <w:p>
      <w:pPr>
        <w:pStyle w:val="31"/>
        <w:spacing w:before="0" w:beforeAutospacing="0" w:after="0" w:afterAutospacing="0" w:line="360" w:lineRule="auto"/>
        <w:ind w:firstLine="482"/>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 xml:space="preserve"> 本项目采用“综合评分法”确定中标候选人。评标委员会将按评分办法和标准进行评分,总分值为100分。</w:t>
      </w:r>
    </w:p>
    <w:p>
      <w:pPr>
        <w:pStyle w:val="60"/>
        <w:spacing w:line="360" w:lineRule="auto"/>
        <w:outlineLvl w:val="2"/>
      </w:pPr>
      <w:bookmarkStart w:id="9" w:name="_Toc21780669"/>
      <w:r>
        <w:rPr>
          <w:rFonts w:hint="eastAsia"/>
        </w:rPr>
        <w:t>7. 发布公告的媒介</w:t>
      </w:r>
      <w:bookmarkEnd w:id="9"/>
    </w:p>
    <w:p>
      <w:pPr>
        <w:spacing w:line="360" w:lineRule="auto"/>
        <w:ind w:firstLine="420" w:firstLineChars="200"/>
        <w:rPr>
          <w:rFonts w:hint="eastAsia" w:cs="宋体"/>
        </w:rPr>
      </w:pPr>
      <w:r>
        <w:rPr>
          <w:rFonts w:hint="eastAsia" w:cs="宋体"/>
        </w:rPr>
        <w:t>本次招标公告在</w:t>
      </w:r>
      <w:r>
        <w:rPr>
          <w:rFonts w:hint="eastAsia" w:asciiTheme="minorEastAsia" w:hAnsiTheme="minorEastAsia" w:eastAsiaTheme="minorEastAsia"/>
          <w:color w:val="333333"/>
          <w:szCs w:val="21"/>
        </w:rPr>
        <w:t>扬州市城建国有资产控股（集团）有限责任公司网站(http://www.yzckjt.com/)</w:t>
      </w:r>
      <w:r>
        <w:rPr>
          <w:rFonts w:hint="eastAsia" w:cs="宋体"/>
        </w:rPr>
        <w:t>上公布。</w:t>
      </w:r>
    </w:p>
    <w:p>
      <w:pPr>
        <w:pStyle w:val="60"/>
        <w:spacing w:line="360" w:lineRule="auto"/>
        <w:outlineLvl w:val="2"/>
        <w:rPr>
          <w:rFonts w:hint="eastAsia"/>
          <w:lang w:val="en-US" w:eastAsia="zh-CN"/>
        </w:rPr>
      </w:pPr>
      <w:r>
        <w:rPr>
          <w:rFonts w:hint="eastAsia"/>
          <w:lang w:val="en-US" w:eastAsia="zh-CN"/>
        </w:rPr>
        <w:t>8</w:t>
      </w:r>
      <w:r>
        <w:rPr>
          <w:rFonts w:hint="eastAsia"/>
        </w:rPr>
        <w:t xml:space="preserve">. </w:t>
      </w:r>
      <w:r>
        <w:rPr>
          <w:rFonts w:hint="eastAsia"/>
          <w:lang w:val="en-US" w:eastAsia="zh-CN"/>
        </w:rPr>
        <w:t>联系方式</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招标单位：扬州万福投资发展有限责任公司</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联系人：刘蓓 </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招标代理机构：江苏时代投资咨询有限公司</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联系人（招标文件获取）：杨小新</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联系电话：18652798268</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通讯地址：扬州市广陵区汶河北路65号2楼 </w:t>
      </w:r>
    </w:p>
    <w:p>
      <w:pPr>
        <w:widowControl/>
        <w:jc w:val="left"/>
        <w:rPr>
          <w:sz w:val="36"/>
          <w:szCs w:val="36"/>
        </w:rPr>
      </w:pPr>
      <w:r>
        <w:br w:type="page"/>
      </w:r>
    </w:p>
    <w:p>
      <w:pPr>
        <w:pStyle w:val="56"/>
        <w:outlineLvl w:val="1"/>
      </w:pPr>
      <w:r>
        <w:rPr>
          <w:rFonts w:hint="eastAsia"/>
        </w:rPr>
        <w:t>第二章投标人须知</w:t>
      </w:r>
      <w:bookmarkEnd w:id="8"/>
    </w:p>
    <w:p>
      <w:pPr>
        <w:pStyle w:val="71"/>
      </w:pPr>
      <w:bookmarkStart w:id="10" w:name="_Toc285707961"/>
      <w:bookmarkStart w:id="11" w:name="_Toc21780672"/>
      <w:bookmarkStart w:id="12" w:name="_Toc286406757"/>
      <w:r>
        <w:rPr>
          <w:rFonts w:hint="eastAsia"/>
        </w:rPr>
        <w:t>投标人须知前附表</w:t>
      </w:r>
      <w:bookmarkEnd w:id="10"/>
      <w:bookmarkEnd w:id="11"/>
      <w:bookmarkEnd w:id="12"/>
    </w:p>
    <w:tbl>
      <w:tblPr>
        <w:tblStyle w:val="3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749"/>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59" w:type="dxa"/>
            <w:vAlign w:val="center"/>
          </w:tcPr>
          <w:p>
            <w:pPr>
              <w:spacing w:line="360" w:lineRule="auto"/>
              <w:jc w:val="center"/>
            </w:pPr>
            <w:r>
              <w:t>条款号</w:t>
            </w:r>
          </w:p>
        </w:tc>
        <w:tc>
          <w:tcPr>
            <w:tcW w:w="2749" w:type="dxa"/>
          </w:tcPr>
          <w:p>
            <w:pPr>
              <w:spacing w:line="360" w:lineRule="auto"/>
              <w:jc w:val="center"/>
            </w:pPr>
            <w:r>
              <w:t>条款名称</w:t>
            </w:r>
          </w:p>
        </w:tc>
        <w:tc>
          <w:tcPr>
            <w:tcW w:w="5400" w:type="dxa"/>
          </w:tcPr>
          <w:p>
            <w:pPr>
              <w:spacing w:line="360" w:lineRule="auto"/>
              <w:jc w:val="center"/>
            </w:pPr>
            <w: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w:t>
            </w:r>
          </w:p>
        </w:tc>
        <w:tc>
          <w:tcPr>
            <w:tcW w:w="2749" w:type="dxa"/>
            <w:vAlign w:val="center"/>
          </w:tcPr>
          <w:p>
            <w:pPr>
              <w:spacing w:line="360" w:lineRule="auto"/>
            </w:pPr>
            <w:r>
              <w:t>招标人</w:t>
            </w:r>
          </w:p>
        </w:tc>
        <w:tc>
          <w:tcPr>
            <w:tcW w:w="5400" w:type="dxa"/>
          </w:tcPr>
          <w:p>
            <w:pPr>
              <w:spacing w:line="360" w:lineRule="auto"/>
            </w:pPr>
            <w:r>
              <w:t>招标人：</w:t>
            </w:r>
            <w:r>
              <w:rPr>
                <w:rFonts w:hint="eastAsia"/>
              </w:rPr>
              <w:t>扬州万福投资发展有限责任公司</w:t>
            </w:r>
          </w:p>
          <w:p>
            <w:pPr>
              <w:spacing w:line="360" w:lineRule="auto"/>
            </w:pPr>
            <w:r>
              <w:rPr>
                <w:rFonts w:hint="eastAsia"/>
              </w:rPr>
              <w:t>地址：</w:t>
            </w:r>
            <w:r>
              <w:rPr>
                <w:rFonts w:hint="eastAsia" w:ascii="宋体" w:hAnsi="宋体" w:cs="宋体"/>
                <w:szCs w:val="21"/>
              </w:rPr>
              <w:t>扬州市</w:t>
            </w:r>
            <w:r>
              <w:rPr>
                <w:rFonts w:hint="eastAsia" w:ascii="宋体" w:hAnsi="宋体" w:cs="宋体"/>
              </w:rPr>
              <w:t>史可法路58号-21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2</w:t>
            </w:r>
          </w:p>
        </w:tc>
        <w:tc>
          <w:tcPr>
            <w:tcW w:w="2749" w:type="dxa"/>
            <w:vAlign w:val="center"/>
          </w:tcPr>
          <w:p>
            <w:pPr>
              <w:spacing w:line="360" w:lineRule="auto"/>
            </w:pPr>
            <w:r>
              <w:t>招标代理机构</w:t>
            </w:r>
          </w:p>
        </w:tc>
        <w:tc>
          <w:tcPr>
            <w:tcW w:w="5400" w:type="dxa"/>
          </w:tcPr>
          <w:p>
            <w:pPr>
              <w:spacing w:line="360" w:lineRule="auto"/>
              <w:rPr>
                <w:rFonts w:cs="宋体"/>
                <w:bCs/>
                <w:lang w:val="zh-CN"/>
              </w:rPr>
            </w:pPr>
            <w:r>
              <w:rPr>
                <w:rFonts w:hint="eastAsia" w:cs="宋体"/>
                <w:bCs/>
                <w:lang w:val="zh-CN"/>
              </w:rPr>
              <w:t>招标代理机构：江苏时代投资咨询有限公司</w:t>
            </w:r>
          </w:p>
          <w:p>
            <w:pPr>
              <w:spacing w:line="360" w:lineRule="auto"/>
              <w:rPr>
                <w:rFonts w:hint="eastAsia" w:eastAsia="宋体"/>
                <w:szCs w:val="21"/>
                <w:lang w:eastAsia="zh-CN"/>
              </w:rPr>
            </w:pPr>
            <w:r>
              <w:rPr>
                <w:rFonts w:hint="eastAsia"/>
                <w:szCs w:val="21"/>
              </w:rPr>
              <w:t>地址：</w:t>
            </w:r>
            <w:r>
              <w:rPr>
                <w:rFonts w:hint="eastAsia" w:cs="宋体" w:asciiTheme="minorEastAsia" w:hAnsiTheme="minorEastAsia" w:eastAsiaTheme="minorEastAsia"/>
                <w:szCs w:val="21"/>
                <w:lang w:eastAsia="zh-CN"/>
              </w:rPr>
              <w:t>扬州市广陵区汶河北路65号2楼</w:t>
            </w:r>
          </w:p>
          <w:p>
            <w:pPr>
              <w:spacing w:line="360" w:lineRule="auto"/>
              <w:rPr>
                <w:rFonts w:hint="eastAsia" w:eastAsia="宋体"/>
                <w:szCs w:val="21"/>
                <w:lang w:eastAsia="zh-CN"/>
              </w:rPr>
            </w:pPr>
            <w:r>
              <w:rPr>
                <w:rFonts w:hint="eastAsia"/>
                <w:szCs w:val="21"/>
              </w:rPr>
              <w:t>联系人：</w:t>
            </w:r>
            <w:r>
              <w:rPr>
                <w:rFonts w:hint="eastAsia"/>
                <w:szCs w:val="21"/>
                <w:lang w:eastAsia="zh-CN"/>
              </w:rPr>
              <w:t>杨小新</w:t>
            </w:r>
          </w:p>
          <w:p>
            <w:pPr>
              <w:spacing w:line="360" w:lineRule="auto"/>
              <w:rPr>
                <w:rFonts w:hint="default" w:eastAsia="宋体" w:cs="宋体"/>
                <w:bCs/>
                <w:lang w:val="en-US" w:eastAsia="zh-CN"/>
              </w:rPr>
            </w:pPr>
            <w:r>
              <w:rPr>
                <w:rFonts w:hint="eastAsia"/>
              </w:rPr>
              <w:t>联系电话：</w:t>
            </w:r>
            <w:r>
              <w:rPr>
                <w:rFonts w:hint="eastAsia"/>
                <w:lang w:val="en-US" w:eastAsia="zh-CN"/>
              </w:rPr>
              <w:t>18652798268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3</w:t>
            </w:r>
          </w:p>
        </w:tc>
        <w:tc>
          <w:tcPr>
            <w:tcW w:w="2749" w:type="dxa"/>
            <w:vAlign w:val="center"/>
          </w:tcPr>
          <w:p>
            <w:pPr>
              <w:spacing w:line="360" w:lineRule="auto"/>
            </w:pPr>
            <w:r>
              <w:t>项目名称</w:t>
            </w:r>
          </w:p>
        </w:tc>
        <w:tc>
          <w:tcPr>
            <w:tcW w:w="5400" w:type="dxa"/>
          </w:tcPr>
          <w:p>
            <w:pPr>
              <w:spacing w:line="360" w:lineRule="auto"/>
            </w:pPr>
            <w:r>
              <w:rPr>
                <w:rFonts w:hint="eastAsia" w:cs="宋体"/>
                <w:bCs/>
                <w:lang w:val="zh-CN"/>
              </w:rPr>
              <w:t>润扬南路快速化改造工程用地预审及征地报批项目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4</w:t>
            </w:r>
          </w:p>
        </w:tc>
        <w:tc>
          <w:tcPr>
            <w:tcW w:w="2749" w:type="dxa"/>
            <w:vAlign w:val="center"/>
          </w:tcPr>
          <w:p>
            <w:pPr>
              <w:spacing w:line="360" w:lineRule="auto"/>
            </w:pPr>
            <w:r>
              <w:rPr>
                <w:rFonts w:hint="eastAsia"/>
              </w:rPr>
              <w:t>服务</w:t>
            </w:r>
            <w:r>
              <w:t>地点</w:t>
            </w:r>
          </w:p>
        </w:tc>
        <w:tc>
          <w:tcPr>
            <w:tcW w:w="5400" w:type="dxa"/>
          </w:tcPr>
          <w:p>
            <w:pPr>
              <w:spacing w:line="360" w:lineRule="auto"/>
            </w:pPr>
            <w:r>
              <w:rPr>
                <w:rFonts w:hint="eastAsia" w:ascii="宋体" w:hAnsi="宋体" w:eastAsia="宋体" w:cs="宋体"/>
                <w:snapToGrid w:val="0"/>
                <w:sz w:val="21"/>
                <w:szCs w:val="21"/>
                <w:lang w:val="en-US" w:eastAsia="zh-CN"/>
              </w:rPr>
              <w:t>北起牧羊路以北，顺接润阳互通，向南终于扬子津路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5</w:t>
            </w:r>
          </w:p>
        </w:tc>
        <w:tc>
          <w:tcPr>
            <w:tcW w:w="2749" w:type="dxa"/>
            <w:vAlign w:val="center"/>
          </w:tcPr>
          <w:p>
            <w:pPr>
              <w:spacing w:line="360" w:lineRule="auto"/>
            </w:pPr>
            <w:r>
              <w:t>招标范围</w:t>
            </w:r>
          </w:p>
        </w:tc>
        <w:tc>
          <w:tcPr>
            <w:tcW w:w="5400" w:type="dxa"/>
          </w:tcPr>
          <w:p>
            <w:pPr>
              <w:spacing w:line="400" w:lineRule="exact"/>
              <w:ind w:left="210" w:leftChars="100" w:firstLine="210" w:firstLineChars="100"/>
              <w:rPr>
                <w:rFonts w:hint="eastAsia"/>
                <w:szCs w:val="21"/>
                <w:highlight w:val="none"/>
                <w:lang w:eastAsia="zh-CN"/>
              </w:rPr>
            </w:pPr>
            <w:r>
              <w:rPr>
                <w:rFonts w:hint="eastAsia"/>
                <w:szCs w:val="21"/>
                <w:highlight w:val="none"/>
                <w:lang w:eastAsia="zh-CN"/>
              </w:rPr>
              <w:t>润扬南路快速化改造工程用地预审及征地报批项目</w:t>
            </w:r>
          </w:p>
          <w:p>
            <w:pPr>
              <w:spacing w:line="400" w:lineRule="exact"/>
              <w:rPr>
                <w:rFonts w:hint="eastAsia"/>
                <w:szCs w:val="21"/>
                <w:highlight w:val="none"/>
              </w:rPr>
            </w:pPr>
            <w:r>
              <w:rPr>
                <w:rFonts w:hint="eastAsia"/>
                <w:szCs w:val="21"/>
                <w:highlight w:val="none"/>
              </w:rPr>
              <w:t>的所有工作及相关服务。</w:t>
            </w:r>
          </w:p>
          <w:p>
            <w:pPr>
              <w:spacing w:line="400" w:lineRule="exact"/>
              <w:ind w:firstLine="420" w:firstLineChars="200"/>
              <w:rPr>
                <w:rFonts w:hint="eastAsia"/>
                <w:szCs w:val="21"/>
                <w:highlight w:val="none"/>
              </w:rPr>
            </w:pPr>
            <w:r>
              <w:rPr>
                <w:rFonts w:hint="eastAsia"/>
                <w:szCs w:val="21"/>
                <w:highlight w:val="none"/>
              </w:rPr>
              <w:t>用地预审工作内容包括（但不限于）：收集前期工作材料，编制用地预审申请报告和申请表等材料，根据项目要求组卷上报区县自然资源部门初审，组卷上报扬州市自然资源和规划局审查并取得预审批复文件。</w:t>
            </w:r>
          </w:p>
          <w:p>
            <w:pPr>
              <w:spacing w:line="400" w:lineRule="exact"/>
              <w:ind w:firstLine="420" w:firstLineChars="200"/>
              <w:rPr>
                <w:highlight w:val="none"/>
              </w:rPr>
            </w:pPr>
            <w:r>
              <w:rPr>
                <w:rFonts w:hint="eastAsia"/>
                <w:szCs w:val="21"/>
                <w:highlight w:val="none"/>
              </w:rPr>
              <w:t>征地报批工作内容包括（但不限于）：配合地方政府和自然资源等部门完成征地前期调查确认以及协议签订等工作；编制土地报批组卷材料，包括编制一书四方案、土地分类面积汇总表、征收土地安置农业人口情况汇总表、标注拟占用土地位置的土地利用现状图、标注拟占用土地位置的土地利用总体规划图、请示报告和审查意见等；逐级上报审查，最终取得省政府的建设用地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59" w:type="dxa"/>
            <w:vAlign w:val="center"/>
          </w:tcPr>
          <w:p>
            <w:pPr>
              <w:spacing w:line="360" w:lineRule="auto"/>
              <w:jc w:val="center"/>
            </w:pPr>
            <w:r>
              <w:rPr>
                <w:rFonts w:hint="eastAsia"/>
              </w:rPr>
              <w:t>6</w:t>
            </w:r>
          </w:p>
        </w:tc>
        <w:tc>
          <w:tcPr>
            <w:tcW w:w="2749" w:type="dxa"/>
            <w:vAlign w:val="center"/>
          </w:tcPr>
          <w:p>
            <w:pPr>
              <w:spacing w:line="360" w:lineRule="auto"/>
            </w:pPr>
            <w:r>
              <w:rPr>
                <w:rFonts w:hint="eastAsia"/>
                <w:szCs w:val="21"/>
              </w:rPr>
              <w:t>服务期限及完成时间</w:t>
            </w:r>
          </w:p>
        </w:tc>
        <w:tc>
          <w:tcPr>
            <w:tcW w:w="5400" w:type="dxa"/>
            <w:vAlign w:val="center"/>
          </w:tcPr>
          <w:p>
            <w:pPr>
              <w:spacing w:line="400" w:lineRule="exact"/>
              <w:ind w:firstLine="420" w:firstLineChars="200"/>
              <w:rPr>
                <w:b/>
                <w:bCs/>
                <w:szCs w:val="21"/>
                <w:highlight w:val="none"/>
                <w:u w:val="single"/>
              </w:rPr>
            </w:pPr>
            <w:r>
              <w:rPr>
                <w:rFonts w:hint="eastAsia"/>
                <w:szCs w:val="21"/>
                <w:highlight w:val="none"/>
              </w:rPr>
              <w:t>可行性研究报告稳定后完成后</w:t>
            </w:r>
            <w:r>
              <w:rPr>
                <w:rFonts w:hint="eastAsia"/>
                <w:szCs w:val="21"/>
                <w:highlight w:val="none"/>
                <w:lang w:val="en-US" w:eastAsia="zh-CN"/>
              </w:rPr>
              <w:t>6</w:t>
            </w:r>
            <w:r>
              <w:rPr>
                <w:rFonts w:hint="eastAsia"/>
                <w:szCs w:val="21"/>
                <w:highlight w:val="none"/>
              </w:rPr>
              <w:t>0日历日内取得用地预审批复及</w:t>
            </w:r>
            <w:r>
              <w:rPr>
                <w:rFonts w:hint="eastAsia"/>
                <w:szCs w:val="21"/>
                <w:highlight w:val="none"/>
                <w:lang w:eastAsia="zh-CN"/>
              </w:rPr>
              <w:t>用地审批文件</w:t>
            </w: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7</w:t>
            </w:r>
          </w:p>
        </w:tc>
        <w:tc>
          <w:tcPr>
            <w:tcW w:w="2749" w:type="dxa"/>
            <w:vAlign w:val="center"/>
          </w:tcPr>
          <w:p>
            <w:pPr>
              <w:spacing w:line="360" w:lineRule="auto"/>
            </w:pPr>
            <w:r>
              <w:t>投标人</w:t>
            </w:r>
            <w:r>
              <w:rPr>
                <w:rFonts w:hint="eastAsia"/>
              </w:rPr>
              <w:t>资格要求</w:t>
            </w:r>
          </w:p>
        </w:tc>
        <w:tc>
          <w:tcPr>
            <w:tcW w:w="5400" w:type="dxa"/>
          </w:tcPr>
          <w:p>
            <w:pPr>
              <w:spacing w:line="360" w:lineRule="auto"/>
            </w:pPr>
            <w:r>
              <w:rPr>
                <w:rFonts w:hint="eastAsia"/>
                <w:b/>
                <w:szCs w:val="21"/>
              </w:rPr>
              <w:t>详见第一章招标公告 3.投标人资格要求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8</w:t>
            </w:r>
          </w:p>
        </w:tc>
        <w:tc>
          <w:tcPr>
            <w:tcW w:w="2749" w:type="dxa"/>
            <w:vAlign w:val="center"/>
          </w:tcPr>
          <w:p>
            <w:pPr>
              <w:spacing w:line="360" w:lineRule="auto"/>
            </w:pPr>
            <w:r>
              <w:t>是否接受联合体投标</w:t>
            </w:r>
          </w:p>
        </w:tc>
        <w:tc>
          <w:tcPr>
            <w:tcW w:w="5400" w:type="dxa"/>
          </w:tcPr>
          <w:p>
            <w:pPr>
              <w:spacing w:line="360" w:lineRule="auto"/>
            </w:pPr>
            <w:r>
              <w:t>√</w:t>
            </w:r>
            <w:r>
              <w:rPr>
                <w:rFonts w:hint="eastAsia"/>
              </w:rPr>
              <w:t>不</w:t>
            </w:r>
            <w: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9</w:t>
            </w:r>
          </w:p>
        </w:tc>
        <w:tc>
          <w:tcPr>
            <w:tcW w:w="2749" w:type="dxa"/>
            <w:vAlign w:val="center"/>
          </w:tcPr>
          <w:p>
            <w:pPr>
              <w:spacing w:line="360" w:lineRule="auto"/>
            </w:pPr>
            <w:r>
              <w:t>踏勘现场</w:t>
            </w:r>
          </w:p>
        </w:tc>
        <w:tc>
          <w:tcPr>
            <w:tcW w:w="5400" w:type="dxa"/>
          </w:tcPr>
          <w:p>
            <w:pPr>
              <w:spacing w:line="360" w:lineRule="auto"/>
            </w:pPr>
            <w:r>
              <w:t>√</w:t>
            </w:r>
            <w:r>
              <w:rPr>
                <w:rFonts w:hint="eastAsia"/>
              </w:rPr>
              <w:t>不组织集中踏勘，投标单位自行踏勘现场。</w:t>
            </w:r>
          </w:p>
          <w:p>
            <w:pPr>
              <w:spacing w:line="360" w:lineRule="auto"/>
            </w:pPr>
            <w:r>
              <w:t>□</w:t>
            </w:r>
            <w:r>
              <w:rPr>
                <w:rFonts w:hint="eastAsia"/>
              </w:rPr>
              <w:t>踏勘时间：/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10</w:t>
            </w:r>
          </w:p>
        </w:tc>
        <w:tc>
          <w:tcPr>
            <w:tcW w:w="2749" w:type="dxa"/>
            <w:vAlign w:val="center"/>
          </w:tcPr>
          <w:p>
            <w:pPr>
              <w:spacing w:line="360" w:lineRule="auto"/>
            </w:pPr>
            <w:r>
              <w:t>投标人提出问题的截止时间</w:t>
            </w:r>
          </w:p>
        </w:tc>
        <w:tc>
          <w:tcPr>
            <w:tcW w:w="5400" w:type="dxa"/>
          </w:tcPr>
          <w:p>
            <w:pPr>
              <w:spacing w:line="360" w:lineRule="auto"/>
            </w:pPr>
            <w:r>
              <w:rPr>
                <w:rFonts w:hint="eastAsia"/>
              </w:rPr>
              <w:t>2022年</w:t>
            </w:r>
            <w:r>
              <w:rPr>
                <w:rFonts w:hint="eastAsia"/>
                <w:lang w:val="en-US" w:eastAsia="zh-CN"/>
              </w:rPr>
              <w:t>11</w:t>
            </w:r>
            <w:r>
              <w:rPr>
                <w:rFonts w:hint="eastAsia"/>
              </w:rPr>
              <w:t>月</w:t>
            </w:r>
            <w:r>
              <w:rPr>
                <w:rFonts w:hint="eastAsia"/>
                <w:lang w:val="en-US" w:eastAsia="zh-CN"/>
              </w:rPr>
              <w:t>22</w:t>
            </w:r>
            <w:r>
              <w:rPr>
                <w:rFonts w:hint="eastAsia"/>
              </w:rPr>
              <w:t>日12：00</w:t>
            </w:r>
            <w: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59" w:type="dxa"/>
            <w:vAlign w:val="center"/>
          </w:tcPr>
          <w:p>
            <w:pPr>
              <w:spacing w:line="360" w:lineRule="auto"/>
              <w:jc w:val="center"/>
            </w:pPr>
            <w:r>
              <w:rPr>
                <w:rFonts w:hint="eastAsia"/>
              </w:rPr>
              <w:t>11</w:t>
            </w:r>
          </w:p>
        </w:tc>
        <w:tc>
          <w:tcPr>
            <w:tcW w:w="2749" w:type="dxa"/>
            <w:vAlign w:val="center"/>
          </w:tcPr>
          <w:p>
            <w:pPr>
              <w:spacing w:line="360" w:lineRule="auto"/>
            </w:pPr>
            <w:r>
              <w:t>招标人书面澄清的时间</w:t>
            </w:r>
          </w:p>
        </w:tc>
        <w:tc>
          <w:tcPr>
            <w:tcW w:w="5400" w:type="dxa"/>
            <w:vAlign w:val="center"/>
          </w:tcPr>
          <w:p>
            <w:pPr>
              <w:spacing w:line="360" w:lineRule="auto"/>
            </w:pPr>
            <w:r>
              <w:rPr>
                <w:rFonts w:hint="eastAsia"/>
              </w:rPr>
              <w:t>2022年</w:t>
            </w:r>
            <w:r>
              <w:rPr>
                <w:rFonts w:hint="eastAsia"/>
                <w:lang w:val="en-US" w:eastAsia="zh-CN"/>
              </w:rPr>
              <w:t>11</w:t>
            </w:r>
            <w:r>
              <w:rPr>
                <w:rFonts w:hint="eastAsia"/>
              </w:rPr>
              <w:t>月</w:t>
            </w:r>
            <w:r>
              <w:rPr>
                <w:rFonts w:hint="eastAsia"/>
                <w:lang w:val="en-US" w:eastAsia="zh-CN"/>
              </w:rPr>
              <w:t>22</w:t>
            </w:r>
            <w:r>
              <w:rPr>
                <w:rFonts w:hint="eastAsia"/>
              </w:rPr>
              <w:t>日17：00</w:t>
            </w:r>
            <w: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12</w:t>
            </w:r>
          </w:p>
        </w:tc>
        <w:tc>
          <w:tcPr>
            <w:tcW w:w="2749" w:type="dxa"/>
            <w:vAlign w:val="center"/>
          </w:tcPr>
          <w:p>
            <w:pPr>
              <w:spacing w:line="360" w:lineRule="auto"/>
            </w:pPr>
            <w:r>
              <w:t>投标截止时间</w:t>
            </w:r>
          </w:p>
        </w:tc>
        <w:tc>
          <w:tcPr>
            <w:tcW w:w="5400" w:type="dxa"/>
          </w:tcPr>
          <w:p>
            <w:pPr>
              <w:spacing w:line="360" w:lineRule="auto"/>
              <w:rPr>
                <w:b/>
              </w:rPr>
            </w:pPr>
            <w:r>
              <w:rPr>
                <w:rFonts w:hint="eastAsia"/>
                <w:b/>
              </w:rPr>
              <w:t>2022</w:t>
            </w:r>
            <w:r>
              <w:rPr>
                <w:b/>
              </w:rPr>
              <w:t>年</w:t>
            </w:r>
            <w:r>
              <w:rPr>
                <w:rFonts w:hint="eastAsia"/>
                <w:b/>
                <w:lang w:val="en-US" w:eastAsia="zh-CN"/>
              </w:rPr>
              <w:t>11</w:t>
            </w:r>
            <w:r>
              <w:rPr>
                <w:b/>
              </w:rPr>
              <w:t>月</w:t>
            </w:r>
            <w:r>
              <w:rPr>
                <w:rFonts w:hint="eastAsia"/>
                <w:b/>
                <w:lang w:val="en-US" w:eastAsia="zh-CN"/>
              </w:rPr>
              <w:t xml:space="preserve"> 23</w:t>
            </w:r>
            <w:r>
              <w:rPr>
                <w:b/>
              </w:rPr>
              <w:t>日</w:t>
            </w:r>
            <w:r>
              <w:rPr>
                <w:rFonts w:hint="eastAsia"/>
                <w:b/>
                <w:lang w:val="en-US" w:eastAsia="zh-CN"/>
              </w:rPr>
              <w:t>下</w:t>
            </w:r>
            <w:r>
              <w:rPr>
                <w:rFonts w:hint="eastAsia"/>
                <w:b/>
              </w:rPr>
              <w:t>午</w:t>
            </w:r>
            <w:r>
              <w:rPr>
                <w:rFonts w:hint="eastAsia"/>
                <w:b/>
                <w:lang w:val="en-US" w:eastAsia="zh-CN"/>
              </w:rPr>
              <w:t>15</w:t>
            </w:r>
            <w:r>
              <w:rPr>
                <w:b/>
              </w:rPr>
              <w:t>时</w:t>
            </w:r>
            <w:r>
              <w:rPr>
                <w:rFonts w:hint="eastAsia"/>
                <w:b/>
                <w:lang w:val="en-US" w:eastAsia="zh-CN"/>
              </w:rPr>
              <w:t>0</w:t>
            </w:r>
            <w:r>
              <w:rPr>
                <w:rFonts w:hint="eastAsia"/>
                <w:b/>
              </w:rPr>
              <w:t>0</w:t>
            </w:r>
            <w:r>
              <w:rPr>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13</w:t>
            </w:r>
          </w:p>
        </w:tc>
        <w:tc>
          <w:tcPr>
            <w:tcW w:w="2749" w:type="dxa"/>
            <w:vAlign w:val="center"/>
          </w:tcPr>
          <w:p>
            <w:pPr>
              <w:spacing w:line="360" w:lineRule="auto"/>
            </w:pPr>
            <w:r>
              <w:t>投标有效期</w:t>
            </w:r>
          </w:p>
        </w:tc>
        <w:tc>
          <w:tcPr>
            <w:tcW w:w="5400" w:type="dxa"/>
          </w:tcPr>
          <w:p>
            <w:pPr>
              <w:spacing w:line="360" w:lineRule="auto"/>
            </w:pPr>
            <w:r>
              <w:rPr>
                <w:rFonts w:hint="eastAsia"/>
              </w:rPr>
              <w:t>提交</w:t>
            </w:r>
            <w:r>
              <w:t>投标文件截止之日起的</w:t>
            </w:r>
            <w:r>
              <w:rPr>
                <w:rFonts w:hint="eastAsia"/>
              </w:rPr>
              <w:t>45</w:t>
            </w:r>
            <w: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14</w:t>
            </w:r>
          </w:p>
        </w:tc>
        <w:tc>
          <w:tcPr>
            <w:tcW w:w="2749" w:type="dxa"/>
            <w:vAlign w:val="center"/>
          </w:tcPr>
          <w:p>
            <w:pPr>
              <w:spacing w:line="360" w:lineRule="auto"/>
            </w:pPr>
            <w:r>
              <w:t>投标保证金</w:t>
            </w:r>
          </w:p>
        </w:tc>
        <w:tc>
          <w:tcPr>
            <w:tcW w:w="5400" w:type="dxa"/>
          </w:tcPr>
          <w:p>
            <w:pPr>
              <w:spacing w:line="360" w:lineRule="auto"/>
            </w:pPr>
            <w:r>
              <w:rPr>
                <w:rFonts w:hint="eastAsia"/>
              </w:rPr>
              <w:t>本项目无投标保证金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15</w:t>
            </w:r>
          </w:p>
        </w:tc>
        <w:tc>
          <w:tcPr>
            <w:tcW w:w="2749" w:type="dxa"/>
            <w:vAlign w:val="center"/>
          </w:tcPr>
          <w:p>
            <w:pPr>
              <w:spacing w:line="360" w:lineRule="auto"/>
            </w:pPr>
            <w:r>
              <w:t>投标文件份数</w:t>
            </w:r>
          </w:p>
        </w:tc>
        <w:tc>
          <w:tcPr>
            <w:tcW w:w="5400" w:type="dxa"/>
          </w:tcPr>
          <w:p>
            <w:pPr>
              <w:spacing w:line="360" w:lineRule="auto"/>
            </w:pPr>
            <w:r>
              <w:rPr>
                <w:rFonts w:hint="eastAsia"/>
              </w:rPr>
              <w:t>投标文件1正2副。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16</w:t>
            </w:r>
          </w:p>
        </w:tc>
        <w:tc>
          <w:tcPr>
            <w:tcW w:w="2749" w:type="dxa"/>
            <w:vAlign w:val="center"/>
          </w:tcPr>
          <w:p>
            <w:pPr>
              <w:spacing w:line="360" w:lineRule="auto"/>
            </w:pPr>
            <w:r>
              <w:t>装订要求</w:t>
            </w:r>
          </w:p>
        </w:tc>
        <w:tc>
          <w:tcPr>
            <w:tcW w:w="5400" w:type="dxa"/>
          </w:tcPr>
          <w:p>
            <w:pPr>
              <w:spacing w:line="360" w:lineRule="auto"/>
            </w:pPr>
            <w:r>
              <w:rPr>
                <w:rFonts w:hint="eastAsia"/>
              </w:rPr>
              <w:t>按照投标人须知第</w:t>
            </w:r>
            <w:r>
              <w:t xml:space="preserve"> 3.1.1 </w:t>
            </w:r>
            <w:r>
              <w:rPr>
                <w:rFonts w:hint="eastAsia"/>
              </w:rPr>
              <w:t>项规定的投标文件组成内容，投标文件应按以下要求装订：</w:t>
            </w:r>
            <w:r>
              <w:rPr>
                <w:rFonts w:hint="eastAsia"/>
                <w:b/>
              </w:rPr>
              <w:t>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宋体" w:hAnsi="宋体" w:cs="Microsoft JhengHei"/>
                <w:b/>
                <w:spacing w:val="-5"/>
                <w:kern w:val="0"/>
                <w:szCs w:val="21"/>
              </w:rPr>
            </w:pPr>
            <w:r>
              <w:rPr>
                <w:rFonts w:hint="eastAsia" w:ascii="宋体" w:hAnsi="宋体" w:cs="Microsoft JhengHei"/>
                <w:b/>
                <w:spacing w:val="-5"/>
                <w:kern w:val="0"/>
                <w:szCs w:val="21"/>
              </w:rPr>
              <w:t>17</w:t>
            </w:r>
          </w:p>
        </w:tc>
        <w:tc>
          <w:tcPr>
            <w:tcW w:w="2749" w:type="dxa"/>
            <w:vAlign w:val="center"/>
          </w:tcPr>
          <w:p>
            <w:pPr>
              <w:rPr>
                <w:b/>
                <w:highlight w:val="none"/>
              </w:rPr>
            </w:pPr>
            <w:r>
              <w:rPr>
                <w:rFonts w:ascii="宋体" w:hAnsi="宋体" w:cs="Microsoft JhengHei"/>
                <w:b/>
                <w:spacing w:val="-5"/>
                <w:kern w:val="0"/>
                <w:szCs w:val="21"/>
                <w:highlight w:val="none"/>
              </w:rPr>
              <w:t>招标控制价</w:t>
            </w:r>
          </w:p>
        </w:tc>
        <w:tc>
          <w:tcPr>
            <w:tcW w:w="5400" w:type="dxa"/>
            <w:vAlign w:val="center"/>
          </w:tcPr>
          <w:p>
            <w:pPr>
              <w:rPr>
                <w:b/>
                <w:highlight w:val="none"/>
              </w:rPr>
            </w:pPr>
            <w:r>
              <w:rPr>
                <w:rFonts w:hint="eastAsia"/>
                <w:b/>
                <w:highlight w:val="none"/>
                <w:lang w:val="en-US" w:eastAsia="zh-CN"/>
              </w:rPr>
              <w:t>35万</w:t>
            </w:r>
            <w:r>
              <w:rPr>
                <w:rFonts w:hint="eastAsia"/>
                <w:b/>
                <w:highlight w:val="none"/>
              </w:rPr>
              <w:t>元，投标人的报价高于招标控制价的，其投标文件无效。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18</w:t>
            </w:r>
          </w:p>
        </w:tc>
        <w:tc>
          <w:tcPr>
            <w:tcW w:w="2749" w:type="dxa"/>
            <w:vAlign w:val="center"/>
          </w:tcPr>
          <w:p>
            <w:pPr>
              <w:spacing w:line="360" w:lineRule="auto"/>
            </w:pPr>
            <w:r>
              <w:rPr>
                <w:rFonts w:hint="eastAsia"/>
              </w:rPr>
              <w:t>递交</w:t>
            </w:r>
            <w:r>
              <w:t>投标文件地点</w:t>
            </w:r>
          </w:p>
        </w:tc>
        <w:tc>
          <w:tcPr>
            <w:tcW w:w="5400" w:type="dxa"/>
          </w:tcPr>
          <w:p>
            <w:pPr>
              <w:spacing w:line="360" w:lineRule="auto"/>
              <w:ind w:left="210" w:hanging="210" w:hangingChars="100"/>
              <w:rPr>
                <w:rFonts w:hint="eastAsia" w:ascii="宋体" w:hAnsi="宋体" w:cs="宋体"/>
                <w:snapToGrid w:val="0"/>
                <w:color w:val="000000"/>
                <w:sz w:val="21"/>
                <w:szCs w:val="21"/>
                <w:lang w:val="en-US" w:eastAsia="zh-CN"/>
              </w:rPr>
            </w:pPr>
            <w:r>
              <w:rPr>
                <w:rFonts w:hint="eastAsia"/>
                <w:szCs w:val="21"/>
                <w:lang w:eastAsia="zh-CN"/>
              </w:rPr>
              <w:t>江苏时代投资咨询有限公司二楼</w:t>
            </w:r>
            <w:r>
              <w:rPr>
                <w:rFonts w:hint="eastAsia"/>
                <w:szCs w:val="21"/>
              </w:rPr>
              <w:t>开标室</w:t>
            </w:r>
            <w:r>
              <w:rPr>
                <w:rFonts w:hint="eastAsia"/>
                <w:szCs w:val="21"/>
                <w:lang w:eastAsia="zh-CN"/>
              </w:rPr>
              <w:t>（</w:t>
            </w:r>
            <w:r>
              <w:rPr>
                <w:rFonts w:hint="eastAsia" w:ascii="宋体" w:hAnsi="宋体" w:cs="宋体"/>
                <w:snapToGrid w:val="0"/>
                <w:color w:val="000000"/>
                <w:sz w:val="21"/>
                <w:szCs w:val="21"/>
              </w:rPr>
              <w:t>扬州</w:t>
            </w:r>
            <w:r>
              <w:rPr>
                <w:rFonts w:hint="eastAsia" w:ascii="宋体" w:hAnsi="宋体" w:cs="宋体"/>
                <w:snapToGrid w:val="0"/>
                <w:color w:val="000000"/>
                <w:sz w:val="21"/>
                <w:szCs w:val="21"/>
                <w:lang w:val="en-US" w:eastAsia="zh-CN"/>
              </w:rPr>
              <w:t>市广陵区汶</w:t>
            </w:r>
          </w:p>
          <w:p>
            <w:pPr>
              <w:spacing w:line="360" w:lineRule="auto"/>
              <w:ind w:left="210" w:hanging="210" w:hangingChars="100"/>
            </w:pPr>
            <w:r>
              <w:rPr>
                <w:rFonts w:hint="eastAsia" w:ascii="宋体" w:hAnsi="宋体" w:cs="宋体"/>
                <w:snapToGrid w:val="0"/>
                <w:color w:val="000000"/>
                <w:sz w:val="21"/>
                <w:szCs w:val="21"/>
                <w:lang w:val="en-US" w:eastAsia="zh-CN"/>
              </w:rPr>
              <w:t>河北路65号2楼</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19</w:t>
            </w:r>
          </w:p>
        </w:tc>
        <w:tc>
          <w:tcPr>
            <w:tcW w:w="2749" w:type="dxa"/>
            <w:vAlign w:val="center"/>
          </w:tcPr>
          <w:p>
            <w:pPr>
              <w:spacing w:line="360" w:lineRule="auto"/>
            </w:pPr>
            <w:r>
              <w:t>开标时间和地点</w:t>
            </w:r>
          </w:p>
        </w:tc>
        <w:tc>
          <w:tcPr>
            <w:tcW w:w="5400" w:type="dxa"/>
          </w:tcPr>
          <w:p>
            <w:pPr>
              <w:spacing w:line="360" w:lineRule="auto"/>
            </w:pPr>
            <w:r>
              <w:t>开标时间：</w:t>
            </w:r>
            <w:r>
              <w:rPr>
                <w:rFonts w:hint="eastAsia"/>
                <w:b/>
              </w:rPr>
              <w:t>2022</w:t>
            </w:r>
            <w:r>
              <w:rPr>
                <w:b/>
              </w:rPr>
              <w:t>年</w:t>
            </w:r>
            <w:r>
              <w:rPr>
                <w:rFonts w:hint="eastAsia"/>
                <w:b/>
                <w:lang w:val="en-US" w:eastAsia="zh-CN"/>
              </w:rPr>
              <w:t>11</w:t>
            </w:r>
            <w:r>
              <w:rPr>
                <w:b/>
              </w:rPr>
              <w:t>月</w:t>
            </w:r>
            <w:r>
              <w:rPr>
                <w:rFonts w:hint="eastAsia"/>
                <w:b/>
                <w:lang w:val="en-US" w:eastAsia="zh-CN"/>
              </w:rPr>
              <w:t>23</w:t>
            </w:r>
            <w:r>
              <w:rPr>
                <w:b/>
              </w:rPr>
              <w:t>日</w:t>
            </w:r>
            <w:r>
              <w:rPr>
                <w:rFonts w:hint="eastAsia"/>
                <w:b/>
                <w:lang w:val="en-US" w:eastAsia="zh-CN"/>
              </w:rPr>
              <w:t>下</w:t>
            </w:r>
            <w:r>
              <w:rPr>
                <w:rFonts w:hint="eastAsia"/>
                <w:b/>
              </w:rPr>
              <w:t>午</w:t>
            </w:r>
            <w:r>
              <w:rPr>
                <w:rFonts w:hint="eastAsia"/>
                <w:b/>
                <w:lang w:val="en-US" w:eastAsia="zh-CN"/>
              </w:rPr>
              <w:t>15</w:t>
            </w:r>
            <w:r>
              <w:rPr>
                <w:b/>
              </w:rPr>
              <w:t>时</w:t>
            </w:r>
            <w:r>
              <w:rPr>
                <w:rFonts w:hint="eastAsia"/>
                <w:b/>
                <w:lang w:val="en-US" w:eastAsia="zh-CN"/>
              </w:rPr>
              <w:t>0</w:t>
            </w:r>
            <w:r>
              <w:rPr>
                <w:rFonts w:hint="eastAsia"/>
                <w:b/>
              </w:rPr>
              <w:t>0</w:t>
            </w:r>
            <w:r>
              <w:rPr>
                <w:b/>
              </w:rPr>
              <w:t>分</w:t>
            </w:r>
          </w:p>
          <w:p>
            <w:pPr>
              <w:spacing w:line="360" w:lineRule="auto"/>
              <w:ind w:left="210" w:hanging="210" w:hangingChars="100"/>
              <w:rPr>
                <w:rFonts w:hint="eastAsia" w:ascii="宋体" w:hAnsi="宋体" w:cs="宋体"/>
                <w:snapToGrid w:val="0"/>
                <w:color w:val="000000"/>
                <w:sz w:val="21"/>
                <w:szCs w:val="21"/>
              </w:rPr>
            </w:pPr>
            <w:r>
              <w:t>开标地点：</w:t>
            </w:r>
            <w:r>
              <w:rPr>
                <w:rFonts w:hint="eastAsia"/>
                <w:szCs w:val="21"/>
                <w:lang w:eastAsia="zh-CN"/>
              </w:rPr>
              <w:t>江苏时代投资咨询有限公司二楼</w:t>
            </w:r>
            <w:r>
              <w:rPr>
                <w:rFonts w:hint="eastAsia"/>
                <w:szCs w:val="21"/>
              </w:rPr>
              <w:t>开标室</w:t>
            </w:r>
            <w:r>
              <w:rPr>
                <w:rFonts w:hint="eastAsia"/>
                <w:szCs w:val="21"/>
                <w:lang w:eastAsia="zh-CN"/>
              </w:rPr>
              <w:t>（</w:t>
            </w:r>
            <w:r>
              <w:rPr>
                <w:rFonts w:hint="eastAsia" w:ascii="宋体" w:hAnsi="宋体" w:cs="宋体"/>
                <w:snapToGrid w:val="0"/>
                <w:color w:val="000000"/>
                <w:sz w:val="21"/>
                <w:szCs w:val="21"/>
              </w:rPr>
              <w:t>扬州</w:t>
            </w:r>
          </w:p>
          <w:p>
            <w:pPr>
              <w:spacing w:line="360" w:lineRule="auto"/>
              <w:ind w:left="210" w:hanging="210" w:hangingChars="100"/>
              <w:rPr>
                <w:rFonts w:hint="eastAsia" w:eastAsia="宋体"/>
                <w:lang w:eastAsia="zh-CN"/>
              </w:rPr>
            </w:pPr>
            <w:r>
              <w:rPr>
                <w:rFonts w:hint="eastAsia" w:ascii="宋体" w:hAnsi="宋体" w:cs="宋体"/>
                <w:snapToGrid w:val="0"/>
                <w:color w:val="000000"/>
                <w:sz w:val="21"/>
                <w:szCs w:val="21"/>
                <w:lang w:val="en-US" w:eastAsia="zh-CN"/>
              </w:rPr>
              <w:t>市广陵区汶河北路65号2楼</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20</w:t>
            </w:r>
          </w:p>
        </w:tc>
        <w:tc>
          <w:tcPr>
            <w:tcW w:w="2749" w:type="dxa"/>
            <w:vAlign w:val="center"/>
          </w:tcPr>
          <w:p>
            <w:pPr>
              <w:spacing w:line="400" w:lineRule="exact"/>
              <w:jc w:val="left"/>
            </w:pPr>
            <w:r>
              <w:rPr>
                <w:rFonts w:hint="eastAsia" w:cs="宋体"/>
              </w:rPr>
              <w:t>评标委员会的组建</w:t>
            </w:r>
          </w:p>
        </w:tc>
        <w:tc>
          <w:tcPr>
            <w:tcW w:w="5400" w:type="dxa"/>
          </w:tcPr>
          <w:p>
            <w:pPr>
              <w:spacing w:line="400" w:lineRule="exact"/>
            </w:pPr>
            <w:r>
              <w:t>评标委员会构成：</w:t>
            </w:r>
            <w:r>
              <w:rPr>
                <w:rFonts w:hint="eastAsia"/>
              </w:rPr>
              <w:t>5</w:t>
            </w:r>
            <w:r>
              <w:t>人；</w:t>
            </w:r>
            <w:r>
              <w:rPr>
                <w:rFonts w:hint="eastAsia" w:cs="宋体"/>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21</w:t>
            </w:r>
          </w:p>
        </w:tc>
        <w:tc>
          <w:tcPr>
            <w:tcW w:w="2749" w:type="dxa"/>
            <w:vAlign w:val="center"/>
          </w:tcPr>
          <w:p>
            <w:pPr>
              <w:spacing w:line="360" w:lineRule="auto"/>
            </w:pPr>
            <w:r>
              <w:t>是否授权评标委员会确定中标人</w:t>
            </w:r>
          </w:p>
        </w:tc>
        <w:tc>
          <w:tcPr>
            <w:tcW w:w="5400" w:type="dxa"/>
          </w:tcPr>
          <w:p>
            <w:pPr>
              <w:spacing w:line="400" w:lineRule="exact"/>
            </w:pPr>
            <w:r>
              <w:t>□是</w:t>
            </w:r>
          </w:p>
          <w:p>
            <w:pPr>
              <w:spacing w:line="360" w:lineRule="auto"/>
            </w:pPr>
            <w:r>
              <w:t>√否，推荐的中标候选人数： 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59" w:type="dxa"/>
            <w:vAlign w:val="center"/>
          </w:tcPr>
          <w:p>
            <w:pPr>
              <w:spacing w:line="360" w:lineRule="auto"/>
              <w:jc w:val="center"/>
            </w:pPr>
            <w:r>
              <w:rPr>
                <w:rFonts w:hint="eastAsia"/>
              </w:rPr>
              <w:t>22</w:t>
            </w:r>
          </w:p>
        </w:tc>
        <w:tc>
          <w:tcPr>
            <w:tcW w:w="2749" w:type="dxa"/>
            <w:vAlign w:val="center"/>
          </w:tcPr>
          <w:p>
            <w:pPr>
              <w:spacing w:line="360" w:lineRule="auto"/>
            </w:pPr>
            <w:r>
              <w:rPr>
                <w:rFonts w:hint="eastAsia" w:ascii="宋体" w:hAnsi="宋体" w:cs="Microsoft JhengHei"/>
                <w:kern w:val="0"/>
                <w:szCs w:val="21"/>
              </w:rPr>
              <w:t>投标</w:t>
            </w:r>
            <w:r>
              <w:rPr>
                <w:rFonts w:hint="eastAsia" w:ascii="宋体" w:hAnsi="宋体" w:cs="Microsoft JhengHei"/>
                <w:spacing w:val="-5"/>
                <w:kern w:val="0"/>
                <w:szCs w:val="21"/>
              </w:rPr>
              <w:t>人</w:t>
            </w:r>
            <w:r>
              <w:rPr>
                <w:rFonts w:hint="eastAsia" w:ascii="宋体" w:hAnsi="宋体" w:cs="Microsoft JhengHei"/>
                <w:kern w:val="0"/>
                <w:szCs w:val="21"/>
              </w:rPr>
              <w:t>代表出</w:t>
            </w:r>
            <w:r>
              <w:rPr>
                <w:rFonts w:hint="eastAsia" w:ascii="宋体" w:hAnsi="宋体" w:cs="Microsoft JhengHei"/>
                <w:spacing w:val="-5"/>
                <w:kern w:val="0"/>
                <w:szCs w:val="21"/>
              </w:rPr>
              <w:t>席</w:t>
            </w:r>
            <w:r>
              <w:rPr>
                <w:rFonts w:hint="eastAsia" w:ascii="宋体" w:hAnsi="宋体" w:cs="Microsoft JhengHei"/>
                <w:kern w:val="0"/>
                <w:szCs w:val="21"/>
              </w:rPr>
              <w:t>开标会</w:t>
            </w:r>
          </w:p>
        </w:tc>
        <w:tc>
          <w:tcPr>
            <w:tcW w:w="5400" w:type="dxa"/>
          </w:tcPr>
          <w:p>
            <w:pPr>
              <w:spacing w:line="360" w:lineRule="auto"/>
              <w:rPr>
                <w:b/>
              </w:rPr>
            </w:pPr>
            <w:r>
              <w:rPr>
                <w:rFonts w:hint="eastAsia" w:ascii="宋体" w:hAnsi="宋体" w:cs="Microsoft JhengHei"/>
                <w:spacing w:val="-5"/>
                <w:kern w:val="0"/>
              </w:rPr>
              <w:t>招标人（招标代理）邀请所有投标人的法定代表人或其委托代理人参加开标会。投标人的法定代表人或其委托代理人应当在投标文件递交截止时间前到达开标会现场并签到，在招标人按开标程序进行点名时，出示本人身份证，授权委托人另须出示授权委托书，以证明其出席。否则，招标人将拒收其投标文件。</w:t>
            </w:r>
          </w:p>
        </w:tc>
      </w:tr>
    </w:tbl>
    <w:p>
      <w:pPr>
        <w:spacing w:line="400" w:lineRule="exact"/>
        <w:ind w:right="482"/>
        <w:rPr>
          <w:sz w:val="24"/>
        </w:rPr>
        <w:sectPr>
          <w:footerReference r:id="rId8" w:type="default"/>
          <w:footnotePr>
            <w:numFmt w:val="decimalEnclosedCircleChinese"/>
          </w:footnotePr>
          <w:pgSz w:w="11906" w:h="16838"/>
          <w:pgMar w:top="1440" w:right="1800" w:bottom="1440" w:left="1800" w:header="851" w:footer="992" w:gutter="0"/>
          <w:cols w:space="720" w:num="1"/>
          <w:docGrid w:type="lines" w:linePitch="312" w:charSpace="0"/>
        </w:sectPr>
      </w:pPr>
    </w:p>
    <w:p>
      <w:pPr>
        <w:pStyle w:val="60"/>
        <w:outlineLvl w:val="2"/>
      </w:pPr>
      <w:bookmarkStart w:id="13" w:name="_Toc21780673"/>
      <w:r>
        <w:rPr>
          <w:rFonts w:hint="eastAsia"/>
        </w:rPr>
        <w:t>1. 总则</w:t>
      </w:r>
      <w:bookmarkEnd w:id="13"/>
    </w:p>
    <w:p>
      <w:pPr>
        <w:spacing w:line="400" w:lineRule="exact"/>
        <w:outlineLvl w:val="3"/>
        <w:rPr>
          <w:sz w:val="24"/>
        </w:rPr>
      </w:pPr>
      <w:r>
        <w:rPr>
          <w:rFonts w:hint="eastAsia"/>
          <w:sz w:val="24"/>
        </w:rPr>
        <w:t>1.1 项目概况</w:t>
      </w:r>
    </w:p>
    <w:p>
      <w:pPr>
        <w:spacing w:line="400" w:lineRule="exact"/>
        <w:ind w:firstLine="420"/>
        <w:rPr>
          <w:szCs w:val="21"/>
        </w:rPr>
      </w:pPr>
      <w:r>
        <w:rPr>
          <w:rFonts w:hint="eastAsia"/>
          <w:szCs w:val="21"/>
        </w:rPr>
        <w:t>1.1.1  根据《中华人民共和国招标投标法》等有关法律、法规和规章的规定，本招标项目已具备招标条件，现对本标段项目进行招标。</w:t>
      </w:r>
    </w:p>
    <w:p>
      <w:pPr>
        <w:spacing w:line="400" w:lineRule="exact"/>
        <w:ind w:firstLine="420"/>
        <w:rPr>
          <w:szCs w:val="21"/>
        </w:rPr>
      </w:pPr>
      <w:r>
        <w:rPr>
          <w:rFonts w:hint="eastAsia"/>
          <w:szCs w:val="21"/>
        </w:rPr>
        <w:t>1.1.2  本招标项目招标人：见投标人须知前附表。</w:t>
      </w:r>
    </w:p>
    <w:p>
      <w:pPr>
        <w:spacing w:line="400" w:lineRule="exact"/>
        <w:ind w:firstLine="420"/>
        <w:rPr>
          <w:szCs w:val="21"/>
        </w:rPr>
      </w:pPr>
      <w:r>
        <w:rPr>
          <w:rFonts w:hint="eastAsia"/>
          <w:szCs w:val="21"/>
        </w:rPr>
        <w:t>1.1.3  本标段招标代理机构：见投标人须知前附表。</w:t>
      </w:r>
    </w:p>
    <w:p>
      <w:pPr>
        <w:spacing w:line="400" w:lineRule="exact"/>
        <w:ind w:firstLine="420"/>
        <w:rPr>
          <w:szCs w:val="21"/>
        </w:rPr>
      </w:pPr>
      <w:r>
        <w:rPr>
          <w:rFonts w:hint="eastAsia"/>
          <w:szCs w:val="21"/>
        </w:rPr>
        <w:t>1.1.4  本招标项目名称：见投标人须知前附表。</w:t>
      </w:r>
    </w:p>
    <w:p>
      <w:pPr>
        <w:spacing w:line="400" w:lineRule="exact"/>
        <w:ind w:firstLine="420"/>
        <w:rPr>
          <w:szCs w:val="21"/>
        </w:rPr>
      </w:pPr>
      <w:r>
        <w:rPr>
          <w:rFonts w:hint="eastAsia"/>
          <w:szCs w:val="21"/>
        </w:rPr>
        <w:t>1.1.5  本标段地点：见投标人须知前附表。</w:t>
      </w:r>
    </w:p>
    <w:p>
      <w:pPr>
        <w:pStyle w:val="58"/>
        <w:outlineLvl w:val="3"/>
      </w:pPr>
      <w:r>
        <w:rPr>
          <w:rFonts w:hint="eastAsia"/>
        </w:rPr>
        <w:t>1.2 投标人资格要求</w:t>
      </w:r>
    </w:p>
    <w:p>
      <w:pPr>
        <w:spacing w:line="400" w:lineRule="exact"/>
        <w:ind w:firstLine="420"/>
        <w:rPr>
          <w:szCs w:val="21"/>
        </w:rPr>
      </w:pPr>
      <w:r>
        <w:rPr>
          <w:rFonts w:hint="eastAsia"/>
          <w:szCs w:val="21"/>
        </w:rPr>
        <w:t>1.2.1  投标人资格要求：详见投标人须知前附表。</w:t>
      </w:r>
    </w:p>
    <w:p>
      <w:pPr>
        <w:spacing w:line="400" w:lineRule="exact"/>
        <w:ind w:firstLine="420"/>
        <w:rPr>
          <w:szCs w:val="21"/>
        </w:rPr>
      </w:pPr>
      <w:r>
        <w:rPr>
          <w:rFonts w:hint="eastAsia"/>
          <w:szCs w:val="21"/>
        </w:rPr>
        <w:t>1.2.2  投标人不得存在下列情形之一：</w:t>
      </w:r>
    </w:p>
    <w:p>
      <w:pPr>
        <w:spacing w:line="400" w:lineRule="exact"/>
        <w:ind w:firstLine="420"/>
        <w:rPr>
          <w:szCs w:val="21"/>
        </w:rPr>
      </w:pPr>
      <w:r>
        <w:rPr>
          <w:rFonts w:hint="eastAsia"/>
          <w:szCs w:val="21"/>
        </w:rPr>
        <w:t>（1）为本标段提供招标代理服务的；</w:t>
      </w:r>
    </w:p>
    <w:p>
      <w:pPr>
        <w:spacing w:line="400" w:lineRule="exact"/>
        <w:ind w:firstLine="420"/>
        <w:rPr>
          <w:szCs w:val="21"/>
        </w:rPr>
      </w:pPr>
      <w:r>
        <w:rPr>
          <w:rFonts w:hint="eastAsia"/>
          <w:szCs w:val="21"/>
        </w:rPr>
        <w:t>（2）被责令停业的；</w:t>
      </w:r>
    </w:p>
    <w:p>
      <w:pPr>
        <w:spacing w:line="400" w:lineRule="exact"/>
        <w:ind w:firstLine="420"/>
        <w:rPr>
          <w:szCs w:val="21"/>
        </w:rPr>
      </w:pPr>
      <w:r>
        <w:rPr>
          <w:rFonts w:hint="eastAsia"/>
          <w:szCs w:val="21"/>
        </w:rPr>
        <w:t>（3）被暂停或取消投标资格的；</w:t>
      </w:r>
    </w:p>
    <w:p>
      <w:pPr>
        <w:spacing w:line="400" w:lineRule="exact"/>
        <w:ind w:firstLine="420"/>
        <w:rPr>
          <w:szCs w:val="21"/>
        </w:rPr>
      </w:pPr>
      <w:r>
        <w:rPr>
          <w:rFonts w:hint="eastAsia"/>
          <w:szCs w:val="21"/>
        </w:rPr>
        <w:t>（4）财产被接管或冻结的；</w:t>
      </w:r>
    </w:p>
    <w:p>
      <w:pPr>
        <w:spacing w:line="400" w:lineRule="exact"/>
        <w:ind w:firstLine="420"/>
        <w:rPr>
          <w:szCs w:val="21"/>
        </w:rPr>
      </w:pPr>
      <w:r>
        <w:rPr>
          <w:rFonts w:hint="eastAsia"/>
          <w:szCs w:val="21"/>
        </w:rPr>
        <w:t>（5）近年内有骗取中标或严重违约或重大工程质量问题的。</w:t>
      </w:r>
    </w:p>
    <w:p>
      <w:pPr>
        <w:spacing w:line="400" w:lineRule="exact"/>
        <w:ind w:firstLine="420"/>
        <w:rPr>
          <w:szCs w:val="21"/>
        </w:rPr>
      </w:pPr>
      <w:r>
        <w:rPr>
          <w:rFonts w:hint="eastAsia"/>
          <w:szCs w:val="21"/>
        </w:rPr>
        <w:t>1.2.3本次招标</w:t>
      </w:r>
      <w:r>
        <w:rPr>
          <w:rFonts w:hint="eastAsia"/>
        </w:rPr>
        <w:t>不</w:t>
      </w:r>
      <w:r>
        <w:t>接受联合体投标</w:t>
      </w:r>
      <w:r>
        <w:rPr>
          <w:rFonts w:hint="eastAsia"/>
        </w:rPr>
        <w:t>。</w:t>
      </w:r>
    </w:p>
    <w:p>
      <w:pPr>
        <w:pStyle w:val="58"/>
        <w:outlineLvl w:val="3"/>
      </w:pPr>
      <w:r>
        <w:rPr>
          <w:rFonts w:hint="eastAsia"/>
        </w:rPr>
        <w:t>1.3 费用承担</w:t>
      </w:r>
    </w:p>
    <w:p>
      <w:pPr>
        <w:spacing w:line="400" w:lineRule="exact"/>
        <w:ind w:firstLine="420"/>
        <w:rPr>
          <w:szCs w:val="21"/>
        </w:rPr>
      </w:pPr>
      <w:r>
        <w:rPr>
          <w:rFonts w:hint="eastAsia"/>
          <w:szCs w:val="21"/>
        </w:rPr>
        <w:t>投标人准备和参加投标活动发生的费用自理。</w:t>
      </w:r>
    </w:p>
    <w:p>
      <w:pPr>
        <w:spacing w:line="400" w:lineRule="exact"/>
        <w:ind w:firstLine="420"/>
        <w:rPr>
          <w:szCs w:val="21"/>
        </w:rPr>
      </w:pPr>
      <w:r>
        <w:rPr>
          <w:rFonts w:hint="eastAsia" w:ascii="宋体" w:hAnsi="宋体"/>
          <w:b/>
          <w:bCs/>
          <w:szCs w:val="21"/>
        </w:rPr>
        <w:t>本项目评委费暂定500元/人，最终按实结算。本项目评委费用包含在本次投标报价中，不另行报价，请投标人予以综合考虑。</w:t>
      </w:r>
    </w:p>
    <w:p>
      <w:pPr>
        <w:pStyle w:val="58"/>
        <w:outlineLvl w:val="3"/>
      </w:pPr>
      <w:r>
        <w:rPr>
          <w:rFonts w:hint="eastAsia"/>
        </w:rPr>
        <w:t>1.4 保密</w:t>
      </w:r>
    </w:p>
    <w:p>
      <w:pPr>
        <w:spacing w:line="400" w:lineRule="exact"/>
        <w:ind w:firstLine="420"/>
        <w:rPr>
          <w:szCs w:val="21"/>
        </w:rPr>
      </w:pPr>
      <w:r>
        <w:rPr>
          <w:rFonts w:hint="eastAsia"/>
          <w:szCs w:val="21"/>
        </w:rPr>
        <w:t>参与招标投标活动的各方应对招标文件和投标文件中的商业和技术等秘密保密，违者应对由此造成的后果承担法律责任。</w:t>
      </w:r>
    </w:p>
    <w:p>
      <w:pPr>
        <w:pStyle w:val="58"/>
        <w:outlineLvl w:val="3"/>
      </w:pPr>
      <w:r>
        <w:rPr>
          <w:rFonts w:hint="eastAsia"/>
        </w:rPr>
        <w:t>1.5 语言文字</w:t>
      </w:r>
    </w:p>
    <w:p>
      <w:pPr>
        <w:spacing w:line="400" w:lineRule="exact"/>
        <w:ind w:firstLine="420"/>
        <w:rPr>
          <w:szCs w:val="21"/>
        </w:rPr>
      </w:pPr>
      <w:r>
        <w:rPr>
          <w:rFonts w:hint="eastAsia"/>
          <w:szCs w:val="21"/>
        </w:rPr>
        <w:t>除专用术语外，与招标投标有关的语言均使用中文。必要时专用术语应附有中文注释。</w:t>
      </w:r>
    </w:p>
    <w:p>
      <w:pPr>
        <w:pStyle w:val="58"/>
        <w:outlineLvl w:val="3"/>
      </w:pPr>
      <w:r>
        <w:rPr>
          <w:rFonts w:hint="eastAsia"/>
        </w:rPr>
        <w:t>1.6计量单位</w:t>
      </w:r>
    </w:p>
    <w:p>
      <w:pPr>
        <w:spacing w:line="400" w:lineRule="exact"/>
        <w:ind w:firstLine="420"/>
        <w:rPr>
          <w:szCs w:val="21"/>
        </w:rPr>
      </w:pPr>
      <w:r>
        <w:rPr>
          <w:rFonts w:hint="eastAsia"/>
          <w:szCs w:val="21"/>
        </w:rPr>
        <w:t>所有计量均采用中华人民共和国法定计量单位。</w:t>
      </w:r>
    </w:p>
    <w:p>
      <w:pPr>
        <w:pStyle w:val="58"/>
        <w:outlineLvl w:val="3"/>
      </w:pPr>
      <w:r>
        <w:rPr>
          <w:rFonts w:hint="eastAsia"/>
        </w:rPr>
        <w:t>1.7 踏勘现场</w:t>
      </w:r>
    </w:p>
    <w:p>
      <w:pPr>
        <w:spacing w:line="400" w:lineRule="exact"/>
        <w:ind w:firstLine="420"/>
        <w:rPr>
          <w:szCs w:val="21"/>
        </w:rPr>
      </w:pPr>
      <w:r>
        <w:rPr>
          <w:rFonts w:hint="eastAsia"/>
          <w:szCs w:val="21"/>
        </w:rPr>
        <w:t>1.7.1  投标人自行踏勘项目现场。</w:t>
      </w:r>
    </w:p>
    <w:p>
      <w:pPr>
        <w:spacing w:line="400" w:lineRule="exact"/>
        <w:ind w:firstLine="420"/>
        <w:rPr>
          <w:szCs w:val="21"/>
        </w:rPr>
      </w:pPr>
      <w:r>
        <w:rPr>
          <w:rFonts w:hint="eastAsia"/>
          <w:szCs w:val="21"/>
        </w:rPr>
        <w:t>1.7.2  投标人踏勘现场发生的费用自理。</w:t>
      </w:r>
    </w:p>
    <w:p>
      <w:pPr>
        <w:spacing w:line="400" w:lineRule="exact"/>
        <w:ind w:firstLine="420"/>
        <w:rPr>
          <w:szCs w:val="21"/>
        </w:rPr>
      </w:pPr>
      <w:r>
        <w:rPr>
          <w:rFonts w:hint="eastAsia"/>
          <w:szCs w:val="21"/>
        </w:rPr>
        <w:t>1.7.3  除招标人的原因外，投标人自行负责在踏勘现场中所发生的人员伤亡和财产损失。</w:t>
      </w:r>
    </w:p>
    <w:p>
      <w:pPr>
        <w:spacing w:line="400" w:lineRule="exact"/>
        <w:ind w:firstLine="420"/>
        <w:rPr>
          <w:szCs w:val="21"/>
        </w:rPr>
      </w:pPr>
      <w:r>
        <w:rPr>
          <w:rFonts w:hint="eastAsia"/>
          <w:szCs w:val="21"/>
        </w:rPr>
        <w:t>1.7.4  招标人在踏勘现场中介绍的工程场地和相关的周边环境情况，供投标人在编制投标文件时参考，招标人不对投标人据此作出的判断和决策负责。</w:t>
      </w:r>
    </w:p>
    <w:p>
      <w:pPr>
        <w:tabs>
          <w:tab w:val="left" w:pos="900"/>
        </w:tabs>
        <w:spacing w:line="400" w:lineRule="exact"/>
        <w:ind w:firstLine="420"/>
        <w:rPr>
          <w:szCs w:val="21"/>
        </w:rPr>
      </w:pPr>
      <w:r>
        <w:rPr>
          <w:rFonts w:hint="eastAsia"/>
          <w:szCs w:val="21"/>
        </w:rPr>
        <w:t>1.7.5  招标人提供的本项目的相关参考资料，并不构成合同文件的组成部分，投标人应对上述资料的解释、推论和应用负责，招标人不对投标人据此作出的判断和决策承担任何责任。</w:t>
      </w:r>
    </w:p>
    <w:p>
      <w:pPr>
        <w:pStyle w:val="58"/>
        <w:outlineLvl w:val="3"/>
      </w:pPr>
      <w:r>
        <w:rPr>
          <w:rFonts w:hint="eastAsia"/>
        </w:rPr>
        <w:t>1.8 投标预备会</w:t>
      </w:r>
    </w:p>
    <w:p>
      <w:pPr>
        <w:spacing w:line="400" w:lineRule="exact"/>
        <w:ind w:firstLine="420"/>
        <w:rPr>
          <w:szCs w:val="21"/>
        </w:rPr>
      </w:pPr>
      <w:r>
        <w:rPr>
          <w:rFonts w:hint="eastAsia"/>
          <w:szCs w:val="21"/>
        </w:rPr>
        <w:t>1.8.1  不召开投标预备会。</w:t>
      </w:r>
    </w:p>
    <w:p>
      <w:pPr>
        <w:pStyle w:val="60"/>
        <w:outlineLvl w:val="2"/>
      </w:pPr>
      <w:bookmarkStart w:id="14" w:name="_Toc21780674"/>
      <w:r>
        <w:rPr>
          <w:rFonts w:hint="eastAsia"/>
        </w:rPr>
        <w:t>2. 招标文件</w:t>
      </w:r>
      <w:bookmarkEnd w:id="14"/>
    </w:p>
    <w:p>
      <w:pPr>
        <w:pStyle w:val="58"/>
        <w:outlineLvl w:val="3"/>
      </w:pPr>
      <w:r>
        <w:rPr>
          <w:rFonts w:hint="eastAsia"/>
        </w:rPr>
        <w:t>2.1 招标文件的组成</w:t>
      </w:r>
    </w:p>
    <w:p>
      <w:pPr>
        <w:spacing w:line="400" w:lineRule="exact"/>
        <w:ind w:firstLine="420"/>
        <w:rPr>
          <w:szCs w:val="21"/>
        </w:rPr>
      </w:pPr>
      <w:r>
        <w:rPr>
          <w:rFonts w:hint="eastAsia"/>
          <w:szCs w:val="21"/>
        </w:rPr>
        <w:t>本招标文件包括：</w:t>
      </w:r>
    </w:p>
    <w:p>
      <w:pPr>
        <w:spacing w:line="400" w:lineRule="exact"/>
        <w:ind w:firstLine="420"/>
        <w:rPr>
          <w:szCs w:val="21"/>
        </w:rPr>
      </w:pPr>
      <w:r>
        <w:rPr>
          <w:rFonts w:hint="eastAsia"/>
          <w:szCs w:val="21"/>
        </w:rPr>
        <w:t>（1）招标公告；</w:t>
      </w:r>
    </w:p>
    <w:p>
      <w:pPr>
        <w:spacing w:line="400" w:lineRule="exact"/>
        <w:ind w:firstLine="420"/>
        <w:rPr>
          <w:szCs w:val="21"/>
        </w:rPr>
      </w:pPr>
      <w:r>
        <w:rPr>
          <w:rFonts w:hint="eastAsia"/>
          <w:szCs w:val="21"/>
        </w:rPr>
        <w:t>（2）投标人须知；</w:t>
      </w:r>
    </w:p>
    <w:p>
      <w:pPr>
        <w:spacing w:line="400" w:lineRule="exact"/>
        <w:ind w:firstLine="420"/>
        <w:rPr>
          <w:szCs w:val="21"/>
        </w:rPr>
      </w:pPr>
      <w:r>
        <w:rPr>
          <w:rFonts w:hint="eastAsia"/>
          <w:szCs w:val="21"/>
        </w:rPr>
        <w:t>（3）评标办法；</w:t>
      </w:r>
    </w:p>
    <w:p>
      <w:pPr>
        <w:spacing w:line="400" w:lineRule="exact"/>
        <w:ind w:firstLine="420"/>
        <w:rPr>
          <w:szCs w:val="21"/>
        </w:rPr>
      </w:pPr>
      <w:r>
        <w:rPr>
          <w:rFonts w:hint="eastAsia"/>
          <w:szCs w:val="21"/>
        </w:rPr>
        <w:t>（4）合同主要条款；</w:t>
      </w:r>
    </w:p>
    <w:p>
      <w:pPr>
        <w:spacing w:line="400" w:lineRule="exact"/>
        <w:ind w:firstLine="420"/>
        <w:rPr>
          <w:szCs w:val="21"/>
        </w:rPr>
      </w:pPr>
      <w:r>
        <w:rPr>
          <w:rFonts w:hint="eastAsia"/>
          <w:szCs w:val="21"/>
        </w:rPr>
        <w:t>（5）服务标准及要求；</w:t>
      </w:r>
    </w:p>
    <w:p>
      <w:pPr>
        <w:spacing w:line="400" w:lineRule="exact"/>
        <w:ind w:firstLine="420"/>
        <w:rPr>
          <w:szCs w:val="21"/>
        </w:rPr>
      </w:pPr>
      <w:r>
        <w:rPr>
          <w:rFonts w:hint="eastAsia"/>
          <w:szCs w:val="21"/>
        </w:rPr>
        <w:t>（6）投标文件格式；</w:t>
      </w:r>
    </w:p>
    <w:p>
      <w:pPr>
        <w:spacing w:line="400" w:lineRule="exact"/>
        <w:ind w:firstLine="420"/>
        <w:rPr>
          <w:szCs w:val="21"/>
        </w:rPr>
      </w:pPr>
      <w:r>
        <w:rPr>
          <w:rFonts w:hint="eastAsia"/>
          <w:szCs w:val="21"/>
        </w:rPr>
        <w:t>（7）投标人须知前附表规定的其他材料。</w:t>
      </w:r>
    </w:p>
    <w:p>
      <w:pPr>
        <w:spacing w:line="400" w:lineRule="exact"/>
        <w:ind w:firstLine="420"/>
        <w:rPr>
          <w:szCs w:val="21"/>
        </w:rPr>
      </w:pPr>
      <w:r>
        <w:rPr>
          <w:rFonts w:hint="eastAsia"/>
          <w:szCs w:val="21"/>
        </w:rPr>
        <w:t>根据本章条款对招标文件所作的澄清、修改，构成招标文件的组成部分。</w:t>
      </w:r>
    </w:p>
    <w:p>
      <w:pPr>
        <w:spacing w:line="400" w:lineRule="exact"/>
        <w:ind w:firstLine="420"/>
        <w:rPr>
          <w:szCs w:val="21"/>
        </w:rPr>
      </w:pPr>
      <w:r>
        <w:rPr>
          <w:rFonts w:hint="eastAsia"/>
          <w:szCs w:val="21"/>
        </w:rPr>
        <w:t>招标文件、招标文件的澄清或修改等在同一内容的表述上不一致时，以最后发出的书面文件为准。</w:t>
      </w:r>
    </w:p>
    <w:p>
      <w:pPr>
        <w:pStyle w:val="58"/>
        <w:outlineLvl w:val="3"/>
      </w:pPr>
      <w:r>
        <w:rPr>
          <w:rFonts w:hint="eastAsia"/>
        </w:rPr>
        <w:t>2.2 招标文件的澄清</w:t>
      </w:r>
    </w:p>
    <w:p>
      <w:pPr>
        <w:spacing w:line="400" w:lineRule="exact"/>
        <w:ind w:firstLine="420"/>
        <w:rPr>
          <w:szCs w:val="21"/>
        </w:rPr>
      </w:pPr>
      <w:r>
        <w:rPr>
          <w:rFonts w:hint="eastAsia"/>
          <w:szCs w:val="21"/>
        </w:rPr>
        <w:t>2.2.1  投标人应仔细阅读和检查招标文件的全部内容。如发现缺页或附件不全，应及时向招标人提出，以便补齐。如有疑问，应在投标人须知前附表规定的时间前以书面形式（传真），要求招标人对招标文件予以澄清。招标人的传真号码及电子邮箱的地址见投标人须知前附表。</w:t>
      </w:r>
    </w:p>
    <w:p>
      <w:pPr>
        <w:spacing w:line="400" w:lineRule="exact"/>
        <w:ind w:firstLine="420"/>
        <w:rPr>
          <w:szCs w:val="21"/>
        </w:rPr>
      </w:pPr>
      <w:r>
        <w:rPr>
          <w:rFonts w:hint="eastAsia"/>
          <w:szCs w:val="21"/>
        </w:rPr>
        <w:t>2.2.2  招标文件的澄清将在投标人须知前附表规定的投标截止时间前以书面形式发给所有投标人，但不指明澄清问题的来源。</w:t>
      </w:r>
    </w:p>
    <w:p>
      <w:pPr>
        <w:spacing w:line="400" w:lineRule="exact"/>
        <w:ind w:firstLine="420"/>
        <w:rPr>
          <w:szCs w:val="21"/>
        </w:rPr>
      </w:pPr>
      <w:r>
        <w:rPr>
          <w:rFonts w:hint="eastAsia"/>
          <w:szCs w:val="21"/>
        </w:rPr>
        <w:t>2.2.3  投标人在收到澄清后，应在投标人须知前附表规定的时间内以书面形式通知招标人，确认已收到该澄清。</w:t>
      </w:r>
    </w:p>
    <w:p>
      <w:pPr>
        <w:pStyle w:val="60"/>
        <w:outlineLvl w:val="2"/>
      </w:pPr>
      <w:bookmarkStart w:id="15" w:name="_Toc21780675"/>
      <w:r>
        <w:rPr>
          <w:rFonts w:hint="eastAsia"/>
        </w:rPr>
        <w:t>3. 投标文件</w:t>
      </w:r>
      <w:bookmarkEnd w:id="15"/>
    </w:p>
    <w:p>
      <w:pPr>
        <w:pStyle w:val="58"/>
        <w:outlineLvl w:val="3"/>
      </w:pPr>
      <w:r>
        <w:rPr>
          <w:rFonts w:hint="eastAsia"/>
        </w:rPr>
        <w:t>3.1 投标文件的组成</w:t>
      </w:r>
    </w:p>
    <w:p>
      <w:pPr>
        <w:spacing w:line="400" w:lineRule="exact"/>
        <w:ind w:firstLine="420"/>
        <w:rPr>
          <w:szCs w:val="21"/>
        </w:rPr>
      </w:pPr>
      <w:r>
        <w:rPr>
          <w:rFonts w:hint="eastAsia"/>
          <w:szCs w:val="21"/>
        </w:rPr>
        <w:t>3.1.1  投标文件应包括下列内容：</w:t>
      </w:r>
    </w:p>
    <w:p>
      <w:pPr>
        <w:spacing w:line="400" w:lineRule="exact"/>
        <w:ind w:firstLine="420"/>
        <w:rPr>
          <w:szCs w:val="21"/>
        </w:rPr>
      </w:pPr>
      <w:r>
        <w:rPr>
          <w:rFonts w:hint="eastAsia"/>
          <w:szCs w:val="21"/>
        </w:rPr>
        <w:t>商务文件：</w:t>
      </w:r>
    </w:p>
    <w:p>
      <w:pPr>
        <w:spacing w:line="400" w:lineRule="exact"/>
        <w:ind w:firstLine="420"/>
        <w:rPr>
          <w:szCs w:val="21"/>
        </w:rPr>
      </w:pPr>
      <w:r>
        <w:rPr>
          <w:rFonts w:hint="eastAsia"/>
          <w:szCs w:val="21"/>
        </w:rPr>
        <w:t>（1）投标函</w:t>
      </w:r>
    </w:p>
    <w:p>
      <w:pPr>
        <w:spacing w:line="400" w:lineRule="exact"/>
        <w:ind w:firstLine="420"/>
        <w:rPr>
          <w:szCs w:val="21"/>
        </w:rPr>
      </w:pPr>
      <w:r>
        <w:rPr>
          <w:rFonts w:hint="eastAsia"/>
          <w:szCs w:val="21"/>
        </w:rPr>
        <w:t>（2）开标一览表</w:t>
      </w:r>
    </w:p>
    <w:p>
      <w:pPr>
        <w:pStyle w:val="58"/>
        <w:ind w:firstLine="420" w:firstLineChars="200"/>
        <w:outlineLvl w:val="3"/>
        <w:rPr>
          <w:sz w:val="21"/>
          <w:szCs w:val="21"/>
        </w:rPr>
      </w:pPr>
      <w:r>
        <w:rPr>
          <w:rFonts w:hint="eastAsia"/>
          <w:sz w:val="21"/>
          <w:szCs w:val="21"/>
        </w:rPr>
        <w:t>（3）投标人资格文件，包括营业执照或事业单位法人证书复印件；</w:t>
      </w:r>
    </w:p>
    <w:p>
      <w:pPr>
        <w:pStyle w:val="58"/>
        <w:ind w:firstLine="420" w:firstLineChars="200"/>
        <w:outlineLvl w:val="3"/>
        <w:rPr>
          <w:sz w:val="21"/>
          <w:szCs w:val="21"/>
        </w:rPr>
      </w:pPr>
      <w:r>
        <w:rPr>
          <w:rFonts w:hint="eastAsia"/>
          <w:sz w:val="21"/>
          <w:szCs w:val="21"/>
        </w:rPr>
        <w:t>（4）法定代表人授权委托书原件和委托代理人身份证复印件；</w:t>
      </w:r>
    </w:p>
    <w:p>
      <w:pPr>
        <w:spacing w:line="400" w:lineRule="exact"/>
        <w:ind w:firstLine="420"/>
        <w:rPr>
          <w:szCs w:val="21"/>
        </w:rPr>
      </w:pPr>
      <w:r>
        <w:rPr>
          <w:rFonts w:hint="eastAsia"/>
          <w:szCs w:val="21"/>
        </w:rPr>
        <w:t>（5）项目负责人资质证书、业绩材料；</w:t>
      </w:r>
    </w:p>
    <w:p>
      <w:pPr>
        <w:spacing w:line="400" w:lineRule="exact"/>
        <w:ind w:firstLine="420"/>
        <w:rPr>
          <w:szCs w:val="21"/>
        </w:rPr>
      </w:pPr>
      <w:r>
        <w:rPr>
          <w:rFonts w:hint="eastAsia"/>
          <w:szCs w:val="21"/>
        </w:rPr>
        <w:t>（6）项目组人员基本情况及资质证书；</w:t>
      </w:r>
    </w:p>
    <w:p>
      <w:pPr>
        <w:spacing w:line="400" w:lineRule="exact"/>
        <w:ind w:firstLine="420"/>
        <w:rPr>
          <w:szCs w:val="21"/>
        </w:rPr>
      </w:pPr>
      <w:r>
        <w:rPr>
          <w:rFonts w:hint="eastAsia"/>
          <w:szCs w:val="21"/>
        </w:rPr>
        <w:t>（7）投标人综合实力证明文件复印件</w:t>
      </w:r>
    </w:p>
    <w:p>
      <w:pPr>
        <w:spacing w:line="400" w:lineRule="exact"/>
        <w:ind w:firstLine="420"/>
        <w:rPr>
          <w:szCs w:val="21"/>
        </w:rPr>
      </w:pPr>
      <w:r>
        <w:rPr>
          <w:rFonts w:hint="eastAsia"/>
          <w:szCs w:val="21"/>
        </w:rPr>
        <w:t>（8）投标人承诺书</w:t>
      </w:r>
    </w:p>
    <w:p>
      <w:pPr>
        <w:spacing w:line="400" w:lineRule="exact"/>
        <w:ind w:firstLine="420"/>
        <w:rPr>
          <w:szCs w:val="21"/>
        </w:rPr>
      </w:pPr>
      <w:r>
        <w:rPr>
          <w:rFonts w:hint="eastAsia"/>
          <w:szCs w:val="21"/>
        </w:rPr>
        <w:t>（9）投标人认为有必要说明的其他内容。</w:t>
      </w:r>
    </w:p>
    <w:p>
      <w:pPr>
        <w:pStyle w:val="58"/>
        <w:ind w:firstLine="420" w:firstLineChars="200"/>
        <w:outlineLvl w:val="3"/>
        <w:rPr>
          <w:rFonts w:hint="eastAsia" w:ascii="宋体" w:hAnsi="宋体" w:cs="黑体"/>
          <w:kern w:val="0"/>
          <w:sz w:val="21"/>
          <w:szCs w:val="21"/>
        </w:rPr>
      </w:pPr>
      <w:r>
        <w:rPr>
          <w:rFonts w:hint="eastAsia" w:ascii="宋体" w:hAnsi="宋体" w:cs="黑体"/>
          <w:kern w:val="0"/>
          <w:sz w:val="21"/>
          <w:szCs w:val="21"/>
        </w:rPr>
        <w:t>技术文件：技术文件组成按照技术部分评分办法顺序和内容编写。</w:t>
      </w:r>
    </w:p>
    <w:p>
      <w:pPr>
        <w:pStyle w:val="58"/>
        <w:ind w:firstLine="420" w:firstLineChars="200"/>
        <w:outlineLvl w:val="3"/>
        <w:rPr>
          <w:rFonts w:hint="eastAsia" w:ascii="宋体" w:hAnsi="宋体" w:eastAsia="宋体" w:cs="黑体"/>
          <w:kern w:val="0"/>
          <w:sz w:val="21"/>
          <w:szCs w:val="21"/>
          <w:lang w:eastAsia="zh-CN"/>
        </w:rPr>
      </w:pPr>
      <w:r>
        <w:rPr>
          <w:rFonts w:hint="eastAsia" w:ascii="宋体" w:hAnsi="宋体" w:eastAsia="宋体" w:cs="黑体"/>
          <w:kern w:val="0"/>
          <w:sz w:val="21"/>
          <w:szCs w:val="21"/>
          <w:lang w:eastAsia="zh-CN"/>
        </w:rPr>
        <w:t>（</w:t>
      </w:r>
      <w:r>
        <w:rPr>
          <w:rFonts w:hint="eastAsia" w:ascii="宋体" w:hAnsi="宋体" w:eastAsia="宋体" w:cs="黑体"/>
          <w:kern w:val="0"/>
          <w:sz w:val="21"/>
          <w:szCs w:val="21"/>
          <w:lang w:val="en-US" w:eastAsia="zh-CN"/>
        </w:rPr>
        <w:t>1</w:t>
      </w:r>
      <w:r>
        <w:rPr>
          <w:rFonts w:hint="eastAsia" w:ascii="宋体" w:hAnsi="宋体" w:eastAsia="宋体" w:cs="黑体"/>
          <w:kern w:val="0"/>
          <w:sz w:val="21"/>
          <w:szCs w:val="21"/>
          <w:lang w:eastAsia="zh-CN"/>
        </w:rPr>
        <w:t>）</w:t>
      </w:r>
      <w:r>
        <w:rPr>
          <w:rFonts w:hint="eastAsia" w:ascii="宋体" w:hAnsi="宋体" w:eastAsia="宋体" w:cs="黑体"/>
          <w:kern w:val="0"/>
          <w:sz w:val="21"/>
          <w:szCs w:val="21"/>
        </w:rPr>
        <w:t>对本项目的理解和认识及工作流程的梳理</w:t>
      </w:r>
      <w:r>
        <w:rPr>
          <w:rFonts w:hint="eastAsia" w:ascii="宋体" w:hAnsi="宋体" w:eastAsia="宋体" w:cs="黑体"/>
          <w:kern w:val="0"/>
          <w:sz w:val="21"/>
          <w:szCs w:val="21"/>
          <w:lang w:eastAsia="zh-CN"/>
        </w:rPr>
        <w:t>；</w:t>
      </w:r>
    </w:p>
    <w:p>
      <w:pPr>
        <w:pStyle w:val="58"/>
        <w:ind w:firstLine="420" w:firstLineChars="200"/>
        <w:outlineLvl w:val="3"/>
        <w:rPr>
          <w:rFonts w:hint="eastAsia" w:ascii="宋体" w:hAnsi="宋体" w:eastAsia="宋体" w:cs="黑体"/>
          <w:kern w:val="0"/>
          <w:sz w:val="21"/>
          <w:szCs w:val="21"/>
          <w:lang w:eastAsia="zh-CN"/>
        </w:rPr>
      </w:pPr>
      <w:r>
        <w:rPr>
          <w:rFonts w:hint="eastAsia" w:ascii="宋体" w:hAnsi="宋体" w:eastAsia="宋体" w:cs="黑体"/>
          <w:kern w:val="0"/>
          <w:sz w:val="21"/>
          <w:szCs w:val="21"/>
          <w:lang w:eastAsia="zh-CN"/>
        </w:rPr>
        <w:t>（</w:t>
      </w:r>
      <w:r>
        <w:rPr>
          <w:rFonts w:hint="eastAsia" w:ascii="宋体" w:hAnsi="宋体" w:eastAsia="宋体" w:cs="黑体"/>
          <w:kern w:val="0"/>
          <w:sz w:val="21"/>
          <w:szCs w:val="21"/>
          <w:lang w:val="en-US" w:eastAsia="zh-CN"/>
        </w:rPr>
        <w:t>2</w:t>
      </w:r>
      <w:r>
        <w:rPr>
          <w:rFonts w:hint="eastAsia" w:ascii="宋体" w:hAnsi="宋体" w:eastAsia="宋体" w:cs="黑体"/>
          <w:kern w:val="0"/>
          <w:sz w:val="21"/>
          <w:szCs w:val="21"/>
          <w:lang w:eastAsia="zh-CN"/>
        </w:rPr>
        <w:t>）</w:t>
      </w:r>
      <w:r>
        <w:rPr>
          <w:rFonts w:hint="eastAsia" w:ascii="宋体" w:hAnsi="宋体" w:eastAsia="宋体" w:cs="黑体"/>
          <w:kern w:val="0"/>
          <w:sz w:val="21"/>
          <w:szCs w:val="21"/>
        </w:rPr>
        <w:t>编制实施方案</w:t>
      </w:r>
      <w:r>
        <w:rPr>
          <w:rFonts w:hint="eastAsia" w:ascii="宋体" w:hAnsi="宋体" w:eastAsia="宋体" w:cs="黑体"/>
          <w:kern w:val="0"/>
          <w:sz w:val="21"/>
          <w:szCs w:val="21"/>
          <w:lang w:eastAsia="zh-CN"/>
        </w:rPr>
        <w:t>；</w:t>
      </w:r>
    </w:p>
    <w:p>
      <w:pPr>
        <w:pStyle w:val="58"/>
        <w:ind w:firstLine="420" w:firstLineChars="200"/>
        <w:outlineLvl w:val="3"/>
        <w:rPr>
          <w:rFonts w:hint="eastAsia" w:ascii="宋体" w:hAnsi="宋体" w:eastAsia="宋体" w:cs="黑体"/>
          <w:kern w:val="0"/>
          <w:sz w:val="21"/>
          <w:szCs w:val="21"/>
          <w:lang w:eastAsia="zh-CN"/>
        </w:rPr>
      </w:pPr>
      <w:r>
        <w:rPr>
          <w:rFonts w:hint="eastAsia" w:ascii="宋体" w:hAnsi="宋体" w:eastAsia="宋体" w:cs="黑体"/>
          <w:kern w:val="0"/>
          <w:sz w:val="21"/>
          <w:szCs w:val="21"/>
          <w:lang w:eastAsia="zh-CN"/>
        </w:rPr>
        <w:t>（</w:t>
      </w:r>
      <w:r>
        <w:rPr>
          <w:rFonts w:hint="eastAsia" w:ascii="宋体" w:hAnsi="宋体" w:eastAsia="宋体" w:cs="黑体"/>
          <w:kern w:val="0"/>
          <w:sz w:val="21"/>
          <w:szCs w:val="21"/>
          <w:lang w:val="en-US" w:eastAsia="zh-CN"/>
        </w:rPr>
        <w:t>3</w:t>
      </w:r>
      <w:r>
        <w:rPr>
          <w:rFonts w:hint="eastAsia" w:ascii="宋体" w:hAnsi="宋体" w:eastAsia="宋体" w:cs="黑体"/>
          <w:kern w:val="0"/>
          <w:sz w:val="21"/>
          <w:szCs w:val="21"/>
          <w:lang w:eastAsia="zh-CN"/>
        </w:rPr>
        <w:t>）</w:t>
      </w:r>
      <w:r>
        <w:rPr>
          <w:rFonts w:hint="eastAsia" w:ascii="宋体" w:hAnsi="宋体" w:eastAsia="宋体" w:cs="黑体"/>
          <w:kern w:val="0"/>
          <w:sz w:val="21"/>
          <w:szCs w:val="21"/>
        </w:rPr>
        <w:t>重点与难点分析</w:t>
      </w:r>
      <w:r>
        <w:rPr>
          <w:rFonts w:hint="eastAsia" w:ascii="宋体" w:hAnsi="宋体" w:eastAsia="宋体" w:cs="黑体"/>
          <w:kern w:val="0"/>
          <w:sz w:val="21"/>
          <w:szCs w:val="21"/>
          <w:lang w:eastAsia="zh-CN"/>
        </w:rPr>
        <w:t>；</w:t>
      </w:r>
    </w:p>
    <w:p>
      <w:pPr>
        <w:pStyle w:val="58"/>
        <w:ind w:firstLine="420" w:firstLineChars="200"/>
        <w:outlineLvl w:val="3"/>
        <w:rPr>
          <w:rFonts w:hint="eastAsia" w:ascii="宋体" w:hAnsi="宋体" w:eastAsia="宋体" w:cs="黑体"/>
          <w:kern w:val="0"/>
          <w:sz w:val="21"/>
          <w:szCs w:val="21"/>
          <w:lang w:eastAsia="zh-CN"/>
        </w:rPr>
      </w:pPr>
      <w:r>
        <w:rPr>
          <w:rFonts w:hint="eastAsia" w:ascii="宋体" w:hAnsi="宋体" w:eastAsia="宋体" w:cs="黑体"/>
          <w:kern w:val="0"/>
          <w:sz w:val="21"/>
          <w:szCs w:val="21"/>
          <w:lang w:eastAsia="zh-CN"/>
        </w:rPr>
        <w:t>（</w:t>
      </w:r>
      <w:r>
        <w:rPr>
          <w:rFonts w:hint="eastAsia" w:ascii="宋体" w:hAnsi="宋体" w:eastAsia="宋体" w:cs="黑体"/>
          <w:kern w:val="0"/>
          <w:sz w:val="21"/>
          <w:szCs w:val="21"/>
          <w:lang w:val="en-US" w:eastAsia="zh-CN"/>
        </w:rPr>
        <w:t>4</w:t>
      </w:r>
      <w:r>
        <w:rPr>
          <w:rFonts w:hint="eastAsia" w:ascii="宋体" w:hAnsi="宋体" w:eastAsia="宋体" w:cs="黑体"/>
          <w:kern w:val="0"/>
          <w:sz w:val="21"/>
          <w:szCs w:val="21"/>
          <w:lang w:eastAsia="zh-CN"/>
        </w:rPr>
        <w:t>）</w:t>
      </w:r>
      <w:r>
        <w:rPr>
          <w:rFonts w:hint="eastAsia" w:ascii="宋体" w:hAnsi="宋体" w:eastAsia="宋体" w:cs="黑体"/>
          <w:kern w:val="0"/>
          <w:sz w:val="21"/>
          <w:szCs w:val="21"/>
        </w:rPr>
        <w:t>合理化建议</w:t>
      </w:r>
      <w:r>
        <w:rPr>
          <w:rFonts w:hint="eastAsia" w:ascii="宋体" w:hAnsi="宋体" w:eastAsia="宋体" w:cs="黑体"/>
          <w:kern w:val="0"/>
          <w:sz w:val="21"/>
          <w:szCs w:val="21"/>
          <w:lang w:eastAsia="zh-CN"/>
        </w:rPr>
        <w:t>；</w:t>
      </w:r>
    </w:p>
    <w:p>
      <w:pPr>
        <w:pStyle w:val="58"/>
        <w:ind w:firstLine="420" w:firstLineChars="200"/>
        <w:outlineLvl w:val="3"/>
        <w:rPr>
          <w:rFonts w:hint="eastAsia" w:ascii="宋体" w:hAnsi="宋体" w:eastAsia="宋体" w:cs="黑体"/>
          <w:kern w:val="0"/>
          <w:sz w:val="21"/>
          <w:szCs w:val="21"/>
          <w:lang w:eastAsia="zh-CN"/>
        </w:rPr>
      </w:pPr>
      <w:r>
        <w:rPr>
          <w:rFonts w:hint="eastAsia" w:ascii="宋体" w:hAnsi="宋体" w:eastAsia="宋体" w:cs="黑体"/>
          <w:kern w:val="0"/>
          <w:sz w:val="21"/>
          <w:szCs w:val="21"/>
          <w:lang w:eastAsia="zh-CN"/>
        </w:rPr>
        <w:t>（</w:t>
      </w:r>
      <w:r>
        <w:rPr>
          <w:rFonts w:hint="eastAsia" w:ascii="宋体" w:hAnsi="宋体" w:eastAsia="宋体" w:cs="黑体"/>
          <w:kern w:val="0"/>
          <w:sz w:val="21"/>
          <w:szCs w:val="21"/>
          <w:lang w:val="en-US" w:eastAsia="zh-CN"/>
        </w:rPr>
        <w:t>5</w:t>
      </w:r>
      <w:r>
        <w:rPr>
          <w:rFonts w:hint="eastAsia" w:ascii="宋体" w:hAnsi="宋体" w:eastAsia="宋体" w:cs="黑体"/>
          <w:kern w:val="0"/>
          <w:sz w:val="21"/>
          <w:szCs w:val="21"/>
          <w:lang w:eastAsia="zh-CN"/>
        </w:rPr>
        <w:t>）</w:t>
      </w:r>
      <w:r>
        <w:rPr>
          <w:rFonts w:hint="eastAsia" w:ascii="宋体" w:hAnsi="宋体" w:eastAsia="宋体" w:cs="黑体"/>
          <w:kern w:val="0"/>
          <w:sz w:val="21"/>
          <w:szCs w:val="21"/>
        </w:rPr>
        <w:t>服务承诺</w:t>
      </w:r>
      <w:r>
        <w:rPr>
          <w:rFonts w:hint="eastAsia" w:ascii="宋体" w:hAnsi="宋体" w:eastAsia="宋体" w:cs="黑体"/>
          <w:kern w:val="0"/>
          <w:sz w:val="21"/>
          <w:szCs w:val="21"/>
          <w:lang w:eastAsia="zh-CN"/>
        </w:rPr>
        <w:t>；</w:t>
      </w:r>
    </w:p>
    <w:p>
      <w:pPr>
        <w:pStyle w:val="58"/>
        <w:ind w:firstLine="420" w:firstLineChars="200"/>
        <w:outlineLvl w:val="3"/>
        <w:rPr>
          <w:rFonts w:ascii="宋体" w:hAnsi="宋体" w:cs="黑体"/>
          <w:kern w:val="0"/>
          <w:sz w:val="21"/>
          <w:szCs w:val="21"/>
        </w:rPr>
      </w:pPr>
      <w:r>
        <w:rPr>
          <w:rFonts w:hint="eastAsia" w:ascii="宋体" w:hAnsi="宋体" w:cs="黑体"/>
          <w:kern w:val="0"/>
          <w:sz w:val="21"/>
          <w:szCs w:val="21"/>
        </w:rPr>
        <w:t>（</w:t>
      </w:r>
      <w:r>
        <w:rPr>
          <w:rFonts w:hint="eastAsia" w:ascii="宋体" w:hAnsi="宋体" w:cs="黑体"/>
          <w:kern w:val="0"/>
          <w:sz w:val="21"/>
          <w:szCs w:val="21"/>
          <w:lang w:val="en-US" w:eastAsia="zh-CN"/>
        </w:rPr>
        <w:t>6</w:t>
      </w:r>
      <w:r>
        <w:rPr>
          <w:rFonts w:hint="eastAsia" w:ascii="宋体" w:hAnsi="宋体" w:cs="黑体"/>
          <w:kern w:val="0"/>
          <w:sz w:val="21"/>
          <w:szCs w:val="21"/>
        </w:rPr>
        <w:t>）投标人认为有必要说明的其他内容。</w:t>
      </w:r>
    </w:p>
    <w:p>
      <w:pPr>
        <w:pStyle w:val="58"/>
        <w:outlineLvl w:val="3"/>
      </w:pPr>
      <w:r>
        <w:rPr>
          <w:rFonts w:hint="eastAsia"/>
        </w:rPr>
        <w:t>3.2 投标报价</w:t>
      </w:r>
    </w:p>
    <w:p>
      <w:pPr>
        <w:spacing w:line="400" w:lineRule="exact"/>
        <w:ind w:firstLine="420"/>
        <w:rPr>
          <w:szCs w:val="21"/>
        </w:rPr>
      </w:pPr>
      <w:r>
        <w:rPr>
          <w:rFonts w:hint="eastAsia"/>
          <w:szCs w:val="21"/>
        </w:rPr>
        <w:t>3.2.1 投标人应按第六章的要求填写相应表格。</w:t>
      </w:r>
    </w:p>
    <w:p>
      <w:pPr>
        <w:spacing w:line="400" w:lineRule="exact"/>
        <w:ind w:firstLine="420"/>
        <w:rPr>
          <w:szCs w:val="21"/>
        </w:rPr>
      </w:pPr>
      <w:r>
        <w:rPr>
          <w:rFonts w:hint="eastAsia"/>
          <w:szCs w:val="21"/>
        </w:rPr>
        <w:t>3.2.2 投标人在投标截止时间前修改投标函中的投标总报价，应同时修改第五章中的相应报价。此修改须符合本章第4.3款的有关要求。</w:t>
      </w:r>
    </w:p>
    <w:p>
      <w:pPr>
        <w:spacing w:line="400" w:lineRule="exact"/>
        <w:ind w:firstLine="420"/>
        <w:rPr>
          <w:szCs w:val="21"/>
        </w:rPr>
      </w:pPr>
      <w:r>
        <w:rPr>
          <w:rFonts w:hint="eastAsia"/>
          <w:szCs w:val="21"/>
        </w:rPr>
        <w:t>3.2.3投标报价须包含涉及土地预审相关的各项费用，如报告编制费、专家评审费、矛盾协调等，招标人不额外支付任何费用。</w:t>
      </w:r>
    </w:p>
    <w:p>
      <w:pPr>
        <w:spacing w:line="400" w:lineRule="exact"/>
        <w:ind w:firstLine="420"/>
        <w:rPr>
          <w:szCs w:val="21"/>
        </w:rPr>
      </w:pPr>
      <w:r>
        <w:rPr>
          <w:rFonts w:hint="eastAsia"/>
          <w:szCs w:val="21"/>
        </w:rPr>
        <w:t>3.2.4</w:t>
      </w:r>
    </w:p>
    <w:p>
      <w:pPr>
        <w:pStyle w:val="58"/>
      </w:pPr>
      <w:r>
        <w:rPr>
          <w:rFonts w:hint="eastAsia"/>
        </w:rPr>
        <w:t>3.3 投标有效期</w:t>
      </w:r>
    </w:p>
    <w:p>
      <w:pPr>
        <w:spacing w:line="400" w:lineRule="exact"/>
        <w:ind w:firstLine="420"/>
        <w:rPr>
          <w:szCs w:val="21"/>
        </w:rPr>
      </w:pPr>
      <w:r>
        <w:rPr>
          <w:rFonts w:hint="eastAsia"/>
          <w:szCs w:val="21"/>
        </w:rPr>
        <w:t>3.3.1  在投标人须知前附表规定的投标有效期内，投标人不得要求撤销或修改其投标文件。</w:t>
      </w:r>
    </w:p>
    <w:p>
      <w:pPr>
        <w:pStyle w:val="58"/>
        <w:outlineLvl w:val="3"/>
      </w:pPr>
      <w:r>
        <w:rPr>
          <w:rFonts w:hint="eastAsia"/>
        </w:rPr>
        <w:t>3.4 投标保证金：</w:t>
      </w:r>
      <w:r>
        <w:rPr>
          <w:rFonts w:hint="eastAsia"/>
          <w:sz w:val="21"/>
          <w:szCs w:val="21"/>
        </w:rPr>
        <w:t>本项目无投标保证金。</w:t>
      </w:r>
    </w:p>
    <w:p>
      <w:pPr>
        <w:pStyle w:val="58"/>
        <w:outlineLvl w:val="3"/>
      </w:pPr>
      <w:r>
        <w:rPr>
          <w:rFonts w:hint="eastAsia"/>
        </w:rPr>
        <w:t>3.5 备选投标方案</w:t>
      </w:r>
    </w:p>
    <w:p>
      <w:pPr>
        <w:spacing w:line="400" w:lineRule="exact"/>
        <w:ind w:firstLine="420"/>
        <w:rPr>
          <w:szCs w:val="21"/>
        </w:rPr>
      </w:pPr>
      <w:r>
        <w:rPr>
          <w:rFonts w:hint="eastAsia"/>
          <w:szCs w:val="21"/>
        </w:rPr>
        <w:t>投标人不得递交备选投标方案。</w:t>
      </w:r>
    </w:p>
    <w:p>
      <w:pPr>
        <w:pStyle w:val="58"/>
        <w:outlineLvl w:val="3"/>
      </w:pPr>
      <w:r>
        <w:rPr>
          <w:rFonts w:hint="eastAsia"/>
        </w:rPr>
        <w:t>3.6 投标文件的编制</w:t>
      </w:r>
    </w:p>
    <w:p>
      <w:pPr>
        <w:spacing w:line="400" w:lineRule="exact"/>
        <w:ind w:firstLine="420"/>
        <w:rPr>
          <w:szCs w:val="21"/>
        </w:rPr>
      </w:pPr>
      <w:r>
        <w:rPr>
          <w:rFonts w:hint="eastAsia"/>
          <w:szCs w:val="21"/>
        </w:rPr>
        <w:t>3.6.1 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rPr>
          <w:szCs w:val="21"/>
        </w:rPr>
      </w:pPr>
      <w:r>
        <w:rPr>
          <w:rFonts w:hint="eastAsia"/>
          <w:szCs w:val="21"/>
        </w:rPr>
        <w:t>3.6.2 投标文件应当对招标文件有关服务期限、投标有效期、技术标准和要求、招标范围等实质性内容作出响应。</w:t>
      </w:r>
    </w:p>
    <w:p>
      <w:pPr>
        <w:spacing w:line="400" w:lineRule="exact"/>
        <w:ind w:firstLine="420"/>
        <w:rPr>
          <w:szCs w:val="21"/>
        </w:rPr>
      </w:pPr>
      <w:r>
        <w:rPr>
          <w:rFonts w:hint="eastAsia"/>
          <w:szCs w:val="21"/>
        </w:rPr>
        <w:t>3.6.3 投标文件应用不褪色的材料书写或打印，并由投标人的法定代表人或其委托代理人签字和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00" w:lineRule="exact"/>
        <w:ind w:firstLine="420"/>
        <w:rPr>
          <w:szCs w:val="21"/>
        </w:rPr>
      </w:pPr>
      <w:r>
        <w:rPr>
          <w:rFonts w:hint="eastAsia"/>
          <w:szCs w:val="21"/>
        </w:rPr>
        <w:t>3.6.4  投标文件正本一份，副本份数见投标人须知前附表。正本和副本的封面上应清楚地标记“正本”或“副本”的字样。当副本和正本不一致时，以正本为准。</w:t>
      </w:r>
    </w:p>
    <w:p>
      <w:pPr>
        <w:spacing w:line="400" w:lineRule="exact"/>
        <w:ind w:firstLine="420"/>
        <w:rPr>
          <w:szCs w:val="21"/>
        </w:rPr>
      </w:pPr>
      <w:r>
        <w:rPr>
          <w:rFonts w:hint="eastAsia"/>
          <w:szCs w:val="21"/>
        </w:rPr>
        <w:t>3.6.5  投标文件的正本与副本应分别装订成册，并编制目录，具体装订要求见投标人须知前附表规定。</w:t>
      </w:r>
    </w:p>
    <w:p>
      <w:pPr>
        <w:pStyle w:val="60"/>
        <w:outlineLvl w:val="2"/>
      </w:pPr>
      <w:bookmarkStart w:id="16" w:name="_Toc21780676"/>
      <w:r>
        <w:rPr>
          <w:rFonts w:hint="eastAsia"/>
        </w:rPr>
        <w:t>4. 投标</w:t>
      </w:r>
      <w:bookmarkEnd w:id="16"/>
    </w:p>
    <w:p>
      <w:pPr>
        <w:pStyle w:val="58"/>
        <w:outlineLvl w:val="3"/>
      </w:pPr>
      <w:r>
        <w:rPr>
          <w:rFonts w:hint="eastAsia"/>
        </w:rPr>
        <w:t>4.1  投标文件的密封和标记</w:t>
      </w:r>
    </w:p>
    <w:p>
      <w:pPr>
        <w:spacing w:line="400" w:lineRule="exact"/>
        <w:ind w:firstLine="420"/>
        <w:rPr>
          <w:szCs w:val="21"/>
        </w:rPr>
      </w:pPr>
      <w:r>
        <w:rPr>
          <w:rFonts w:hint="eastAsia"/>
          <w:szCs w:val="21"/>
        </w:rPr>
        <w:t>4.1.1  投标文件的正本与副本可以一起封装。</w:t>
      </w:r>
    </w:p>
    <w:p>
      <w:pPr>
        <w:spacing w:line="400" w:lineRule="exact"/>
        <w:ind w:firstLine="420"/>
        <w:rPr>
          <w:rFonts w:hint="eastAsia"/>
          <w:szCs w:val="21"/>
          <w:lang w:eastAsia="zh-CN"/>
        </w:rPr>
      </w:pPr>
      <w:r>
        <w:rPr>
          <w:rFonts w:hint="eastAsia"/>
          <w:szCs w:val="21"/>
        </w:rPr>
        <w:t>4.1.2  投标文件的封套上应写明招标人名称、项目名称及投标人名称，并加盖投标人法人公章及其法定代表人或授权委托人签字或盖章</w:t>
      </w:r>
      <w:r>
        <w:rPr>
          <w:rFonts w:hint="eastAsia"/>
          <w:szCs w:val="21"/>
          <w:lang w:eastAsia="zh-CN"/>
        </w:rPr>
        <w:t>。</w:t>
      </w:r>
    </w:p>
    <w:p>
      <w:pPr>
        <w:spacing w:line="400" w:lineRule="exact"/>
        <w:ind w:firstLine="420"/>
        <w:rPr>
          <w:rFonts w:hint="eastAsia" w:eastAsia="宋体"/>
          <w:szCs w:val="21"/>
          <w:lang w:eastAsia="zh-CN"/>
        </w:rPr>
      </w:pPr>
      <w:r>
        <w:rPr>
          <w:rFonts w:hint="eastAsia"/>
          <w:szCs w:val="21"/>
          <w:lang w:eastAsia="zh-CN"/>
        </w:rPr>
        <w:t>或授权委托人签字或盖章</w:t>
      </w:r>
    </w:p>
    <w:p>
      <w:pPr>
        <w:spacing w:line="400" w:lineRule="exact"/>
        <w:ind w:firstLine="420"/>
        <w:rPr>
          <w:szCs w:val="21"/>
        </w:rPr>
      </w:pPr>
      <w:r>
        <w:rPr>
          <w:rFonts w:hint="eastAsia"/>
          <w:szCs w:val="21"/>
        </w:rPr>
        <w:t>4.1.3  投标文件其它密封和标记要求详见投标人须知前附表。</w:t>
      </w:r>
    </w:p>
    <w:p>
      <w:pPr>
        <w:spacing w:line="400" w:lineRule="exact"/>
        <w:ind w:firstLine="420"/>
        <w:rPr>
          <w:szCs w:val="21"/>
        </w:rPr>
      </w:pPr>
      <w:r>
        <w:rPr>
          <w:rFonts w:hint="eastAsia"/>
          <w:szCs w:val="21"/>
        </w:rPr>
        <w:t>4.1.4  未按本章第4.1.1  项或第4.1.2  项或4.1.3项要求密封和加写标记的投标文件，招标人不予受理。</w:t>
      </w:r>
    </w:p>
    <w:p>
      <w:pPr>
        <w:pStyle w:val="58"/>
        <w:outlineLvl w:val="3"/>
      </w:pPr>
      <w:r>
        <w:rPr>
          <w:rFonts w:hint="eastAsia"/>
        </w:rPr>
        <w:t>4.2  投标文件的递交</w:t>
      </w:r>
    </w:p>
    <w:p>
      <w:pPr>
        <w:spacing w:line="400" w:lineRule="exact"/>
        <w:ind w:firstLine="420"/>
        <w:rPr>
          <w:szCs w:val="21"/>
        </w:rPr>
      </w:pPr>
      <w:r>
        <w:rPr>
          <w:rFonts w:hint="eastAsia"/>
          <w:szCs w:val="21"/>
        </w:rPr>
        <w:t>4.2.1  投标人应在本章第2.2.2项规定的投标截止时间前递交投标文件。</w:t>
      </w:r>
    </w:p>
    <w:p>
      <w:pPr>
        <w:spacing w:line="400" w:lineRule="exact"/>
        <w:ind w:firstLine="420"/>
        <w:rPr>
          <w:szCs w:val="21"/>
        </w:rPr>
      </w:pPr>
      <w:r>
        <w:rPr>
          <w:rFonts w:hint="eastAsia"/>
          <w:szCs w:val="21"/>
        </w:rPr>
        <w:t>4.2.2  投标人递交投标文件的地点：见投标人须知前附表。</w:t>
      </w:r>
    </w:p>
    <w:p>
      <w:pPr>
        <w:spacing w:line="400" w:lineRule="exact"/>
        <w:ind w:firstLine="420"/>
        <w:rPr>
          <w:szCs w:val="21"/>
        </w:rPr>
      </w:pPr>
      <w:r>
        <w:rPr>
          <w:rFonts w:hint="eastAsia"/>
          <w:szCs w:val="21"/>
        </w:rPr>
        <w:t>4.2.3  除投标人须知前附表另有规定外，投标人所递交的投标文件不予退还。</w:t>
      </w:r>
    </w:p>
    <w:p>
      <w:pPr>
        <w:spacing w:line="400" w:lineRule="exact"/>
        <w:ind w:firstLine="420"/>
        <w:rPr>
          <w:szCs w:val="21"/>
        </w:rPr>
      </w:pPr>
      <w:r>
        <w:rPr>
          <w:rFonts w:hint="eastAsia"/>
          <w:szCs w:val="21"/>
        </w:rPr>
        <w:t>4.2.4  逾期送达的或者未送达指定地点的投标文件，招标人不予受理。</w:t>
      </w:r>
    </w:p>
    <w:p>
      <w:pPr>
        <w:spacing w:line="400" w:lineRule="exact"/>
        <w:ind w:firstLine="420"/>
        <w:rPr>
          <w:szCs w:val="21"/>
        </w:rPr>
      </w:pPr>
      <w:r>
        <w:rPr>
          <w:rFonts w:hint="eastAsia"/>
          <w:szCs w:val="21"/>
        </w:rPr>
        <w:t>4.2.5  在特殊情况下，招标人如果决定延后投标截止时间，应在投标人须知前附表规定的时间前，以书面形式通知所有投标人延后投标截止时间。</w:t>
      </w:r>
    </w:p>
    <w:p>
      <w:pPr>
        <w:pStyle w:val="58"/>
        <w:outlineLvl w:val="3"/>
      </w:pPr>
      <w:r>
        <w:rPr>
          <w:rFonts w:hint="eastAsia"/>
        </w:rPr>
        <w:t>4.3 投标文件的修改与撤回</w:t>
      </w:r>
    </w:p>
    <w:p>
      <w:pPr>
        <w:spacing w:line="400" w:lineRule="exact"/>
        <w:ind w:firstLine="420"/>
        <w:rPr>
          <w:szCs w:val="21"/>
        </w:rPr>
      </w:pPr>
      <w:r>
        <w:rPr>
          <w:rFonts w:hint="eastAsia"/>
          <w:szCs w:val="21"/>
        </w:rPr>
        <w:t>4.3.1  在投标人须知前附表第2.2.2项规定的投标截止时间前，投标人可以修改或撤回已递交的投标文件，但应以书面形式通知招标人。</w:t>
      </w:r>
    </w:p>
    <w:p>
      <w:pPr>
        <w:spacing w:line="400" w:lineRule="exact"/>
        <w:ind w:firstLine="420"/>
        <w:rPr>
          <w:szCs w:val="21"/>
        </w:rPr>
      </w:pPr>
      <w:r>
        <w:rPr>
          <w:rFonts w:hint="eastAsia"/>
          <w:szCs w:val="21"/>
        </w:rPr>
        <w:t>4.3.2  投标人修改或撤回已递交投标文件的书面通知应按照本章第3.6.3项的要求签字或盖章。</w:t>
      </w:r>
    </w:p>
    <w:p>
      <w:pPr>
        <w:spacing w:line="400" w:lineRule="exact"/>
        <w:ind w:firstLine="420"/>
        <w:rPr>
          <w:szCs w:val="21"/>
        </w:rPr>
      </w:pPr>
      <w:r>
        <w:rPr>
          <w:rFonts w:hint="eastAsia"/>
          <w:szCs w:val="21"/>
        </w:rPr>
        <w:t>4.3.3  修改的内容为投标文件的组成部分。修改的投标文件应按照本章第3条、第4条规定进行编制、密封、标记和递交，并标明“修改”字样。</w:t>
      </w:r>
    </w:p>
    <w:p>
      <w:pPr>
        <w:pStyle w:val="60"/>
        <w:outlineLvl w:val="2"/>
      </w:pPr>
      <w:bookmarkStart w:id="17" w:name="_Toc21780677"/>
      <w:r>
        <w:rPr>
          <w:rFonts w:hint="eastAsia"/>
        </w:rPr>
        <w:t>5. 开标</w:t>
      </w:r>
      <w:bookmarkEnd w:id="17"/>
    </w:p>
    <w:p>
      <w:pPr>
        <w:pStyle w:val="58"/>
        <w:outlineLvl w:val="3"/>
      </w:pPr>
      <w:r>
        <w:rPr>
          <w:rFonts w:hint="eastAsia"/>
        </w:rPr>
        <w:t>5.1 开标时间和地点</w:t>
      </w:r>
    </w:p>
    <w:p>
      <w:pPr>
        <w:spacing w:line="400" w:lineRule="exact"/>
        <w:ind w:firstLine="420"/>
        <w:rPr>
          <w:szCs w:val="21"/>
        </w:rPr>
      </w:pPr>
      <w:r>
        <w:rPr>
          <w:rFonts w:hint="eastAsia"/>
          <w:szCs w:val="21"/>
        </w:rPr>
        <w:t>招标人在投标人须知前附表规定的投标截止时间（开标时间）和投标人须知前附表规定的地点公开开标，并邀请所有投标人的法定代表人或其委托代理人准时参加。</w:t>
      </w:r>
    </w:p>
    <w:p>
      <w:pPr>
        <w:pStyle w:val="58"/>
        <w:outlineLvl w:val="3"/>
      </w:pPr>
      <w:r>
        <w:rPr>
          <w:rFonts w:hint="eastAsia"/>
        </w:rPr>
        <w:t>5.2 开标程序</w:t>
      </w:r>
    </w:p>
    <w:p>
      <w:pPr>
        <w:spacing w:line="400" w:lineRule="exact"/>
        <w:ind w:firstLine="420"/>
        <w:rPr>
          <w:szCs w:val="21"/>
        </w:rPr>
      </w:pPr>
      <w:r>
        <w:rPr>
          <w:rFonts w:hint="eastAsia"/>
          <w:szCs w:val="21"/>
        </w:rPr>
        <w:t>5.2.1  主持人按下列程序进行开标：</w:t>
      </w:r>
    </w:p>
    <w:p>
      <w:pPr>
        <w:spacing w:line="400" w:lineRule="exact"/>
        <w:ind w:firstLine="420"/>
        <w:rPr>
          <w:szCs w:val="21"/>
        </w:rPr>
      </w:pPr>
      <w:r>
        <w:rPr>
          <w:rFonts w:hint="eastAsia"/>
          <w:szCs w:val="21"/>
        </w:rPr>
        <w:t>（1）宣布开标纪律；</w:t>
      </w:r>
    </w:p>
    <w:p>
      <w:pPr>
        <w:spacing w:line="400" w:lineRule="exact"/>
        <w:ind w:firstLine="420"/>
        <w:rPr>
          <w:szCs w:val="21"/>
        </w:rPr>
      </w:pPr>
      <w:r>
        <w:rPr>
          <w:rFonts w:hint="eastAsia"/>
          <w:szCs w:val="21"/>
        </w:rPr>
        <w:t>（2）公布在投标截止时间前递交投标文件的投标人名称，并点名确认投标人是否派人到场；</w:t>
      </w:r>
    </w:p>
    <w:p>
      <w:pPr>
        <w:spacing w:line="400" w:lineRule="exact"/>
        <w:ind w:firstLine="420"/>
        <w:rPr>
          <w:szCs w:val="21"/>
        </w:rPr>
      </w:pPr>
      <w:r>
        <w:rPr>
          <w:rFonts w:hint="eastAsia"/>
          <w:szCs w:val="21"/>
        </w:rPr>
        <w:t>（3）宣布开标人、唱标人、记录人、监标人等有关人员姓名；</w:t>
      </w:r>
    </w:p>
    <w:p>
      <w:pPr>
        <w:spacing w:line="400" w:lineRule="exact"/>
        <w:ind w:firstLine="420"/>
        <w:rPr>
          <w:szCs w:val="21"/>
        </w:rPr>
      </w:pPr>
      <w:r>
        <w:rPr>
          <w:rFonts w:hint="eastAsia"/>
          <w:szCs w:val="21"/>
        </w:rPr>
        <w:t>（4）由监标人对投标人提供的资料进行核对，记录在案，并由监标人及投标人代表签字确认；</w:t>
      </w:r>
    </w:p>
    <w:p>
      <w:pPr>
        <w:spacing w:line="400" w:lineRule="exact"/>
        <w:ind w:firstLine="420"/>
        <w:rPr>
          <w:szCs w:val="21"/>
        </w:rPr>
      </w:pPr>
      <w:r>
        <w:rPr>
          <w:rFonts w:hint="eastAsia"/>
          <w:szCs w:val="21"/>
        </w:rPr>
        <w:t>（5）由监标人及投标人代表对所有投标文件的密封情况进行核查，记录在案，并由监标人及投标人代表签字确认；</w:t>
      </w:r>
    </w:p>
    <w:p>
      <w:pPr>
        <w:spacing w:line="400" w:lineRule="exact"/>
        <w:ind w:firstLine="420"/>
        <w:rPr>
          <w:szCs w:val="21"/>
        </w:rPr>
      </w:pPr>
      <w:r>
        <w:rPr>
          <w:rFonts w:hint="eastAsia"/>
          <w:szCs w:val="21"/>
        </w:rPr>
        <w:t>（6）按照投标人须知前附表的规定确定并宣布投标文件开标顺序；</w:t>
      </w:r>
    </w:p>
    <w:p>
      <w:pPr>
        <w:spacing w:line="400" w:lineRule="exact"/>
        <w:ind w:firstLine="420"/>
        <w:rPr>
          <w:szCs w:val="21"/>
        </w:rPr>
      </w:pPr>
      <w:r>
        <w:rPr>
          <w:rFonts w:hint="eastAsia"/>
          <w:szCs w:val="21"/>
        </w:rPr>
        <w:t>（7）按照宣布的开标顺序当众开标，公布投标人名称、标段名称、投标保证金的递交情况、投标报价及其他内容，并记录在案；</w:t>
      </w:r>
    </w:p>
    <w:p>
      <w:pPr>
        <w:spacing w:line="400" w:lineRule="exact"/>
        <w:ind w:firstLine="420"/>
        <w:rPr>
          <w:szCs w:val="21"/>
        </w:rPr>
      </w:pPr>
      <w:r>
        <w:rPr>
          <w:rFonts w:hint="eastAsia"/>
          <w:szCs w:val="21"/>
        </w:rPr>
        <w:t>（8）投标人代表、招标人代表、监标人、记录人等有关人员在开标记录上签字确认；</w:t>
      </w:r>
    </w:p>
    <w:p>
      <w:pPr>
        <w:spacing w:line="400" w:lineRule="exact"/>
        <w:ind w:firstLine="420"/>
        <w:rPr>
          <w:szCs w:val="21"/>
        </w:rPr>
      </w:pPr>
      <w:r>
        <w:rPr>
          <w:rFonts w:hint="eastAsia"/>
          <w:szCs w:val="21"/>
        </w:rPr>
        <w:t>（9）开标结束。</w:t>
      </w:r>
    </w:p>
    <w:p>
      <w:pPr>
        <w:spacing w:line="400" w:lineRule="exact"/>
        <w:ind w:firstLine="420"/>
        <w:rPr>
          <w:szCs w:val="21"/>
        </w:rPr>
      </w:pPr>
      <w:r>
        <w:rPr>
          <w:rFonts w:hint="eastAsia"/>
          <w:szCs w:val="21"/>
        </w:rPr>
        <w:t>5.2.2  若开标时宣读的内容与投标文件不符时，投标人有权在开标现场提出异议，经监标人当场核查确认后，可重新宣读其投标文件。若投标人现场未提出异议，则认为投标人已确认开标时宣读的内容。</w:t>
      </w:r>
    </w:p>
    <w:p>
      <w:pPr>
        <w:pStyle w:val="60"/>
        <w:outlineLvl w:val="2"/>
      </w:pPr>
      <w:bookmarkStart w:id="18" w:name="_Toc21780678"/>
      <w:r>
        <w:rPr>
          <w:rFonts w:hint="eastAsia"/>
        </w:rPr>
        <w:t>6. 评标</w:t>
      </w:r>
      <w:bookmarkEnd w:id="18"/>
    </w:p>
    <w:p>
      <w:pPr>
        <w:pStyle w:val="58"/>
        <w:outlineLvl w:val="3"/>
      </w:pPr>
      <w:r>
        <w:rPr>
          <w:rFonts w:hint="eastAsia"/>
        </w:rPr>
        <w:t>6.1  评标委员会</w:t>
      </w:r>
    </w:p>
    <w:p>
      <w:pPr>
        <w:spacing w:line="400" w:lineRule="exact"/>
        <w:ind w:firstLine="420"/>
        <w:rPr>
          <w:szCs w:val="21"/>
        </w:rPr>
      </w:pPr>
      <w:r>
        <w:rPr>
          <w:rFonts w:hint="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rPr>
          <w:szCs w:val="21"/>
        </w:rPr>
      </w:pPr>
      <w:r>
        <w:rPr>
          <w:rFonts w:hint="eastAsia"/>
          <w:szCs w:val="21"/>
        </w:rPr>
        <w:t>6.1.2  评标委员会成员有下列情形之一的，应当回避：</w:t>
      </w:r>
    </w:p>
    <w:p>
      <w:pPr>
        <w:spacing w:line="400" w:lineRule="exact"/>
        <w:ind w:firstLine="420"/>
        <w:rPr>
          <w:szCs w:val="21"/>
        </w:rPr>
      </w:pPr>
      <w:r>
        <w:rPr>
          <w:rFonts w:hint="eastAsia"/>
          <w:szCs w:val="21"/>
        </w:rPr>
        <w:t>（1）招标人或投标人的主要负责人的近亲属；</w:t>
      </w:r>
    </w:p>
    <w:p>
      <w:pPr>
        <w:spacing w:line="400" w:lineRule="exact"/>
        <w:ind w:firstLine="420"/>
        <w:rPr>
          <w:szCs w:val="21"/>
        </w:rPr>
      </w:pPr>
      <w:r>
        <w:rPr>
          <w:rFonts w:hint="eastAsia"/>
          <w:szCs w:val="21"/>
        </w:rPr>
        <w:t>（2）项目主管部门或者行政监督部门的人员；</w:t>
      </w:r>
    </w:p>
    <w:p>
      <w:pPr>
        <w:spacing w:line="400" w:lineRule="exact"/>
        <w:ind w:firstLine="420"/>
        <w:rPr>
          <w:szCs w:val="21"/>
        </w:rPr>
      </w:pPr>
      <w:r>
        <w:rPr>
          <w:rFonts w:hint="eastAsia"/>
          <w:szCs w:val="21"/>
        </w:rPr>
        <w:t>（3）与投标人有经济利益关系，可能影响对投标公正评审的；</w:t>
      </w:r>
    </w:p>
    <w:p>
      <w:pPr>
        <w:spacing w:line="400" w:lineRule="exact"/>
        <w:ind w:firstLine="420"/>
        <w:rPr>
          <w:szCs w:val="21"/>
        </w:rPr>
      </w:pPr>
      <w:r>
        <w:rPr>
          <w:rFonts w:hint="eastAsia"/>
          <w:szCs w:val="21"/>
        </w:rPr>
        <w:t>（4）曾因在招标、评标以及其他与招标投标有关活动中从事违法行为而受过行政处罚或刑事处罚的。</w:t>
      </w:r>
    </w:p>
    <w:p>
      <w:pPr>
        <w:pStyle w:val="58"/>
        <w:outlineLvl w:val="3"/>
      </w:pPr>
      <w:r>
        <w:rPr>
          <w:rFonts w:hint="eastAsia"/>
        </w:rPr>
        <w:t>6.2  评标原则</w:t>
      </w:r>
    </w:p>
    <w:p>
      <w:pPr>
        <w:spacing w:line="400" w:lineRule="exact"/>
        <w:ind w:firstLine="420"/>
        <w:rPr>
          <w:szCs w:val="21"/>
        </w:rPr>
      </w:pPr>
      <w:r>
        <w:rPr>
          <w:rFonts w:hint="eastAsia"/>
          <w:szCs w:val="21"/>
        </w:rPr>
        <w:t>评标活动遵循公平、公正、科学和择优的原则。</w:t>
      </w:r>
    </w:p>
    <w:p>
      <w:pPr>
        <w:pStyle w:val="58"/>
        <w:outlineLvl w:val="3"/>
      </w:pPr>
      <w:r>
        <w:rPr>
          <w:rFonts w:hint="eastAsia"/>
        </w:rPr>
        <w:t>6.3  评标</w:t>
      </w:r>
    </w:p>
    <w:p>
      <w:pPr>
        <w:spacing w:line="400" w:lineRule="exact"/>
        <w:ind w:firstLine="420"/>
        <w:rPr>
          <w:szCs w:val="21"/>
        </w:rPr>
      </w:pPr>
      <w:r>
        <w:rPr>
          <w:rFonts w:hint="eastAsia"/>
          <w:szCs w:val="21"/>
        </w:rPr>
        <w:t>评标委员会按照第三章规定的方法、评审因素、标准和程序对投标文件进行评审。第三章没有规定的方法、评审因素和标准，不作为评标依据。</w:t>
      </w:r>
    </w:p>
    <w:p>
      <w:pPr>
        <w:pStyle w:val="60"/>
        <w:outlineLvl w:val="2"/>
      </w:pPr>
      <w:bookmarkStart w:id="19" w:name="_Toc21780679"/>
      <w:r>
        <w:rPr>
          <w:rFonts w:hint="eastAsia"/>
        </w:rPr>
        <w:t>7. 合同授予</w:t>
      </w:r>
      <w:bookmarkEnd w:id="19"/>
    </w:p>
    <w:p>
      <w:pPr>
        <w:pStyle w:val="58"/>
        <w:outlineLvl w:val="3"/>
      </w:pPr>
      <w:r>
        <w:rPr>
          <w:rFonts w:hint="eastAsia"/>
        </w:rPr>
        <w:t>7.1 定标方式</w:t>
      </w:r>
    </w:p>
    <w:p>
      <w:pPr>
        <w:spacing w:line="400" w:lineRule="exact"/>
        <w:ind w:firstLine="420"/>
        <w:rPr>
          <w:szCs w:val="21"/>
        </w:rPr>
      </w:pPr>
      <w:r>
        <w:rPr>
          <w:rFonts w:hint="eastAsia"/>
          <w:szCs w:val="21"/>
        </w:rPr>
        <w:t>7.1.1  除投标人须知前附表规定评标委员会直接确定中标人外，招标人依据评标委员会推荐的中标候选人确定中标人，评标委员会推荐中标候选人的人数见投标人须知前附表。</w:t>
      </w:r>
    </w:p>
    <w:p>
      <w:pPr>
        <w:spacing w:line="400" w:lineRule="exact"/>
        <w:ind w:firstLine="420"/>
        <w:rPr>
          <w:szCs w:val="21"/>
        </w:rPr>
      </w:pPr>
      <w:r>
        <w:rPr>
          <w:rFonts w:hint="eastAsia"/>
          <w:szCs w:val="21"/>
        </w:rPr>
        <w:t>7.1.2  招标人应当接受评标委员会推荐的中标候选人，不得在评标委员会推荐的中标候选人之外确定中标人。</w:t>
      </w:r>
    </w:p>
    <w:p>
      <w:pPr>
        <w:spacing w:line="400" w:lineRule="exact"/>
        <w:ind w:firstLine="420"/>
        <w:rPr>
          <w:szCs w:val="21"/>
        </w:rPr>
      </w:pPr>
      <w:r>
        <w:rPr>
          <w:rFonts w:hint="eastAsia"/>
          <w:szCs w:val="21"/>
        </w:rPr>
        <w:t>招标人根据评标委员会提出的书面报告和推荐的有排序的中标候选人情况，确定排名第一的中标候选人为中标人。</w:t>
      </w:r>
    </w:p>
    <w:p>
      <w:pPr>
        <w:spacing w:line="400" w:lineRule="exact"/>
        <w:ind w:firstLine="420"/>
        <w:rPr>
          <w:szCs w:val="21"/>
        </w:rPr>
      </w:pPr>
      <w:r>
        <w:rPr>
          <w:rFonts w:hint="eastAsia"/>
          <w:szCs w:val="21"/>
        </w:rPr>
        <w:t>如果排名第一的中标候选人放弃中标、因不可抗力提出不能履行合同或者招标文件规定应当提交履约担保而在规定期限未能提交的，招标人将依法确定排名第二的中标候选人为中标人，依此类推，当所有中标候选人因上述原因不能签订合同的，招标人将依法重新招标。</w:t>
      </w:r>
    </w:p>
    <w:p>
      <w:pPr>
        <w:spacing w:line="400" w:lineRule="exact"/>
        <w:ind w:firstLine="420"/>
        <w:rPr>
          <w:szCs w:val="21"/>
        </w:rPr>
      </w:pPr>
      <w:r>
        <w:rPr>
          <w:rFonts w:hint="eastAsia"/>
          <w:szCs w:val="21"/>
        </w:rPr>
        <w:t>7.1.3  招标人原则上应在评标委员会提出书面报告后的15日内确定中标人。</w:t>
      </w:r>
    </w:p>
    <w:p>
      <w:pPr>
        <w:pStyle w:val="58"/>
        <w:outlineLvl w:val="3"/>
      </w:pPr>
      <w:r>
        <w:rPr>
          <w:rFonts w:hint="eastAsia"/>
        </w:rPr>
        <w:t>7.2 中标公示</w:t>
      </w:r>
    </w:p>
    <w:p>
      <w:pPr>
        <w:spacing w:line="400" w:lineRule="exact"/>
        <w:ind w:firstLine="420"/>
        <w:rPr>
          <w:szCs w:val="21"/>
        </w:rPr>
      </w:pPr>
      <w:r>
        <w:rPr>
          <w:rFonts w:hint="eastAsia"/>
          <w:szCs w:val="21"/>
        </w:rPr>
        <w:t>招标人自确定中标人之日起发布中标公示，公示期为3个日历日。</w:t>
      </w:r>
    </w:p>
    <w:p>
      <w:pPr>
        <w:pStyle w:val="58"/>
        <w:outlineLvl w:val="3"/>
      </w:pPr>
      <w:r>
        <w:rPr>
          <w:rFonts w:hint="eastAsia"/>
        </w:rPr>
        <w:t>7.3 中标通知</w:t>
      </w:r>
    </w:p>
    <w:p>
      <w:pPr>
        <w:spacing w:line="400" w:lineRule="exact"/>
        <w:ind w:firstLine="420"/>
        <w:rPr>
          <w:szCs w:val="21"/>
        </w:rPr>
      </w:pPr>
      <w:r>
        <w:rPr>
          <w:rFonts w:hint="eastAsia"/>
          <w:szCs w:val="21"/>
        </w:rPr>
        <w:t>中标公示期满后，无投标人或其他利害关系人投诉，监督部门没有发现招投标活动中存在违法违规行为的，招标人将在本章第3.3款规定的投标有效期内，以书面形式向中标人发出中标通知书，同时将中标结果通知未中标的投标人。</w:t>
      </w:r>
    </w:p>
    <w:p>
      <w:pPr>
        <w:spacing w:line="400" w:lineRule="exact"/>
        <w:outlineLvl w:val="3"/>
        <w:rPr>
          <w:sz w:val="24"/>
        </w:rPr>
      </w:pPr>
      <w:r>
        <w:rPr>
          <w:rStyle w:val="70"/>
          <w:rFonts w:hint="eastAsia"/>
        </w:rPr>
        <w:t>7.4签订合同</w:t>
      </w:r>
    </w:p>
    <w:p>
      <w:pPr>
        <w:spacing w:line="400" w:lineRule="exact"/>
        <w:ind w:firstLine="420"/>
        <w:rPr>
          <w:szCs w:val="21"/>
        </w:rPr>
      </w:pPr>
      <w:r>
        <w:rPr>
          <w:rFonts w:hint="eastAsia"/>
          <w:szCs w:val="21"/>
        </w:rPr>
        <w:t>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00" w:lineRule="exact"/>
        <w:ind w:firstLine="420"/>
        <w:rPr>
          <w:szCs w:val="21"/>
        </w:rPr>
      </w:pPr>
      <w:r>
        <w:rPr>
          <w:rFonts w:hint="eastAsia"/>
          <w:szCs w:val="21"/>
        </w:rPr>
        <w:t>7.4.2  发出中标通知书后，招标人无正当理由拒签合同的，招标人向中标人退还投标保证金；给中标人造成损失的，还应当赔偿损失。</w:t>
      </w:r>
    </w:p>
    <w:p>
      <w:pPr>
        <w:pStyle w:val="60"/>
        <w:outlineLvl w:val="2"/>
      </w:pPr>
      <w:bookmarkStart w:id="20" w:name="_Toc21780680"/>
      <w:r>
        <w:rPr>
          <w:rFonts w:hint="eastAsia"/>
        </w:rPr>
        <w:t>8. 重新招标和不再招标</w:t>
      </w:r>
      <w:bookmarkEnd w:id="20"/>
    </w:p>
    <w:p>
      <w:pPr>
        <w:pStyle w:val="58"/>
        <w:outlineLvl w:val="3"/>
      </w:pPr>
      <w:r>
        <w:rPr>
          <w:rFonts w:hint="eastAsia"/>
        </w:rPr>
        <w:t>8.1 重新招标</w:t>
      </w:r>
    </w:p>
    <w:p>
      <w:pPr>
        <w:spacing w:line="400" w:lineRule="exact"/>
        <w:ind w:firstLine="420"/>
        <w:rPr>
          <w:szCs w:val="21"/>
        </w:rPr>
      </w:pPr>
      <w:r>
        <w:rPr>
          <w:rFonts w:hint="eastAsia"/>
          <w:szCs w:val="21"/>
        </w:rPr>
        <w:t>某一标段有下列情形之一的，招标人将重新招标：</w:t>
      </w:r>
    </w:p>
    <w:p>
      <w:pPr>
        <w:spacing w:line="400" w:lineRule="exact"/>
        <w:ind w:firstLine="420"/>
        <w:rPr>
          <w:szCs w:val="21"/>
        </w:rPr>
      </w:pPr>
      <w:r>
        <w:rPr>
          <w:rFonts w:hint="eastAsia"/>
          <w:szCs w:val="21"/>
        </w:rPr>
        <w:t>（1）投标截止时间止，投标人少于3个的；</w:t>
      </w:r>
    </w:p>
    <w:p>
      <w:pPr>
        <w:spacing w:line="400" w:lineRule="exact"/>
        <w:ind w:firstLine="420"/>
        <w:rPr>
          <w:szCs w:val="21"/>
        </w:rPr>
      </w:pPr>
      <w:r>
        <w:rPr>
          <w:rFonts w:hint="eastAsia"/>
          <w:szCs w:val="21"/>
        </w:rPr>
        <w:t>（2）经评标委员会评审后否决所有投标的；</w:t>
      </w:r>
    </w:p>
    <w:p>
      <w:pPr>
        <w:spacing w:line="400" w:lineRule="exact"/>
        <w:ind w:firstLine="420"/>
        <w:rPr>
          <w:szCs w:val="21"/>
        </w:rPr>
      </w:pPr>
      <w:r>
        <w:rPr>
          <w:rFonts w:hint="eastAsia"/>
          <w:szCs w:val="21"/>
        </w:rPr>
        <w:t>（3）中标候选人均未与招标人签订合同的；</w:t>
      </w:r>
    </w:p>
    <w:p>
      <w:pPr>
        <w:spacing w:line="400" w:lineRule="exact"/>
        <w:ind w:firstLine="420"/>
        <w:rPr>
          <w:szCs w:val="21"/>
        </w:rPr>
      </w:pPr>
      <w:r>
        <w:rPr>
          <w:rFonts w:hint="eastAsia"/>
          <w:szCs w:val="21"/>
        </w:rPr>
        <w:t>（4）符合《中华人民共和国招标投标法》第五章“法律责任”第50条、52条、53条、54 条、55条、57条中规定情形，导致中标无效，并且应当重新招标的。</w:t>
      </w:r>
    </w:p>
    <w:p>
      <w:pPr>
        <w:pStyle w:val="58"/>
        <w:outlineLvl w:val="3"/>
      </w:pPr>
      <w:r>
        <w:rPr>
          <w:rFonts w:hint="eastAsia"/>
        </w:rPr>
        <w:t>8.2 不再招标</w:t>
      </w:r>
    </w:p>
    <w:p>
      <w:pPr>
        <w:spacing w:line="400" w:lineRule="exact"/>
        <w:ind w:firstLine="420"/>
        <w:rPr>
          <w:szCs w:val="21"/>
        </w:rPr>
      </w:pPr>
      <w:r>
        <w:rPr>
          <w:rFonts w:hint="eastAsia"/>
          <w:szCs w:val="21"/>
        </w:rPr>
        <w:t>重新招标后某一标段投标人仍少于3个或者所有投标被否决的，招标人将采用其他方式继续进行本项目招商。</w:t>
      </w:r>
    </w:p>
    <w:p>
      <w:pPr>
        <w:pStyle w:val="60"/>
        <w:outlineLvl w:val="2"/>
      </w:pPr>
      <w:bookmarkStart w:id="21" w:name="_Toc21780681"/>
      <w:r>
        <w:rPr>
          <w:rFonts w:hint="eastAsia"/>
        </w:rPr>
        <w:t>9. 纪律和监督</w:t>
      </w:r>
      <w:bookmarkEnd w:id="21"/>
    </w:p>
    <w:p>
      <w:pPr>
        <w:pStyle w:val="58"/>
        <w:outlineLvl w:val="3"/>
      </w:pPr>
      <w:r>
        <w:rPr>
          <w:rFonts w:hint="eastAsia"/>
        </w:rPr>
        <w:t>9.1 对招标人的纪律要求</w:t>
      </w:r>
    </w:p>
    <w:p>
      <w:pPr>
        <w:spacing w:line="400" w:lineRule="exact"/>
        <w:ind w:firstLine="420"/>
        <w:rPr>
          <w:szCs w:val="21"/>
        </w:rPr>
      </w:pPr>
      <w:r>
        <w:rPr>
          <w:rFonts w:hint="eastAsia"/>
          <w:szCs w:val="21"/>
        </w:rPr>
        <w:t>招标人不得泄漏招标投标活动中应当保密的情况和资料，不得与投标人串通损害国家利益、社会公共利益或者他人合法权益。</w:t>
      </w:r>
    </w:p>
    <w:p>
      <w:pPr>
        <w:pStyle w:val="58"/>
        <w:outlineLvl w:val="3"/>
      </w:pPr>
      <w:r>
        <w:rPr>
          <w:rFonts w:hint="eastAsia"/>
        </w:rPr>
        <w:t>9.2 对投标人的纪律要求</w:t>
      </w:r>
    </w:p>
    <w:p>
      <w:pPr>
        <w:spacing w:line="400" w:lineRule="exact"/>
        <w:ind w:firstLine="420"/>
        <w:rPr>
          <w:szCs w:val="21"/>
        </w:rPr>
      </w:pPr>
      <w:r>
        <w:rPr>
          <w:rFonts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8"/>
        <w:outlineLvl w:val="3"/>
      </w:pPr>
      <w:r>
        <w:rPr>
          <w:rFonts w:hint="eastAsia"/>
        </w:rPr>
        <w:t>9.3 对评标委员会成员的纪律要求</w:t>
      </w:r>
    </w:p>
    <w:p>
      <w:pPr>
        <w:spacing w:line="400" w:lineRule="exact"/>
        <w:ind w:firstLine="420"/>
        <w:rPr>
          <w:szCs w:val="21"/>
        </w:rPr>
      </w:pPr>
      <w:r>
        <w:rPr>
          <w:rFonts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8"/>
        <w:outlineLvl w:val="3"/>
      </w:pPr>
      <w:r>
        <w:rPr>
          <w:rFonts w:hint="eastAsia"/>
        </w:rPr>
        <w:t>9.4 对与评标活动有关的工作人员的纪律要求</w:t>
      </w:r>
    </w:p>
    <w:p>
      <w:pPr>
        <w:spacing w:line="400" w:lineRule="exact"/>
        <w:ind w:firstLine="420"/>
        <w:rPr>
          <w:szCs w:val="21"/>
        </w:rPr>
      </w:pPr>
      <w:r>
        <w:rPr>
          <w:rFonts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8"/>
        <w:outlineLvl w:val="3"/>
      </w:pPr>
      <w:r>
        <w:rPr>
          <w:rFonts w:hint="eastAsia"/>
        </w:rPr>
        <w:t>9.5 异议</w:t>
      </w:r>
    </w:p>
    <w:p>
      <w:pPr>
        <w:spacing w:line="400" w:lineRule="exact"/>
        <w:ind w:firstLine="420"/>
        <w:rPr>
          <w:szCs w:val="21"/>
        </w:rPr>
      </w:pPr>
      <w:r>
        <w:rPr>
          <w:rFonts w:hint="eastAsia"/>
          <w:szCs w:val="21"/>
        </w:rPr>
        <w:t>异议人异议时，应当提交异议书和相关证明材料。异议书必须由异议人的单位负责人或者投标时的授权代表签字并盖章后，现场提交至招标代理机构联系人处，提交时应出示有效身份证明。未按上述要求提交异议书的，异议不予受理。</w:t>
      </w:r>
    </w:p>
    <w:p>
      <w:pPr>
        <w:spacing w:line="400" w:lineRule="exact"/>
        <w:ind w:firstLine="420"/>
        <w:rPr>
          <w:szCs w:val="21"/>
        </w:rPr>
      </w:pPr>
      <w:r>
        <w:rPr>
          <w:rFonts w:hint="eastAsia"/>
          <w:szCs w:val="21"/>
        </w:rPr>
        <w:t>我公司将在一定范围内公开异议人的名称、异议事项、异议处理结果，供有关招标人、行政监督部门、行业协会查询。</w:t>
      </w:r>
    </w:p>
    <w:p>
      <w:pPr>
        <w:pStyle w:val="60"/>
        <w:outlineLvl w:val="2"/>
      </w:pPr>
      <w:bookmarkStart w:id="22" w:name="_Toc21780682"/>
      <w:r>
        <w:rPr>
          <w:rFonts w:hint="eastAsia"/>
        </w:rPr>
        <w:t>10. 需要补充的其他内容</w:t>
      </w:r>
      <w:bookmarkEnd w:id="22"/>
    </w:p>
    <w:p>
      <w:pPr>
        <w:ind w:firstLine="420" w:firstLineChars="200"/>
        <w:rPr>
          <w:szCs w:val="21"/>
        </w:rPr>
      </w:pPr>
      <w:r>
        <w:rPr>
          <w:rFonts w:hint="eastAsia"/>
          <w:szCs w:val="21"/>
        </w:rPr>
        <w:t>详见投标人须知前附表。</w:t>
      </w:r>
    </w:p>
    <w:p>
      <w:pPr>
        <w:ind w:firstLine="420" w:firstLineChars="200"/>
        <w:rPr>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56"/>
        <w:outlineLvl w:val="1"/>
      </w:pPr>
      <w:bookmarkStart w:id="23" w:name="_Toc286357739"/>
      <w:bookmarkStart w:id="24" w:name="_Toc21780683"/>
      <w:bookmarkStart w:id="25" w:name="_Toc286357750"/>
      <w:r>
        <w:rPr>
          <w:rFonts w:hint="eastAsia"/>
        </w:rPr>
        <w:t>第三章</w:t>
      </w:r>
      <w:bookmarkEnd w:id="23"/>
      <w:r>
        <w:rPr>
          <w:rFonts w:hint="eastAsia"/>
        </w:rPr>
        <w:t>评标标准和方法</w:t>
      </w:r>
      <w:bookmarkEnd w:id="24"/>
    </w:p>
    <w:p>
      <w:pPr>
        <w:pStyle w:val="71"/>
        <w:jc w:val="center"/>
      </w:pPr>
      <w:bookmarkStart w:id="26" w:name="_Toc21780684"/>
      <w:r>
        <w:t>评标办法前附表</w:t>
      </w:r>
      <w:bookmarkEnd w:id="26"/>
    </w:p>
    <w:tbl>
      <w:tblPr>
        <w:tblStyle w:val="33"/>
        <w:tblW w:w="91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77"/>
        <w:gridCol w:w="851"/>
        <w:gridCol w:w="709"/>
        <w:gridCol w:w="1417"/>
        <w:gridCol w:w="1701"/>
        <w:gridCol w:w="195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jc w:val="center"/>
              <w:rPr>
                <w:sz w:val="21"/>
                <w:szCs w:val="21"/>
              </w:rPr>
            </w:pPr>
            <w:bookmarkStart w:id="27" w:name="_Toc303840942"/>
            <w:bookmarkStart w:id="28" w:name="_Toc464138326"/>
            <w:bookmarkStart w:id="29" w:name="_Toc426621013"/>
            <w:bookmarkStart w:id="30" w:name="_Toc384825035"/>
            <w:r>
              <w:rPr>
                <w:rFonts w:hint="eastAsia" w:ascii="宋体" w:cs="宋体"/>
                <w:kern w:val="0"/>
                <w:sz w:val="21"/>
                <w:szCs w:val="21"/>
              </w:rPr>
              <w:t>条款号</w:t>
            </w:r>
          </w:p>
        </w:tc>
        <w:tc>
          <w:tcPr>
            <w:tcW w:w="2126" w:type="dxa"/>
            <w:gridSpan w:val="2"/>
            <w:vAlign w:val="center"/>
          </w:tcPr>
          <w:p>
            <w:pPr>
              <w:jc w:val="center"/>
              <w:rPr>
                <w:sz w:val="21"/>
                <w:szCs w:val="21"/>
              </w:rPr>
            </w:pPr>
            <w:r>
              <w:rPr>
                <w:rFonts w:hint="eastAsia" w:ascii="宋体" w:cs="宋体"/>
                <w:kern w:val="0"/>
                <w:sz w:val="21"/>
                <w:szCs w:val="21"/>
              </w:rPr>
              <w:t>评审因素</w:t>
            </w:r>
          </w:p>
        </w:tc>
        <w:tc>
          <w:tcPr>
            <w:tcW w:w="5103" w:type="dxa"/>
            <w:gridSpan w:val="3"/>
            <w:vAlign w:val="center"/>
          </w:tcPr>
          <w:p>
            <w:pPr>
              <w:jc w:val="center"/>
              <w:rPr>
                <w:sz w:val="21"/>
                <w:szCs w:val="21"/>
              </w:rPr>
            </w:pPr>
            <w:r>
              <w:rPr>
                <w:rFonts w:hint="eastAsia" w:ascii="宋体" w:cs="宋体"/>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21"/>
                <w:szCs w:val="21"/>
              </w:rPr>
            </w:pPr>
            <w:r>
              <w:rPr>
                <w:rFonts w:hint="eastAsia"/>
                <w:sz w:val="21"/>
                <w:szCs w:val="21"/>
              </w:rPr>
              <w:t>2.1.1</w:t>
            </w:r>
          </w:p>
        </w:tc>
        <w:tc>
          <w:tcPr>
            <w:tcW w:w="1228" w:type="dxa"/>
            <w:gridSpan w:val="2"/>
            <w:vMerge w:val="restart"/>
            <w:vAlign w:val="center"/>
          </w:tcPr>
          <w:p>
            <w:pPr>
              <w:rPr>
                <w:rFonts w:ascii="宋体" w:cs="宋体"/>
                <w:kern w:val="0"/>
                <w:sz w:val="21"/>
                <w:szCs w:val="21"/>
              </w:rPr>
            </w:pPr>
            <w:r>
              <w:rPr>
                <w:rFonts w:hint="eastAsia" w:ascii="宋体" w:cs="宋体"/>
                <w:kern w:val="0"/>
                <w:sz w:val="21"/>
                <w:szCs w:val="21"/>
              </w:rPr>
              <w:t>形式</w:t>
            </w:r>
          </w:p>
          <w:p>
            <w:pPr>
              <w:rPr>
                <w:rFonts w:ascii="宋体" w:cs="宋体"/>
                <w:kern w:val="0"/>
                <w:sz w:val="21"/>
                <w:szCs w:val="21"/>
              </w:rPr>
            </w:pPr>
            <w:r>
              <w:rPr>
                <w:rFonts w:hint="eastAsia" w:ascii="宋体" w:cs="宋体"/>
                <w:kern w:val="0"/>
                <w:sz w:val="21"/>
                <w:szCs w:val="21"/>
              </w:rPr>
              <w:t>评审</w:t>
            </w:r>
          </w:p>
          <w:p>
            <w:pPr>
              <w:rPr>
                <w:sz w:val="21"/>
                <w:szCs w:val="21"/>
              </w:rPr>
            </w:pPr>
            <w:r>
              <w:rPr>
                <w:rFonts w:hint="eastAsia" w:ascii="宋体" w:cs="宋体"/>
                <w:kern w:val="0"/>
                <w:sz w:val="21"/>
                <w:szCs w:val="21"/>
              </w:rPr>
              <w:t>标准</w:t>
            </w:r>
          </w:p>
        </w:tc>
        <w:tc>
          <w:tcPr>
            <w:tcW w:w="2126" w:type="dxa"/>
            <w:gridSpan w:val="2"/>
            <w:vAlign w:val="center"/>
          </w:tcPr>
          <w:p>
            <w:pPr>
              <w:jc w:val="center"/>
              <w:rPr>
                <w:sz w:val="21"/>
                <w:szCs w:val="21"/>
              </w:rPr>
            </w:pPr>
            <w:r>
              <w:rPr>
                <w:rFonts w:hint="eastAsia"/>
                <w:sz w:val="21"/>
                <w:szCs w:val="21"/>
              </w:rPr>
              <w:t>投标文件的组成、装订、数量、密封和标记</w:t>
            </w:r>
          </w:p>
        </w:tc>
        <w:tc>
          <w:tcPr>
            <w:tcW w:w="5103" w:type="dxa"/>
            <w:gridSpan w:val="3"/>
          </w:tcPr>
          <w:p>
            <w:pPr>
              <w:rPr>
                <w:sz w:val="21"/>
                <w:szCs w:val="21"/>
              </w:rPr>
            </w:pPr>
            <w:r>
              <w:rPr>
                <w:rFonts w:hint="eastAsia"/>
                <w:sz w:val="21"/>
                <w:szCs w:val="21"/>
              </w:rPr>
              <w:t>符合第二章“投标人须知”规定要求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投标人名称</w:t>
            </w:r>
          </w:p>
        </w:tc>
        <w:tc>
          <w:tcPr>
            <w:tcW w:w="5103" w:type="dxa"/>
            <w:gridSpan w:val="3"/>
          </w:tcPr>
          <w:p>
            <w:pPr>
              <w:rPr>
                <w:sz w:val="21"/>
                <w:szCs w:val="21"/>
              </w:rPr>
            </w:pPr>
            <w:r>
              <w:rPr>
                <w:rFonts w:hint="eastAsia"/>
                <w:sz w:val="21"/>
                <w:szCs w:val="21"/>
              </w:rPr>
              <w:t>与营业执照一致，与通过报名的单位名称一致（若不一致应提供相关部门的合法批件）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投标文件的签署及盖章</w:t>
            </w:r>
          </w:p>
        </w:tc>
        <w:tc>
          <w:tcPr>
            <w:tcW w:w="5103" w:type="dxa"/>
            <w:gridSpan w:val="3"/>
          </w:tcPr>
          <w:p>
            <w:pPr>
              <w:rPr>
                <w:sz w:val="21"/>
                <w:szCs w:val="21"/>
              </w:rPr>
            </w:pPr>
            <w:r>
              <w:rPr>
                <w:rFonts w:hint="eastAsia"/>
                <w:sz w:val="21"/>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投标文件格式</w:t>
            </w:r>
          </w:p>
        </w:tc>
        <w:tc>
          <w:tcPr>
            <w:tcW w:w="5103" w:type="dxa"/>
            <w:gridSpan w:val="3"/>
          </w:tcPr>
          <w:p>
            <w:pPr>
              <w:rPr>
                <w:sz w:val="21"/>
                <w:szCs w:val="21"/>
              </w:rPr>
            </w:pPr>
            <w:r>
              <w:rPr>
                <w:rFonts w:hint="eastAsia"/>
                <w:sz w:val="21"/>
                <w:szCs w:val="21"/>
              </w:rPr>
              <w:t>符合第六章“投标文件格式”的要求，按招标文件规定格式填报了所有数据，字迹清晰可辨，并符合招标文件其他规定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授权委托书</w:t>
            </w:r>
          </w:p>
        </w:tc>
        <w:tc>
          <w:tcPr>
            <w:tcW w:w="5103" w:type="dxa"/>
            <w:gridSpan w:val="3"/>
          </w:tcPr>
          <w:p>
            <w:pPr>
              <w:rPr>
                <w:sz w:val="21"/>
                <w:szCs w:val="21"/>
              </w:rPr>
            </w:pPr>
            <w:r>
              <w:rPr>
                <w:rFonts w:hint="eastAsia"/>
                <w:sz w:val="21"/>
                <w:szCs w:val="21"/>
              </w:rPr>
              <w:t>投标文件由授权委托人签署的，应按照招标文件的格式出具授权委托书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tcPr>
          <w:p>
            <w:pPr>
              <w:jc w:val="center"/>
              <w:rPr>
                <w:sz w:val="21"/>
                <w:szCs w:val="21"/>
              </w:rPr>
            </w:pPr>
            <w:r>
              <w:rPr>
                <w:rFonts w:hint="eastAsia"/>
                <w:sz w:val="21"/>
                <w:szCs w:val="21"/>
              </w:rPr>
              <w:t>报价唯一</w:t>
            </w:r>
          </w:p>
        </w:tc>
        <w:tc>
          <w:tcPr>
            <w:tcW w:w="5103" w:type="dxa"/>
            <w:gridSpan w:val="3"/>
          </w:tcPr>
          <w:p>
            <w:pPr>
              <w:rPr>
                <w:sz w:val="21"/>
                <w:szCs w:val="21"/>
              </w:rPr>
            </w:pPr>
            <w:r>
              <w:rPr>
                <w:rFonts w:hint="eastAsia"/>
                <w:sz w:val="21"/>
                <w:szCs w:val="21"/>
              </w:rPr>
              <w:t>只能有一个有效报价，不接受降价函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投标报价</w:t>
            </w:r>
          </w:p>
        </w:tc>
        <w:tc>
          <w:tcPr>
            <w:tcW w:w="5103" w:type="dxa"/>
            <w:gridSpan w:val="3"/>
          </w:tcPr>
          <w:p>
            <w:pPr>
              <w:rPr>
                <w:sz w:val="21"/>
                <w:szCs w:val="21"/>
              </w:rPr>
            </w:pPr>
            <w:r>
              <w:rPr>
                <w:rFonts w:hint="eastAsia"/>
                <w:sz w:val="21"/>
                <w:szCs w:val="21"/>
              </w:rPr>
              <w:t>投标报价未超出招标人公布的招标控制价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其它</w:t>
            </w:r>
          </w:p>
        </w:tc>
        <w:tc>
          <w:tcPr>
            <w:tcW w:w="5103" w:type="dxa"/>
            <w:gridSpan w:val="3"/>
          </w:tcPr>
          <w:p>
            <w:pPr>
              <w:rPr>
                <w:sz w:val="21"/>
                <w:szCs w:val="21"/>
              </w:rPr>
            </w:pPr>
            <w:r>
              <w:rPr>
                <w:rFonts w:hint="eastAsia"/>
                <w:sz w:val="21"/>
                <w:szCs w:val="21"/>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21"/>
                <w:szCs w:val="21"/>
              </w:rPr>
            </w:pPr>
            <w:r>
              <w:rPr>
                <w:rFonts w:hint="eastAsia"/>
                <w:sz w:val="21"/>
                <w:szCs w:val="21"/>
              </w:rPr>
              <w:t>2.1.2</w:t>
            </w:r>
          </w:p>
        </w:tc>
        <w:tc>
          <w:tcPr>
            <w:tcW w:w="1228" w:type="dxa"/>
            <w:gridSpan w:val="2"/>
            <w:vMerge w:val="restart"/>
            <w:vAlign w:val="center"/>
          </w:tcPr>
          <w:p>
            <w:pPr>
              <w:rPr>
                <w:sz w:val="21"/>
                <w:szCs w:val="21"/>
              </w:rPr>
            </w:pPr>
            <w:r>
              <w:rPr>
                <w:rFonts w:hint="eastAsia"/>
                <w:sz w:val="21"/>
                <w:szCs w:val="21"/>
              </w:rPr>
              <w:t>资格</w:t>
            </w:r>
          </w:p>
          <w:p>
            <w:pPr>
              <w:rPr>
                <w:sz w:val="21"/>
                <w:szCs w:val="21"/>
              </w:rPr>
            </w:pPr>
            <w:r>
              <w:rPr>
                <w:rFonts w:hint="eastAsia"/>
                <w:sz w:val="21"/>
                <w:szCs w:val="21"/>
              </w:rPr>
              <w:t>评审</w:t>
            </w:r>
          </w:p>
          <w:p>
            <w:pPr>
              <w:rPr>
                <w:sz w:val="21"/>
                <w:szCs w:val="21"/>
              </w:rPr>
            </w:pPr>
            <w:r>
              <w:rPr>
                <w:rFonts w:hint="eastAsia"/>
                <w:sz w:val="21"/>
                <w:szCs w:val="21"/>
              </w:rPr>
              <w:t>标准</w:t>
            </w:r>
          </w:p>
        </w:tc>
        <w:tc>
          <w:tcPr>
            <w:tcW w:w="2126" w:type="dxa"/>
            <w:gridSpan w:val="2"/>
            <w:vAlign w:val="center"/>
          </w:tcPr>
          <w:p>
            <w:pPr>
              <w:jc w:val="center"/>
              <w:rPr>
                <w:sz w:val="21"/>
                <w:szCs w:val="21"/>
              </w:rPr>
            </w:pPr>
            <w:r>
              <w:rPr>
                <w:rFonts w:hint="eastAsia"/>
                <w:sz w:val="21"/>
                <w:szCs w:val="21"/>
              </w:rPr>
              <w:t>资质条件</w:t>
            </w:r>
          </w:p>
        </w:tc>
        <w:tc>
          <w:tcPr>
            <w:tcW w:w="5103" w:type="dxa"/>
            <w:gridSpan w:val="3"/>
          </w:tcPr>
          <w:p>
            <w:pPr>
              <w:rPr>
                <w:sz w:val="21"/>
                <w:szCs w:val="21"/>
              </w:rPr>
            </w:pPr>
            <w:r>
              <w:rPr>
                <w:rFonts w:hint="eastAsia"/>
                <w:sz w:val="21"/>
                <w:szCs w:val="21"/>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信誉要求</w:t>
            </w:r>
          </w:p>
        </w:tc>
        <w:tc>
          <w:tcPr>
            <w:tcW w:w="5103" w:type="dxa"/>
            <w:gridSpan w:val="3"/>
          </w:tcPr>
          <w:p>
            <w:pPr>
              <w:rPr>
                <w:sz w:val="21"/>
                <w:szCs w:val="21"/>
              </w:rPr>
            </w:pPr>
            <w:r>
              <w:rPr>
                <w:rFonts w:hint="eastAsia"/>
                <w:sz w:val="21"/>
                <w:szCs w:val="21"/>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财务要求</w:t>
            </w:r>
          </w:p>
        </w:tc>
        <w:tc>
          <w:tcPr>
            <w:tcW w:w="5103" w:type="dxa"/>
            <w:gridSpan w:val="3"/>
          </w:tcPr>
          <w:p>
            <w:pPr>
              <w:rPr>
                <w:sz w:val="21"/>
                <w:szCs w:val="21"/>
              </w:rPr>
            </w:pPr>
            <w:r>
              <w:rPr>
                <w:rFonts w:hint="eastAsia"/>
                <w:sz w:val="21"/>
                <w:szCs w:val="21"/>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项目负责人要求</w:t>
            </w:r>
          </w:p>
        </w:tc>
        <w:tc>
          <w:tcPr>
            <w:tcW w:w="5103" w:type="dxa"/>
            <w:gridSpan w:val="3"/>
          </w:tcPr>
          <w:p>
            <w:pPr>
              <w:rPr>
                <w:b/>
                <w:bCs/>
                <w:sz w:val="21"/>
                <w:szCs w:val="21"/>
              </w:rPr>
            </w:pPr>
            <w:r>
              <w:rPr>
                <w:rFonts w:hint="eastAsia"/>
                <w:sz w:val="21"/>
                <w:szCs w:val="21"/>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其他要求</w:t>
            </w:r>
          </w:p>
        </w:tc>
        <w:tc>
          <w:tcPr>
            <w:tcW w:w="5103" w:type="dxa"/>
            <w:gridSpan w:val="3"/>
          </w:tcPr>
          <w:p>
            <w:pPr>
              <w:rPr>
                <w:sz w:val="21"/>
                <w:szCs w:val="21"/>
              </w:rPr>
            </w:pPr>
            <w:r>
              <w:rPr>
                <w:rFonts w:hint="eastAsia"/>
                <w:sz w:val="21"/>
                <w:szCs w:val="21"/>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21"/>
                <w:szCs w:val="21"/>
              </w:rPr>
            </w:pPr>
            <w:r>
              <w:rPr>
                <w:spacing w:val="1"/>
                <w:kern w:val="0"/>
                <w:sz w:val="21"/>
                <w:szCs w:val="21"/>
              </w:rPr>
              <w:t>2</w:t>
            </w:r>
            <w:r>
              <w:rPr>
                <w:spacing w:val="-1"/>
                <w:kern w:val="0"/>
                <w:sz w:val="21"/>
                <w:szCs w:val="21"/>
              </w:rPr>
              <w:t>.</w:t>
            </w:r>
            <w:r>
              <w:rPr>
                <w:spacing w:val="1"/>
                <w:kern w:val="0"/>
                <w:sz w:val="21"/>
                <w:szCs w:val="21"/>
              </w:rPr>
              <w:t>1</w:t>
            </w:r>
            <w:r>
              <w:rPr>
                <w:spacing w:val="-1"/>
                <w:kern w:val="0"/>
                <w:sz w:val="21"/>
                <w:szCs w:val="21"/>
              </w:rPr>
              <w:t>.</w:t>
            </w:r>
            <w:r>
              <w:rPr>
                <w:rFonts w:hint="eastAsia"/>
                <w:kern w:val="0"/>
                <w:sz w:val="21"/>
                <w:szCs w:val="21"/>
              </w:rPr>
              <w:t>3</w:t>
            </w:r>
          </w:p>
        </w:tc>
        <w:tc>
          <w:tcPr>
            <w:tcW w:w="1228" w:type="dxa"/>
            <w:gridSpan w:val="2"/>
            <w:vMerge w:val="restart"/>
            <w:vAlign w:val="center"/>
          </w:tcPr>
          <w:p>
            <w:pPr>
              <w:rPr>
                <w:sz w:val="21"/>
                <w:szCs w:val="21"/>
              </w:rPr>
            </w:pPr>
            <w:r>
              <w:rPr>
                <w:rFonts w:hint="eastAsia"/>
                <w:sz w:val="21"/>
                <w:szCs w:val="21"/>
              </w:rPr>
              <w:t>响应性</w:t>
            </w:r>
          </w:p>
          <w:p>
            <w:pPr>
              <w:rPr>
                <w:sz w:val="21"/>
                <w:szCs w:val="21"/>
              </w:rPr>
            </w:pPr>
            <w:r>
              <w:rPr>
                <w:rFonts w:hint="eastAsia"/>
                <w:sz w:val="21"/>
                <w:szCs w:val="21"/>
              </w:rPr>
              <w:t>评审</w:t>
            </w:r>
          </w:p>
          <w:p>
            <w:pPr>
              <w:rPr>
                <w:sz w:val="21"/>
                <w:szCs w:val="21"/>
              </w:rPr>
            </w:pPr>
            <w:r>
              <w:rPr>
                <w:rFonts w:hint="eastAsia"/>
                <w:sz w:val="21"/>
                <w:szCs w:val="21"/>
              </w:rPr>
              <w:t>标准</w:t>
            </w:r>
          </w:p>
        </w:tc>
        <w:tc>
          <w:tcPr>
            <w:tcW w:w="2126" w:type="dxa"/>
            <w:gridSpan w:val="2"/>
            <w:vAlign w:val="center"/>
          </w:tcPr>
          <w:p>
            <w:pPr>
              <w:jc w:val="center"/>
              <w:rPr>
                <w:sz w:val="21"/>
                <w:szCs w:val="21"/>
              </w:rPr>
            </w:pPr>
            <w:r>
              <w:rPr>
                <w:rFonts w:hint="eastAsia"/>
                <w:sz w:val="21"/>
                <w:szCs w:val="21"/>
              </w:rPr>
              <w:t>投标内容</w:t>
            </w:r>
          </w:p>
        </w:tc>
        <w:tc>
          <w:tcPr>
            <w:tcW w:w="5103" w:type="dxa"/>
            <w:gridSpan w:val="3"/>
          </w:tcPr>
          <w:p>
            <w:pPr>
              <w:jc w:val="left"/>
              <w:rPr>
                <w:sz w:val="21"/>
                <w:szCs w:val="21"/>
              </w:rPr>
            </w:pPr>
            <w:r>
              <w:rPr>
                <w:rFonts w:hint="eastAsia"/>
                <w:sz w:val="21"/>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服务期限</w:t>
            </w:r>
          </w:p>
        </w:tc>
        <w:tc>
          <w:tcPr>
            <w:tcW w:w="5103" w:type="dxa"/>
            <w:gridSpan w:val="3"/>
          </w:tcPr>
          <w:p>
            <w:pPr>
              <w:jc w:val="left"/>
              <w:rPr>
                <w:sz w:val="21"/>
                <w:szCs w:val="21"/>
              </w:rPr>
            </w:pPr>
            <w:r>
              <w:rPr>
                <w:rFonts w:hint="eastAsia"/>
                <w:sz w:val="21"/>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投标有效期</w:t>
            </w:r>
          </w:p>
        </w:tc>
        <w:tc>
          <w:tcPr>
            <w:tcW w:w="5103" w:type="dxa"/>
            <w:gridSpan w:val="3"/>
          </w:tcPr>
          <w:p>
            <w:pPr>
              <w:jc w:val="left"/>
              <w:rPr>
                <w:sz w:val="21"/>
                <w:szCs w:val="21"/>
              </w:rPr>
            </w:pPr>
            <w:r>
              <w:rPr>
                <w:rFonts w:hint="eastAsia"/>
                <w:sz w:val="21"/>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投标保证金</w:t>
            </w:r>
          </w:p>
        </w:tc>
        <w:tc>
          <w:tcPr>
            <w:tcW w:w="5103" w:type="dxa"/>
            <w:gridSpan w:val="3"/>
          </w:tcPr>
          <w:p>
            <w:pPr>
              <w:jc w:val="left"/>
              <w:rPr>
                <w:sz w:val="21"/>
                <w:szCs w:val="21"/>
              </w:rPr>
            </w:pPr>
            <w:r>
              <w:rPr>
                <w:rFonts w:hint="eastAsia"/>
                <w:sz w:val="21"/>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权利义务</w:t>
            </w:r>
          </w:p>
        </w:tc>
        <w:tc>
          <w:tcPr>
            <w:tcW w:w="5103" w:type="dxa"/>
            <w:gridSpan w:val="3"/>
          </w:tcPr>
          <w:p>
            <w:pPr>
              <w:jc w:val="left"/>
              <w:rPr>
                <w:sz w:val="21"/>
                <w:szCs w:val="21"/>
              </w:rPr>
            </w:pPr>
            <w:r>
              <w:rPr>
                <w:rFonts w:hint="eastAsia"/>
                <w:sz w:val="21"/>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已标价报价单</w:t>
            </w:r>
          </w:p>
        </w:tc>
        <w:tc>
          <w:tcPr>
            <w:tcW w:w="5103" w:type="dxa"/>
            <w:gridSpan w:val="3"/>
          </w:tcPr>
          <w:p>
            <w:pPr>
              <w:jc w:val="left"/>
              <w:rPr>
                <w:sz w:val="21"/>
                <w:szCs w:val="21"/>
              </w:rPr>
            </w:pPr>
            <w:r>
              <w:rPr>
                <w:rFonts w:hint="eastAsia"/>
                <w:sz w:val="21"/>
                <w:szCs w:val="21"/>
              </w:rPr>
              <w:t>符合招标文件给出的范围及数量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技术标准和要求</w:t>
            </w:r>
          </w:p>
        </w:tc>
        <w:tc>
          <w:tcPr>
            <w:tcW w:w="5103" w:type="dxa"/>
            <w:gridSpan w:val="3"/>
          </w:tcPr>
          <w:p>
            <w:pPr>
              <w:jc w:val="left"/>
              <w:rPr>
                <w:sz w:val="21"/>
                <w:szCs w:val="21"/>
              </w:rPr>
            </w:pPr>
            <w:r>
              <w:rPr>
                <w:rFonts w:hint="eastAsia"/>
                <w:sz w:val="21"/>
                <w:szCs w:val="21"/>
              </w:rPr>
              <w:t>符合招标文件第五章服务标准及要求规定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投标报价</w:t>
            </w:r>
          </w:p>
        </w:tc>
        <w:tc>
          <w:tcPr>
            <w:tcW w:w="5103" w:type="dxa"/>
            <w:gridSpan w:val="3"/>
          </w:tcPr>
          <w:p>
            <w:pPr>
              <w:jc w:val="left"/>
              <w:rPr>
                <w:sz w:val="21"/>
                <w:szCs w:val="21"/>
              </w:rPr>
            </w:pPr>
            <w:r>
              <w:rPr>
                <w:rFonts w:hint="eastAsia"/>
                <w:sz w:val="21"/>
                <w:szCs w:val="21"/>
              </w:rPr>
              <w:t>投标报价不存在明显低于其它投标报价，且未被评标委员会认定低于成本价。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jc w:val="center"/>
              <w:rPr>
                <w:sz w:val="21"/>
                <w:szCs w:val="21"/>
              </w:rPr>
            </w:pPr>
            <w:r>
              <w:rPr>
                <w:rFonts w:hint="eastAsia" w:ascii="宋体" w:cs="宋体"/>
                <w:kern w:val="0"/>
                <w:sz w:val="21"/>
                <w:szCs w:val="21"/>
              </w:rPr>
              <w:t>条款号</w:t>
            </w:r>
          </w:p>
        </w:tc>
        <w:tc>
          <w:tcPr>
            <w:tcW w:w="2126" w:type="dxa"/>
            <w:gridSpan w:val="2"/>
            <w:vAlign w:val="center"/>
          </w:tcPr>
          <w:p>
            <w:pPr>
              <w:jc w:val="center"/>
              <w:rPr>
                <w:sz w:val="21"/>
                <w:szCs w:val="21"/>
              </w:rPr>
            </w:pPr>
            <w:r>
              <w:rPr>
                <w:rFonts w:hint="eastAsia" w:ascii="宋体" w:cs="宋体"/>
                <w:kern w:val="0"/>
                <w:sz w:val="21"/>
                <w:szCs w:val="21"/>
              </w:rPr>
              <w:t>条款内容</w:t>
            </w:r>
          </w:p>
        </w:tc>
        <w:tc>
          <w:tcPr>
            <w:tcW w:w="5103" w:type="dxa"/>
            <w:gridSpan w:val="3"/>
          </w:tcPr>
          <w:p>
            <w:pPr>
              <w:jc w:val="center"/>
              <w:rPr>
                <w:sz w:val="21"/>
                <w:szCs w:val="21"/>
              </w:rPr>
            </w:pPr>
            <w:r>
              <w:rPr>
                <w:rFonts w:hint="eastAsia" w:ascii="宋体" w:cs="宋体"/>
                <w:kern w:val="0"/>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restart"/>
            <w:vAlign w:val="center"/>
          </w:tcPr>
          <w:p>
            <w:pPr>
              <w:rPr>
                <w:sz w:val="21"/>
                <w:szCs w:val="21"/>
              </w:rPr>
            </w:pPr>
            <w:r>
              <w:rPr>
                <w:spacing w:val="1"/>
                <w:kern w:val="0"/>
                <w:sz w:val="21"/>
                <w:szCs w:val="21"/>
              </w:rPr>
              <w:t>2</w:t>
            </w:r>
            <w:r>
              <w:rPr>
                <w:spacing w:val="-1"/>
                <w:kern w:val="0"/>
                <w:sz w:val="21"/>
                <w:szCs w:val="21"/>
              </w:rPr>
              <w:t>.</w:t>
            </w:r>
            <w:r>
              <w:rPr>
                <w:spacing w:val="1"/>
                <w:kern w:val="0"/>
                <w:sz w:val="21"/>
                <w:szCs w:val="21"/>
              </w:rPr>
              <w:t>2</w:t>
            </w:r>
            <w:r>
              <w:rPr>
                <w:spacing w:val="-1"/>
                <w:kern w:val="0"/>
                <w:sz w:val="21"/>
                <w:szCs w:val="21"/>
              </w:rPr>
              <w:t>.</w:t>
            </w:r>
            <w:r>
              <w:rPr>
                <w:kern w:val="0"/>
                <w:sz w:val="21"/>
                <w:szCs w:val="21"/>
              </w:rPr>
              <w:t>1</w:t>
            </w:r>
          </w:p>
        </w:tc>
        <w:tc>
          <w:tcPr>
            <w:tcW w:w="2126" w:type="dxa"/>
            <w:gridSpan w:val="2"/>
            <w:vMerge w:val="restart"/>
            <w:vAlign w:val="center"/>
          </w:tcPr>
          <w:p>
            <w:pPr>
              <w:jc w:val="center"/>
              <w:rPr>
                <w:sz w:val="21"/>
                <w:szCs w:val="21"/>
              </w:rPr>
            </w:pPr>
            <w:r>
              <w:rPr>
                <w:rFonts w:hint="eastAsia"/>
                <w:sz w:val="21"/>
                <w:szCs w:val="21"/>
              </w:rPr>
              <w:t>分值构成(总分100 分)</w:t>
            </w:r>
          </w:p>
        </w:tc>
        <w:tc>
          <w:tcPr>
            <w:tcW w:w="3656" w:type="dxa"/>
            <w:gridSpan w:val="2"/>
          </w:tcPr>
          <w:p>
            <w:pPr>
              <w:rPr>
                <w:sz w:val="21"/>
                <w:szCs w:val="21"/>
              </w:rPr>
            </w:pPr>
            <w:r>
              <w:rPr>
                <w:rFonts w:hint="eastAsia" w:ascii="宋体" w:cs="宋体"/>
                <w:kern w:val="0"/>
                <w:position w:val="-2"/>
                <w:sz w:val="21"/>
                <w:szCs w:val="21"/>
              </w:rPr>
              <w:t>评分因素</w:t>
            </w:r>
          </w:p>
        </w:tc>
        <w:tc>
          <w:tcPr>
            <w:tcW w:w="1447" w:type="dxa"/>
          </w:tcPr>
          <w:p>
            <w:pPr>
              <w:rPr>
                <w:sz w:val="21"/>
                <w:szCs w:val="21"/>
              </w:rPr>
            </w:pPr>
            <w:r>
              <w:rPr>
                <w:rFonts w:hint="eastAsia"/>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38" w:type="dxa"/>
            <w:gridSpan w:val="3"/>
            <w:vMerge w:val="continue"/>
            <w:vAlign w:val="center"/>
          </w:tcPr>
          <w:p>
            <w:pPr>
              <w:rPr>
                <w:sz w:val="21"/>
                <w:szCs w:val="21"/>
              </w:rPr>
            </w:pPr>
          </w:p>
        </w:tc>
        <w:tc>
          <w:tcPr>
            <w:tcW w:w="2126" w:type="dxa"/>
            <w:gridSpan w:val="2"/>
            <w:vMerge w:val="continue"/>
            <w:vAlign w:val="center"/>
          </w:tcPr>
          <w:p>
            <w:pPr>
              <w:jc w:val="center"/>
              <w:rPr>
                <w:sz w:val="21"/>
                <w:szCs w:val="21"/>
              </w:rPr>
            </w:pPr>
          </w:p>
        </w:tc>
        <w:tc>
          <w:tcPr>
            <w:tcW w:w="3656" w:type="dxa"/>
            <w:gridSpan w:val="2"/>
          </w:tcPr>
          <w:p>
            <w:pPr>
              <w:rPr>
                <w:rFonts w:ascii="宋体" w:cs="宋体"/>
                <w:kern w:val="0"/>
                <w:position w:val="-2"/>
                <w:sz w:val="21"/>
                <w:szCs w:val="21"/>
              </w:rPr>
            </w:pPr>
            <w:r>
              <w:rPr>
                <w:rFonts w:hint="eastAsia" w:ascii="宋体" w:cs="宋体"/>
                <w:kern w:val="0"/>
                <w:position w:val="-2"/>
                <w:sz w:val="21"/>
                <w:szCs w:val="21"/>
              </w:rPr>
              <w:t>技术方案</w:t>
            </w:r>
          </w:p>
        </w:tc>
        <w:tc>
          <w:tcPr>
            <w:tcW w:w="1447" w:type="dxa"/>
          </w:tcPr>
          <w:p>
            <w:pPr>
              <w:rPr>
                <w:rFonts w:ascii="宋体" w:cs="宋体"/>
                <w:kern w:val="0"/>
                <w:position w:val="-2"/>
                <w:sz w:val="21"/>
                <w:szCs w:val="21"/>
              </w:rPr>
            </w:pPr>
            <w:r>
              <w:rPr>
                <w:rFonts w:hint="eastAsia" w:ascii="宋体" w:cs="宋体"/>
                <w:kern w:val="0"/>
                <w:position w:val="-2"/>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21"/>
                <w:szCs w:val="21"/>
              </w:rPr>
            </w:pPr>
          </w:p>
        </w:tc>
        <w:tc>
          <w:tcPr>
            <w:tcW w:w="2126" w:type="dxa"/>
            <w:gridSpan w:val="2"/>
            <w:vMerge w:val="continue"/>
            <w:vAlign w:val="center"/>
          </w:tcPr>
          <w:p>
            <w:pPr>
              <w:jc w:val="center"/>
              <w:rPr>
                <w:sz w:val="21"/>
                <w:szCs w:val="21"/>
              </w:rPr>
            </w:pPr>
          </w:p>
        </w:tc>
        <w:tc>
          <w:tcPr>
            <w:tcW w:w="3656" w:type="dxa"/>
            <w:gridSpan w:val="2"/>
          </w:tcPr>
          <w:p>
            <w:pPr>
              <w:rPr>
                <w:rFonts w:ascii="宋体" w:cs="宋体"/>
                <w:kern w:val="0"/>
                <w:position w:val="-2"/>
                <w:sz w:val="21"/>
                <w:szCs w:val="21"/>
              </w:rPr>
            </w:pPr>
            <w:r>
              <w:rPr>
                <w:rFonts w:hint="eastAsia" w:ascii="宋体" w:cs="宋体"/>
                <w:kern w:val="0"/>
                <w:position w:val="-2"/>
                <w:sz w:val="21"/>
                <w:szCs w:val="21"/>
              </w:rPr>
              <w:t>人员配备情况</w:t>
            </w:r>
          </w:p>
        </w:tc>
        <w:tc>
          <w:tcPr>
            <w:tcW w:w="1447" w:type="dxa"/>
          </w:tcPr>
          <w:p>
            <w:pPr>
              <w:rPr>
                <w:rFonts w:hint="default" w:ascii="宋体" w:eastAsia="宋体" w:cs="宋体"/>
                <w:kern w:val="0"/>
                <w:position w:val="-2"/>
                <w:sz w:val="21"/>
                <w:szCs w:val="21"/>
                <w:lang w:val="en-US" w:eastAsia="zh-CN"/>
              </w:rPr>
            </w:pPr>
            <w:r>
              <w:rPr>
                <w:rFonts w:hint="eastAsia" w:ascii="宋体" w:cs="宋体"/>
                <w:kern w:val="0"/>
                <w:position w:val="-2"/>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21"/>
                <w:szCs w:val="21"/>
              </w:rPr>
            </w:pPr>
          </w:p>
        </w:tc>
        <w:tc>
          <w:tcPr>
            <w:tcW w:w="2126" w:type="dxa"/>
            <w:gridSpan w:val="2"/>
            <w:vMerge w:val="continue"/>
            <w:vAlign w:val="center"/>
          </w:tcPr>
          <w:p>
            <w:pPr>
              <w:jc w:val="center"/>
              <w:rPr>
                <w:sz w:val="21"/>
                <w:szCs w:val="21"/>
              </w:rPr>
            </w:pPr>
          </w:p>
        </w:tc>
        <w:tc>
          <w:tcPr>
            <w:tcW w:w="3656" w:type="dxa"/>
            <w:gridSpan w:val="2"/>
          </w:tcPr>
          <w:p>
            <w:pPr>
              <w:rPr>
                <w:rFonts w:ascii="宋体" w:cs="宋体"/>
                <w:kern w:val="0"/>
                <w:position w:val="-2"/>
                <w:sz w:val="21"/>
                <w:szCs w:val="21"/>
              </w:rPr>
            </w:pPr>
            <w:r>
              <w:rPr>
                <w:rFonts w:hint="eastAsia" w:ascii="宋体" w:cs="宋体"/>
                <w:kern w:val="0"/>
                <w:position w:val="-2"/>
                <w:sz w:val="21"/>
                <w:szCs w:val="21"/>
              </w:rPr>
              <w:t>企业综合实力</w:t>
            </w:r>
          </w:p>
        </w:tc>
        <w:tc>
          <w:tcPr>
            <w:tcW w:w="1447" w:type="dxa"/>
          </w:tcPr>
          <w:p>
            <w:pPr>
              <w:rPr>
                <w:rFonts w:hint="eastAsia" w:ascii="宋体" w:eastAsia="宋体" w:cs="宋体"/>
                <w:kern w:val="0"/>
                <w:position w:val="-2"/>
                <w:sz w:val="21"/>
                <w:szCs w:val="21"/>
                <w:lang w:eastAsia="zh-CN"/>
              </w:rPr>
            </w:pPr>
            <w:r>
              <w:rPr>
                <w:rFonts w:hint="eastAsia" w:ascii="宋体" w:cs="宋体"/>
                <w:kern w:val="0"/>
                <w:position w:val="-2"/>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21"/>
                <w:szCs w:val="21"/>
              </w:rPr>
            </w:pPr>
          </w:p>
        </w:tc>
        <w:tc>
          <w:tcPr>
            <w:tcW w:w="2126" w:type="dxa"/>
            <w:gridSpan w:val="2"/>
            <w:vMerge w:val="continue"/>
            <w:vAlign w:val="center"/>
          </w:tcPr>
          <w:p>
            <w:pPr>
              <w:jc w:val="center"/>
              <w:rPr>
                <w:sz w:val="21"/>
                <w:szCs w:val="21"/>
              </w:rPr>
            </w:pPr>
          </w:p>
        </w:tc>
        <w:tc>
          <w:tcPr>
            <w:tcW w:w="3656" w:type="dxa"/>
            <w:gridSpan w:val="2"/>
          </w:tcPr>
          <w:p>
            <w:pPr>
              <w:rPr>
                <w:rFonts w:ascii="宋体" w:cs="宋体"/>
                <w:kern w:val="0"/>
                <w:position w:val="-2"/>
                <w:sz w:val="21"/>
                <w:szCs w:val="21"/>
              </w:rPr>
            </w:pPr>
            <w:r>
              <w:rPr>
                <w:rFonts w:hint="eastAsia" w:ascii="宋体" w:cs="宋体"/>
                <w:kern w:val="0"/>
                <w:position w:val="-2"/>
                <w:sz w:val="21"/>
                <w:szCs w:val="21"/>
              </w:rPr>
              <w:t>相关业绩</w:t>
            </w:r>
          </w:p>
        </w:tc>
        <w:tc>
          <w:tcPr>
            <w:tcW w:w="1447" w:type="dxa"/>
          </w:tcPr>
          <w:p>
            <w:pPr>
              <w:rPr>
                <w:rFonts w:hint="default" w:ascii="宋体" w:eastAsia="宋体" w:cs="宋体"/>
                <w:kern w:val="0"/>
                <w:position w:val="-2"/>
                <w:sz w:val="21"/>
                <w:szCs w:val="21"/>
                <w:lang w:val="en-US" w:eastAsia="zh-CN"/>
              </w:rPr>
            </w:pPr>
            <w:r>
              <w:rPr>
                <w:rFonts w:hint="eastAsia" w:ascii="宋体" w:cs="宋体"/>
                <w:kern w:val="0"/>
                <w:position w:val="-2"/>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21"/>
                <w:szCs w:val="21"/>
              </w:rPr>
            </w:pPr>
          </w:p>
        </w:tc>
        <w:tc>
          <w:tcPr>
            <w:tcW w:w="2126" w:type="dxa"/>
            <w:gridSpan w:val="2"/>
            <w:vMerge w:val="continue"/>
            <w:vAlign w:val="center"/>
          </w:tcPr>
          <w:p>
            <w:pPr>
              <w:jc w:val="center"/>
              <w:rPr>
                <w:sz w:val="21"/>
                <w:szCs w:val="21"/>
              </w:rPr>
            </w:pPr>
          </w:p>
        </w:tc>
        <w:tc>
          <w:tcPr>
            <w:tcW w:w="3656" w:type="dxa"/>
            <w:gridSpan w:val="2"/>
          </w:tcPr>
          <w:p>
            <w:pPr>
              <w:rPr>
                <w:rFonts w:ascii="宋体" w:cs="宋体"/>
                <w:kern w:val="0"/>
                <w:position w:val="-2"/>
                <w:sz w:val="21"/>
                <w:szCs w:val="21"/>
              </w:rPr>
            </w:pPr>
            <w:r>
              <w:rPr>
                <w:rFonts w:hint="eastAsia" w:ascii="宋体" w:cs="宋体"/>
                <w:kern w:val="0"/>
                <w:position w:val="-2"/>
                <w:sz w:val="21"/>
                <w:szCs w:val="21"/>
              </w:rPr>
              <w:t>投标报价评分</w:t>
            </w:r>
          </w:p>
        </w:tc>
        <w:tc>
          <w:tcPr>
            <w:tcW w:w="1447" w:type="dxa"/>
          </w:tcPr>
          <w:p>
            <w:pPr>
              <w:rPr>
                <w:rFonts w:ascii="宋体" w:cs="宋体"/>
                <w:kern w:val="0"/>
                <w:position w:val="-2"/>
                <w:sz w:val="21"/>
                <w:szCs w:val="21"/>
              </w:rPr>
            </w:pPr>
            <w:r>
              <w:rPr>
                <w:rFonts w:hint="eastAsia" w:ascii="宋体" w:cs="宋体"/>
                <w:kern w:val="0"/>
                <w:positio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rPr>
                <w:sz w:val="21"/>
                <w:szCs w:val="21"/>
              </w:rPr>
            </w:pPr>
            <w:r>
              <w:rPr>
                <w:rFonts w:hint="eastAsia"/>
                <w:sz w:val="21"/>
                <w:szCs w:val="21"/>
              </w:rPr>
              <w:t>2.2.2</w:t>
            </w:r>
          </w:p>
        </w:tc>
        <w:tc>
          <w:tcPr>
            <w:tcW w:w="2126" w:type="dxa"/>
            <w:gridSpan w:val="2"/>
            <w:vAlign w:val="center"/>
          </w:tcPr>
          <w:p>
            <w:pPr>
              <w:jc w:val="center"/>
              <w:rPr>
                <w:sz w:val="21"/>
                <w:szCs w:val="21"/>
              </w:rPr>
            </w:pPr>
            <w:r>
              <w:rPr>
                <w:rFonts w:hint="eastAsia"/>
                <w:sz w:val="21"/>
                <w:szCs w:val="21"/>
              </w:rPr>
              <w:t>评标基准价计算方法</w:t>
            </w:r>
          </w:p>
        </w:tc>
        <w:tc>
          <w:tcPr>
            <w:tcW w:w="5103" w:type="dxa"/>
            <w:gridSpan w:val="3"/>
          </w:tcPr>
          <w:p>
            <w:pPr>
              <w:rPr>
                <w:sz w:val="21"/>
                <w:szCs w:val="21"/>
              </w:rPr>
            </w:pPr>
            <w:r>
              <w:rPr>
                <w:rFonts w:hint="eastAsia"/>
                <w:sz w:val="21"/>
                <w:szCs w:val="21"/>
              </w:rPr>
              <w:t>评标价的计算步骤：</w:t>
            </w:r>
          </w:p>
          <w:p>
            <w:pPr>
              <w:rPr>
                <w:sz w:val="21"/>
                <w:szCs w:val="21"/>
              </w:rPr>
            </w:pPr>
            <w:r>
              <w:rPr>
                <w:rFonts w:hint="eastAsia"/>
                <w:sz w:val="21"/>
                <w:szCs w:val="21"/>
              </w:rPr>
              <w:t>（1）评标价的确定：评标价=投标函文字报价</w:t>
            </w:r>
          </w:p>
          <w:p>
            <w:pPr>
              <w:rPr>
                <w:sz w:val="21"/>
                <w:szCs w:val="21"/>
              </w:rPr>
            </w:pPr>
            <w:r>
              <w:rPr>
                <w:rFonts w:hint="eastAsia"/>
                <w:sz w:val="21"/>
                <w:szCs w:val="21"/>
              </w:rPr>
              <w:t>（2）有效评标价的确定所有通过本章第2.1.1、2.1.2、2.1.3项评审的投标文件的评标价为有效评标价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rPr>
                <w:sz w:val="21"/>
                <w:szCs w:val="21"/>
              </w:rPr>
            </w:pPr>
            <w:r>
              <w:rPr>
                <w:rFonts w:hint="eastAsia"/>
                <w:sz w:val="21"/>
                <w:szCs w:val="21"/>
              </w:rPr>
              <w:t>2.2.3</w:t>
            </w:r>
          </w:p>
        </w:tc>
        <w:tc>
          <w:tcPr>
            <w:tcW w:w="2126" w:type="dxa"/>
            <w:gridSpan w:val="2"/>
            <w:vAlign w:val="center"/>
          </w:tcPr>
          <w:p>
            <w:pPr>
              <w:jc w:val="center"/>
              <w:rPr>
                <w:sz w:val="21"/>
                <w:szCs w:val="21"/>
              </w:rPr>
            </w:pPr>
            <w:r>
              <w:rPr>
                <w:rFonts w:hint="eastAsia" w:ascii="宋体" w:cs="宋体"/>
                <w:kern w:val="0"/>
                <w:sz w:val="21"/>
                <w:szCs w:val="21"/>
              </w:rPr>
              <w:t>投标报</w:t>
            </w:r>
            <w:r>
              <w:rPr>
                <w:rFonts w:hint="eastAsia" w:ascii="宋体" w:cs="宋体"/>
                <w:spacing w:val="-1"/>
                <w:kern w:val="0"/>
                <w:sz w:val="21"/>
                <w:szCs w:val="21"/>
              </w:rPr>
              <w:t>价</w:t>
            </w:r>
            <w:r>
              <w:rPr>
                <w:rFonts w:hint="eastAsia" w:ascii="宋体" w:cs="宋体"/>
                <w:kern w:val="0"/>
                <w:sz w:val="21"/>
                <w:szCs w:val="21"/>
              </w:rPr>
              <w:t>的</w:t>
            </w:r>
            <w:r>
              <w:rPr>
                <w:rFonts w:hint="eastAsia" w:ascii="宋体" w:cs="宋体"/>
                <w:spacing w:val="-1"/>
                <w:kern w:val="0"/>
                <w:sz w:val="21"/>
                <w:szCs w:val="21"/>
              </w:rPr>
              <w:t>偏</w:t>
            </w:r>
            <w:r>
              <w:rPr>
                <w:rFonts w:hint="eastAsia" w:ascii="宋体" w:cs="宋体"/>
                <w:kern w:val="0"/>
                <w:sz w:val="21"/>
                <w:szCs w:val="21"/>
              </w:rPr>
              <w:t>差率计算公式</w:t>
            </w:r>
          </w:p>
        </w:tc>
        <w:tc>
          <w:tcPr>
            <w:tcW w:w="5103" w:type="dxa"/>
            <w:gridSpan w:val="3"/>
            <w:vAlign w:val="center"/>
          </w:tcPr>
          <w:p>
            <w:pPr>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67" w:type="dxa"/>
            <w:gridSpan w:val="8"/>
            <w:vAlign w:val="center"/>
          </w:tcPr>
          <w:p>
            <w:pPr>
              <w:spacing w:line="360" w:lineRule="auto"/>
              <w:jc w:val="center"/>
              <w:rPr>
                <w:rFonts w:ascii="宋体" w:hAnsi="宋体"/>
                <w:sz w:val="21"/>
                <w:szCs w:val="21"/>
              </w:rPr>
            </w:pPr>
            <w:r>
              <w:rPr>
                <w:rFonts w:hint="eastAsia" w:ascii="宋体" w:hAnsi="宋体"/>
                <w:sz w:val="21"/>
                <w:szCs w:val="21"/>
              </w:rPr>
              <w:t>评分因素、分值权重及评分标准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7" w:type="dxa"/>
            <w:gridSpan w:val="2"/>
            <w:vAlign w:val="center"/>
          </w:tcPr>
          <w:p>
            <w:pPr>
              <w:spacing w:line="360" w:lineRule="auto"/>
              <w:rPr>
                <w:rFonts w:ascii="宋体" w:hAnsi="宋体"/>
                <w:sz w:val="21"/>
                <w:szCs w:val="21"/>
              </w:rPr>
            </w:pPr>
            <w:r>
              <w:rPr>
                <w:rFonts w:hint="eastAsia" w:ascii="宋体" w:hAnsi="宋体"/>
                <w:sz w:val="21"/>
                <w:szCs w:val="21"/>
              </w:rPr>
              <w:t>条款号</w:t>
            </w:r>
          </w:p>
        </w:tc>
        <w:tc>
          <w:tcPr>
            <w:tcW w:w="1560" w:type="dxa"/>
            <w:gridSpan w:val="2"/>
            <w:vAlign w:val="center"/>
          </w:tcPr>
          <w:p>
            <w:pPr>
              <w:spacing w:line="360" w:lineRule="auto"/>
              <w:jc w:val="center"/>
              <w:rPr>
                <w:rFonts w:ascii="宋体" w:hAnsi="宋体"/>
                <w:sz w:val="21"/>
                <w:szCs w:val="21"/>
              </w:rPr>
            </w:pPr>
            <w:r>
              <w:rPr>
                <w:rFonts w:hint="eastAsia" w:ascii="宋体" w:hAnsi="宋体"/>
                <w:sz w:val="21"/>
                <w:szCs w:val="21"/>
              </w:rPr>
              <w:t>评分因素</w:t>
            </w:r>
          </w:p>
        </w:tc>
        <w:tc>
          <w:tcPr>
            <w:tcW w:w="3118" w:type="dxa"/>
            <w:gridSpan w:val="2"/>
            <w:vAlign w:val="center"/>
          </w:tcPr>
          <w:p>
            <w:pPr>
              <w:spacing w:line="360" w:lineRule="auto"/>
              <w:jc w:val="center"/>
              <w:rPr>
                <w:rFonts w:ascii="宋体" w:hAnsi="宋体"/>
                <w:sz w:val="21"/>
                <w:szCs w:val="21"/>
              </w:rPr>
            </w:pPr>
            <w:r>
              <w:rPr>
                <w:rFonts w:hint="eastAsia" w:ascii="宋体" w:hAnsi="宋体"/>
                <w:sz w:val="21"/>
                <w:szCs w:val="21"/>
              </w:rPr>
              <w:t>各评分因素细项</w:t>
            </w:r>
          </w:p>
        </w:tc>
        <w:tc>
          <w:tcPr>
            <w:tcW w:w="3402" w:type="dxa"/>
            <w:gridSpan w:val="2"/>
            <w:vAlign w:val="center"/>
          </w:tcPr>
          <w:p>
            <w:pPr>
              <w:spacing w:line="360" w:lineRule="auto"/>
              <w:jc w:val="center"/>
              <w:rPr>
                <w:rFonts w:ascii="宋体" w:hAnsi="宋体"/>
                <w:sz w:val="21"/>
                <w:szCs w:val="21"/>
              </w:rPr>
            </w:pPr>
            <w:r>
              <w:rPr>
                <w:rFonts w:hint="eastAsia" w:ascii="宋体" w:hAnsi="宋体"/>
                <w:sz w:val="21"/>
                <w:szCs w:val="21"/>
              </w:rPr>
              <w:t>评分标准及分值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87" w:type="dxa"/>
            <w:gridSpan w:val="2"/>
            <w:vMerge w:val="restart"/>
            <w:vAlign w:val="center"/>
          </w:tcPr>
          <w:p>
            <w:pPr>
              <w:spacing w:line="360" w:lineRule="auto"/>
              <w:jc w:val="left"/>
              <w:rPr>
                <w:rFonts w:ascii="宋体" w:hAnsi="宋体"/>
                <w:sz w:val="21"/>
                <w:szCs w:val="21"/>
              </w:rPr>
            </w:pPr>
            <w:r>
              <w:rPr>
                <w:rFonts w:ascii="宋体" w:hAnsi="宋体"/>
                <w:sz w:val="21"/>
                <w:szCs w:val="21"/>
              </w:rPr>
              <w:t>2.</w:t>
            </w:r>
            <w:r>
              <w:rPr>
                <w:rFonts w:hint="eastAsia" w:ascii="宋体" w:hAnsi="宋体"/>
                <w:sz w:val="21"/>
                <w:szCs w:val="21"/>
              </w:rPr>
              <w:t>2.4</w:t>
            </w:r>
            <w:r>
              <w:rPr>
                <w:rFonts w:ascii="宋体" w:hAnsi="宋体"/>
                <w:sz w:val="21"/>
                <w:szCs w:val="21"/>
              </w:rPr>
              <w:t>(</w:t>
            </w:r>
            <w:r>
              <w:rPr>
                <w:rFonts w:hint="eastAsia" w:ascii="宋体" w:hAnsi="宋体"/>
                <w:sz w:val="21"/>
                <w:szCs w:val="21"/>
              </w:rPr>
              <w:t>1</w:t>
            </w:r>
            <w:r>
              <w:rPr>
                <w:rFonts w:ascii="宋体" w:hAnsi="宋体"/>
                <w:sz w:val="21"/>
                <w:szCs w:val="21"/>
              </w:rPr>
              <w:t xml:space="preserve">) </w:t>
            </w:r>
          </w:p>
        </w:tc>
        <w:tc>
          <w:tcPr>
            <w:tcW w:w="1560" w:type="dxa"/>
            <w:gridSpan w:val="2"/>
            <w:vMerge w:val="restart"/>
            <w:vAlign w:val="center"/>
          </w:tcPr>
          <w:p>
            <w:pPr>
              <w:spacing w:line="360" w:lineRule="auto"/>
              <w:jc w:val="left"/>
              <w:rPr>
                <w:rFonts w:ascii="宋体" w:hAnsi="宋体"/>
                <w:sz w:val="21"/>
                <w:szCs w:val="21"/>
              </w:rPr>
            </w:pPr>
            <w:r>
              <w:rPr>
                <w:rFonts w:hint="eastAsia" w:ascii="宋体" w:hAnsi="宋体"/>
                <w:sz w:val="21"/>
                <w:szCs w:val="21"/>
              </w:rPr>
              <w:t>技术方案（45分）</w:t>
            </w:r>
          </w:p>
        </w:tc>
        <w:tc>
          <w:tcPr>
            <w:tcW w:w="3118" w:type="dxa"/>
            <w:gridSpan w:val="2"/>
            <w:vAlign w:val="center"/>
          </w:tcPr>
          <w:p>
            <w:pPr>
              <w:spacing w:line="360" w:lineRule="auto"/>
              <w:jc w:val="left"/>
              <w:rPr>
                <w:rFonts w:ascii="宋体" w:hAnsi="宋体"/>
                <w:sz w:val="21"/>
                <w:szCs w:val="21"/>
              </w:rPr>
            </w:pPr>
            <w:r>
              <w:rPr>
                <w:rFonts w:hint="eastAsia"/>
                <w:sz w:val="21"/>
                <w:szCs w:val="21"/>
              </w:rPr>
              <w:t>内容完整性和编制水平</w:t>
            </w:r>
            <w:r>
              <w:rPr>
                <w:rFonts w:hint="eastAsia" w:ascii="宋体" w:hAnsi="宋体"/>
                <w:sz w:val="21"/>
                <w:szCs w:val="21"/>
              </w:rPr>
              <w:t>（5分）</w:t>
            </w:r>
          </w:p>
        </w:tc>
        <w:tc>
          <w:tcPr>
            <w:tcW w:w="3402" w:type="dxa"/>
            <w:gridSpan w:val="2"/>
            <w:vAlign w:val="center"/>
          </w:tcPr>
          <w:p>
            <w:pPr>
              <w:pStyle w:val="23"/>
              <w:textAlignment w:val="center"/>
              <w:rPr>
                <w:sz w:val="21"/>
                <w:szCs w:val="21"/>
              </w:rPr>
            </w:pPr>
            <w:r>
              <w:rPr>
                <w:rFonts w:hint="eastAsia"/>
                <w:sz w:val="21"/>
                <w:szCs w:val="21"/>
              </w:rPr>
              <w:t>主要对投标文件内容完整性和编制水平进行综合评价；满分5分。</w:t>
            </w:r>
          </w:p>
          <w:p>
            <w:pPr>
              <w:pStyle w:val="23"/>
              <w:textAlignment w:val="center"/>
              <w:rPr>
                <w:sz w:val="21"/>
                <w:szCs w:val="21"/>
              </w:rPr>
            </w:pPr>
            <w:r>
              <w:rPr>
                <w:rFonts w:hint="eastAsia"/>
                <w:sz w:val="21"/>
                <w:szCs w:val="21"/>
              </w:rPr>
              <w:t>内容完整，较好的得4-5</w:t>
            </w:r>
            <w:r>
              <w:rPr>
                <w:sz w:val="21"/>
                <w:szCs w:val="21"/>
              </w:rPr>
              <w:t>分</w:t>
            </w:r>
            <w:r>
              <w:rPr>
                <w:rFonts w:hint="eastAsia"/>
                <w:sz w:val="21"/>
                <w:szCs w:val="21"/>
              </w:rPr>
              <w:t>；</w:t>
            </w:r>
          </w:p>
          <w:p>
            <w:pPr>
              <w:pStyle w:val="23"/>
              <w:textAlignment w:val="center"/>
              <w:rPr>
                <w:sz w:val="21"/>
                <w:szCs w:val="21"/>
              </w:rPr>
            </w:pPr>
            <w:r>
              <w:rPr>
                <w:rFonts w:hint="eastAsia"/>
                <w:sz w:val="21"/>
                <w:szCs w:val="21"/>
              </w:rPr>
              <w:t>内容基本完整，一般得2-3分；</w:t>
            </w:r>
          </w:p>
          <w:p>
            <w:pPr>
              <w:spacing w:line="0" w:lineRule="atLeast"/>
              <w:jc w:val="left"/>
              <w:rPr>
                <w:rFonts w:ascii="宋体" w:hAnsi="宋体"/>
                <w:sz w:val="21"/>
                <w:szCs w:val="21"/>
              </w:rPr>
            </w:pPr>
            <w:r>
              <w:rPr>
                <w:rFonts w:hint="eastAsia"/>
                <w:sz w:val="21"/>
                <w:szCs w:val="21"/>
              </w:rPr>
              <w:t>内容不完整，有缺项的0-1分。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对本项目的理解和认识及工作流程的梳理</w:t>
            </w:r>
            <w:r>
              <w:rPr>
                <w:rFonts w:hint="eastAsia" w:ascii="宋体" w:hAnsi="宋体"/>
                <w:sz w:val="21"/>
                <w:szCs w:val="21"/>
              </w:rPr>
              <w:t>（5分）</w:t>
            </w:r>
          </w:p>
        </w:tc>
        <w:tc>
          <w:tcPr>
            <w:tcW w:w="3402" w:type="dxa"/>
            <w:gridSpan w:val="2"/>
            <w:vAlign w:val="center"/>
          </w:tcPr>
          <w:p>
            <w:pPr>
              <w:pStyle w:val="23"/>
              <w:textAlignment w:val="center"/>
              <w:rPr>
                <w:sz w:val="21"/>
                <w:szCs w:val="21"/>
              </w:rPr>
            </w:pPr>
            <w:r>
              <w:rPr>
                <w:rFonts w:hint="eastAsia"/>
                <w:sz w:val="21"/>
                <w:szCs w:val="21"/>
              </w:rPr>
              <w:t>根据投标人投标文件对本项目的理解和认识全面深刻程度进行综合评价；满分5分。</w:t>
            </w:r>
          </w:p>
          <w:p>
            <w:pPr>
              <w:pStyle w:val="23"/>
              <w:textAlignment w:val="center"/>
              <w:rPr>
                <w:sz w:val="21"/>
                <w:szCs w:val="21"/>
              </w:rPr>
            </w:pPr>
            <w:r>
              <w:rPr>
                <w:rFonts w:hint="eastAsia"/>
                <w:sz w:val="21"/>
                <w:szCs w:val="21"/>
              </w:rPr>
              <w:t>符合项目实际情况</w:t>
            </w:r>
            <w:r>
              <w:rPr>
                <w:sz w:val="21"/>
                <w:szCs w:val="21"/>
              </w:rPr>
              <w:t>的得</w:t>
            </w:r>
            <w:r>
              <w:rPr>
                <w:rFonts w:hint="eastAsia"/>
                <w:sz w:val="21"/>
                <w:szCs w:val="21"/>
              </w:rPr>
              <w:t>4-5分；</w:t>
            </w:r>
          </w:p>
          <w:p>
            <w:pPr>
              <w:pStyle w:val="23"/>
              <w:textAlignment w:val="center"/>
              <w:rPr>
                <w:sz w:val="21"/>
                <w:szCs w:val="21"/>
              </w:rPr>
            </w:pPr>
            <w:r>
              <w:rPr>
                <w:rFonts w:hint="eastAsia"/>
                <w:sz w:val="21"/>
                <w:szCs w:val="21"/>
              </w:rPr>
              <w:t>对本项目有一定理解和认识，基本符合项目实际情况的</w:t>
            </w:r>
            <w:r>
              <w:rPr>
                <w:sz w:val="21"/>
                <w:szCs w:val="21"/>
              </w:rPr>
              <w:t>得</w:t>
            </w:r>
            <w:r>
              <w:rPr>
                <w:rFonts w:hint="eastAsia"/>
                <w:sz w:val="21"/>
                <w:szCs w:val="21"/>
              </w:rPr>
              <w:t>2-3分；</w:t>
            </w:r>
          </w:p>
          <w:p>
            <w:pPr>
              <w:spacing w:line="0" w:lineRule="atLeast"/>
              <w:jc w:val="left"/>
              <w:rPr>
                <w:rFonts w:ascii="宋体" w:hAnsi="宋体"/>
                <w:sz w:val="21"/>
                <w:szCs w:val="21"/>
              </w:rPr>
            </w:pPr>
            <w:r>
              <w:rPr>
                <w:rFonts w:hint="eastAsia"/>
                <w:sz w:val="21"/>
                <w:szCs w:val="21"/>
              </w:rPr>
              <w:t>对本项目缺乏基本的理解和认识，不符合项目实际情况0-1分。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编制实施方案</w:t>
            </w:r>
            <w:r>
              <w:rPr>
                <w:rFonts w:hint="eastAsia" w:ascii="宋体" w:hAnsi="宋体"/>
                <w:sz w:val="21"/>
                <w:szCs w:val="21"/>
              </w:rPr>
              <w:t>（12分）</w:t>
            </w:r>
          </w:p>
        </w:tc>
        <w:tc>
          <w:tcPr>
            <w:tcW w:w="3402" w:type="dxa"/>
            <w:gridSpan w:val="2"/>
            <w:vAlign w:val="center"/>
          </w:tcPr>
          <w:p>
            <w:pPr>
              <w:pStyle w:val="23"/>
              <w:textAlignment w:val="center"/>
              <w:rPr>
                <w:sz w:val="21"/>
                <w:szCs w:val="21"/>
              </w:rPr>
            </w:pPr>
            <w:r>
              <w:rPr>
                <w:rFonts w:hint="eastAsia"/>
                <w:sz w:val="21"/>
                <w:szCs w:val="21"/>
              </w:rPr>
              <w:t>主要对投标文件实施方案编制内容的完整性和编制水平进行综合评价；满分12分。</w:t>
            </w:r>
          </w:p>
          <w:p>
            <w:pPr>
              <w:pStyle w:val="23"/>
              <w:textAlignment w:val="center"/>
              <w:rPr>
                <w:sz w:val="21"/>
                <w:szCs w:val="21"/>
              </w:rPr>
            </w:pPr>
            <w:r>
              <w:rPr>
                <w:rFonts w:hint="eastAsia"/>
                <w:sz w:val="21"/>
                <w:szCs w:val="21"/>
              </w:rPr>
              <w:t>编制实施方案切实可行，质量进度保障措施得当的得9-12分；</w:t>
            </w:r>
          </w:p>
          <w:p>
            <w:pPr>
              <w:pStyle w:val="23"/>
              <w:textAlignment w:val="center"/>
              <w:rPr>
                <w:sz w:val="21"/>
                <w:szCs w:val="21"/>
              </w:rPr>
            </w:pPr>
            <w:r>
              <w:rPr>
                <w:rFonts w:hint="eastAsia"/>
                <w:sz w:val="21"/>
                <w:szCs w:val="21"/>
              </w:rPr>
              <w:t>编制实施方案基本可行，有质量进度保障措施的得4-8分；</w:t>
            </w:r>
          </w:p>
          <w:p>
            <w:pPr>
              <w:pStyle w:val="23"/>
              <w:textAlignment w:val="center"/>
              <w:rPr>
                <w:rFonts w:hAnsi="宋体"/>
                <w:sz w:val="21"/>
                <w:szCs w:val="21"/>
              </w:rPr>
            </w:pPr>
            <w:r>
              <w:rPr>
                <w:rFonts w:hint="eastAsia"/>
                <w:sz w:val="21"/>
                <w:szCs w:val="21"/>
              </w:rPr>
              <w:t>编制实施方案基本可行，有质量进度保障措施的得0-3分。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重点与难点分析</w:t>
            </w:r>
            <w:r>
              <w:rPr>
                <w:rFonts w:hint="eastAsia" w:ascii="宋体" w:hAnsi="宋体"/>
                <w:sz w:val="21"/>
                <w:szCs w:val="21"/>
              </w:rPr>
              <w:t>（12分）</w:t>
            </w:r>
          </w:p>
        </w:tc>
        <w:tc>
          <w:tcPr>
            <w:tcW w:w="3402" w:type="dxa"/>
            <w:gridSpan w:val="2"/>
            <w:vAlign w:val="center"/>
          </w:tcPr>
          <w:p>
            <w:pPr>
              <w:pStyle w:val="23"/>
              <w:textAlignment w:val="center"/>
              <w:rPr>
                <w:sz w:val="21"/>
                <w:szCs w:val="21"/>
              </w:rPr>
            </w:pPr>
            <w:r>
              <w:rPr>
                <w:rFonts w:hint="eastAsia"/>
                <w:sz w:val="21"/>
                <w:szCs w:val="21"/>
              </w:rPr>
              <w:t>对投标文件中本项目的重点与难点分析进行综合评价；满分12分。</w:t>
            </w:r>
          </w:p>
          <w:p>
            <w:pPr>
              <w:pStyle w:val="23"/>
              <w:textAlignment w:val="center"/>
              <w:rPr>
                <w:sz w:val="21"/>
                <w:szCs w:val="21"/>
              </w:rPr>
            </w:pPr>
            <w:r>
              <w:rPr>
                <w:rFonts w:hint="eastAsia"/>
                <w:sz w:val="21"/>
                <w:szCs w:val="21"/>
              </w:rPr>
              <w:t>对本项目工作重点与难点分析全面到位，并提出了针对性措施的</w:t>
            </w:r>
            <w:r>
              <w:rPr>
                <w:sz w:val="21"/>
                <w:szCs w:val="21"/>
              </w:rPr>
              <w:t>得</w:t>
            </w:r>
            <w:r>
              <w:rPr>
                <w:rFonts w:hint="eastAsia"/>
                <w:sz w:val="21"/>
                <w:szCs w:val="21"/>
              </w:rPr>
              <w:t>8-12分；</w:t>
            </w:r>
          </w:p>
          <w:p>
            <w:pPr>
              <w:pStyle w:val="23"/>
              <w:textAlignment w:val="center"/>
              <w:rPr>
                <w:sz w:val="21"/>
                <w:szCs w:val="21"/>
              </w:rPr>
            </w:pPr>
            <w:r>
              <w:rPr>
                <w:rFonts w:hint="eastAsia"/>
                <w:sz w:val="21"/>
                <w:szCs w:val="21"/>
              </w:rPr>
              <w:t>对本项目工作重点与难点分析基本到位，有一定的措施的</w:t>
            </w:r>
            <w:r>
              <w:rPr>
                <w:sz w:val="21"/>
                <w:szCs w:val="21"/>
              </w:rPr>
              <w:t>得</w:t>
            </w:r>
            <w:r>
              <w:rPr>
                <w:rFonts w:hint="eastAsia"/>
                <w:sz w:val="21"/>
                <w:szCs w:val="21"/>
              </w:rPr>
              <w:t>3-8分；</w:t>
            </w:r>
          </w:p>
          <w:p>
            <w:pPr>
              <w:spacing w:line="0" w:lineRule="atLeast"/>
              <w:jc w:val="left"/>
              <w:rPr>
                <w:rFonts w:ascii="宋体" w:hAnsi="宋体"/>
                <w:sz w:val="21"/>
                <w:szCs w:val="21"/>
              </w:rPr>
            </w:pPr>
            <w:r>
              <w:rPr>
                <w:rFonts w:hint="eastAsia"/>
                <w:sz w:val="21"/>
                <w:szCs w:val="21"/>
              </w:rPr>
              <w:t>对本项目工作重点与难点分析不符合实际，无应对措施的</w:t>
            </w:r>
            <w:r>
              <w:rPr>
                <w:sz w:val="21"/>
                <w:szCs w:val="21"/>
              </w:rPr>
              <w:t>得</w:t>
            </w:r>
            <w:r>
              <w:rPr>
                <w:rFonts w:hint="eastAsia"/>
                <w:sz w:val="21"/>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合理化建议</w:t>
            </w:r>
            <w:r>
              <w:rPr>
                <w:rFonts w:hint="eastAsia" w:ascii="宋体" w:hAnsi="宋体"/>
                <w:sz w:val="21"/>
                <w:szCs w:val="21"/>
              </w:rPr>
              <w:t>（8分）</w:t>
            </w:r>
          </w:p>
        </w:tc>
        <w:tc>
          <w:tcPr>
            <w:tcW w:w="3402" w:type="dxa"/>
            <w:gridSpan w:val="2"/>
            <w:vAlign w:val="center"/>
          </w:tcPr>
          <w:p>
            <w:pPr>
              <w:spacing w:line="0" w:lineRule="atLeast"/>
              <w:jc w:val="left"/>
              <w:rPr>
                <w:rFonts w:ascii="宋体" w:hAnsi="宋体"/>
                <w:sz w:val="21"/>
                <w:szCs w:val="21"/>
              </w:rPr>
            </w:pPr>
            <w:r>
              <w:rPr>
                <w:rFonts w:hint="eastAsia"/>
                <w:sz w:val="21"/>
                <w:szCs w:val="21"/>
              </w:rPr>
              <w:t>对本项目的合理化建议符合实际，有利于本项目实施，合理可行，得满分8分，其他酌情扣分，扣完为止。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服务承诺</w:t>
            </w:r>
            <w:r>
              <w:rPr>
                <w:rFonts w:hint="eastAsia" w:ascii="宋体" w:hAnsi="宋体"/>
                <w:sz w:val="21"/>
                <w:szCs w:val="21"/>
              </w:rPr>
              <w:t>（3分）</w:t>
            </w:r>
          </w:p>
        </w:tc>
        <w:tc>
          <w:tcPr>
            <w:tcW w:w="3402" w:type="dxa"/>
            <w:gridSpan w:val="2"/>
            <w:vAlign w:val="center"/>
          </w:tcPr>
          <w:p>
            <w:pPr>
              <w:spacing w:line="0" w:lineRule="atLeast"/>
              <w:jc w:val="left"/>
              <w:rPr>
                <w:rFonts w:ascii="宋体" w:hAnsi="宋体"/>
                <w:sz w:val="21"/>
                <w:szCs w:val="21"/>
              </w:rPr>
            </w:pPr>
            <w:r>
              <w:rPr>
                <w:rFonts w:hint="eastAsia"/>
                <w:sz w:val="21"/>
                <w:szCs w:val="21"/>
              </w:rPr>
              <w:t>对本项目编制、报批的相关技术质量进度要求、编制深度及技术服务做出承诺，并承诺不更换项目组成员，以及项目负责人及其他专业技术负责人根据招标人要求随时到现场进行服务等相关内容，内容全面，满足招标人要求的，得满分3分，其他酌情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Merge w:val="restart"/>
            <w:vAlign w:val="center"/>
          </w:tcPr>
          <w:p>
            <w:pPr>
              <w:spacing w:line="360" w:lineRule="auto"/>
              <w:jc w:val="left"/>
              <w:rPr>
                <w:rFonts w:ascii="宋体" w:hAnsi="宋体"/>
                <w:sz w:val="21"/>
                <w:szCs w:val="21"/>
              </w:rPr>
            </w:pPr>
            <w:r>
              <w:rPr>
                <w:rFonts w:ascii="宋体" w:hAnsi="宋体"/>
                <w:sz w:val="21"/>
                <w:szCs w:val="21"/>
              </w:rPr>
              <w:t>2.</w:t>
            </w:r>
            <w:r>
              <w:rPr>
                <w:rFonts w:hint="eastAsia" w:ascii="宋体" w:hAnsi="宋体"/>
                <w:sz w:val="21"/>
                <w:szCs w:val="21"/>
              </w:rPr>
              <w:t>2.4</w:t>
            </w:r>
            <w:r>
              <w:rPr>
                <w:rFonts w:ascii="宋体" w:hAnsi="宋体"/>
                <w:sz w:val="21"/>
                <w:szCs w:val="21"/>
              </w:rPr>
              <w:t>(</w:t>
            </w:r>
            <w:r>
              <w:rPr>
                <w:rFonts w:hint="eastAsia" w:ascii="宋体" w:hAnsi="宋体"/>
                <w:sz w:val="21"/>
                <w:szCs w:val="21"/>
              </w:rPr>
              <w:t>2</w:t>
            </w:r>
            <w:r>
              <w:rPr>
                <w:rFonts w:ascii="宋体" w:hAnsi="宋体"/>
                <w:sz w:val="21"/>
                <w:szCs w:val="21"/>
              </w:rPr>
              <w:t>)</w:t>
            </w:r>
          </w:p>
        </w:tc>
        <w:tc>
          <w:tcPr>
            <w:tcW w:w="1560" w:type="dxa"/>
            <w:gridSpan w:val="2"/>
            <w:vMerge w:val="restart"/>
            <w:vAlign w:val="center"/>
          </w:tcPr>
          <w:p>
            <w:pPr>
              <w:spacing w:line="360" w:lineRule="auto"/>
              <w:jc w:val="center"/>
              <w:rPr>
                <w:rFonts w:ascii="宋体" w:hAnsi="宋体"/>
                <w:sz w:val="21"/>
                <w:szCs w:val="21"/>
              </w:rPr>
            </w:pPr>
            <w:r>
              <w:rPr>
                <w:rFonts w:hint="eastAsia" w:ascii="宋体" w:hAnsi="宋体"/>
                <w:sz w:val="21"/>
                <w:szCs w:val="21"/>
              </w:rPr>
              <w:t>人员配备情况（12分）</w:t>
            </w:r>
          </w:p>
        </w:tc>
        <w:tc>
          <w:tcPr>
            <w:tcW w:w="3118" w:type="dxa"/>
            <w:gridSpan w:val="2"/>
            <w:vAlign w:val="center"/>
          </w:tcPr>
          <w:p>
            <w:pPr>
              <w:jc w:val="left"/>
              <w:rPr>
                <w:rFonts w:ascii="宋体" w:hAnsi="宋体"/>
                <w:sz w:val="21"/>
                <w:szCs w:val="21"/>
              </w:rPr>
            </w:pPr>
            <w:r>
              <w:rPr>
                <w:rFonts w:hint="eastAsia"/>
                <w:sz w:val="21"/>
                <w:szCs w:val="21"/>
              </w:rPr>
              <w:t>项目负责人（</w:t>
            </w:r>
            <w:r>
              <w:rPr>
                <w:rFonts w:hint="eastAsia" w:ascii="宋体" w:hAnsi="宋体"/>
                <w:sz w:val="21"/>
                <w:szCs w:val="21"/>
              </w:rPr>
              <w:t>2分</w:t>
            </w:r>
            <w:r>
              <w:rPr>
                <w:rFonts w:hint="eastAsia"/>
                <w:sz w:val="21"/>
                <w:szCs w:val="21"/>
              </w:rPr>
              <w:t>）</w:t>
            </w:r>
          </w:p>
        </w:tc>
        <w:tc>
          <w:tcPr>
            <w:tcW w:w="3402" w:type="dxa"/>
            <w:gridSpan w:val="2"/>
            <w:vAlign w:val="center"/>
          </w:tcPr>
          <w:p>
            <w:pPr>
              <w:spacing w:line="0" w:lineRule="atLeast"/>
              <w:jc w:val="left"/>
              <w:rPr>
                <w:sz w:val="21"/>
                <w:szCs w:val="21"/>
              </w:rPr>
            </w:pPr>
            <w:r>
              <w:rPr>
                <w:rFonts w:hint="eastAsia"/>
                <w:sz w:val="21"/>
                <w:szCs w:val="21"/>
              </w:rPr>
              <w:t>项目负责人具有城乡规划</w:t>
            </w:r>
            <w:r>
              <w:rPr>
                <w:rFonts w:hint="eastAsia"/>
                <w:sz w:val="21"/>
                <w:szCs w:val="21"/>
                <w:lang w:eastAsia="zh-CN"/>
              </w:rPr>
              <w:t>或国土资源工程</w:t>
            </w:r>
            <w:r>
              <w:rPr>
                <w:rFonts w:hint="eastAsia"/>
                <w:sz w:val="21"/>
                <w:szCs w:val="21"/>
              </w:rPr>
              <w:t>类高级及以上职称的得2分.</w:t>
            </w:r>
          </w:p>
          <w:p>
            <w:pPr>
              <w:spacing w:line="0" w:lineRule="atLeast"/>
              <w:jc w:val="left"/>
              <w:rPr>
                <w:rFonts w:ascii="宋体" w:hAnsi="宋体"/>
                <w:sz w:val="21"/>
                <w:szCs w:val="21"/>
              </w:rPr>
            </w:pPr>
            <w:r>
              <w:rPr>
                <w:rFonts w:hint="eastAsia" w:ascii="宋体" w:hAnsi="宋体"/>
                <w:sz w:val="21"/>
                <w:szCs w:val="21"/>
              </w:rPr>
              <w:t>注：提供投标人近3个月内为其缴纳社保的证明材料；须提供对应的证书或证明材料。</w:t>
            </w:r>
            <w:r>
              <w:rPr>
                <w:rFonts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项目团队其他成员</w:t>
            </w:r>
            <w:r>
              <w:rPr>
                <w:rFonts w:hint="eastAsia" w:ascii="宋体" w:hAnsi="宋体"/>
                <w:sz w:val="21"/>
                <w:szCs w:val="21"/>
              </w:rPr>
              <w:t>（10分）</w:t>
            </w:r>
          </w:p>
        </w:tc>
        <w:tc>
          <w:tcPr>
            <w:tcW w:w="3402" w:type="dxa"/>
            <w:gridSpan w:val="2"/>
            <w:vAlign w:val="center"/>
          </w:tcPr>
          <w:p>
            <w:pPr>
              <w:spacing w:line="0" w:lineRule="atLeast"/>
              <w:jc w:val="left"/>
              <w:rPr>
                <w:rFonts w:ascii="宋体" w:hAnsi="宋体"/>
                <w:sz w:val="21"/>
                <w:szCs w:val="21"/>
              </w:rPr>
            </w:pPr>
            <w:r>
              <w:rPr>
                <w:rFonts w:hint="eastAsia"/>
                <w:sz w:val="21"/>
                <w:szCs w:val="21"/>
              </w:rPr>
              <w:t>1、项目组成员中（除项目负责人外）具有高级职称的，每有一位得2分，具有中级职称的，每有一位得1分，最高10分（技术人员职称专业应为测量测绘类、城乡规划类、国土资源工程类）。</w:t>
            </w:r>
          </w:p>
          <w:p>
            <w:pPr>
              <w:spacing w:line="0" w:lineRule="atLeast"/>
              <w:jc w:val="left"/>
              <w:rPr>
                <w:rFonts w:ascii="宋体" w:hAnsi="宋体"/>
                <w:sz w:val="21"/>
                <w:szCs w:val="21"/>
              </w:rPr>
            </w:pPr>
            <w:r>
              <w:rPr>
                <w:rFonts w:hint="eastAsia" w:ascii="宋体" w:hAnsi="宋体"/>
                <w:sz w:val="21"/>
                <w:szCs w:val="21"/>
              </w:rPr>
              <w:t>注：须提供对应的证书、投标人近3个月内为其缴纳社保的证明材料。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087" w:type="dxa"/>
            <w:gridSpan w:val="2"/>
            <w:vAlign w:val="center"/>
          </w:tcPr>
          <w:p>
            <w:pPr>
              <w:spacing w:line="360" w:lineRule="auto"/>
              <w:jc w:val="left"/>
              <w:rPr>
                <w:rFonts w:ascii="宋体" w:hAnsi="宋体"/>
                <w:sz w:val="21"/>
                <w:szCs w:val="21"/>
              </w:rPr>
            </w:pPr>
            <w:r>
              <w:rPr>
                <w:rFonts w:ascii="宋体" w:hAnsi="宋体"/>
                <w:sz w:val="21"/>
                <w:szCs w:val="21"/>
              </w:rPr>
              <w:t>2.</w:t>
            </w:r>
            <w:r>
              <w:rPr>
                <w:rFonts w:hint="eastAsia" w:ascii="宋体" w:hAnsi="宋体"/>
                <w:sz w:val="21"/>
                <w:szCs w:val="21"/>
              </w:rPr>
              <w:t>2.4</w:t>
            </w:r>
            <w:r>
              <w:rPr>
                <w:rFonts w:ascii="宋体" w:hAnsi="宋体"/>
                <w:sz w:val="21"/>
                <w:szCs w:val="21"/>
              </w:rPr>
              <w:t>(</w:t>
            </w:r>
            <w:r>
              <w:rPr>
                <w:rFonts w:hint="eastAsia" w:ascii="宋体" w:hAnsi="宋体"/>
                <w:sz w:val="21"/>
                <w:szCs w:val="21"/>
              </w:rPr>
              <w:t>3</w:t>
            </w:r>
            <w:r>
              <w:rPr>
                <w:rFonts w:ascii="宋体" w:hAnsi="宋体"/>
                <w:sz w:val="21"/>
                <w:szCs w:val="21"/>
              </w:rPr>
              <w:t>)</w:t>
            </w:r>
          </w:p>
        </w:tc>
        <w:tc>
          <w:tcPr>
            <w:tcW w:w="1560" w:type="dxa"/>
            <w:gridSpan w:val="2"/>
            <w:vAlign w:val="center"/>
          </w:tcPr>
          <w:p>
            <w:pPr>
              <w:spacing w:line="360" w:lineRule="auto"/>
              <w:jc w:val="center"/>
              <w:rPr>
                <w:sz w:val="21"/>
                <w:szCs w:val="21"/>
              </w:rPr>
            </w:pPr>
            <w:r>
              <w:rPr>
                <w:rFonts w:hint="eastAsia"/>
                <w:sz w:val="21"/>
                <w:szCs w:val="21"/>
              </w:rPr>
              <w:t>企业综合实力</w:t>
            </w:r>
          </w:p>
          <w:p>
            <w:pPr>
              <w:spacing w:line="360" w:lineRule="auto"/>
              <w:jc w:val="center"/>
              <w:rPr>
                <w:rFonts w:ascii="宋体" w:hAnsi="宋体"/>
                <w:sz w:val="21"/>
                <w:szCs w:val="21"/>
              </w:rPr>
            </w:pPr>
            <w:r>
              <w:rPr>
                <w:rFonts w:hint="eastAsia" w:ascii="宋体" w:hAnsi="宋体"/>
                <w:sz w:val="21"/>
                <w:szCs w:val="21"/>
              </w:rPr>
              <w:t>（3分）</w:t>
            </w:r>
          </w:p>
        </w:tc>
        <w:tc>
          <w:tcPr>
            <w:tcW w:w="3118" w:type="dxa"/>
            <w:gridSpan w:val="2"/>
            <w:vAlign w:val="center"/>
          </w:tcPr>
          <w:p>
            <w:pPr>
              <w:jc w:val="left"/>
              <w:rPr>
                <w:rFonts w:ascii="宋体" w:hAnsi="宋体"/>
                <w:sz w:val="21"/>
                <w:szCs w:val="21"/>
              </w:rPr>
            </w:pPr>
            <w:r>
              <w:rPr>
                <w:rFonts w:hint="eastAsia" w:ascii="宋体" w:hAnsi="宋体"/>
                <w:sz w:val="21"/>
                <w:szCs w:val="21"/>
              </w:rPr>
              <w:t>投标人实力及荣誉（3分）</w:t>
            </w:r>
          </w:p>
        </w:tc>
        <w:tc>
          <w:tcPr>
            <w:tcW w:w="3402" w:type="dxa"/>
            <w:gridSpan w:val="2"/>
            <w:vAlign w:val="center"/>
          </w:tcPr>
          <w:p>
            <w:pPr>
              <w:spacing w:line="0" w:lineRule="atLeast"/>
              <w:jc w:val="left"/>
              <w:rPr>
                <w:sz w:val="21"/>
                <w:szCs w:val="21"/>
              </w:rPr>
            </w:pPr>
            <w:r>
              <w:rPr>
                <w:rFonts w:hint="eastAsia"/>
                <w:sz w:val="21"/>
                <w:szCs w:val="21"/>
              </w:rPr>
              <w:t>投标人具有有效期内的质量管理体系认证证书、职业健康安全管理体系认证证书、环境管理体系认证证书，完全满足的得3 分，每缺漏一项扣1分，扣完为止。提供证书复印件加盖公章。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Align w:val="center"/>
          </w:tcPr>
          <w:p>
            <w:pPr>
              <w:rPr>
                <w:sz w:val="21"/>
                <w:szCs w:val="21"/>
              </w:rPr>
            </w:pPr>
            <w:r>
              <w:rPr>
                <w:sz w:val="21"/>
                <w:szCs w:val="21"/>
              </w:rPr>
              <w:t>2.2.4(4)</w:t>
            </w:r>
          </w:p>
        </w:tc>
        <w:tc>
          <w:tcPr>
            <w:tcW w:w="1560" w:type="dxa"/>
            <w:gridSpan w:val="2"/>
            <w:vAlign w:val="center"/>
          </w:tcPr>
          <w:p>
            <w:pPr>
              <w:jc w:val="center"/>
              <w:rPr>
                <w:sz w:val="21"/>
                <w:szCs w:val="21"/>
              </w:rPr>
            </w:pPr>
            <w:r>
              <w:rPr>
                <w:rFonts w:hint="eastAsia"/>
                <w:sz w:val="21"/>
                <w:szCs w:val="21"/>
              </w:rPr>
              <w:t>相关业绩</w:t>
            </w:r>
          </w:p>
          <w:p>
            <w:pPr>
              <w:jc w:val="center"/>
              <w:rPr>
                <w:sz w:val="21"/>
                <w:szCs w:val="21"/>
              </w:rPr>
            </w:pPr>
            <w:r>
              <w:rPr>
                <w:rFonts w:hint="eastAsia" w:ascii="宋体" w:hAnsi="宋体"/>
                <w:sz w:val="21"/>
                <w:szCs w:val="21"/>
              </w:rPr>
              <w:t>（10分）</w:t>
            </w:r>
          </w:p>
        </w:tc>
        <w:tc>
          <w:tcPr>
            <w:tcW w:w="3118" w:type="dxa"/>
            <w:gridSpan w:val="2"/>
            <w:vAlign w:val="center"/>
          </w:tcPr>
          <w:p>
            <w:pPr>
              <w:jc w:val="left"/>
              <w:rPr>
                <w:rFonts w:hint="eastAsia" w:ascii="宋体" w:hAnsi="宋体"/>
                <w:sz w:val="21"/>
                <w:szCs w:val="21"/>
              </w:rPr>
            </w:pPr>
            <w:r>
              <w:rPr>
                <w:rFonts w:hint="eastAsia" w:ascii="宋体" w:hAnsi="宋体"/>
                <w:sz w:val="21"/>
                <w:szCs w:val="21"/>
              </w:rPr>
              <w:t>项目业绩（10分）</w:t>
            </w:r>
          </w:p>
        </w:tc>
        <w:tc>
          <w:tcPr>
            <w:tcW w:w="3402" w:type="dxa"/>
            <w:gridSpan w:val="2"/>
            <w:vAlign w:val="center"/>
          </w:tcPr>
          <w:p>
            <w:pPr>
              <w:spacing w:line="0" w:lineRule="atLeast"/>
              <w:jc w:val="left"/>
              <w:rPr>
                <w:sz w:val="21"/>
                <w:szCs w:val="21"/>
              </w:rPr>
            </w:pPr>
            <w:r>
              <w:rPr>
                <w:rFonts w:hint="eastAsia"/>
                <w:sz w:val="21"/>
                <w:szCs w:val="21"/>
                <w:highlight w:val="none"/>
                <w:lang w:val="en-US" w:eastAsia="zh-CN"/>
              </w:rPr>
              <w:t xml:space="preserve">项目业绩：投标人自 </w:t>
            </w:r>
            <w:r>
              <w:rPr>
                <w:rFonts w:hint="default"/>
                <w:sz w:val="21"/>
                <w:szCs w:val="21"/>
                <w:highlight w:val="none"/>
                <w:lang w:val="en-US" w:eastAsia="zh-CN"/>
              </w:rPr>
              <w:t xml:space="preserve">2019 </w:t>
            </w:r>
            <w:r>
              <w:rPr>
                <w:rFonts w:hint="eastAsia"/>
                <w:sz w:val="21"/>
                <w:szCs w:val="21"/>
                <w:highlight w:val="none"/>
                <w:lang w:val="en-US" w:eastAsia="zh-CN"/>
              </w:rPr>
              <w:t xml:space="preserve">年 </w:t>
            </w:r>
            <w:r>
              <w:rPr>
                <w:rFonts w:hint="default"/>
                <w:sz w:val="21"/>
                <w:szCs w:val="21"/>
                <w:highlight w:val="none"/>
                <w:lang w:val="en-US" w:eastAsia="zh-CN"/>
              </w:rPr>
              <w:t xml:space="preserve">1 </w:t>
            </w:r>
            <w:r>
              <w:rPr>
                <w:rFonts w:hint="eastAsia"/>
                <w:sz w:val="21"/>
                <w:szCs w:val="21"/>
                <w:highlight w:val="none"/>
                <w:lang w:val="en-US" w:eastAsia="zh-CN"/>
              </w:rPr>
              <w:t xml:space="preserve">月 </w:t>
            </w:r>
            <w:r>
              <w:rPr>
                <w:rFonts w:hint="default"/>
                <w:sz w:val="21"/>
                <w:szCs w:val="21"/>
                <w:highlight w:val="none"/>
                <w:lang w:val="en-US" w:eastAsia="zh-CN"/>
              </w:rPr>
              <w:t xml:space="preserve">1 </w:t>
            </w:r>
            <w:r>
              <w:rPr>
                <w:rFonts w:hint="eastAsia"/>
                <w:sz w:val="21"/>
                <w:szCs w:val="21"/>
                <w:highlight w:val="none"/>
                <w:lang w:val="en-US" w:eastAsia="zh-CN"/>
              </w:rPr>
              <w:t xml:space="preserve">日至今承担过征地报批类似项目的，每有 </w:t>
            </w:r>
            <w:r>
              <w:rPr>
                <w:rFonts w:hint="default"/>
                <w:sz w:val="21"/>
                <w:szCs w:val="21"/>
                <w:highlight w:val="none"/>
                <w:lang w:val="en-US" w:eastAsia="zh-CN"/>
              </w:rPr>
              <w:t xml:space="preserve">1 </w:t>
            </w:r>
            <w:r>
              <w:rPr>
                <w:rFonts w:hint="eastAsia"/>
                <w:sz w:val="21"/>
                <w:szCs w:val="21"/>
                <w:highlight w:val="none"/>
                <w:lang w:val="en-US" w:eastAsia="zh-CN"/>
              </w:rPr>
              <w:t xml:space="preserve">项业绩得 </w:t>
            </w:r>
            <w:r>
              <w:rPr>
                <w:rFonts w:hint="default"/>
                <w:sz w:val="21"/>
                <w:szCs w:val="21"/>
                <w:highlight w:val="none"/>
                <w:lang w:val="en-US" w:eastAsia="zh-CN"/>
              </w:rPr>
              <w:t xml:space="preserve">2 </w:t>
            </w:r>
            <w:r>
              <w:rPr>
                <w:rFonts w:hint="eastAsia"/>
                <w:sz w:val="21"/>
                <w:szCs w:val="21"/>
                <w:highlight w:val="none"/>
                <w:lang w:val="en-US" w:eastAsia="zh-CN"/>
              </w:rPr>
              <w:t xml:space="preserve">分。本项最高得分 </w:t>
            </w:r>
            <w:r>
              <w:rPr>
                <w:rFonts w:hint="default"/>
                <w:sz w:val="21"/>
                <w:szCs w:val="21"/>
                <w:highlight w:val="none"/>
                <w:lang w:val="en-US" w:eastAsia="zh-CN"/>
              </w:rPr>
              <w:t xml:space="preserve">10 </w:t>
            </w:r>
            <w:r>
              <w:rPr>
                <w:rFonts w:hint="eastAsia"/>
                <w:sz w:val="21"/>
                <w:szCs w:val="21"/>
                <w:highlight w:val="none"/>
                <w:lang w:val="en-US" w:eastAsia="zh-CN"/>
              </w:rPr>
              <w:t>分；需提供相关证明合同并加盖公章。注：类似业绩以合同签订得日期为准。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Align w:val="center"/>
          </w:tcPr>
          <w:p>
            <w:pPr>
              <w:rPr>
                <w:sz w:val="21"/>
                <w:szCs w:val="21"/>
              </w:rPr>
            </w:pPr>
            <w:r>
              <w:rPr>
                <w:sz w:val="21"/>
                <w:szCs w:val="21"/>
              </w:rPr>
              <w:t>2.2.4(5)</w:t>
            </w:r>
          </w:p>
        </w:tc>
        <w:tc>
          <w:tcPr>
            <w:tcW w:w="1560" w:type="dxa"/>
            <w:gridSpan w:val="2"/>
            <w:vAlign w:val="center"/>
          </w:tcPr>
          <w:p>
            <w:pPr>
              <w:jc w:val="center"/>
              <w:rPr>
                <w:sz w:val="21"/>
                <w:szCs w:val="21"/>
              </w:rPr>
            </w:pPr>
            <w:r>
              <w:rPr>
                <w:rFonts w:hint="eastAsia"/>
                <w:sz w:val="21"/>
                <w:szCs w:val="21"/>
              </w:rPr>
              <w:t>投标报价评分</w:t>
            </w:r>
            <w:r>
              <w:rPr>
                <w:rFonts w:hint="eastAsia" w:ascii="宋体" w:hAnsi="宋体"/>
                <w:sz w:val="21"/>
                <w:szCs w:val="21"/>
              </w:rPr>
              <w:t>（30分）</w:t>
            </w:r>
          </w:p>
        </w:tc>
        <w:tc>
          <w:tcPr>
            <w:tcW w:w="3118" w:type="dxa"/>
            <w:gridSpan w:val="2"/>
            <w:vAlign w:val="center"/>
          </w:tcPr>
          <w:p>
            <w:pPr>
              <w:jc w:val="left"/>
              <w:rPr>
                <w:rFonts w:hint="eastAsia" w:ascii="宋体" w:hAnsi="宋体"/>
                <w:sz w:val="21"/>
                <w:szCs w:val="21"/>
              </w:rPr>
            </w:pPr>
            <w:r>
              <w:rPr>
                <w:rFonts w:hint="eastAsia" w:ascii="宋体" w:hAnsi="宋体"/>
                <w:sz w:val="21"/>
                <w:szCs w:val="21"/>
              </w:rPr>
              <w:t>投标报价（30分）</w:t>
            </w:r>
          </w:p>
        </w:tc>
        <w:tc>
          <w:tcPr>
            <w:tcW w:w="3402" w:type="dxa"/>
            <w:gridSpan w:val="2"/>
            <w:vAlign w:val="center"/>
          </w:tcPr>
          <w:p>
            <w:pPr>
              <w:pStyle w:val="23"/>
              <w:textAlignment w:val="center"/>
              <w:rPr>
                <w:sz w:val="21"/>
                <w:szCs w:val="21"/>
              </w:rPr>
            </w:pPr>
            <w:r>
              <w:rPr>
                <w:rFonts w:hint="eastAsia"/>
                <w:sz w:val="21"/>
                <w:szCs w:val="21"/>
              </w:rPr>
              <w:t>投标报价等于基准价得30分，投标报价每高于基准价1%（含1%）扣0.9分，投标报价每低于基准价1%（含1%）扣0.6分（中间采用插入法计算，得分扣完为止）</w:t>
            </w:r>
          </w:p>
          <w:p>
            <w:pPr>
              <w:pStyle w:val="23"/>
              <w:textAlignment w:val="center"/>
              <w:rPr>
                <w:sz w:val="21"/>
                <w:szCs w:val="21"/>
              </w:rPr>
            </w:pPr>
            <w:r>
              <w:rPr>
                <w:rFonts w:hint="eastAsia"/>
                <w:sz w:val="21"/>
                <w:szCs w:val="21"/>
              </w:rPr>
              <w:t>基准价：投标人的有效报价去掉一个最低报价，去掉一个最高报价（有效投标人不足5家的，以所有有效投标人报价的算术平平均值作为评标基准价）之后的算术平均值作为基准价。</w:t>
            </w:r>
          </w:p>
        </w:tc>
      </w:tr>
    </w:tbl>
    <w:p/>
    <w:p>
      <w:pPr>
        <w:widowControl/>
        <w:jc w:val="left"/>
        <w:rPr>
          <w:rFonts w:ascii="Arial" w:hAnsi="Arial" w:eastAsia="黑体"/>
          <w:bCs/>
          <w:sz w:val="28"/>
          <w:szCs w:val="28"/>
        </w:rPr>
      </w:pPr>
      <w:r>
        <w:br w:type="page"/>
      </w:r>
    </w:p>
    <w:p>
      <w:pPr>
        <w:pStyle w:val="60"/>
        <w:outlineLvl w:val="2"/>
      </w:pPr>
      <w:bookmarkStart w:id="31" w:name="_Toc21780685"/>
      <w:r>
        <w:t xml:space="preserve">1. </w:t>
      </w:r>
      <w:r>
        <w:rPr>
          <w:rFonts w:hint="eastAsia"/>
        </w:rPr>
        <w:t>评标方法</w:t>
      </w:r>
      <w:bookmarkEnd w:id="27"/>
      <w:bookmarkEnd w:id="28"/>
      <w:bookmarkEnd w:id="29"/>
      <w:bookmarkEnd w:id="30"/>
      <w:bookmarkEnd w:id="31"/>
    </w:p>
    <w:p>
      <w:pPr>
        <w:spacing w:line="400" w:lineRule="exact"/>
        <w:ind w:firstLine="420" w:firstLineChars="200"/>
      </w:pPr>
      <w:r>
        <w:rPr>
          <w:rFonts w:hint="eastAsia"/>
        </w:rPr>
        <w:t>本次评标采用综合评估法。评标委员会对满足招标文件实质性要求的投标文件，按照本章第</w:t>
      </w:r>
      <w:r>
        <w:t xml:space="preserve">2.2 </w:t>
      </w:r>
      <w:r>
        <w:rPr>
          <w:rFonts w:hint="eastAsia"/>
        </w:rPr>
        <w:t>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60"/>
        <w:outlineLvl w:val="2"/>
      </w:pPr>
      <w:bookmarkStart w:id="32" w:name="_Toc384825036"/>
      <w:bookmarkStart w:id="33" w:name="_Toc303840943"/>
      <w:bookmarkStart w:id="34" w:name="_Toc21780686"/>
      <w:bookmarkStart w:id="35" w:name="_Toc286357742"/>
      <w:bookmarkStart w:id="36" w:name="_Toc464138327"/>
      <w:bookmarkStart w:id="37" w:name="_Toc426621014"/>
      <w:r>
        <w:t xml:space="preserve">2. </w:t>
      </w:r>
      <w:r>
        <w:rPr>
          <w:rFonts w:hint="eastAsia"/>
        </w:rPr>
        <w:t>评审标准</w:t>
      </w:r>
      <w:bookmarkEnd w:id="32"/>
      <w:bookmarkEnd w:id="33"/>
      <w:bookmarkEnd w:id="34"/>
      <w:bookmarkEnd w:id="35"/>
      <w:bookmarkEnd w:id="36"/>
      <w:bookmarkEnd w:id="37"/>
    </w:p>
    <w:p>
      <w:pPr>
        <w:pStyle w:val="58"/>
        <w:outlineLvl w:val="3"/>
      </w:pPr>
      <w:bookmarkStart w:id="38" w:name="_Toc426621015"/>
      <w:bookmarkStart w:id="39" w:name="_Toc384825037"/>
      <w:bookmarkStart w:id="40" w:name="_Toc303840944"/>
      <w:bookmarkStart w:id="41" w:name="_Toc464138328"/>
      <w:bookmarkStart w:id="42" w:name="_Toc286357743"/>
      <w:r>
        <w:t xml:space="preserve">2.1 </w:t>
      </w:r>
      <w:r>
        <w:rPr>
          <w:rFonts w:hint="eastAsia"/>
        </w:rPr>
        <w:t>初步评审标准</w:t>
      </w:r>
      <w:bookmarkEnd w:id="38"/>
      <w:bookmarkEnd w:id="39"/>
      <w:bookmarkEnd w:id="40"/>
      <w:bookmarkEnd w:id="41"/>
      <w:bookmarkEnd w:id="42"/>
    </w:p>
    <w:p>
      <w:pPr>
        <w:spacing w:line="400" w:lineRule="exact"/>
        <w:ind w:firstLine="420" w:firstLineChars="200"/>
      </w:pPr>
      <w:r>
        <w:t xml:space="preserve">2.1.1  </w:t>
      </w:r>
      <w:r>
        <w:rPr>
          <w:rFonts w:hint="eastAsia"/>
        </w:rPr>
        <w:t>形式评审标准：见评标办法前附表。</w:t>
      </w:r>
    </w:p>
    <w:p>
      <w:pPr>
        <w:spacing w:line="400" w:lineRule="exact"/>
        <w:ind w:firstLine="420" w:firstLineChars="200"/>
      </w:pPr>
      <w:r>
        <w:t xml:space="preserve">2.1.2 </w:t>
      </w:r>
      <w:r>
        <w:rPr>
          <w:rFonts w:hint="eastAsia"/>
        </w:rPr>
        <w:t>资格评审标准：见评标办法前附表。</w:t>
      </w:r>
    </w:p>
    <w:p>
      <w:pPr>
        <w:spacing w:line="400" w:lineRule="exact"/>
        <w:ind w:firstLine="420" w:firstLineChars="200"/>
      </w:pPr>
      <w:r>
        <w:t xml:space="preserve">2.1.3  </w:t>
      </w:r>
      <w:r>
        <w:rPr>
          <w:rFonts w:hint="eastAsia"/>
        </w:rPr>
        <w:t>响应性评审标准：见评标办法前附表。</w:t>
      </w:r>
    </w:p>
    <w:p>
      <w:pPr>
        <w:pStyle w:val="58"/>
        <w:outlineLvl w:val="3"/>
      </w:pPr>
      <w:bookmarkStart w:id="43" w:name="_Toc286357744"/>
      <w:bookmarkStart w:id="44" w:name="_Toc303840945"/>
      <w:bookmarkStart w:id="45" w:name="_Toc464138329"/>
      <w:bookmarkStart w:id="46" w:name="_Toc384825038"/>
      <w:bookmarkStart w:id="47" w:name="_Toc426621016"/>
      <w:r>
        <w:t xml:space="preserve">2.2 </w:t>
      </w:r>
      <w:r>
        <w:rPr>
          <w:rFonts w:hint="eastAsia"/>
        </w:rPr>
        <w:t>分值构成与评分标准</w:t>
      </w:r>
      <w:bookmarkEnd w:id="43"/>
      <w:bookmarkEnd w:id="44"/>
      <w:bookmarkEnd w:id="45"/>
      <w:bookmarkEnd w:id="46"/>
      <w:bookmarkEnd w:id="47"/>
    </w:p>
    <w:p>
      <w:pPr>
        <w:spacing w:line="400" w:lineRule="exact"/>
        <w:ind w:firstLine="420" w:firstLineChars="200"/>
      </w:pPr>
      <w:r>
        <w:t>2.2.1</w:t>
      </w:r>
      <w:r>
        <w:rPr>
          <w:rFonts w:hint="eastAsia"/>
        </w:rPr>
        <w:t>分值构成：见评标办法前附表。</w:t>
      </w:r>
    </w:p>
    <w:p>
      <w:pPr>
        <w:spacing w:line="400" w:lineRule="exact"/>
        <w:ind w:firstLine="420" w:firstLineChars="200"/>
      </w:pPr>
      <w:r>
        <w:t xml:space="preserve">2.2.2 </w:t>
      </w:r>
      <w:r>
        <w:rPr>
          <w:rFonts w:hint="eastAsia"/>
        </w:rPr>
        <w:t>评标基准价计算评标基准价计算方法：见评标办法前附表。</w:t>
      </w:r>
    </w:p>
    <w:p>
      <w:pPr>
        <w:spacing w:line="400" w:lineRule="exact"/>
        <w:ind w:firstLine="420" w:firstLineChars="200"/>
      </w:pPr>
      <w:r>
        <w:t xml:space="preserve">2.2.3 </w:t>
      </w:r>
      <w:r>
        <w:rPr>
          <w:rFonts w:hint="eastAsia"/>
        </w:rPr>
        <w:t>投标报价的偏差率计算投标报价的偏差率计算公式：见评标办法前附表。</w:t>
      </w:r>
    </w:p>
    <w:p>
      <w:pPr>
        <w:spacing w:line="400" w:lineRule="exact"/>
        <w:ind w:firstLine="420" w:firstLineChars="200"/>
      </w:pPr>
      <w:r>
        <w:t>2.2.4</w:t>
      </w:r>
      <w:r>
        <w:rPr>
          <w:rFonts w:hint="eastAsia"/>
        </w:rPr>
        <w:t>评分标准：见评标办法前附表。</w:t>
      </w:r>
    </w:p>
    <w:p>
      <w:pPr>
        <w:pStyle w:val="60"/>
        <w:outlineLvl w:val="2"/>
      </w:pPr>
      <w:bookmarkStart w:id="48" w:name="_Toc286357745"/>
      <w:bookmarkStart w:id="49" w:name="_Toc21780687"/>
      <w:bookmarkStart w:id="50" w:name="_Toc303840946"/>
      <w:bookmarkStart w:id="51" w:name="_Toc464138330"/>
      <w:bookmarkStart w:id="52" w:name="_Toc384825039"/>
      <w:bookmarkStart w:id="53" w:name="_Toc426621017"/>
      <w:r>
        <w:t xml:space="preserve">3. </w:t>
      </w:r>
      <w:r>
        <w:rPr>
          <w:rFonts w:hint="eastAsia"/>
        </w:rPr>
        <w:t>评标程序</w:t>
      </w:r>
      <w:bookmarkEnd w:id="48"/>
      <w:bookmarkEnd w:id="49"/>
      <w:bookmarkEnd w:id="50"/>
      <w:bookmarkEnd w:id="51"/>
      <w:bookmarkEnd w:id="52"/>
      <w:bookmarkEnd w:id="53"/>
    </w:p>
    <w:p>
      <w:pPr>
        <w:pStyle w:val="58"/>
        <w:outlineLvl w:val="3"/>
      </w:pPr>
      <w:bookmarkStart w:id="54" w:name="_Toc426621018"/>
      <w:bookmarkStart w:id="55" w:name="_Toc464138331"/>
      <w:bookmarkStart w:id="56" w:name="_Toc303840947"/>
      <w:bookmarkStart w:id="57" w:name="_Toc286357746"/>
      <w:bookmarkStart w:id="58" w:name="_Toc384825040"/>
      <w:r>
        <w:t xml:space="preserve">3.1 </w:t>
      </w:r>
      <w:r>
        <w:rPr>
          <w:rFonts w:hint="eastAsia"/>
        </w:rPr>
        <w:t>初步评审</w:t>
      </w:r>
      <w:bookmarkEnd w:id="54"/>
      <w:bookmarkEnd w:id="55"/>
      <w:bookmarkEnd w:id="56"/>
      <w:bookmarkEnd w:id="57"/>
      <w:bookmarkEnd w:id="58"/>
    </w:p>
    <w:p>
      <w:pPr>
        <w:spacing w:line="380" w:lineRule="exact"/>
        <w:ind w:firstLine="420" w:firstLineChars="200"/>
      </w:pPr>
      <w:r>
        <w:t xml:space="preserve">3.1.1  </w:t>
      </w:r>
      <w:r>
        <w:rPr>
          <w:rFonts w:hint="eastAsia"/>
        </w:rPr>
        <w:t>评评标委员会可以要求投标人提交第二章“投标人须知”第3.5.1 项至第3.5.5 项规定的有关证明和证件的原件，以便核验。评标委员会依据本章第2.1 款规定的标准对投标文件进行初步评审。有一项不符合评审标准的，作否决投标处理。</w:t>
      </w:r>
    </w:p>
    <w:p>
      <w:pPr>
        <w:spacing w:line="380" w:lineRule="exact"/>
        <w:ind w:firstLine="420" w:firstLineChars="200"/>
      </w:pPr>
      <w:r>
        <w:t xml:space="preserve">3.1.2  </w:t>
      </w:r>
      <w:r>
        <w:rPr>
          <w:rFonts w:hint="eastAsia"/>
        </w:rPr>
        <w:t>投标人有以下情形之一的，其投标作否决投标处理：</w:t>
      </w:r>
    </w:p>
    <w:p>
      <w:pPr>
        <w:spacing w:line="380" w:lineRule="exact"/>
        <w:ind w:firstLine="420" w:firstLineChars="200"/>
      </w:pPr>
      <w:r>
        <w:rPr>
          <w:rFonts w:hint="eastAsia"/>
        </w:rPr>
        <w:t>（</w:t>
      </w:r>
      <w:r>
        <w:t>1</w:t>
      </w:r>
      <w:r>
        <w:rPr>
          <w:rFonts w:hint="eastAsia"/>
        </w:rPr>
        <w:t>）第二章总则第</w:t>
      </w:r>
      <w:r>
        <w:t>1.4.</w:t>
      </w:r>
      <w:r>
        <w:rPr>
          <w:rFonts w:hint="eastAsia"/>
        </w:rPr>
        <w:t>3项规定的任何一种情形的；</w:t>
      </w:r>
    </w:p>
    <w:p>
      <w:pPr>
        <w:spacing w:line="380" w:lineRule="exact"/>
        <w:ind w:firstLine="420" w:firstLineChars="200"/>
      </w:pPr>
      <w:r>
        <w:rPr>
          <w:rFonts w:hint="eastAsia"/>
        </w:rPr>
        <w:t>（</w:t>
      </w:r>
      <w:r>
        <w:t>2</w:t>
      </w:r>
      <w:r>
        <w:rPr>
          <w:rFonts w:hint="eastAsia"/>
        </w:rPr>
        <w:t>）串通投标或弄虚作假或有其他违法行为的；</w:t>
      </w:r>
    </w:p>
    <w:p>
      <w:pPr>
        <w:spacing w:line="380" w:lineRule="exact"/>
        <w:ind w:firstLine="420" w:firstLineChars="200"/>
      </w:pPr>
      <w:r>
        <w:rPr>
          <w:rFonts w:hint="eastAsia"/>
        </w:rPr>
        <w:t>（</w:t>
      </w:r>
      <w:r>
        <w:t>3</w:t>
      </w:r>
      <w:r>
        <w:rPr>
          <w:rFonts w:hint="eastAsia"/>
        </w:rPr>
        <w:t>）不按评标委员会要求澄清、说明或补正的。</w:t>
      </w:r>
    </w:p>
    <w:p>
      <w:pPr>
        <w:spacing w:line="380" w:lineRule="exact"/>
        <w:ind w:firstLine="420" w:firstLineChars="200"/>
      </w:pPr>
      <w:r>
        <w:t xml:space="preserve">3.1.3 </w:t>
      </w:r>
      <w:r>
        <w:rPr>
          <w:rFonts w:hint="eastAsia"/>
        </w:rPr>
        <w:t>投标报价有算术错误的，评标委员会按前附表规定的原则对投标报价进行修正，修正的价格经投标人书面确认后具有约束力。投标人不接受修正价格的，其投标作否决投标处理。</w:t>
      </w:r>
    </w:p>
    <w:p>
      <w:pPr>
        <w:pStyle w:val="58"/>
        <w:outlineLvl w:val="3"/>
      </w:pPr>
      <w:bookmarkStart w:id="59" w:name="_Toc303840948"/>
      <w:bookmarkStart w:id="60" w:name="_Toc384825041"/>
      <w:bookmarkStart w:id="61" w:name="_Toc286357747"/>
      <w:bookmarkStart w:id="62" w:name="_Toc426621019"/>
      <w:bookmarkStart w:id="63" w:name="_Toc464138332"/>
      <w:r>
        <w:t xml:space="preserve">3.2 </w:t>
      </w:r>
      <w:r>
        <w:rPr>
          <w:rFonts w:hint="eastAsia"/>
        </w:rPr>
        <w:t>详细评审</w:t>
      </w:r>
      <w:bookmarkEnd w:id="59"/>
      <w:bookmarkEnd w:id="60"/>
      <w:bookmarkEnd w:id="61"/>
      <w:bookmarkEnd w:id="62"/>
      <w:bookmarkEnd w:id="63"/>
    </w:p>
    <w:p>
      <w:pPr>
        <w:spacing w:line="380" w:lineRule="exact"/>
        <w:ind w:firstLine="420" w:firstLineChars="200"/>
      </w:pPr>
      <w:r>
        <w:t xml:space="preserve">3.2.1 </w:t>
      </w:r>
      <w:r>
        <w:rPr>
          <w:rFonts w:hint="eastAsia"/>
        </w:rPr>
        <w:t>评标委员会按本章第</w:t>
      </w:r>
      <w:r>
        <w:t xml:space="preserve">2.2 </w:t>
      </w:r>
      <w:r>
        <w:rPr>
          <w:rFonts w:hint="eastAsia"/>
        </w:rPr>
        <w:t>款规定的量化因素和分值进行打分，并计算出综合评估得分。</w:t>
      </w:r>
    </w:p>
    <w:p>
      <w:pPr>
        <w:spacing w:line="380" w:lineRule="exact"/>
        <w:ind w:firstLine="420" w:firstLineChars="200"/>
      </w:pPr>
      <w:r>
        <w:rPr>
          <w:rFonts w:hint="eastAsia"/>
        </w:rPr>
        <w:t>（</w:t>
      </w:r>
      <w:r>
        <w:t>1</w:t>
      </w:r>
      <w:r>
        <w:rPr>
          <w:rFonts w:hint="eastAsia"/>
        </w:rPr>
        <w:t>）按本章第</w:t>
      </w:r>
      <w:r>
        <w:t>2.2.4</w:t>
      </w:r>
      <w:r>
        <w:rPr>
          <w:rFonts w:hint="eastAsia"/>
        </w:rPr>
        <w:t>（</w:t>
      </w:r>
      <w:r>
        <w:t>1</w:t>
      </w:r>
      <w:r>
        <w:rPr>
          <w:rFonts w:hint="eastAsia"/>
        </w:rPr>
        <w:t>）目规定的评审因素和分值对投标报价等计算出得分</w:t>
      </w:r>
      <w:r>
        <w:t>A</w:t>
      </w:r>
      <w:r>
        <w:rPr>
          <w:rFonts w:hint="eastAsia"/>
        </w:rPr>
        <w:t>；</w:t>
      </w:r>
    </w:p>
    <w:p>
      <w:pPr>
        <w:spacing w:line="380" w:lineRule="exact"/>
        <w:ind w:firstLine="420" w:firstLineChars="200"/>
      </w:pPr>
      <w:r>
        <w:rPr>
          <w:rFonts w:hint="eastAsia"/>
        </w:rPr>
        <w:t>（</w:t>
      </w:r>
      <w:r>
        <w:t>2</w:t>
      </w:r>
      <w:r>
        <w:rPr>
          <w:rFonts w:hint="eastAsia"/>
        </w:rPr>
        <w:t>）按本章第</w:t>
      </w:r>
      <w:r>
        <w:t>2.2.4</w:t>
      </w:r>
      <w:r>
        <w:rPr>
          <w:rFonts w:hint="eastAsia"/>
        </w:rPr>
        <w:t>（</w:t>
      </w:r>
      <w:r>
        <w:t>2</w:t>
      </w:r>
      <w:r>
        <w:rPr>
          <w:rFonts w:hint="eastAsia"/>
        </w:rPr>
        <w:t>）目规定的评审因素和分值对技术响应计算出得分</w:t>
      </w:r>
      <w:r>
        <w:t>B</w:t>
      </w:r>
      <w:r>
        <w:rPr>
          <w:rFonts w:hint="eastAsia"/>
        </w:rPr>
        <w:t>；</w:t>
      </w:r>
    </w:p>
    <w:p>
      <w:pPr>
        <w:spacing w:line="380" w:lineRule="exact"/>
        <w:ind w:firstLine="420" w:firstLineChars="200"/>
        <w:rPr>
          <w:rFonts w:hint="eastAsia"/>
        </w:rPr>
      </w:pPr>
      <w:r>
        <w:rPr>
          <w:rFonts w:hint="eastAsia"/>
        </w:rPr>
        <w:t>（</w:t>
      </w:r>
      <w:r>
        <w:t>3</w:t>
      </w:r>
      <w:r>
        <w:rPr>
          <w:rFonts w:hint="eastAsia"/>
        </w:rPr>
        <w:t>）按本章第</w:t>
      </w:r>
      <w:r>
        <w:t>2.2.4</w:t>
      </w:r>
      <w:r>
        <w:rPr>
          <w:rFonts w:hint="eastAsia"/>
        </w:rPr>
        <w:t>（</w:t>
      </w:r>
      <w:r>
        <w:t>3</w:t>
      </w:r>
      <w:r>
        <w:rPr>
          <w:rFonts w:hint="eastAsia"/>
        </w:rPr>
        <w:t>）目规定的评审因素和分值对商务响应计算出得分</w:t>
      </w:r>
      <w:r>
        <w:t>C</w:t>
      </w:r>
      <w:r>
        <w:rPr>
          <w:rFonts w:hint="eastAsia"/>
        </w:rPr>
        <w:t>。</w:t>
      </w:r>
    </w:p>
    <w:p>
      <w:pPr>
        <w:spacing w:line="380" w:lineRule="exact"/>
        <w:ind w:firstLine="420" w:firstLineChars="200"/>
      </w:pPr>
      <w:r>
        <w:rPr>
          <w:rFonts w:hint="eastAsia"/>
        </w:rPr>
        <w:t>（</w:t>
      </w:r>
      <w:r>
        <w:rPr>
          <w:rFonts w:hint="eastAsia"/>
          <w:lang w:val="en-US" w:eastAsia="zh-CN"/>
        </w:rPr>
        <w:t>4</w:t>
      </w:r>
      <w:r>
        <w:rPr>
          <w:rFonts w:hint="eastAsia"/>
        </w:rPr>
        <w:t>）按本章第</w:t>
      </w:r>
      <w:r>
        <w:t>2.2.4</w:t>
      </w:r>
      <w:r>
        <w:rPr>
          <w:rFonts w:hint="eastAsia"/>
        </w:rPr>
        <w:t>（</w:t>
      </w:r>
      <w:r>
        <w:rPr>
          <w:rFonts w:hint="eastAsia"/>
          <w:lang w:val="en-US" w:eastAsia="zh-CN"/>
        </w:rPr>
        <w:t>4</w:t>
      </w:r>
      <w:r>
        <w:rPr>
          <w:rFonts w:hint="eastAsia"/>
        </w:rPr>
        <w:t>）目规定的评审因素和分值对商务响应计算出得分</w:t>
      </w:r>
      <w:r>
        <w:rPr>
          <w:rFonts w:hint="eastAsia"/>
          <w:lang w:val="en-US" w:eastAsia="zh-CN"/>
        </w:rPr>
        <w:t>D</w:t>
      </w:r>
      <w:r>
        <w:rPr>
          <w:rFonts w:hint="eastAsia"/>
        </w:rPr>
        <w:t>。</w:t>
      </w:r>
    </w:p>
    <w:p>
      <w:pPr>
        <w:spacing w:line="380" w:lineRule="exact"/>
        <w:ind w:firstLine="420" w:firstLineChars="200"/>
      </w:pPr>
      <w:r>
        <w:rPr>
          <w:rFonts w:hint="eastAsia"/>
        </w:rPr>
        <w:t>（</w:t>
      </w:r>
      <w:r>
        <w:rPr>
          <w:rFonts w:hint="eastAsia"/>
          <w:lang w:val="en-US" w:eastAsia="zh-CN"/>
        </w:rPr>
        <w:t>5</w:t>
      </w:r>
      <w:r>
        <w:rPr>
          <w:rFonts w:hint="eastAsia"/>
        </w:rPr>
        <w:t>）按本章第</w:t>
      </w:r>
      <w:r>
        <w:t>2.2.4</w:t>
      </w:r>
      <w:r>
        <w:rPr>
          <w:rFonts w:hint="eastAsia"/>
        </w:rPr>
        <w:t>（</w:t>
      </w:r>
      <w:r>
        <w:rPr>
          <w:rFonts w:hint="eastAsia"/>
          <w:lang w:val="en-US" w:eastAsia="zh-CN"/>
        </w:rPr>
        <w:t>5</w:t>
      </w:r>
      <w:r>
        <w:rPr>
          <w:rFonts w:hint="eastAsia"/>
        </w:rPr>
        <w:t>）目规定的评审因素和分值对商务响应计算出得分</w:t>
      </w:r>
      <w:r>
        <w:rPr>
          <w:rFonts w:hint="eastAsia"/>
          <w:lang w:val="en-US" w:eastAsia="zh-CN"/>
        </w:rPr>
        <w:t>E</w:t>
      </w:r>
      <w:r>
        <w:rPr>
          <w:rFonts w:hint="eastAsia"/>
        </w:rPr>
        <w:t>。</w:t>
      </w:r>
    </w:p>
    <w:p>
      <w:pPr>
        <w:spacing w:line="380" w:lineRule="exact"/>
        <w:ind w:firstLine="420" w:firstLineChars="200"/>
      </w:pPr>
    </w:p>
    <w:p>
      <w:pPr>
        <w:spacing w:line="380" w:lineRule="exact"/>
        <w:ind w:firstLine="420" w:firstLineChars="200"/>
      </w:pPr>
      <w:r>
        <w:rPr>
          <w:rFonts w:hint="eastAsia"/>
        </w:rPr>
        <w:t>投标人得分</w:t>
      </w:r>
      <w:r>
        <w:t>=A+B+C</w:t>
      </w:r>
      <w:r>
        <w:rPr>
          <w:rFonts w:hint="eastAsia"/>
          <w:lang w:val="en-US" w:eastAsia="zh-CN"/>
        </w:rPr>
        <w:t>+D+E</w:t>
      </w:r>
      <w:r>
        <w:rPr>
          <w:rFonts w:hint="eastAsia"/>
        </w:rPr>
        <w:t>。</w:t>
      </w:r>
    </w:p>
    <w:p>
      <w:pPr>
        <w:spacing w:line="380" w:lineRule="exact"/>
        <w:ind w:firstLine="420" w:firstLineChars="200"/>
      </w:pPr>
      <w:r>
        <w:rPr>
          <w:rFonts w:hint="eastAsia"/>
        </w:rPr>
        <w:t>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p>
    <w:p>
      <w:pPr>
        <w:pStyle w:val="58"/>
        <w:outlineLvl w:val="3"/>
      </w:pPr>
      <w:bookmarkStart w:id="64" w:name="_Toc426621020"/>
      <w:bookmarkStart w:id="65" w:name="_Toc286357748"/>
      <w:bookmarkStart w:id="66" w:name="_Toc384825042"/>
      <w:bookmarkStart w:id="67" w:name="_Toc303840949"/>
      <w:bookmarkStart w:id="68" w:name="_Toc464138333"/>
      <w:r>
        <w:t xml:space="preserve">3.3 </w:t>
      </w:r>
      <w:r>
        <w:rPr>
          <w:rFonts w:hint="eastAsia"/>
        </w:rPr>
        <w:t>投标文件的澄清和补正</w:t>
      </w:r>
      <w:bookmarkEnd w:id="64"/>
      <w:bookmarkEnd w:id="65"/>
      <w:bookmarkEnd w:id="66"/>
      <w:bookmarkEnd w:id="67"/>
      <w:bookmarkEnd w:id="68"/>
    </w:p>
    <w:p>
      <w:pPr>
        <w:spacing w:line="380" w:lineRule="exact"/>
        <w:ind w:firstLine="420" w:firstLineChars="200"/>
      </w:pPr>
      <w:r>
        <w:t xml:space="preserve">3.3.1 </w:t>
      </w:r>
      <w:r>
        <w:rPr>
          <w:rFonts w:hint="eastAsia"/>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80" w:lineRule="exact"/>
        <w:ind w:firstLine="420" w:firstLineChars="200"/>
      </w:pPr>
      <w:r>
        <w:t xml:space="preserve">3.3.2 </w:t>
      </w:r>
      <w:r>
        <w:rPr>
          <w:rFonts w:hint="eastAsia"/>
        </w:rPr>
        <w:t>澄清、说明和补正不得改变投标文件的实质性内容（算术性错误修正的除外）。投标人的书面澄清、说明和补正属于投标文件的组成部分。</w:t>
      </w:r>
    </w:p>
    <w:p>
      <w:pPr>
        <w:spacing w:line="380" w:lineRule="exact"/>
        <w:ind w:firstLine="420" w:firstLineChars="200"/>
      </w:pPr>
      <w:r>
        <w:t xml:space="preserve">3.3.3 </w:t>
      </w:r>
      <w:r>
        <w:rPr>
          <w:rFonts w:hint="eastAsia"/>
        </w:rPr>
        <w:t>评标委员会对投标人提交的澄清、说明或补正有疑问的，可以要求投标人进一步澄清、说明或补正，直至满足评标委员会的要求。</w:t>
      </w:r>
    </w:p>
    <w:p>
      <w:pPr>
        <w:pStyle w:val="58"/>
        <w:outlineLvl w:val="3"/>
      </w:pPr>
      <w:bookmarkStart w:id="69" w:name="_Toc464138334"/>
      <w:bookmarkStart w:id="70" w:name="_Toc426621021"/>
      <w:bookmarkStart w:id="71" w:name="_Toc384825043"/>
      <w:bookmarkStart w:id="72" w:name="_Toc286357749"/>
      <w:bookmarkStart w:id="73" w:name="_Toc303840950"/>
      <w:r>
        <w:t xml:space="preserve">3.4 </w:t>
      </w:r>
      <w:r>
        <w:rPr>
          <w:rFonts w:hint="eastAsia"/>
        </w:rPr>
        <w:t>评标结果</w:t>
      </w:r>
      <w:bookmarkEnd w:id="69"/>
      <w:bookmarkEnd w:id="70"/>
      <w:bookmarkEnd w:id="71"/>
      <w:bookmarkEnd w:id="72"/>
      <w:bookmarkEnd w:id="73"/>
    </w:p>
    <w:p>
      <w:pPr>
        <w:spacing w:line="380" w:lineRule="exact"/>
        <w:ind w:firstLine="420" w:firstLineChars="200"/>
      </w:pPr>
      <w:r>
        <w:t xml:space="preserve">3.4.1  </w:t>
      </w:r>
      <w:r>
        <w:rPr>
          <w:rFonts w:hint="eastAsia"/>
        </w:rPr>
        <w:t>除第二章</w:t>
      </w:r>
      <w:r>
        <w:t>“</w:t>
      </w:r>
      <w:r>
        <w:rPr>
          <w:rFonts w:hint="eastAsia"/>
        </w:rPr>
        <w:t>投标人须知</w:t>
      </w:r>
      <w:r>
        <w:t>”</w:t>
      </w:r>
      <w:r>
        <w:rPr>
          <w:rFonts w:hint="eastAsia"/>
        </w:rPr>
        <w:t>前附表授权直接确定中标人外，评标委员会按照得分由高到低的顺序推荐中标候选人。</w:t>
      </w:r>
    </w:p>
    <w:p>
      <w:pPr>
        <w:spacing w:line="380" w:lineRule="exact"/>
        <w:ind w:firstLine="420" w:firstLineChars="200"/>
      </w:pPr>
      <w:r>
        <w:t xml:space="preserve">3.4.2  </w:t>
      </w:r>
      <w:r>
        <w:rPr>
          <w:rFonts w:hint="eastAsia"/>
        </w:rPr>
        <w:t>评标委员会完成评标后，应当向招标人提交书面评标报告。</w:t>
      </w:r>
    </w:p>
    <w:p>
      <w:pPr>
        <w:pStyle w:val="56"/>
        <w:outlineLvl w:val="1"/>
        <w:rPr>
          <w:kern w:val="0"/>
        </w:rPr>
      </w:pPr>
      <w:r>
        <w:rPr>
          <w:kern w:val="0"/>
        </w:rPr>
        <w:br w:type="page"/>
      </w:r>
      <w:bookmarkStart w:id="74" w:name="_Toc21780688"/>
      <w:r>
        <w:rPr>
          <w:rFonts w:hint="eastAsia"/>
          <w:kern w:val="0"/>
        </w:rPr>
        <w:t>第四章合同主要条款</w:t>
      </w:r>
      <w:bookmarkEnd w:id="25"/>
      <w:bookmarkEnd w:id="74"/>
      <w:bookmarkStart w:id="75" w:name="_Toc286358004"/>
    </w:p>
    <w:p>
      <w:pPr>
        <w:pStyle w:val="56"/>
        <w:outlineLvl w:val="1"/>
        <w:rPr>
          <w:kern w:val="0"/>
        </w:rPr>
      </w:pPr>
      <w:bookmarkStart w:id="76" w:name="_Toc21780689"/>
    </w:p>
    <w:p>
      <w:pPr>
        <w:autoSpaceDE w:val="0"/>
        <w:autoSpaceDN w:val="0"/>
        <w:spacing w:line="520" w:lineRule="atLeast"/>
        <w:ind w:left="199" w:leftChars="-75" w:hanging="357" w:hangingChars="89"/>
        <w:jc w:val="center"/>
        <w:rPr>
          <w:rFonts w:hint="eastAsia" w:ascii="黑体" w:hAnsi="宋体" w:eastAsia="黑体"/>
          <w:b/>
          <w:spacing w:val="20"/>
          <w:kern w:val="0"/>
          <w:sz w:val="36"/>
          <w:szCs w:val="36"/>
          <w:lang w:eastAsia="zh-CN"/>
        </w:rPr>
      </w:pPr>
      <w:r>
        <w:rPr>
          <w:rFonts w:hint="eastAsia" w:ascii="黑体" w:hAnsi="宋体" w:eastAsia="黑体"/>
          <w:b/>
          <w:spacing w:val="20"/>
          <w:kern w:val="0"/>
          <w:sz w:val="36"/>
          <w:szCs w:val="36"/>
          <w:lang w:eastAsia="zh-CN"/>
        </w:rPr>
        <w:t>润扬南路快速化改造工程用地预审</w:t>
      </w:r>
    </w:p>
    <w:p>
      <w:pPr>
        <w:autoSpaceDE w:val="0"/>
        <w:autoSpaceDN w:val="0"/>
        <w:spacing w:line="520" w:lineRule="atLeast"/>
        <w:ind w:left="199" w:leftChars="-75" w:hanging="357" w:hangingChars="89"/>
        <w:jc w:val="center"/>
        <w:rPr>
          <w:rFonts w:eastAsia="黑体"/>
          <w:b/>
          <w:spacing w:val="20"/>
          <w:kern w:val="0"/>
          <w:sz w:val="36"/>
          <w:szCs w:val="36"/>
        </w:rPr>
      </w:pPr>
      <w:r>
        <w:rPr>
          <w:rFonts w:hint="eastAsia" w:ascii="黑体" w:hAnsi="宋体" w:eastAsia="黑体"/>
          <w:b/>
          <w:spacing w:val="20"/>
          <w:kern w:val="0"/>
          <w:sz w:val="36"/>
          <w:szCs w:val="36"/>
          <w:lang w:eastAsia="zh-CN"/>
        </w:rPr>
        <w:t>及征地报批项目</w:t>
      </w:r>
      <w:r>
        <w:rPr>
          <w:rFonts w:eastAsia="黑体"/>
          <w:b/>
          <w:spacing w:val="20"/>
          <w:kern w:val="0"/>
          <w:sz w:val="36"/>
          <w:szCs w:val="36"/>
        </w:rPr>
        <w:t>合同</w:t>
      </w: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napToGrid w:val="0"/>
        <w:spacing w:before="936" w:beforeLines="300" w:after="936" w:afterLines="300" w:line="300" w:lineRule="exact"/>
        <w:jc w:val="left"/>
        <w:rPr>
          <w:rFonts w:ascii="黑体" w:hAnsi="宋体" w:eastAsia="黑体"/>
          <w:bCs/>
          <w:kern w:val="0"/>
          <w:sz w:val="32"/>
          <w:szCs w:val="32"/>
          <w:u w:val="single"/>
        </w:rPr>
      </w:pPr>
      <w:r>
        <w:rPr>
          <w:rFonts w:hint="eastAsia" w:ascii="黑体" w:hAnsi="宋体" w:eastAsia="黑体"/>
          <w:bCs/>
          <w:kern w:val="0"/>
          <w:sz w:val="32"/>
          <w:szCs w:val="32"/>
        </w:rPr>
        <w:t xml:space="preserve">委托方（甲方）：  </w:t>
      </w:r>
      <w:r>
        <w:rPr>
          <w:rFonts w:hint="eastAsia" w:ascii="黑体" w:hAnsi="宋体" w:eastAsia="黑体"/>
          <w:bCs/>
          <w:kern w:val="0"/>
          <w:sz w:val="32"/>
          <w:szCs w:val="32"/>
          <w:u w:val="single"/>
        </w:rPr>
        <w:t xml:space="preserve">                     </w:t>
      </w:r>
    </w:p>
    <w:p>
      <w:pPr>
        <w:widowControl/>
        <w:spacing w:before="100" w:after="100" w:line="340" w:lineRule="exact"/>
        <w:ind w:left="2560" w:hanging="2560" w:hangingChars="800"/>
        <w:jc w:val="left"/>
        <w:rPr>
          <w:rFonts w:ascii="黑体" w:hAnsi="宋体" w:eastAsia="黑体"/>
          <w:bCs/>
          <w:kern w:val="0"/>
          <w:sz w:val="32"/>
          <w:szCs w:val="32"/>
          <w:u w:val="single"/>
        </w:rPr>
      </w:pPr>
      <w:r>
        <w:rPr>
          <w:rFonts w:hint="eastAsia" w:ascii="黑体" w:hAnsi="宋体" w:eastAsia="黑体"/>
          <w:bCs/>
          <w:kern w:val="0"/>
          <w:sz w:val="32"/>
          <w:szCs w:val="32"/>
        </w:rPr>
        <w:t xml:space="preserve">承接方（乙方）： </w:t>
      </w:r>
      <w:r>
        <w:rPr>
          <w:rFonts w:hint="eastAsia" w:ascii="黑体" w:hAnsi="宋体" w:eastAsia="黑体"/>
          <w:bCs/>
          <w:kern w:val="0"/>
          <w:sz w:val="32"/>
          <w:szCs w:val="32"/>
          <w:u w:val="single"/>
        </w:rPr>
        <w:t xml:space="preserve">                     </w:t>
      </w:r>
      <w:r>
        <w:rPr>
          <w:rFonts w:hint="eastAsia" w:ascii="黑体" w:hAnsi="宋体" w:eastAsia="黑体"/>
          <w:bCs/>
          <w:kern w:val="0"/>
          <w:sz w:val="32"/>
          <w:szCs w:val="32"/>
        </w:rPr>
        <w:t xml:space="preserve"> </w:t>
      </w:r>
    </w:p>
    <w:p>
      <w:pPr>
        <w:autoSpaceDE w:val="0"/>
        <w:autoSpaceDN w:val="0"/>
        <w:snapToGrid w:val="0"/>
        <w:spacing w:before="936" w:beforeLines="300" w:after="936" w:afterLines="300"/>
        <w:jc w:val="center"/>
        <w:rPr>
          <w:rFonts w:ascii="黑体" w:hAnsi="宋体" w:eastAsia="黑体"/>
          <w:bCs/>
          <w:kern w:val="0"/>
          <w:sz w:val="32"/>
          <w:szCs w:val="32"/>
        </w:rPr>
      </w:pPr>
      <w:r>
        <w:rPr>
          <w:rFonts w:hint="eastAsia" w:ascii="黑体" w:hAnsi="宋体" w:eastAsia="黑体"/>
          <w:bCs/>
          <w:kern w:val="0"/>
          <w:sz w:val="32"/>
          <w:szCs w:val="32"/>
        </w:rPr>
        <w:t>年  月  日</w:t>
      </w:r>
    </w:p>
    <w:p>
      <w:pPr>
        <w:autoSpaceDE w:val="0"/>
        <w:autoSpaceDN w:val="0"/>
        <w:adjustRightInd w:val="0"/>
        <w:spacing w:before="100" w:after="100"/>
        <w:jc w:val="left"/>
        <w:rPr>
          <w:rFonts w:ascii="黑体" w:hAnsi="仿宋" w:eastAsia="黑体"/>
          <w:kern w:val="0"/>
          <w:sz w:val="32"/>
          <w:szCs w:val="32"/>
        </w:rPr>
        <w:sectPr>
          <w:headerReference r:id="rId9" w:type="default"/>
          <w:footnotePr>
            <w:pos w:val="beneathText"/>
          </w:footnotePr>
          <w:pgSz w:w="11905" w:h="16837"/>
          <w:pgMar w:top="1440" w:right="1800" w:bottom="1440" w:left="1800" w:header="720" w:footer="720" w:gutter="0"/>
          <w:cols w:space="720" w:num="1"/>
          <w:docGrid w:type="lines" w:linePitch="312" w:charSpace="0"/>
        </w:sectPr>
      </w:pPr>
    </w:p>
    <w:p>
      <w:pPr>
        <w:suppressAutoHyphens/>
        <w:spacing w:before="156" w:beforeLines="50" w:line="480" w:lineRule="auto"/>
        <w:rPr>
          <w:rFonts w:ascii="宋体" w:hAnsi="宋体"/>
          <w:b/>
          <w:kern w:val="0"/>
          <w:sz w:val="24"/>
          <w:szCs w:val="28"/>
          <w:u w:val="single"/>
        </w:rPr>
      </w:pPr>
      <w:r>
        <w:rPr>
          <w:rFonts w:hint="eastAsia" w:ascii="宋体" w:hAnsi="宋体"/>
          <w:b/>
          <w:kern w:val="0"/>
          <w:sz w:val="24"/>
          <w:szCs w:val="28"/>
        </w:rPr>
        <w:t>委托方</w:t>
      </w:r>
      <w:r>
        <w:rPr>
          <w:rFonts w:ascii="宋体" w:hAnsi="宋体"/>
          <w:b/>
          <w:kern w:val="0"/>
          <w:sz w:val="24"/>
          <w:szCs w:val="28"/>
        </w:rPr>
        <w:t>：</w:t>
      </w:r>
      <w:r>
        <w:rPr>
          <w:rFonts w:hint="eastAsia" w:ascii="宋体" w:hAnsi="宋体"/>
          <w:b/>
          <w:kern w:val="0"/>
          <w:sz w:val="24"/>
          <w:szCs w:val="28"/>
          <w:u w:val="single"/>
        </w:rPr>
        <w:t xml:space="preserve">                  （以下简称“甲方”）</w:t>
      </w:r>
    </w:p>
    <w:p>
      <w:pPr>
        <w:widowControl/>
        <w:spacing w:before="100" w:after="100" w:line="480" w:lineRule="auto"/>
        <w:jc w:val="left"/>
        <w:rPr>
          <w:rFonts w:ascii="宋体" w:hAnsi="宋体"/>
          <w:b/>
          <w:kern w:val="0"/>
          <w:sz w:val="24"/>
          <w:szCs w:val="28"/>
          <w:u w:val="single"/>
        </w:rPr>
      </w:pPr>
      <w:r>
        <w:rPr>
          <w:rFonts w:hint="eastAsia" w:ascii="宋体" w:hAnsi="宋体"/>
          <w:b/>
          <w:kern w:val="0"/>
          <w:sz w:val="24"/>
          <w:szCs w:val="28"/>
        </w:rPr>
        <w:t>承接方</w:t>
      </w:r>
      <w:r>
        <w:rPr>
          <w:rFonts w:ascii="宋体" w:hAnsi="宋体"/>
          <w:b/>
          <w:kern w:val="0"/>
          <w:sz w:val="24"/>
          <w:szCs w:val="28"/>
        </w:rPr>
        <w:t>：</w:t>
      </w:r>
      <w:r>
        <w:rPr>
          <w:rFonts w:hint="eastAsia" w:ascii="宋体" w:hAnsi="宋体"/>
          <w:b/>
          <w:kern w:val="0"/>
          <w:sz w:val="24"/>
          <w:szCs w:val="28"/>
          <w:u w:val="single"/>
        </w:rPr>
        <w:t xml:space="preserve">                  </w:t>
      </w:r>
      <w:r>
        <w:rPr>
          <w:rFonts w:ascii="宋体" w:hAnsi="宋体"/>
          <w:b/>
          <w:kern w:val="0"/>
          <w:sz w:val="24"/>
          <w:szCs w:val="28"/>
          <w:u w:val="single"/>
        </w:rPr>
        <w:t>（以下</w:t>
      </w:r>
      <w:r>
        <w:rPr>
          <w:rFonts w:hint="eastAsia" w:ascii="宋体" w:hAnsi="宋体"/>
          <w:b/>
          <w:kern w:val="0"/>
          <w:sz w:val="24"/>
          <w:szCs w:val="28"/>
          <w:u w:val="single"/>
        </w:rPr>
        <w:t>简</w:t>
      </w:r>
      <w:r>
        <w:rPr>
          <w:rFonts w:ascii="宋体" w:hAnsi="宋体"/>
          <w:b/>
          <w:kern w:val="0"/>
          <w:sz w:val="24"/>
          <w:szCs w:val="28"/>
          <w:u w:val="single"/>
        </w:rPr>
        <w:t>称</w:t>
      </w:r>
      <w:r>
        <w:rPr>
          <w:rFonts w:hint="eastAsia" w:ascii="宋体" w:hAnsi="宋体"/>
          <w:b/>
          <w:kern w:val="0"/>
          <w:sz w:val="24"/>
          <w:szCs w:val="28"/>
          <w:u w:val="single"/>
        </w:rPr>
        <w:t>“</w:t>
      </w:r>
      <w:r>
        <w:rPr>
          <w:rFonts w:ascii="宋体" w:hAnsi="宋体"/>
          <w:b/>
          <w:kern w:val="0"/>
          <w:sz w:val="24"/>
          <w:szCs w:val="28"/>
          <w:u w:val="single"/>
        </w:rPr>
        <w:t>乙方</w:t>
      </w:r>
      <w:r>
        <w:rPr>
          <w:rFonts w:hint="eastAsia" w:ascii="宋体" w:hAnsi="宋体"/>
          <w:b/>
          <w:kern w:val="0"/>
          <w:sz w:val="24"/>
          <w:szCs w:val="28"/>
          <w:u w:val="single"/>
        </w:rPr>
        <w:t>”</w:t>
      </w:r>
      <w:r>
        <w:rPr>
          <w:rFonts w:ascii="宋体" w:hAnsi="宋体"/>
          <w:b/>
          <w:kern w:val="0"/>
          <w:sz w:val="24"/>
          <w:szCs w:val="28"/>
          <w:u w:val="single"/>
        </w:rPr>
        <w:t>）</w:t>
      </w:r>
    </w:p>
    <w:p>
      <w:pPr>
        <w:autoSpaceDE w:val="0"/>
        <w:autoSpaceDN w:val="0"/>
        <w:adjustRightInd w:val="0"/>
        <w:snapToGrid w:val="0"/>
        <w:spacing w:line="360" w:lineRule="auto"/>
        <w:ind w:firstLine="480" w:firstLineChars="200"/>
        <w:rPr>
          <w:rFonts w:ascii="宋体" w:hAnsi="宋体"/>
          <w:kern w:val="0"/>
          <w:sz w:val="24"/>
          <w:szCs w:val="28"/>
        </w:rPr>
      </w:pPr>
      <w:r>
        <w:rPr>
          <w:rFonts w:ascii="宋体" w:hAnsi="宋体"/>
          <w:kern w:val="0"/>
          <w:sz w:val="24"/>
          <w:szCs w:val="28"/>
        </w:rPr>
        <w:t>根据《中华人民共和国</w:t>
      </w:r>
      <w:r>
        <w:rPr>
          <w:rFonts w:hint="eastAsia" w:ascii="宋体" w:hAnsi="宋体"/>
          <w:kern w:val="0"/>
          <w:sz w:val="24"/>
          <w:szCs w:val="28"/>
        </w:rPr>
        <w:t>民法典</w:t>
      </w:r>
      <w:r>
        <w:rPr>
          <w:rFonts w:ascii="宋体" w:hAnsi="宋体"/>
          <w:kern w:val="0"/>
          <w:sz w:val="24"/>
          <w:szCs w:val="28"/>
        </w:rPr>
        <w:t>》的有关规定，结合该</w:t>
      </w:r>
      <w:r>
        <w:rPr>
          <w:rFonts w:hint="eastAsia" w:ascii="宋体" w:hAnsi="宋体"/>
          <w:kern w:val="0"/>
          <w:sz w:val="24"/>
          <w:szCs w:val="28"/>
        </w:rPr>
        <w:t>工程</w:t>
      </w:r>
      <w:r>
        <w:rPr>
          <w:rFonts w:ascii="宋体" w:hAnsi="宋体"/>
          <w:kern w:val="0"/>
          <w:sz w:val="24"/>
          <w:szCs w:val="28"/>
        </w:rPr>
        <w:t>具体情况，为明确责任</w:t>
      </w:r>
      <w:r>
        <w:rPr>
          <w:rFonts w:hint="eastAsia" w:ascii="宋体" w:hAnsi="宋体"/>
          <w:kern w:val="0"/>
          <w:sz w:val="24"/>
          <w:szCs w:val="28"/>
        </w:rPr>
        <w:t>、</w:t>
      </w:r>
      <w:r>
        <w:rPr>
          <w:rFonts w:ascii="宋体" w:hAnsi="宋体"/>
          <w:kern w:val="0"/>
          <w:sz w:val="24"/>
          <w:szCs w:val="28"/>
        </w:rPr>
        <w:t>协作配合，经</w:t>
      </w:r>
      <w:r>
        <w:rPr>
          <w:rFonts w:hint="eastAsia" w:ascii="宋体" w:hAnsi="宋体"/>
          <w:kern w:val="0"/>
          <w:sz w:val="24"/>
          <w:szCs w:val="28"/>
        </w:rPr>
        <w:t>双方</w:t>
      </w:r>
      <w:r>
        <w:rPr>
          <w:rFonts w:ascii="宋体" w:hAnsi="宋体"/>
          <w:kern w:val="0"/>
          <w:sz w:val="24"/>
          <w:szCs w:val="28"/>
        </w:rPr>
        <w:t>友好协商，签订本合同，共同遵守。</w:t>
      </w:r>
    </w:p>
    <w:p>
      <w:pPr>
        <w:spacing w:before="160" w:after="160" w:line="480" w:lineRule="auto"/>
        <w:jc w:val="left"/>
        <w:rPr>
          <w:rFonts w:ascii="宋体" w:hAnsi="宋体"/>
          <w:b/>
          <w:kern w:val="0"/>
          <w:sz w:val="24"/>
          <w:szCs w:val="28"/>
        </w:rPr>
      </w:pPr>
      <w:r>
        <w:rPr>
          <w:rFonts w:hint="eastAsia" w:ascii="宋体" w:hAnsi="宋体"/>
          <w:b/>
          <w:kern w:val="0"/>
          <w:sz w:val="24"/>
          <w:szCs w:val="28"/>
        </w:rPr>
        <w:t>第一条  工作目的</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按照本合同的约定，乙方接受甲方的委托，对</w:t>
      </w:r>
      <w:r>
        <w:rPr>
          <w:rFonts w:hint="eastAsia" w:ascii="宋体" w:hAnsi="宋体"/>
          <w:kern w:val="0"/>
          <w:sz w:val="24"/>
          <w:szCs w:val="28"/>
          <w:lang w:eastAsia="zh-CN"/>
        </w:rPr>
        <w:t>润扬南路快速化改造工程用地预审及征地报批项目</w:t>
      </w:r>
      <w:r>
        <w:rPr>
          <w:rFonts w:hint="eastAsia" w:ascii="宋体" w:hAnsi="宋体"/>
          <w:kern w:val="0"/>
          <w:sz w:val="24"/>
          <w:szCs w:val="28"/>
        </w:rPr>
        <w:t>专题研究，并提交相应的研究报告及获得主管部门最终同意的批复。</w:t>
      </w:r>
    </w:p>
    <w:p>
      <w:pPr>
        <w:spacing w:before="160" w:after="160" w:line="480" w:lineRule="auto"/>
        <w:jc w:val="left"/>
        <w:rPr>
          <w:rFonts w:ascii="宋体" w:hAnsi="宋体"/>
          <w:b/>
          <w:kern w:val="0"/>
          <w:sz w:val="24"/>
          <w:szCs w:val="28"/>
        </w:rPr>
      </w:pPr>
      <w:r>
        <w:rPr>
          <w:rFonts w:hint="eastAsia" w:ascii="宋体" w:hAnsi="宋体"/>
          <w:b/>
          <w:kern w:val="0"/>
          <w:sz w:val="24"/>
          <w:szCs w:val="28"/>
        </w:rPr>
        <w:t>第二条  工作内容</w:t>
      </w:r>
    </w:p>
    <w:p>
      <w:pPr>
        <w:autoSpaceDE w:val="0"/>
        <w:autoSpaceDN w:val="0"/>
        <w:adjustRightInd w:val="0"/>
        <w:snapToGrid w:val="0"/>
        <w:spacing w:line="360" w:lineRule="auto"/>
        <w:ind w:firstLine="480"/>
        <w:rPr>
          <w:rFonts w:ascii="宋体" w:hAnsi="宋体"/>
          <w:kern w:val="0"/>
          <w:sz w:val="24"/>
          <w:szCs w:val="28"/>
        </w:rPr>
      </w:pPr>
      <w:r>
        <w:rPr>
          <w:rFonts w:hint="eastAsia" w:ascii="宋体" w:hAnsi="宋体"/>
          <w:kern w:val="0"/>
          <w:sz w:val="24"/>
          <w:szCs w:val="28"/>
        </w:rPr>
        <w:t>1、用地预审</w:t>
      </w:r>
    </w:p>
    <w:p>
      <w:pPr>
        <w:autoSpaceDE w:val="0"/>
        <w:autoSpaceDN w:val="0"/>
        <w:adjustRightInd w:val="0"/>
        <w:snapToGrid w:val="0"/>
        <w:spacing w:line="360" w:lineRule="auto"/>
        <w:ind w:firstLine="480" w:firstLineChars="200"/>
        <w:rPr>
          <w:rFonts w:hint="eastAsia" w:ascii="宋体" w:hAnsi="宋体"/>
          <w:kern w:val="0"/>
          <w:sz w:val="24"/>
          <w:szCs w:val="28"/>
        </w:rPr>
      </w:pPr>
      <w:r>
        <w:rPr>
          <w:rFonts w:hint="eastAsia" w:ascii="宋体" w:hAnsi="宋体"/>
          <w:kern w:val="0"/>
          <w:sz w:val="24"/>
          <w:szCs w:val="28"/>
          <w:lang w:eastAsia="zh-CN"/>
        </w:rPr>
        <w:t>润扬南路快速化改造工程用地预审及征地报批项目</w:t>
      </w:r>
      <w:r>
        <w:rPr>
          <w:rFonts w:hint="eastAsia" w:ascii="宋体" w:hAnsi="宋体"/>
          <w:kern w:val="0"/>
          <w:sz w:val="24"/>
          <w:szCs w:val="28"/>
        </w:rPr>
        <w:t>的所有工作及相关服务。工作内容包括（但不限于）：</w:t>
      </w:r>
      <w:r>
        <w:rPr>
          <w:rFonts w:hint="eastAsia" w:ascii="宋体" w:hAnsi="宋体"/>
          <w:kern w:val="0"/>
          <w:sz w:val="24"/>
          <w:szCs w:val="28"/>
          <w:lang w:val="en-US" w:eastAsia="zh-CN"/>
        </w:rPr>
        <w:t>收集前期工作材料，编制用地预审申请报告和申请表等材料，根据项目要求组卷上报区县自然资源部门初审，组卷上报扬州市自然资源和规划局审查并取得预审批复文件</w:t>
      </w:r>
      <w:r>
        <w:rPr>
          <w:rFonts w:hint="eastAsia" w:ascii="宋体" w:hAnsi="宋体"/>
          <w:kern w:val="0"/>
          <w:sz w:val="24"/>
          <w:szCs w:val="28"/>
        </w:rPr>
        <w:t>。</w:t>
      </w:r>
    </w:p>
    <w:p>
      <w:pPr>
        <w:autoSpaceDE w:val="0"/>
        <w:autoSpaceDN w:val="0"/>
        <w:adjustRightInd w:val="0"/>
        <w:snapToGrid w:val="0"/>
        <w:spacing w:line="360" w:lineRule="auto"/>
        <w:ind w:firstLine="480" w:firstLineChars="200"/>
        <w:rPr>
          <w:rFonts w:hint="eastAsia" w:ascii="宋体" w:hAnsi="宋体"/>
          <w:kern w:val="0"/>
          <w:sz w:val="24"/>
          <w:szCs w:val="28"/>
          <w:highlight w:val="none"/>
        </w:rPr>
      </w:pPr>
      <w:r>
        <w:rPr>
          <w:rFonts w:hint="eastAsia" w:ascii="宋体" w:hAnsi="宋体"/>
          <w:kern w:val="0"/>
          <w:sz w:val="24"/>
          <w:szCs w:val="28"/>
          <w:highlight w:val="none"/>
          <w:lang w:val="en-US" w:eastAsia="zh-CN"/>
        </w:rPr>
        <w:t>2、</w:t>
      </w:r>
      <w:r>
        <w:rPr>
          <w:rFonts w:hint="eastAsia" w:ascii="宋体" w:hAnsi="宋体"/>
          <w:kern w:val="0"/>
          <w:sz w:val="24"/>
          <w:szCs w:val="28"/>
          <w:highlight w:val="none"/>
        </w:rPr>
        <w:t>征地报批</w:t>
      </w:r>
    </w:p>
    <w:p>
      <w:pPr>
        <w:autoSpaceDE w:val="0"/>
        <w:autoSpaceDN w:val="0"/>
        <w:adjustRightInd w:val="0"/>
        <w:snapToGrid w:val="0"/>
        <w:spacing w:line="360" w:lineRule="auto"/>
        <w:ind w:firstLine="480" w:firstLineChars="200"/>
        <w:rPr>
          <w:rFonts w:hint="eastAsia" w:ascii="宋体" w:hAnsi="宋体"/>
          <w:kern w:val="0"/>
          <w:sz w:val="24"/>
          <w:szCs w:val="28"/>
          <w:lang w:val="en-US" w:eastAsia="zh-CN"/>
        </w:rPr>
      </w:pPr>
      <w:r>
        <w:rPr>
          <w:rFonts w:hint="eastAsia" w:ascii="宋体" w:hAnsi="宋体"/>
          <w:kern w:val="0"/>
          <w:sz w:val="24"/>
          <w:szCs w:val="28"/>
          <w:lang w:val="en-US" w:eastAsia="zh-CN"/>
        </w:rPr>
        <w:t>征地报批工作内容包括（但不限于）：配合地方政府和自然资源等部门完成征地前期调查确认以及协议签订等工作；编制土地报批组卷材料，包括编制一书四方案、土地分类面积汇总表、征收土地安置农业人口情况汇总表、标注拟占用土地位置的土地利用现状图、标注拟占用土地位置的土地利用总体规划图、请示报告和审查意见等；逐级上报审查，最终取得省政府的建设用地批复。</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lang w:val="en-US" w:eastAsia="zh-CN"/>
        </w:rPr>
        <w:t>3</w:t>
      </w:r>
      <w:r>
        <w:rPr>
          <w:rFonts w:hint="eastAsia" w:ascii="宋体" w:hAnsi="宋体"/>
          <w:kern w:val="0"/>
          <w:sz w:val="24"/>
          <w:szCs w:val="28"/>
        </w:rPr>
        <w:t>、项目采用固定总价合同，报价须包含涉及项目用地预审</w:t>
      </w:r>
      <w:r>
        <w:rPr>
          <w:rFonts w:hint="eastAsia" w:ascii="宋体" w:hAnsi="宋体"/>
          <w:kern w:val="0"/>
          <w:sz w:val="24"/>
          <w:szCs w:val="28"/>
          <w:lang w:val="en-US" w:eastAsia="zh-CN"/>
        </w:rPr>
        <w:t>及征地报批</w:t>
      </w:r>
      <w:r>
        <w:rPr>
          <w:rFonts w:hint="eastAsia" w:ascii="宋体" w:hAnsi="宋体"/>
          <w:kern w:val="0"/>
          <w:sz w:val="24"/>
          <w:szCs w:val="28"/>
        </w:rPr>
        <w:t>的所有工作费用，招标人不额外支付任何费用。如因政策调整，导致相关工作内容和审批流程调整，服务期限依据政策适当调整，但合同价不作调整。</w:t>
      </w:r>
    </w:p>
    <w:p>
      <w:pPr>
        <w:spacing w:before="160" w:after="160" w:line="480" w:lineRule="auto"/>
        <w:jc w:val="left"/>
        <w:rPr>
          <w:rFonts w:ascii="宋体" w:hAnsi="宋体"/>
          <w:b/>
          <w:kern w:val="0"/>
          <w:sz w:val="24"/>
          <w:szCs w:val="28"/>
        </w:rPr>
      </w:pPr>
      <w:r>
        <w:rPr>
          <w:rFonts w:hint="eastAsia" w:ascii="宋体" w:hAnsi="宋体"/>
          <w:b/>
          <w:kern w:val="0"/>
          <w:sz w:val="24"/>
          <w:szCs w:val="28"/>
        </w:rPr>
        <w:t>第三条  工作进度</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乙方报告提交进度需满足甲方的要求。具体工作进度如下：</w:t>
      </w:r>
      <w:bookmarkStart w:id="120" w:name="_GoBack"/>
      <w:bookmarkEnd w:id="120"/>
    </w:p>
    <w:p>
      <w:pPr>
        <w:spacing w:before="160" w:after="160" w:line="480" w:lineRule="auto"/>
        <w:ind w:firstLine="480" w:firstLineChars="200"/>
        <w:jc w:val="left"/>
        <w:rPr>
          <w:rFonts w:ascii="宋体" w:hAnsi="宋体"/>
          <w:kern w:val="0"/>
          <w:sz w:val="24"/>
          <w:szCs w:val="28"/>
          <w:highlight w:val="yellow"/>
        </w:rPr>
      </w:pPr>
      <w:r>
        <w:rPr>
          <w:rFonts w:hint="eastAsia" w:ascii="宋体" w:hAnsi="宋体"/>
          <w:kern w:val="0"/>
          <w:sz w:val="24"/>
          <w:szCs w:val="28"/>
        </w:rPr>
        <w:t>可行性研究报告稳定后完成</w:t>
      </w:r>
      <w:r>
        <w:rPr>
          <w:rFonts w:hint="eastAsia" w:ascii="宋体" w:hAnsi="宋体"/>
          <w:kern w:val="0"/>
          <w:sz w:val="24"/>
          <w:szCs w:val="28"/>
          <w:highlight w:val="none"/>
        </w:rPr>
        <w:t>后</w:t>
      </w:r>
      <w:r>
        <w:rPr>
          <w:rFonts w:hint="eastAsia" w:ascii="宋体" w:hAnsi="宋体"/>
          <w:kern w:val="0"/>
          <w:sz w:val="24"/>
          <w:szCs w:val="28"/>
          <w:highlight w:val="none"/>
          <w:lang w:val="en-US" w:eastAsia="zh-CN"/>
        </w:rPr>
        <w:t>60</w:t>
      </w:r>
      <w:r>
        <w:rPr>
          <w:rFonts w:hint="eastAsia" w:ascii="宋体" w:hAnsi="宋体"/>
          <w:kern w:val="0"/>
          <w:sz w:val="24"/>
          <w:szCs w:val="28"/>
          <w:highlight w:val="none"/>
        </w:rPr>
        <w:t>日历日内取得用地预审批复及用地审批文件。</w:t>
      </w:r>
    </w:p>
    <w:p>
      <w:pPr>
        <w:spacing w:before="160" w:after="160" w:line="480" w:lineRule="auto"/>
        <w:jc w:val="left"/>
        <w:rPr>
          <w:rFonts w:ascii="宋体" w:hAnsi="宋体"/>
          <w:b/>
          <w:kern w:val="0"/>
          <w:sz w:val="24"/>
          <w:szCs w:val="28"/>
        </w:rPr>
      </w:pPr>
      <w:r>
        <w:rPr>
          <w:rFonts w:hint="eastAsia" w:ascii="宋体" w:hAnsi="宋体"/>
          <w:b/>
          <w:kern w:val="0"/>
          <w:sz w:val="24"/>
          <w:szCs w:val="28"/>
        </w:rPr>
        <w:t>第四条  成果验收要求</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本专题研究将形成以下（但不限于）主要成果：</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lang w:eastAsia="zh-CN"/>
        </w:rPr>
        <w:t>润扬南路快速化改造工程用地预审及征地报批项目</w:t>
      </w:r>
      <w:r>
        <w:rPr>
          <w:rFonts w:hint="eastAsia" w:ascii="宋体" w:hAnsi="宋体"/>
          <w:kern w:val="0"/>
          <w:sz w:val="24"/>
          <w:szCs w:val="28"/>
        </w:rPr>
        <w:t>报告及专家审查意见。</w:t>
      </w:r>
    </w:p>
    <w:p>
      <w:pPr>
        <w:autoSpaceDE w:val="0"/>
        <w:autoSpaceDN w:val="0"/>
        <w:adjustRightInd w:val="0"/>
        <w:snapToGrid w:val="0"/>
        <w:spacing w:line="360" w:lineRule="auto"/>
        <w:ind w:firstLine="480" w:firstLineChars="200"/>
        <w:rPr>
          <w:rFonts w:ascii="宋体" w:hAnsi="宋体"/>
          <w:kern w:val="0"/>
          <w:sz w:val="24"/>
          <w:szCs w:val="28"/>
          <w:highlight w:val="yellow"/>
        </w:rPr>
      </w:pPr>
      <w:r>
        <w:rPr>
          <w:rFonts w:hint="eastAsia" w:ascii="宋体" w:hAnsi="宋体"/>
          <w:kern w:val="0"/>
          <w:sz w:val="24"/>
          <w:szCs w:val="28"/>
        </w:rPr>
        <w:t>验收方式及标准：以上成果的批复文件、专家意见</w:t>
      </w:r>
      <w:r>
        <w:rPr>
          <w:rFonts w:hint="eastAsia" w:ascii="宋体" w:hAnsi="宋体"/>
          <w:kern w:val="0"/>
          <w:sz w:val="24"/>
          <w:szCs w:val="28"/>
          <w:highlight w:val="none"/>
        </w:rPr>
        <w:t>及结论、</w:t>
      </w:r>
      <w:r>
        <w:rPr>
          <w:rFonts w:hint="eastAsia" w:ascii="宋体" w:hAnsi="宋体"/>
          <w:kern w:val="0"/>
          <w:sz w:val="24"/>
          <w:szCs w:val="28"/>
          <w:highlight w:val="none"/>
          <w:lang w:eastAsia="zh-CN"/>
        </w:rPr>
        <w:t>用地审批文件</w:t>
      </w:r>
      <w:r>
        <w:rPr>
          <w:rFonts w:hint="eastAsia" w:ascii="宋体" w:hAnsi="宋体"/>
          <w:kern w:val="0"/>
          <w:sz w:val="24"/>
          <w:szCs w:val="28"/>
          <w:highlight w:val="none"/>
        </w:rPr>
        <w:t>等。</w:t>
      </w:r>
    </w:p>
    <w:p>
      <w:pPr>
        <w:spacing w:before="160" w:after="160" w:line="480" w:lineRule="auto"/>
        <w:jc w:val="left"/>
        <w:rPr>
          <w:rFonts w:ascii="宋体" w:hAnsi="宋体"/>
          <w:b/>
          <w:kern w:val="0"/>
          <w:sz w:val="24"/>
          <w:szCs w:val="28"/>
        </w:rPr>
      </w:pPr>
      <w:r>
        <w:rPr>
          <w:rFonts w:hint="eastAsia" w:ascii="宋体" w:hAnsi="宋体"/>
          <w:b/>
          <w:kern w:val="0"/>
          <w:sz w:val="24"/>
          <w:szCs w:val="28"/>
        </w:rPr>
        <w:t>第五条  费用及支付方式</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1、本项目费用共计人民币大写    整（小写计￥    元整）（税率：）</w:t>
      </w:r>
    </w:p>
    <w:p>
      <w:pPr>
        <w:autoSpaceDE w:val="0"/>
        <w:autoSpaceDN w:val="0"/>
        <w:adjustRightInd w:val="0"/>
        <w:snapToGrid w:val="0"/>
        <w:spacing w:line="360" w:lineRule="auto"/>
        <w:ind w:firstLine="480" w:firstLineChars="200"/>
        <w:rPr>
          <w:rFonts w:ascii="宋体" w:hAnsi="宋体"/>
          <w:kern w:val="0"/>
          <w:sz w:val="24"/>
          <w:szCs w:val="28"/>
          <w:highlight w:val="none"/>
        </w:rPr>
      </w:pPr>
      <w:r>
        <w:rPr>
          <w:rFonts w:hint="eastAsia" w:ascii="宋体" w:hAnsi="宋体"/>
          <w:kern w:val="0"/>
          <w:sz w:val="24"/>
          <w:szCs w:val="28"/>
          <w:highlight w:val="none"/>
        </w:rPr>
        <w:t>2、支付方式</w:t>
      </w:r>
    </w:p>
    <w:p>
      <w:pPr>
        <w:autoSpaceDE w:val="0"/>
        <w:autoSpaceDN w:val="0"/>
        <w:adjustRightInd w:val="0"/>
        <w:snapToGrid w:val="0"/>
        <w:spacing w:line="360" w:lineRule="auto"/>
        <w:ind w:firstLine="480" w:firstLineChars="200"/>
        <w:rPr>
          <w:rFonts w:ascii="宋体" w:hAnsi="宋体"/>
          <w:kern w:val="0"/>
          <w:sz w:val="24"/>
          <w:szCs w:val="28"/>
          <w:highlight w:val="none"/>
        </w:rPr>
      </w:pPr>
      <w:r>
        <w:rPr>
          <w:rFonts w:hint="eastAsia" w:ascii="宋体" w:hAnsi="宋体"/>
          <w:kern w:val="0"/>
          <w:sz w:val="24"/>
          <w:szCs w:val="28"/>
          <w:highlight w:val="none"/>
        </w:rPr>
        <w:t>（1）取得用地预审批复</w:t>
      </w:r>
      <w:r>
        <w:rPr>
          <w:rFonts w:hint="eastAsia" w:ascii="宋体" w:hAnsi="宋体"/>
          <w:kern w:val="0"/>
          <w:sz w:val="24"/>
          <w:szCs w:val="28"/>
          <w:highlight w:val="none"/>
          <w:lang w:eastAsia="zh-CN"/>
        </w:rPr>
        <w:t>及</w:t>
      </w:r>
      <w:r>
        <w:rPr>
          <w:rFonts w:hint="eastAsia" w:ascii="宋体" w:hAnsi="宋体"/>
          <w:kern w:val="0"/>
          <w:sz w:val="24"/>
          <w:szCs w:val="28"/>
          <w:highlight w:val="none"/>
        </w:rPr>
        <w:t>取得最终土地征收批文后，一次性支付所有费用。</w:t>
      </w:r>
    </w:p>
    <w:p>
      <w:pPr>
        <w:autoSpaceDE w:val="0"/>
        <w:autoSpaceDN w:val="0"/>
        <w:adjustRightInd w:val="0"/>
        <w:snapToGrid w:val="0"/>
        <w:spacing w:line="360" w:lineRule="auto"/>
        <w:ind w:firstLine="480" w:firstLineChars="200"/>
        <w:rPr>
          <w:rFonts w:ascii="宋体" w:hAnsi="宋体"/>
          <w:kern w:val="0"/>
          <w:sz w:val="24"/>
          <w:szCs w:val="28"/>
          <w:highlight w:val="none"/>
        </w:rPr>
      </w:pPr>
      <w:r>
        <w:rPr>
          <w:rFonts w:hint="eastAsia" w:ascii="宋体" w:hAnsi="宋体"/>
          <w:kern w:val="0"/>
          <w:sz w:val="24"/>
          <w:szCs w:val="28"/>
          <w:highlight w:val="none"/>
        </w:rPr>
        <w:t>（2）乙方开具有效的增值税专用发票。</w:t>
      </w:r>
    </w:p>
    <w:p>
      <w:pPr>
        <w:spacing w:before="160" w:after="160" w:line="480" w:lineRule="auto"/>
        <w:jc w:val="left"/>
        <w:rPr>
          <w:rFonts w:ascii="宋体" w:hAnsi="宋体"/>
          <w:b/>
          <w:kern w:val="0"/>
          <w:sz w:val="24"/>
          <w:szCs w:val="28"/>
        </w:rPr>
      </w:pPr>
      <w:r>
        <w:rPr>
          <w:rFonts w:hint="eastAsia" w:ascii="宋体" w:hAnsi="宋体"/>
          <w:b/>
          <w:kern w:val="0"/>
          <w:sz w:val="24"/>
          <w:szCs w:val="28"/>
        </w:rPr>
        <w:t>第六条 双方责任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1、甲方责任：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（1）甲方对乙方的研究工作给予积极配合，及时提供工程方案等基础资料(甲方已取得的正式或可参考资料)，若甲方提供资料延迟，则乙方提交的报告时间相应延迟。</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（2）甲方须按合同约定在满足付款条件下如期向乙方支付费用。</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2、乙方责任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（1）乙方应在满足质量、安全等要求的前提下，按时完成研究工作。</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（2）由于乙方提供的专题研究成果资料质量不合格，乙方应负责无偿给予补充完善使其达到质量合格（合格以取得主管部门同意批复为准）。</w:t>
      </w:r>
    </w:p>
    <w:p>
      <w:pPr>
        <w:spacing w:before="160" w:after="160" w:line="480" w:lineRule="auto"/>
        <w:jc w:val="left"/>
        <w:rPr>
          <w:rFonts w:ascii="宋体" w:hAnsi="宋体"/>
          <w:b/>
          <w:kern w:val="0"/>
          <w:sz w:val="24"/>
          <w:szCs w:val="28"/>
        </w:rPr>
      </w:pPr>
      <w:r>
        <w:rPr>
          <w:rFonts w:hint="eastAsia" w:ascii="宋体" w:hAnsi="宋体"/>
          <w:b/>
          <w:kern w:val="0"/>
          <w:sz w:val="24"/>
          <w:szCs w:val="28"/>
        </w:rPr>
        <w:t>第七条  违约责任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在合同履行期间，若因甲方原因造成合同终止执行，乙方已经完成送审报告的，甲方应向乙方支付已完报告对应的全部合同款（但乙方成果必须满足甲方相关报审需要）；未形成送审报告的，按照开展工作的实际情况经双方协商，支付部分合同款。</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2、由于甲方原因造成设计方案有重大变更，致使乙方的研究成果有重大修订，甲方对乙方不予追加费用。</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3、由于乙方原因造成技术成果资料质量不合格，未能通过主管部门审查，其返工费用由乙方承担。乙方未按合同约定的期限提交成果，每逾期一天，应向业主方交纳合同总金额万分之三的违约金。在合同履行期间，若因乙方原因造成合同终止执行，乙方应无条件返还业主方已支付的全部合同款并赔偿合理的损失。</w:t>
      </w:r>
    </w:p>
    <w:p>
      <w:pPr>
        <w:spacing w:before="160" w:after="160" w:line="480" w:lineRule="auto"/>
        <w:jc w:val="left"/>
        <w:rPr>
          <w:rFonts w:ascii="宋体" w:hAnsi="宋体"/>
          <w:b/>
          <w:kern w:val="0"/>
          <w:sz w:val="24"/>
          <w:szCs w:val="28"/>
        </w:rPr>
      </w:pPr>
      <w:r>
        <w:rPr>
          <w:rFonts w:hint="eastAsia" w:ascii="宋体" w:hAnsi="宋体"/>
          <w:b/>
          <w:kern w:val="0"/>
          <w:sz w:val="24"/>
          <w:szCs w:val="28"/>
        </w:rPr>
        <w:t>第八条  知识产权</w:t>
      </w:r>
    </w:p>
    <w:p>
      <w:pPr>
        <w:autoSpaceDE w:val="0"/>
        <w:autoSpaceDN w:val="0"/>
        <w:adjustRightInd w:val="0"/>
        <w:snapToGrid w:val="0"/>
        <w:spacing w:line="480" w:lineRule="auto"/>
        <w:ind w:firstLine="480" w:firstLineChars="200"/>
        <w:rPr>
          <w:rFonts w:ascii="宋体" w:hAnsi="宋体"/>
          <w:kern w:val="0"/>
          <w:sz w:val="24"/>
          <w:szCs w:val="28"/>
        </w:rPr>
      </w:pPr>
      <w:r>
        <w:rPr>
          <w:rFonts w:ascii="宋体" w:hAnsi="宋体"/>
          <w:kern w:val="0"/>
          <w:sz w:val="24"/>
          <w:szCs w:val="28"/>
        </w:rPr>
        <w:t>本</w:t>
      </w:r>
      <w:r>
        <w:rPr>
          <w:rFonts w:hint="eastAsia" w:ascii="宋体" w:hAnsi="宋体"/>
          <w:kern w:val="0"/>
          <w:sz w:val="24"/>
          <w:szCs w:val="28"/>
        </w:rPr>
        <w:t>项目</w:t>
      </w:r>
      <w:r>
        <w:rPr>
          <w:rFonts w:ascii="宋体" w:hAnsi="宋体"/>
          <w:kern w:val="0"/>
          <w:sz w:val="24"/>
          <w:szCs w:val="28"/>
        </w:rPr>
        <w:t>研究技术成果</w:t>
      </w:r>
      <w:r>
        <w:rPr>
          <w:rFonts w:hint="eastAsia" w:ascii="宋体" w:hAnsi="宋体"/>
          <w:kern w:val="0"/>
          <w:sz w:val="24"/>
          <w:szCs w:val="28"/>
        </w:rPr>
        <w:t>在甲方支付相应费用后</w:t>
      </w:r>
      <w:r>
        <w:rPr>
          <w:rFonts w:ascii="宋体" w:hAnsi="宋体"/>
          <w:kern w:val="0"/>
          <w:sz w:val="24"/>
          <w:szCs w:val="28"/>
        </w:rPr>
        <w:t>归甲</w:t>
      </w:r>
      <w:r>
        <w:rPr>
          <w:rFonts w:hint="eastAsia" w:ascii="宋体" w:hAnsi="宋体"/>
          <w:kern w:val="0"/>
          <w:sz w:val="24"/>
          <w:szCs w:val="28"/>
        </w:rPr>
        <w:t>方所有</w:t>
      </w:r>
      <w:r>
        <w:rPr>
          <w:rFonts w:ascii="宋体" w:hAnsi="宋体"/>
          <w:kern w:val="0"/>
          <w:sz w:val="24"/>
          <w:szCs w:val="28"/>
        </w:rPr>
        <w:t>。</w:t>
      </w:r>
    </w:p>
    <w:p>
      <w:pPr>
        <w:spacing w:before="160" w:after="160" w:line="480" w:lineRule="auto"/>
        <w:jc w:val="left"/>
        <w:rPr>
          <w:rFonts w:ascii="宋体" w:hAnsi="宋体"/>
          <w:b/>
          <w:kern w:val="0"/>
          <w:sz w:val="24"/>
          <w:szCs w:val="28"/>
        </w:rPr>
      </w:pPr>
      <w:r>
        <w:rPr>
          <w:rFonts w:hint="eastAsia" w:ascii="宋体" w:hAnsi="宋体"/>
          <w:b/>
          <w:kern w:val="0"/>
          <w:sz w:val="24"/>
          <w:szCs w:val="28"/>
        </w:rPr>
        <w:t>第九条  其它</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 xml:space="preserve">（1）由于不可抗力使合同无法履行时，双方应及时协商解决； </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（2）双方因履行本合同而发生的争议，应协商解决。通过协商不能解决时，应向</w:t>
      </w:r>
      <w:r>
        <w:rPr>
          <w:rFonts w:hint="eastAsia" w:ascii="宋体" w:hAnsi="宋体"/>
          <w:kern w:val="0"/>
          <w:sz w:val="24"/>
          <w:szCs w:val="28"/>
          <w:u w:val="single"/>
        </w:rPr>
        <w:t xml:space="preserve"> 扬州市 </w:t>
      </w:r>
      <w:r>
        <w:rPr>
          <w:rFonts w:hint="eastAsia" w:ascii="宋体" w:hAnsi="宋体"/>
          <w:kern w:val="0"/>
          <w:sz w:val="24"/>
          <w:szCs w:val="28"/>
        </w:rPr>
        <w:t xml:space="preserve">人民法院起诉； </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（3）本合同未尽事宜，双方可签订补充协议作为附件，补充协议与本合同具有同等效力；</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（4）本合同经双方法定代表人（或委托代理人）签字并加盖公章或合同专用章后生效；</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（5）本合同一式肆份，各执贰份。具有同等法律效力。</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以下无正文。</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委托方(盖章)：                       承接方(盖章)：</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地  址：                            地  址：</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法定代表人(签字)：                   法定代表人(签字)：</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委托代理人(签字)：                   委托代理人(签字)：</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电  话：                              电  话：</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传  真：                              传  真：</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开户银行：                            开户银行：</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账  号：                              账  号：</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邮政编码：                            邮政编码：</w:t>
      </w:r>
    </w:p>
    <w:p>
      <w:pPr>
        <w:autoSpaceDE w:val="0"/>
        <w:autoSpaceDN w:val="0"/>
        <w:adjustRightInd w:val="0"/>
        <w:snapToGrid w:val="0"/>
        <w:spacing w:line="480" w:lineRule="auto"/>
        <w:rPr>
          <w:rFonts w:ascii="宋体" w:hAnsi="宋体"/>
          <w:kern w:val="0"/>
          <w:sz w:val="24"/>
          <w:szCs w:val="28"/>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snapToGrid w:val="0"/>
        <w:spacing w:before="156" w:beforeLines="50" w:line="360" w:lineRule="auto"/>
        <w:outlineLvl w:val="1"/>
        <w:rPr>
          <w:rFonts w:hint="eastAsia" w:ascii="宋体" w:hAnsi="宋体" w:eastAsia="宋体" w:cs="宋体"/>
          <w:b/>
          <w:sz w:val="28"/>
          <w:szCs w:val="28"/>
        </w:rPr>
      </w:pPr>
      <w:bookmarkStart w:id="77" w:name="_Toc515438199"/>
      <w:r>
        <w:rPr>
          <w:rFonts w:hint="eastAsia" w:ascii="宋体" w:hAnsi="宋体" w:eastAsia="宋体" w:cs="宋体"/>
          <w:sz w:val="28"/>
          <w:szCs w:val="28"/>
        </w:rPr>
        <w:t>附件一：</w:t>
      </w:r>
      <w:bookmarkEnd w:id="77"/>
      <w:r>
        <w:rPr>
          <w:rFonts w:hint="eastAsia" w:ascii="宋体" w:hAnsi="宋体" w:eastAsia="宋体" w:cs="宋体"/>
          <w:sz w:val="28"/>
          <w:szCs w:val="28"/>
        </w:rPr>
        <w:t xml:space="preserve"> </w:t>
      </w:r>
      <w:r>
        <w:rPr>
          <w:rFonts w:hint="eastAsia" w:ascii="宋体" w:hAnsi="宋体" w:eastAsia="宋体" w:cs="宋体"/>
          <w:b/>
          <w:sz w:val="28"/>
          <w:szCs w:val="28"/>
        </w:rPr>
        <w:t xml:space="preserve"> </w:t>
      </w:r>
    </w:p>
    <w:p>
      <w:pPr>
        <w:widowControl/>
        <w:adjustRightInd w:val="0"/>
        <w:snapToGrid w:val="0"/>
        <w:spacing w:after="200" w:line="276" w:lineRule="auto"/>
        <w:ind w:firstLine="3092" w:firstLineChars="700"/>
        <w:jc w:val="left"/>
        <w:rPr>
          <w:rFonts w:hint="eastAsia" w:ascii="宋体" w:hAnsi="宋体" w:eastAsia="宋体" w:cs="宋体"/>
          <w:kern w:val="0"/>
          <w:sz w:val="44"/>
          <w:szCs w:val="44"/>
        </w:rPr>
      </w:pPr>
      <w:r>
        <w:rPr>
          <w:rFonts w:hint="eastAsia" w:ascii="宋体" w:hAnsi="宋体" w:eastAsia="宋体" w:cs="宋体"/>
          <w:b/>
          <w:kern w:val="0"/>
          <w:sz w:val="44"/>
          <w:szCs w:val="44"/>
        </w:rPr>
        <w:t>廉政合同</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项目名称：</w:t>
      </w:r>
      <w:r>
        <w:rPr>
          <w:rFonts w:hint="eastAsia" w:ascii="宋体" w:hAnsi="宋体" w:eastAsia="宋体" w:cs="宋体"/>
          <w:kern w:val="0"/>
          <w:sz w:val="22"/>
          <w:szCs w:val="21"/>
          <w:u w:val="single"/>
        </w:rPr>
        <w:t xml:space="preserve">                          </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项目单位：</w:t>
      </w:r>
      <w:r>
        <w:rPr>
          <w:rFonts w:hint="eastAsia" w:ascii="宋体" w:hAnsi="宋体" w:eastAsia="宋体" w:cs="宋体"/>
          <w:kern w:val="0"/>
          <w:sz w:val="22"/>
          <w:szCs w:val="21"/>
          <w:u w:val="single"/>
        </w:rPr>
        <w:t xml:space="preserve">                           </w:t>
      </w:r>
      <w:r>
        <w:rPr>
          <w:rFonts w:hint="eastAsia" w:ascii="宋体" w:hAnsi="宋体" w:eastAsia="宋体" w:cs="宋体"/>
          <w:kern w:val="0"/>
          <w:sz w:val="22"/>
          <w:szCs w:val="21"/>
        </w:rPr>
        <w:t>（以下称委托人）</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中标单位：</w:t>
      </w:r>
      <w:r>
        <w:rPr>
          <w:rFonts w:hint="eastAsia" w:ascii="宋体" w:hAnsi="宋体" w:eastAsia="宋体" w:cs="宋体"/>
          <w:kern w:val="0"/>
          <w:sz w:val="22"/>
          <w:szCs w:val="21"/>
          <w:u w:val="single"/>
        </w:rPr>
        <w:t xml:space="preserve">                           </w:t>
      </w:r>
      <w:r>
        <w:rPr>
          <w:rFonts w:hint="eastAsia" w:ascii="宋体" w:hAnsi="宋体" w:eastAsia="宋体" w:cs="宋体"/>
          <w:kern w:val="0"/>
          <w:sz w:val="22"/>
          <w:szCs w:val="21"/>
        </w:rPr>
        <w:t>（以下称服务人)</w:t>
      </w:r>
    </w:p>
    <w:p>
      <w:pPr>
        <w:widowControl/>
        <w:adjustRightInd w:val="0"/>
        <w:snapToGrid w:val="0"/>
        <w:spacing w:after="200" w:line="440" w:lineRule="exact"/>
        <w:ind w:firstLine="480"/>
        <w:jc w:val="left"/>
        <w:rPr>
          <w:rFonts w:hint="eastAsia" w:ascii="宋体" w:hAnsi="宋体" w:eastAsia="宋体" w:cs="宋体"/>
          <w:bCs/>
          <w:kern w:val="0"/>
          <w:sz w:val="22"/>
          <w:szCs w:val="21"/>
        </w:rPr>
      </w:pP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根据国家有关法律法规以及中纪委、江苏省纪委党风廉政建设有关规定，为做好合同项目的廉政建设，预防和制止违纪违法行为，保证资金安全和有效使用，经双方协商一致，订立本合同。</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一、委托人工作人员不得参加服务人的宴请、健身、娱乐等高消费活动；不得索取和接受服务人赠送的礼品、礼金、贵重物品和各种有价证券、信用卡及其他支付凭证；不得索取和接受服务人任何好处费及项目回扣；不得向服务人报销应由委托人支付的任何费用；不得借用、租用服务人的交通工具、通讯工具等；不得参加服务人组织的有可能影响公正履行合同的任何祝贺庆典活动。</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二、委托人工作人员的配偶、子女及亲属，不得承包或从事与项目有关的材料供应、工程分包、工程监理、工程装璜和装修、组织提供劳务等活动；不得向服务人推荐分包单位；不得要求服务人购买合同规定外的材料和设备。</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三、委托人工作人员如有违反第一、二两条规定，经服务人或其他线索检举，被纪检监察组织核实认定的，按照管理权限，依据有关规定给予（索贿方单位或个人）党纪、政纪或组织处理；涉嫌犯罪的，移交司法机关追究刑事责任。</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四、服务人不得以任何形式邀请委托人人员、中介方人员，吃、玩或赠送礼品、礼金、各种有价证券、信用卡及其他支付凭证或贵重物品；服务人不得以咨询费、劳务费等名义支付委托人人员、中介方人员回扣或变相回扣；不得为委托人、中介方报销应由单位或个人承担的任何费用。</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五、服务人如有违反第四条规定的，由有关行政主管部门对服务人给予扣减应付合同金额的3%-5%。</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六、服务人在项目实施过程中贿赂委托人人员，被相关纪检监察组织或司法机关立案查处的，委托人有权立即中止项目合同，由此给委托人所造成的损失以及发生的一切费用均由服务人承担。</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七、凡是未按规定签订《廉政合同》，属工程建设项目的不得办理工程建设项目施工许可证等相关手续，不得擅自同意或者进行施工（勘察、设计、监理），属非工程建设项目的一律不得组织实施。违者将由纪检监察组织根据管理权限追究党纪政纪责任，由有关行政主管部门依照有关法律法规进行处罚。</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八、委托人和服务人双方单位应严格履行本合同规定内容，发现对方在业务活动中有违反廉政建设规定的行为倾向时，应及时给予提醒和纠正。双方上级主管部门、纪检监察组织有权对本合同签订、执行情况进行定期不定期的检查。</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九、本合同为项目合同的附件，与项目合同具有同等法律效力。</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十、本合同自双方签字并经纪检监察组织监证后立即生效。</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十一、本合同一式三份：委托人和服务人双方各一份，有关纪检监察组织一份。</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委托人单位（公章）：                      服务人单位：（公章）</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委托人单位法定代表人 ：                   服务人单位法定代表人：</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（或授权委托人）：                        （或授权委托人）:</w:t>
      </w:r>
    </w:p>
    <w:p>
      <w:pPr>
        <w:widowControl/>
        <w:adjustRightInd w:val="0"/>
        <w:snapToGrid w:val="0"/>
        <w:spacing w:after="200" w:line="440" w:lineRule="exact"/>
        <w:ind w:firstLine="440" w:firstLineChars="200"/>
        <w:jc w:val="left"/>
        <w:rPr>
          <w:rFonts w:hint="eastAsia" w:ascii="宋体" w:hAnsi="宋体" w:eastAsia="宋体" w:cs="宋体"/>
          <w:kern w:val="0"/>
          <w:sz w:val="22"/>
          <w:szCs w:val="21"/>
        </w:rPr>
      </w:pPr>
      <w:r>
        <w:rPr>
          <w:rFonts w:hint="eastAsia" w:ascii="宋体" w:hAnsi="宋体" w:eastAsia="宋体" w:cs="宋体"/>
          <w:kern w:val="0"/>
          <w:sz w:val="22"/>
          <w:szCs w:val="21"/>
        </w:rPr>
        <w:t>地址：                                    地址：</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电话：                                    电话：</w:t>
      </w:r>
    </w:p>
    <w:p>
      <w:pPr>
        <w:pStyle w:val="56"/>
        <w:outlineLvl w:val="1"/>
        <w:rPr>
          <w:rFonts w:hint="eastAsia" w:ascii="宋体" w:hAnsi="宋体" w:eastAsia="宋体" w:cs="宋体"/>
          <w:kern w:val="0"/>
        </w:rPr>
      </w:pPr>
      <w:r>
        <w:rPr>
          <w:rFonts w:hint="eastAsia" w:ascii="宋体" w:hAnsi="宋体" w:eastAsia="宋体" w:cs="宋体"/>
          <w:kern w:val="0"/>
          <w:sz w:val="22"/>
          <w:szCs w:val="21"/>
        </w:rPr>
        <w:t>年   月   日                               年   月   日</w:t>
      </w:r>
    </w:p>
    <w:p>
      <w:pPr>
        <w:pStyle w:val="56"/>
        <w:outlineLvl w:val="1"/>
        <w:rPr>
          <w:rFonts w:hint="eastAsia" w:ascii="宋体" w:hAnsi="宋体" w:eastAsia="宋体" w:cs="宋体"/>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pPr>
      <w:r>
        <w:rPr>
          <w:rFonts w:hint="eastAsia"/>
          <w:kern w:val="0"/>
        </w:rPr>
        <w:t>第五章</w:t>
      </w:r>
      <w:bookmarkEnd w:id="75"/>
      <w:r>
        <w:rPr>
          <w:rFonts w:hint="eastAsia"/>
          <w:kern w:val="0"/>
        </w:rPr>
        <w:t>服务标准及要求</w:t>
      </w:r>
      <w:bookmarkEnd w:id="76"/>
    </w:p>
    <w:p>
      <w:pPr>
        <w:jc w:val="left"/>
        <w:rPr>
          <w:b/>
          <w:sz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sz w:val="24"/>
          <w:highlight w:val="none"/>
        </w:rPr>
      </w:pPr>
      <w:r>
        <w:rPr>
          <w:rFonts w:hint="eastAsia"/>
          <w:sz w:val="24"/>
          <w:highlight w:val="none"/>
        </w:rPr>
        <w:t>1、招标范围：润扬南路快速化改造工程用地预审及征地报批项目的所有工作及相关服务。</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sz w:val="24"/>
          <w:highlight w:val="none"/>
        </w:rPr>
      </w:pPr>
      <w:r>
        <w:rPr>
          <w:rFonts w:hint="eastAsia"/>
          <w:sz w:val="24"/>
          <w:highlight w:val="none"/>
        </w:rPr>
        <w:t>用地预审工作内容包括（但不限于）：收集前期工作材料，编制用地预审申请报告和申请表等材料，根据项目要求组卷上报区县自然资源部门初审，组卷上报扬州市自然资源和规划局审查并取得预审批复文件。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kern w:val="0"/>
          <w:sz w:val="24"/>
          <w:highlight w:val="none"/>
        </w:rPr>
      </w:pPr>
      <w:r>
        <w:rPr>
          <w:rFonts w:hint="eastAsia"/>
          <w:sz w:val="24"/>
          <w:highlight w:val="none"/>
        </w:rPr>
        <w:t>征地报批工作内容包括（但不限于）：配合地方政府和自然资源等部门完成征地前期调查确认以及协议签订等工作；编制土地报批组卷材料，包括编制一书四方案、土地分类面积汇总表、征收土地安置农业人口情况汇总表、标注拟占用土地位置的土地利用现状图、标注拟占用土地位置的土地利用总体规划图、请示报告和审查意见等；逐级上报审查，最终取得省政府的建设用地批复。</w:t>
      </w:r>
    </w:p>
    <w:p>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rPr>
        <w:t>2、本项目采用固定总价合同，投标人须考虑各种因素及风险。报价须包含涉及</w:t>
      </w:r>
      <w:r>
        <w:rPr>
          <w:rFonts w:hint="eastAsia"/>
          <w:sz w:val="24"/>
          <w:highlight w:val="none"/>
        </w:rPr>
        <w:t>项目用地预审</w:t>
      </w:r>
      <w:r>
        <w:rPr>
          <w:rFonts w:hint="eastAsia"/>
          <w:sz w:val="24"/>
          <w:highlight w:val="none"/>
          <w:lang w:val="en-US" w:eastAsia="zh-CN"/>
        </w:rPr>
        <w:t>及征地</w:t>
      </w:r>
      <w:r>
        <w:rPr>
          <w:rFonts w:hint="eastAsia"/>
          <w:sz w:val="24"/>
          <w:highlight w:val="none"/>
        </w:rPr>
        <w:t>批复所有工作费用，招标人不额外支付任何费用。</w:t>
      </w:r>
    </w:p>
    <w:p>
      <w:pPr>
        <w:keepNext w:val="0"/>
        <w:keepLines w:val="0"/>
        <w:pageBreakBefore w:val="0"/>
        <w:widowControl w:val="0"/>
        <w:kinsoku/>
        <w:wordWrap/>
        <w:overflowPunct/>
        <w:topLinePunct w:val="0"/>
        <w:bidi w:val="0"/>
        <w:spacing w:line="360" w:lineRule="auto"/>
        <w:ind w:firstLine="480" w:firstLineChars="200"/>
        <w:textAlignment w:val="auto"/>
        <w:rPr>
          <w:b/>
          <w:bCs/>
          <w:szCs w:val="21"/>
          <w:highlight w:val="none"/>
          <w:u w:val="single"/>
        </w:rPr>
      </w:pPr>
      <w:r>
        <w:rPr>
          <w:rFonts w:hint="eastAsia"/>
          <w:sz w:val="24"/>
          <w:highlight w:val="none"/>
        </w:rPr>
        <w:t>3、</w:t>
      </w:r>
      <w:bookmarkStart w:id="78" w:name="_Toc21780690"/>
      <w:r>
        <w:rPr>
          <w:rFonts w:hint="eastAsia"/>
          <w:sz w:val="24"/>
          <w:highlight w:val="none"/>
        </w:rPr>
        <w:t>可行性研究报告稳定后完成后</w:t>
      </w:r>
      <w:r>
        <w:rPr>
          <w:rFonts w:hint="eastAsia"/>
          <w:sz w:val="24"/>
          <w:highlight w:val="none"/>
          <w:lang w:val="en-US" w:eastAsia="zh-CN"/>
        </w:rPr>
        <w:t>6</w:t>
      </w:r>
      <w:r>
        <w:rPr>
          <w:rFonts w:hint="eastAsia"/>
          <w:sz w:val="24"/>
          <w:highlight w:val="none"/>
        </w:rPr>
        <w:t>0日历日内取得用地预审批复及用地审批文件。</w:t>
      </w:r>
    </w:p>
    <w:p>
      <w:pPr>
        <w:autoSpaceDE w:val="0"/>
        <w:autoSpaceDN w:val="0"/>
        <w:adjustRightInd w:val="0"/>
        <w:snapToGrid w:val="0"/>
        <w:spacing w:line="360" w:lineRule="auto"/>
        <w:ind w:firstLine="420" w:firstLineChars="200"/>
        <w:rPr>
          <w:szCs w:val="21"/>
          <w:shd w:val="clear" w:color="auto" w:fill="FFFFFF"/>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r>
        <w:rPr>
          <w:rFonts w:hint="eastAsia"/>
          <w:kern w:val="0"/>
        </w:rPr>
        <w:t>第六章投标文件格式</w:t>
      </w:r>
      <w:bookmarkEnd w:id="78"/>
    </w:p>
    <w:p>
      <w:pPr>
        <w:autoSpaceDE w:val="0"/>
        <w:autoSpaceDN w:val="0"/>
        <w:adjustRightInd w:val="0"/>
        <w:ind w:left="191" w:right="-20"/>
        <w:jc w:val="left"/>
        <w:rPr>
          <w:rFonts w:ascii="宋体" w:cs="宋体"/>
          <w:kern w:val="0"/>
          <w:sz w:val="18"/>
          <w:szCs w:val="18"/>
        </w:rPr>
      </w:pPr>
    </w:p>
    <w:p>
      <w:pPr>
        <w:tabs>
          <w:tab w:val="left" w:pos="2200"/>
          <w:tab w:val="left" w:pos="5560"/>
        </w:tabs>
        <w:autoSpaceDE w:val="0"/>
        <w:autoSpaceDN w:val="0"/>
        <w:adjustRightInd w:val="0"/>
        <w:spacing w:line="330" w:lineRule="exact"/>
        <w:ind w:left="718" w:right="-20"/>
        <w:jc w:val="center"/>
        <w:rPr>
          <w:rFonts w:ascii="黑体" w:hAnsi="黑体" w:eastAsia="黑体" w:cs="宋体"/>
          <w:kern w:val="0"/>
          <w:sz w:val="27"/>
          <w:szCs w:val="27"/>
          <w:u w:val="single"/>
        </w:rPr>
      </w:pPr>
      <w:r>
        <w:rPr>
          <w:rFonts w:hint="eastAsia" w:ascii="黑体" w:hAnsi="黑体" w:eastAsia="黑体" w:cs="宋体"/>
          <w:kern w:val="0"/>
          <w:position w:val="-3"/>
          <w:sz w:val="27"/>
          <w:szCs w:val="27"/>
          <w:u w:val="single"/>
        </w:rPr>
        <w:t>（项目名称）</w:t>
      </w:r>
    </w:p>
    <w:p>
      <w:pPr>
        <w:jc w:val="center"/>
        <w:rPr>
          <w:sz w:val="32"/>
          <w:szCs w:val="32"/>
        </w:rPr>
      </w:pPr>
    </w:p>
    <w:p>
      <w:pPr>
        <w:jc w:val="center"/>
        <w:rPr>
          <w:sz w:val="32"/>
          <w:szCs w:val="32"/>
        </w:rPr>
      </w:pPr>
    </w:p>
    <w:p>
      <w:pPr>
        <w:jc w:val="center"/>
        <w:rPr>
          <w:sz w:val="32"/>
          <w:szCs w:val="32"/>
        </w:rPr>
      </w:pPr>
    </w:p>
    <w:p>
      <w:pPr>
        <w:autoSpaceDE w:val="0"/>
        <w:autoSpaceDN w:val="0"/>
        <w:adjustRightInd w:val="0"/>
        <w:ind w:left="2977" w:right="2919"/>
        <w:jc w:val="center"/>
        <w:rPr>
          <w:rFonts w:ascii="黑体" w:hAnsi="黑体" w:eastAsia="黑体" w:cs="宋体"/>
          <w:kern w:val="0"/>
          <w:sz w:val="43"/>
          <w:szCs w:val="43"/>
        </w:rPr>
      </w:pPr>
      <w:r>
        <w:rPr>
          <w:rFonts w:hint="eastAsia" w:ascii="黑体" w:hAnsi="黑体" w:eastAsia="黑体" w:cs="宋体"/>
          <w:w w:val="99"/>
          <w:kern w:val="0"/>
          <w:sz w:val="43"/>
          <w:szCs w:val="43"/>
        </w:rPr>
        <w:t>投标文件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tabs>
          <w:tab w:val="left" w:pos="6140"/>
          <w:tab w:val="left" w:pos="6680"/>
        </w:tabs>
        <w:autoSpaceDE w:val="0"/>
        <w:autoSpaceDN w:val="0"/>
        <w:adjustRightInd w:val="0"/>
        <w:spacing w:line="372" w:lineRule="auto"/>
        <w:ind w:left="1165" w:right="686" w:firstLine="534" w:firstLineChars="198"/>
        <w:jc w:val="left"/>
        <w:rPr>
          <w:rFonts w:ascii="黑体" w:hAnsi="黑体" w:eastAsia="黑体" w:cs="宋体"/>
          <w:kern w:val="0"/>
          <w:sz w:val="27"/>
          <w:szCs w:val="27"/>
        </w:rPr>
      </w:pPr>
      <w:r>
        <w:rPr>
          <w:rFonts w:hint="eastAsia" w:ascii="黑体" w:hAnsi="黑体" w:eastAsia="黑体" w:cs="宋体"/>
          <w:kern w:val="0"/>
          <w:sz w:val="27"/>
          <w:szCs w:val="27"/>
        </w:rPr>
        <w:t>投标人：</w:t>
      </w:r>
      <w:r>
        <w:rPr>
          <w:rFonts w:hint="eastAsia" w:ascii="黑体" w:hAnsi="黑体" w:eastAsia="黑体" w:cs="宋体"/>
          <w:kern w:val="0"/>
          <w:sz w:val="27"/>
          <w:szCs w:val="27"/>
          <w:u w:val="single"/>
        </w:rPr>
        <w:t>（盖单位章）</w:t>
      </w:r>
    </w:p>
    <w:p>
      <w:pPr>
        <w:tabs>
          <w:tab w:val="left" w:pos="6140"/>
          <w:tab w:val="left" w:pos="6540"/>
        </w:tabs>
        <w:autoSpaceDE w:val="0"/>
        <w:autoSpaceDN w:val="0"/>
        <w:adjustRightInd w:val="0"/>
        <w:spacing w:line="372" w:lineRule="auto"/>
        <w:ind w:left="1165" w:right="686" w:firstLine="534" w:firstLineChars="198"/>
        <w:jc w:val="left"/>
        <w:rPr>
          <w:rFonts w:ascii="黑体" w:hAnsi="黑体" w:eastAsia="黑体" w:cs="宋体"/>
          <w:kern w:val="0"/>
          <w:sz w:val="27"/>
          <w:szCs w:val="27"/>
        </w:rPr>
      </w:pPr>
      <w:r>
        <w:rPr>
          <w:rFonts w:hint="eastAsia" w:ascii="黑体" w:hAnsi="黑体" w:eastAsia="黑体" w:cs="宋体"/>
          <w:kern w:val="0"/>
          <w:sz w:val="27"/>
          <w:szCs w:val="27"/>
        </w:rPr>
        <w:t>法定代表人或其委托代理人：</w:t>
      </w:r>
      <w:r>
        <w:rPr>
          <w:rFonts w:hint="eastAsia" w:ascii="黑体" w:hAnsi="黑体" w:eastAsia="黑体" w:cs="宋体"/>
          <w:kern w:val="0"/>
          <w:sz w:val="27"/>
          <w:szCs w:val="27"/>
          <w:u w:val="single"/>
        </w:rPr>
        <w:t>（签字或盖章）</w:t>
      </w:r>
    </w:p>
    <w:p>
      <w:pPr>
        <w:tabs>
          <w:tab w:val="left" w:pos="3460"/>
          <w:tab w:val="left" w:pos="4660"/>
          <w:tab w:val="left" w:pos="6020"/>
        </w:tabs>
        <w:autoSpaceDE w:val="0"/>
        <w:autoSpaceDN w:val="0"/>
        <w:adjustRightInd w:val="0"/>
        <w:spacing w:before="74"/>
        <w:ind w:left="2248" w:right="-20"/>
        <w:jc w:val="left"/>
        <w:rPr>
          <w:rFonts w:ascii="黑体" w:hAnsi="黑体" w:eastAsia="黑体" w:cs="宋体"/>
          <w:kern w:val="0"/>
          <w:sz w:val="27"/>
          <w:szCs w:val="27"/>
        </w:rPr>
      </w:pPr>
      <w:r>
        <w:rPr>
          <w:rFonts w:ascii="黑体" w:hAnsi="黑体" w:eastAsia="黑体" w:cs="宋体"/>
          <w:kern w:val="0"/>
          <w:sz w:val="27"/>
          <w:szCs w:val="27"/>
          <w:u w:val="single"/>
        </w:rPr>
        <w:tab/>
      </w:r>
      <w:r>
        <w:rPr>
          <w:rFonts w:hint="eastAsia" w:ascii="黑体" w:hAnsi="黑体" w:eastAsia="黑体" w:cs="宋体"/>
          <w:kern w:val="0"/>
          <w:sz w:val="27"/>
          <w:szCs w:val="27"/>
        </w:rPr>
        <w:t>年</w:t>
      </w:r>
      <w:r>
        <w:rPr>
          <w:rFonts w:ascii="黑体" w:hAnsi="黑体" w:eastAsia="黑体" w:cs="宋体"/>
          <w:kern w:val="0"/>
          <w:sz w:val="27"/>
          <w:szCs w:val="27"/>
          <w:u w:val="single"/>
        </w:rPr>
        <w:tab/>
      </w:r>
      <w:r>
        <w:rPr>
          <w:rFonts w:hint="eastAsia" w:ascii="黑体" w:hAnsi="黑体" w:eastAsia="黑体" w:cs="宋体"/>
          <w:kern w:val="0"/>
          <w:sz w:val="27"/>
          <w:szCs w:val="27"/>
        </w:rPr>
        <w:t>月</w:t>
      </w:r>
      <w:r>
        <w:rPr>
          <w:rFonts w:ascii="黑体" w:hAnsi="黑体" w:eastAsia="黑体" w:cs="宋体"/>
          <w:kern w:val="0"/>
          <w:sz w:val="27"/>
          <w:szCs w:val="27"/>
          <w:u w:val="single"/>
        </w:rPr>
        <w:tab/>
      </w:r>
      <w:r>
        <w:rPr>
          <w:rFonts w:hint="eastAsia" w:ascii="黑体" w:hAnsi="黑体" w:eastAsia="黑体" w:cs="宋体"/>
          <w:kern w:val="0"/>
          <w:sz w:val="27"/>
          <w:szCs w:val="27"/>
        </w:rPr>
        <w:t>日</w:t>
      </w:r>
    </w:p>
    <w:p>
      <w:pPr>
        <w:tabs>
          <w:tab w:val="left" w:pos="4580"/>
        </w:tabs>
        <w:autoSpaceDE w:val="0"/>
        <w:autoSpaceDN w:val="0"/>
        <w:adjustRightInd w:val="0"/>
        <w:spacing w:line="340" w:lineRule="exact"/>
        <w:ind w:left="3743" w:right="3579"/>
        <w:jc w:val="center"/>
        <w:rPr>
          <w:rFonts w:ascii="宋体" w:cs="宋体"/>
          <w:kern w:val="0"/>
          <w:sz w:val="27"/>
          <w:szCs w:val="27"/>
        </w:rPr>
      </w:pPr>
    </w:p>
    <w:p>
      <w:pPr>
        <w:spacing w:line="400" w:lineRule="exact"/>
        <w:ind w:firstLine="420"/>
        <w:rPr>
          <w:sz w:val="32"/>
          <w:szCs w:val="32"/>
        </w:rPr>
      </w:pPr>
      <w:bookmarkStart w:id="79" w:name="_Toc384825307"/>
      <w:bookmarkStart w:id="80" w:name="_Toc286358006"/>
      <w:r>
        <w:rPr>
          <w:sz w:val="32"/>
          <w:szCs w:val="32"/>
        </w:rPr>
        <w:br w:type="page"/>
      </w:r>
    </w:p>
    <w:p>
      <w:pPr>
        <w:spacing w:line="400" w:lineRule="exact"/>
        <w:ind w:firstLine="420"/>
        <w:jc w:val="center"/>
        <w:rPr>
          <w:sz w:val="32"/>
          <w:szCs w:val="32"/>
        </w:rPr>
      </w:pPr>
      <w:r>
        <w:rPr>
          <w:rFonts w:hint="eastAsia"/>
          <w:sz w:val="32"/>
          <w:szCs w:val="32"/>
        </w:rPr>
        <w:t>目录</w:t>
      </w:r>
    </w:p>
    <w:p>
      <w:pPr>
        <w:spacing w:line="400" w:lineRule="exact"/>
        <w:ind w:firstLine="420"/>
        <w:rPr>
          <w:szCs w:val="21"/>
        </w:rPr>
      </w:pPr>
      <w:r>
        <w:rPr>
          <w:rFonts w:hint="eastAsia"/>
          <w:szCs w:val="21"/>
        </w:rPr>
        <w:t>商务文件：</w:t>
      </w:r>
    </w:p>
    <w:p>
      <w:pPr>
        <w:spacing w:line="400" w:lineRule="exact"/>
        <w:ind w:firstLine="420"/>
        <w:rPr>
          <w:szCs w:val="21"/>
        </w:rPr>
      </w:pPr>
      <w:r>
        <w:rPr>
          <w:rFonts w:hint="eastAsia"/>
          <w:szCs w:val="21"/>
        </w:rPr>
        <w:t>（1）投标函</w:t>
      </w:r>
    </w:p>
    <w:p>
      <w:pPr>
        <w:spacing w:line="400" w:lineRule="exact"/>
        <w:ind w:firstLine="420"/>
        <w:rPr>
          <w:szCs w:val="21"/>
        </w:rPr>
      </w:pPr>
      <w:r>
        <w:rPr>
          <w:rFonts w:hint="eastAsia"/>
          <w:szCs w:val="21"/>
        </w:rPr>
        <w:t>（2）开标一览表</w:t>
      </w:r>
    </w:p>
    <w:p>
      <w:pPr>
        <w:spacing w:line="400" w:lineRule="exact"/>
        <w:ind w:firstLine="420"/>
        <w:rPr>
          <w:szCs w:val="21"/>
        </w:rPr>
      </w:pPr>
      <w:r>
        <w:rPr>
          <w:rFonts w:hint="eastAsia"/>
          <w:szCs w:val="21"/>
        </w:rPr>
        <w:t>（3）投标人资格文件，包括营业执照或事业单位法人证书复印件；</w:t>
      </w:r>
    </w:p>
    <w:p>
      <w:pPr>
        <w:spacing w:line="400" w:lineRule="exact"/>
        <w:ind w:firstLine="420"/>
        <w:rPr>
          <w:szCs w:val="21"/>
        </w:rPr>
      </w:pPr>
      <w:r>
        <w:rPr>
          <w:rFonts w:hint="eastAsia"/>
          <w:szCs w:val="21"/>
        </w:rPr>
        <w:t>（4）法定代表人授权委托书原件和委托代理人身份证复印件；</w:t>
      </w:r>
    </w:p>
    <w:p>
      <w:pPr>
        <w:spacing w:line="400" w:lineRule="exact"/>
        <w:ind w:firstLine="420"/>
        <w:rPr>
          <w:szCs w:val="21"/>
        </w:rPr>
      </w:pPr>
      <w:r>
        <w:rPr>
          <w:rFonts w:hint="eastAsia"/>
          <w:szCs w:val="21"/>
        </w:rPr>
        <w:t>（5）项目负责人资质证书、业绩材料；</w:t>
      </w:r>
    </w:p>
    <w:p>
      <w:pPr>
        <w:spacing w:line="400" w:lineRule="exact"/>
        <w:ind w:firstLine="420"/>
        <w:rPr>
          <w:szCs w:val="21"/>
        </w:rPr>
      </w:pPr>
      <w:r>
        <w:rPr>
          <w:rFonts w:hint="eastAsia"/>
          <w:szCs w:val="21"/>
        </w:rPr>
        <w:t>（6）项目组人员基本情况及资质证书；</w:t>
      </w:r>
    </w:p>
    <w:p>
      <w:pPr>
        <w:spacing w:line="400" w:lineRule="exact"/>
        <w:ind w:firstLine="420"/>
        <w:rPr>
          <w:szCs w:val="21"/>
        </w:rPr>
      </w:pPr>
      <w:r>
        <w:rPr>
          <w:rFonts w:hint="eastAsia"/>
          <w:szCs w:val="21"/>
        </w:rPr>
        <w:t>（7）投标人综合实力证明文件复印件；</w:t>
      </w:r>
    </w:p>
    <w:p>
      <w:pPr>
        <w:spacing w:line="400" w:lineRule="exact"/>
        <w:ind w:firstLine="420"/>
        <w:rPr>
          <w:szCs w:val="21"/>
        </w:rPr>
      </w:pPr>
      <w:r>
        <w:rPr>
          <w:rFonts w:hint="eastAsia"/>
          <w:szCs w:val="21"/>
        </w:rPr>
        <w:t>（8）投标人承诺书</w:t>
      </w:r>
    </w:p>
    <w:p>
      <w:pPr>
        <w:spacing w:line="400" w:lineRule="exact"/>
        <w:ind w:firstLine="420"/>
        <w:rPr>
          <w:szCs w:val="21"/>
        </w:rPr>
      </w:pPr>
      <w:r>
        <w:rPr>
          <w:rFonts w:hint="eastAsia"/>
          <w:szCs w:val="21"/>
        </w:rPr>
        <w:t>（9）投标人认为有必要说明的其他内容。</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技术文件：技术文件组成按照技术部分评分办法顺序和内容编写。</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（1）对本项目的理解和认识及工作流程的梳理；</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（2）编制实施方案；</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（3）重点与难点分析；</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（4）合理化建议；</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（5）服务承诺；</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（6）投标人认为有必要说明的其他内容。</w:t>
      </w:r>
    </w:p>
    <w:p>
      <w:pPr>
        <w:spacing w:line="400" w:lineRule="exact"/>
        <w:ind w:firstLine="420"/>
        <w:rPr>
          <w:rFonts w:hint="eastAsia" w:ascii="Times New Roman" w:hAnsi="Times New Roman" w:eastAsia="宋体" w:cs="Times New Roman"/>
          <w:szCs w:val="21"/>
        </w:rPr>
      </w:pPr>
      <w:r>
        <w:rPr>
          <w:rFonts w:hint="eastAsia" w:ascii="Times New Roman" w:hAnsi="Times New Roman" w:eastAsia="宋体" w:cs="Times New Roman"/>
          <w:szCs w:val="21"/>
        </w:rPr>
        <w:br w:type="page"/>
      </w:r>
    </w:p>
    <w:bookmarkEnd w:id="79"/>
    <w:bookmarkEnd w:id="80"/>
    <w:p>
      <w:pPr>
        <w:widowControl/>
        <w:jc w:val="left"/>
        <w:rPr>
          <w:rFonts w:ascii="宋体" w:hAnsi="宋体"/>
          <w:sz w:val="24"/>
        </w:rPr>
        <w:sectPr>
          <w:headerReference r:id="rId10" w:type="default"/>
          <w:footerReference r:id="rId11" w:type="default"/>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72"/>
        <w:jc w:val="center"/>
        <w:outlineLvl w:val="0"/>
      </w:pPr>
      <w:bookmarkStart w:id="81" w:name="_Toc21780691"/>
      <w:bookmarkStart w:id="82" w:name="_Toc286358008"/>
      <w:bookmarkStart w:id="83" w:name="_Toc523823664"/>
      <w:bookmarkStart w:id="84" w:name="_Toc384825309"/>
      <w:bookmarkStart w:id="85" w:name="_Toc426621292"/>
      <w:r>
        <w:rPr>
          <w:rFonts w:hint="eastAsia"/>
        </w:rPr>
        <w:t>（一）投标函</w:t>
      </w:r>
      <w:bookmarkEnd w:id="81"/>
      <w:bookmarkEnd w:id="82"/>
      <w:bookmarkEnd w:id="83"/>
      <w:bookmarkEnd w:id="84"/>
      <w:bookmarkEnd w:id="85"/>
    </w:p>
    <w:p>
      <w:pPr>
        <w:tabs>
          <w:tab w:val="left" w:pos="1780"/>
        </w:tabs>
        <w:autoSpaceDE w:val="0"/>
        <w:autoSpaceDN w:val="0"/>
        <w:adjustRightInd w:val="0"/>
        <w:ind w:left="108" w:right="-20"/>
        <w:jc w:val="left"/>
        <w:rPr>
          <w:rFonts w:ascii="宋体" w:cs="宋体"/>
          <w:kern w:val="0"/>
          <w:szCs w:val="21"/>
        </w:rPr>
      </w:pPr>
      <w:r>
        <w:rPr>
          <w:rFonts w:ascii="宋体" w:cs="宋体"/>
          <w:kern w:val="0"/>
          <w:szCs w:val="21"/>
          <w:u w:val="single"/>
        </w:rPr>
        <w:tab/>
      </w:r>
      <w:r>
        <w:rPr>
          <w:rFonts w:hint="eastAsia" w:ascii="宋体" w:cs="宋体"/>
          <w:kern w:val="0"/>
          <w:szCs w:val="21"/>
        </w:rPr>
        <w:t>（招</w:t>
      </w:r>
      <w:r>
        <w:rPr>
          <w:rFonts w:hint="eastAsia" w:ascii="宋体" w:cs="宋体"/>
          <w:spacing w:val="-1"/>
          <w:kern w:val="0"/>
          <w:szCs w:val="21"/>
        </w:rPr>
        <w:t>标</w:t>
      </w:r>
      <w:r>
        <w:rPr>
          <w:rFonts w:hint="eastAsia" w:ascii="宋体" w:cs="宋体"/>
          <w:kern w:val="0"/>
          <w:szCs w:val="21"/>
        </w:rPr>
        <w:t>人名称）：</w:t>
      </w:r>
    </w:p>
    <w:p>
      <w:pPr>
        <w:spacing w:line="360" w:lineRule="auto"/>
        <w:ind w:firstLine="435"/>
        <w:rPr>
          <w:rFonts w:ascii="宋体" w:hAnsi="宋体"/>
        </w:rPr>
      </w:pPr>
      <w:r>
        <w:rPr>
          <w:rFonts w:hint="eastAsia" w:ascii="宋体" w:hAnsi="宋体"/>
        </w:rPr>
        <w:t>根据贵公司</w:t>
      </w:r>
      <w:r>
        <w:rPr>
          <w:rFonts w:hint="eastAsia" w:ascii="宋体" w:hAnsi="宋体"/>
          <w:u w:val="single"/>
        </w:rPr>
        <w:t xml:space="preserve">         （项目名称）          </w:t>
      </w:r>
      <w:r>
        <w:rPr>
          <w:rFonts w:hint="eastAsia" w:ascii="宋体" w:hAnsi="宋体"/>
        </w:rPr>
        <w:t>项目的招标文件(招标文件编号：)，我方经仔细研究，现决定参加投标。签字代表</w:t>
      </w:r>
      <w:r>
        <w:rPr>
          <w:rFonts w:hint="eastAsia" w:ascii="宋体" w:hAnsi="宋体"/>
          <w:u w:val="single"/>
        </w:rPr>
        <w:t xml:space="preserve">    （姓名、单位、职务）                 </w:t>
      </w:r>
      <w:r>
        <w:rPr>
          <w:rFonts w:hint="eastAsia" w:ascii="宋体" w:hAnsi="宋体"/>
        </w:rPr>
        <w:t>经正式授权并代表投标人</w:t>
      </w:r>
      <w:r>
        <w:rPr>
          <w:rFonts w:hint="eastAsia" w:ascii="宋体" w:hAnsi="宋体"/>
          <w:u w:val="single"/>
        </w:rPr>
        <w:t xml:space="preserve">    （投标人全称）      </w:t>
      </w:r>
      <w:r>
        <w:rPr>
          <w:rFonts w:hint="eastAsia" w:ascii="宋体" w:hAnsi="宋体"/>
        </w:rPr>
        <w:t>承诺如下：</w:t>
      </w:r>
    </w:p>
    <w:p>
      <w:pPr>
        <w:numPr>
          <w:ilvl w:val="0"/>
          <w:numId w:val="1"/>
        </w:numPr>
        <w:tabs>
          <w:tab w:val="left" w:pos="900"/>
        </w:tabs>
        <w:spacing w:line="360" w:lineRule="auto"/>
        <w:rPr>
          <w:rFonts w:ascii="宋体" w:hAnsi="宋体"/>
        </w:rPr>
      </w:pPr>
      <w:r>
        <w:rPr>
          <w:rFonts w:hint="eastAsia" w:ascii="宋体" w:hAnsi="宋体"/>
        </w:rPr>
        <w:t>我方愿意遵守招标文件的要求，提供招标所需服务的全部，详见投标一览表及其附件和投标文件的其他内容。</w:t>
      </w:r>
    </w:p>
    <w:p>
      <w:pPr>
        <w:numPr>
          <w:ilvl w:val="0"/>
          <w:numId w:val="1"/>
        </w:numPr>
        <w:tabs>
          <w:tab w:val="left" w:pos="900"/>
        </w:tabs>
        <w:spacing w:line="360" w:lineRule="auto"/>
        <w:ind w:left="900" w:hanging="465"/>
        <w:rPr>
          <w:rFonts w:ascii="宋体" w:hAnsi="宋体"/>
        </w:rPr>
      </w:pPr>
      <w:r>
        <w:rPr>
          <w:rFonts w:hint="eastAsia" w:ascii="宋体" w:hAnsi="宋体"/>
        </w:rPr>
        <w:t>我方投标文件正本</w:t>
      </w:r>
      <w:r>
        <w:rPr>
          <w:rFonts w:hint="eastAsia" w:ascii="宋体" w:hAnsi="宋体"/>
          <w:u w:val="single"/>
        </w:rPr>
        <w:t xml:space="preserve">  </w:t>
      </w:r>
      <w:r>
        <w:rPr>
          <w:rFonts w:hint="eastAsia" w:ascii="宋体" w:hAnsi="宋体"/>
        </w:rPr>
        <w:t>份，副本</w:t>
      </w:r>
      <w:r>
        <w:rPr>
          <w:rFonts w:hint="eastAsia" w:ascii="宋体" w:hAnsi="宋体"/>
          <w:u w:val="single"/>
        </w:rPr>
        <w:t xml:space="preserve">  </w:t>
      </w:r>
      <w:r>
        <w:rPr>
          <w:rFonts w:hint="eastAsia" w:ascii="宋体" w:hAnsi="宋体"/>
        </w:rPr>
        <w:t>份。</w:t>
      </w:r>
    </w:p>
    <w:p>
      <w:pPr>
        <w:numPr>
          <w:ilvl w:val="0"/>
          <w:numId w:val="1"/>
        </w:numPr>
        <w:tabs>
          <w:tab w:val="left" w:pos="900"/>
        </w:tabs>
        <w:spacing w:line="360" w:lineRule="auto"/>
        <w:ind w:left="900" w:hanging="465"/>
        <w:rPr>
          <w:rFonts w:ascii="宋体" w:hAnsi="宋体"/>
        </w:rPr>
      </w:pPr>
      <w:r>
        <w:rPr>
          <w:rFonts w:hint="eastAsia" w:ascii="宋体" w:hAnsi="宋体"/>
        </w:rPr>
        <w:t>我方承诺服务期限为：</w:t>
      </w:r>
      <w:r>
        <w:rPr>
          <w:rFonts w:hint="eastAsia" w:ascii="宋体" w:hAnsi="宋体"/>
          <w:u w:val="single"/>
        </w:rPr>
        <w:t xml:space="preserve">     </w:t>
      </w:r>
      <w:r>
        <w:rPr>
          <w:rFonts w:hint="eastAsia" w:ascii="宋体" w:hAnsi="宋体"/>
        </w:rPr>
        <w:t>。</w:t>
      </w:r>
    </w:p>
    <w:p>
      <w:pPr>
        <w:numPr>
          <w:ilvl w:val="0"/>
          <w:numId w:val="1"/>
        </w:numPr>
        <w:tabs>
          <w:tab w:val="left" w:pos="900"/>
        </w:tabs>
        <w:spacing w:line="360" w:lineRule="auto"/>
        <w:ind w:left="900" w:hanging="465"/>
        <w:rPr>
          <w:rFonts w:ascii="宋体" w:hAnsi="宋体"/>
        </w:rPr>
      </w:pPr>
      <w:r>
        <w:rPr>
          <w:rFonts w:hint="eastAsia" w:ascii="宋体" w:hAnsi="宋体"/>
        </w:rPr>
        <w:t>我方投标文件的有效期为自开标之日起</w:t>
      </w:r>
      <w:r>
        <w:rPr>
          <w:rFonts w:hint="eastAsia" w:ascii="宋体" w:hAnsi="宋体"/>
          <w:u w:val="single"/>
          <w:lang w:val="en-US" w:eastAsia="zh-CN"/>
        </w:rPr>
        <w:t xml:space="preserve">   </w:t>
      </w:r>
      <w:r>
        <w:rPr>
          <w:rFonts w:hint="eastAsia" w:ascii="宋体" w:hAnsi="宋体"/>
        </w:rPr>
        <w:t>日历日，在这期间，本投标文件将始终对我方具有约束力，并可随时被接受。如果中标，在这以后直至买卖合同开始生效止，本投标文件一直有效。</w:t>
      </w:r>
    </w:p>
    <w:p>
      <w:pPr>
        <w:numPr>
          <w:ilvl w:val="0"/>
          <w:numId w:val="1"/>
        </w:numPr>
        <w:tabs>
          <w:tab w:val="left" w:pos="900"/>
        </w:tabs>
        <w:spacing w:line="360" w:lineRule="auto"/>
        <w:ind w:left="900" w:hanging="465"/>
        <w:rPr>
          <w:rFonts w:ascii="宋体" w:hAnsi="宋体"/>
        </w:rPr>
      </w:pPr>
      <w:r>
        <w:rPr>
          <w:rFonts w:hint="eastAsia" w:ascii="宋体" w:hAnsi="宋体"/>
        </w:rPr>
        <w:t>我方投标总价为人民币</w:t>
      </w:r>
      <w:r>
        <w:rPr>
          <w:rFonts w:hint="eastAsia" w:ascii="宋体" w:hAnsi="宋体"/>
          <w:u w:val="single"/>
        </w:rPr>
        <w:t xml:space="preserve">    （大写）      </w:t>
      </w:r>
      <w:r>
        <w:rPr>
          <w:rFonts w:hint="eastAsia" w:ascii="宋体" w:hAnsi="宋体"/>
        </w:rPr>
        <w:t>。</w:t>
      </w:r>
    </w:p>
    <w:p>
      <w:pPr>
        <w:numPr>
          <w:ilvl w:val="0"/>
          <w:numId w:val="1"/>
        </w:numPr>
        <w:tabs>
          <w:tab w:val="left" w:pos="900"/>
        </w:tabs>
        <w:spacing w:line="360" w:lineRule="auto"/>
        <w:ind w:left="900" w:hanging="465"/>
        <w:rPr>
          <w:rFonts w:ascii="宋体" w:hAnsi="宋体"/>
        </w:rPr>
      </w:pPr>
      <w:r>
        <w:rPr>
          <w:rFonts w:hint="eastAsia" w:ascii="宋体" w:hAnsi="宋体"/>
        </w:rPr>
        <w:t>我方愿意向招标人提供任何与本次招标有关的资料，并对其真实性、合法性、有效性负责。</w:t>
      </w:r>
    </w:p>
    <w:p>
      <w:pPr>
        <w:numPr>
          <w:ilvl w:val="0"/>
          <w:numId w:val="1"/>
        </w:numPr>
        <w:tabs>
          <w:tab w:val="left" w:pos="900"/>
        </w:tabs>
        <w:spacing w:line="360" w:lineRule="auto"/>
        <w:ind w:left="900" w:hanging="465"/>
        <w:rPr>
          <w:rFonts w:ascii="宋体" w:hAnsi="宋体"/>
        </w:rPr>
      </w:pPr>
      <w:r>
        <w:rPr>
          <w:rFonts w:hint="eastAsia" w:ascii="宋体" w:hAnsi="宋体"/>
        </w:rPr>
        <w:t>如果我方中标，在与发包人签订买卖合同前，将按招标文件的要求，提供银行基本账户开户许可证复印件。</w:t>
      </w:r>
    </w:p>
    <w:p>
      <w:pPr>
        <w:numPr>
          <w:ilvl w:val="0"/>
          <w:numId w:val="1"/>
        </w:numPr>
        <w:tabs>
          <w:tab w:val="left" w:pos="900"/>
        </w:tabs>
        <w:spacing w:line="360" w:lineRule="auto"/>
        <w:ind w:left="900" w:hanging="465"/>
        <w:rPr>
          <w:rFonts w:ascii="宋体" w:hAnsi="宋体"/>
        </w:rPr>
      </w:pPr>
      <w:r>
        <w:rPr>
          <w:rFonts w:hint="eastAsia" w:ascii="宋体" w:hAnsi="宋体"/>
        </w:rPr>
        <w:t>我方愿意履行自己在投标文件中承诺的全部责任。</w:t>
      </w:r>
    </w:p>
    <w:p>
      <w:pPr>
        <w:numPr>
          <w:ilvl w:val="0"/>
          <w:numId w:val="1"/>
        </w:numPr>
        <w:tabs>
          <w:tab w:val="left" w:pos="900"/>
        </w:tabs>
        <w:spacing w:line="360" w:lineRule="auto"/>
        <w:ind w:left="900" w:hanging="465"/>
        <w:rPr>
          <w:rFonts w:ascii="宋体" w:hAnsi="宋体"/>
        </w:rPr>
      </w:pPr>
      <w:r>
        <w:rPr>
          <w:rFonts w:hint="eastAsia" w:ascii="宋体" w:hAnsi="宋体"/>
        </w:rPr>
        <w:t>其他说明：</w:t>
      </w:r>
    </w:p>
    <w:p>
      <w:pPr>
        <w:spacing w:line="360" w:lineRule="auto"/>
        <w:ind w:firstLine="435"/>
        <w:rPr>
          <w:rFonts w:ascii="宋体" w:hAnsi="宋体"/>
        </w:rPr>
      </w:pPr>
      <w:r>
        <w:rPr>
          <w:rFonts w:hint="eastAsia" w:ascii="宋体" w:hAnsi="宋体"/>
        </w:rPr>
        <w:t>投标人全称（盖章）：</w:t>
      </w:r>
    </w:p>
    <w:p>
      <w:pPr>
        <w:spacing w:line="360" w:lineRule="auto"/>
        <w:ind w:firstLine="435"/>
        <w:rPr>
          <w:rFonts w:ascii="宋体" w:hAnsi="宋体"/>
        </w:rPr>
      </w:pPr>
      <w:r>
        <w:rPr>
          <w:rFonts w:hint="eastAsia" w:ascii="宋体" w:hAnsi="宋体"/>
        </w:rPr>
        <w:t>法定代表人或授权代表（签字）：</w:t>
      </w:r>
    </w:p>
    <w:p>
      <w:pPr>
        <w:spacing w:line="360" w:lineRule="auto"/>
        <w:ind w:firstLine="435"/>
        <w:rPr>
          <w:rFonts w:ascii="宋体" w:hAnsi="宋体"/>
        </w:rPr>
      </w:pPr>
      <w:r>
        <w:rPr>
          <w:rFonts w:hint="eastAsia" w:ascii="宋体" w:hAnsi="宋体"/>
        </w:rPr>
        <w:t>日期：</w:t>
      </w:r>
    </w:p>
    <w:p>
      <w:pPr>
        <w:spacing w:line="360" w:lineRule="auto"/>
        <w:ind w:firstLine="435"/>
        <w:rPr>
          <w:rFonts w:ascii="宋体" w:hAnsi="宋体"/>
        </w:rPr>
      </w:pPr>
      <w:r>
        <w:rPr>
          <w:rFonts w:hint="eastAsia" w:ascii="宋体" w:hAnsi="宋体"/>
        </w:rPr>
        <w:t>地址：</w:t>
      </w:r>
      <w:r>
        <w:rPr>
          <w:rFonts w:hint="eastAsia" w:ascii="宋体" w:hAnsi="宋体"/>
          <w:lang w:val="en-US" w:eastAsia="zh-CN"/>
        </w:rPr>
        <w:t xml:space="preserve">     </w:t>
      </w:r>
      <w:r>
        <w:rPr>
          <w:rFonts w:hint="eastAsia" w:ascii="宋体" w:hAnsi="宋体"/>
        </w:rPr>
        <w:t>邮编：</w:t>
      </w:r>
    </w:p>
    <w:p>
      <w:pPr>
        <w:spacing w:line="360" w:lineRule="auto"/>
        <w:ind w:firstLine="435"/>
        <w:rPr>
          <w:rFonts w:ascii="宋体" w:hAnsi="宋体"/>
        </w:rPr>
      </w:pPr>
      <w:r>
        <w:rPr>
          <w:rFonts w:hint="eastAsia" w:ascii="宋体" w:hAnsi="宋体"/>
        </w:rPr>
        <w:t>电话：</w:t>
      </w:r>
      <w:r>
        <w:rPr>
          <w:rFonts w:hint="eastAsia" w:ascii="宋体" w:hAnsi="宋体"/>
          <w:lang w:val="en-US" w:eastAsia="zh-CN"/>
        </w:rPr>
        <w:t xml:space="preserve">    </w:t>
      </w:r>
      <w:r>
        <w:rPr>
          <w:rFonts w:hint="eastAsia" w:ascii="宋体" w:hAnsi="宋体"/>
        </w:rPr>
        <w:t>传真：</w:t>
      </w:r>
    </w:p>
    <w:p>
      <w:pPr>
        <w:jc w:val="center"/>
        <w:outlineLvl w:val="1"/>
        <w:rPr>
          <w:rFonts w:ascii="宋体" w:hAnsi="宋体"/>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bookmarkStart w:id="86" w:name="_Toc286358009"/>
    </w:p>
    <w:p>
      <w:pPr>
        <w:pStyle w:val="72"/>
        <w:jc w:val="center"/>
        <w:outlineLvl w:val="0"/>
      </w:pPr>
      <w:bookmarkStart w:id="87" w:name="_Toc426621293"/>
      <w:bookmarkStart w:id="88" w:name="_Toc384825310"/>
      <w:bookmarkStart w:id="89" w:name="_Toc21780692"/>
      <w:bookmarkStart w:id="90" w:name="_Toc523823665"/>
      <w:r>
        <w:rPr>
          <w:rFonts w:hint="eastAsia"/>
        </w:rPr>
        <w:t>（二）</w:t>
      </w:r>
      <w:bookmarkEnd w:id="86"/>
      <w:bookmarkEnd w:id="87"/>
      <w:bookmarkEnd w:id="88"/>
      <w:r>
        <w:rPr>
          <w:rFonts w:hint="eastAsia"/>
        </w:rPr>
        <w:t>开标一览表</w:t>
      </w:r>
      <w:bookmarkEnd w:id="89"/>
      <w:bookmarkEnd w:id="90"/>
    </w:p>
    <w:p>
      <w:pPr>
        <w:jc w:val="center"/>
        <w:rPr>
          <w:rFonts w:ascii="宋体" w:hAnsi="宋体"/>
          <w:szCs w:val="21"/>
        </w:rPr>
      </w:pPr>
    </w:p>
    <w:p>
      <w:pPr>
        <w:adjustRightInd w:val="0"/>
        <w:snapToGrid w:val="0"/>
        <w:jc w:val="left"/>
        <w:rPr>
          <w:rFonts w:cs="Calibri"/>
          <w:b/>
          <w:szCs w:val="21"/>
        </w:rPr>
      </w:pPr>
    </w:p>
    <w:p>
      <w:pPr>
        <w:spacing w:line="400" w:lineRule="exact"/>
      </w:pPr>
      <w:r>
        <w:rPr>
          <w:rFonts w:hint="eastAsia"/>
        </w:rPr>
        <w:t>投标人名称： 项目名称： 招标编号：</w:t>
      </w:r>
    </w:p>
    <w:p>
      <w:pPr>
        <w:spacing w:line="400" w:lineRule="exact"/>
        <w:jc w:val="right"/>
      </w:pPr>
      <w:r>
        <w:t>[货币单位：人民币]</w:t>
      </w:r>
    </w:p>
    <w:tbl>
      <w:tblPr>
        <w:tblStyle w:val="33"/>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94"/>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3" w:type="dxa"/>
            <w:vAlign w:val="center"/>
          </w:tcPr>
          <w:p>
            <w:pPr>
              <w:widowControl/>
              <w:jc w:val="center"/>
              <w:rPr>
                <w:rFonts w:ascii="宋体" w:hAnsi="宋体" w:cs="宋体"/>
              </w:rPr>
            </w:pPr>
            <w:r>
              <w:rPr>
                <w:rFonts w:hint="eastAsia" w:ascii="宋体" w:hAnsi="宋体" w:cs="宋体"/>
              </w:rPr>
              <w:t>序号</w:t>
            </w:r>
          </w:p>
        </w:tc>
        <w:tc>
          <w:tcPr>
            <w:tcW w:w="1794" w:type="dxa"/>
            <w:vAlign w:val="center"/>
          </w:tcPr>
          <w:p>
            <w:pPr>
              <w:widowControl/>
              <w:jc w:val="center"/>
              <w:rPr>
                <w:rFonts w:ascii="宋体" w:hAnsi="宋体" w:cs="宋体"/>
              </w:rPr>
            </w:pPr>
            <w:r>
              <w:rPr>
                <w:rFonts w:hint="eastAsia" w:ascii="宋体" w:hAnsi="宋体" w:cs="宋体"/>
              </w:rPr>
              <w:t>项目名称</w:t>
            </w:r>
          </w:p>
        </w:tc>
        <w:tc>
          <w:tcPr>
            <w:tcW w:w="6486" w:type="dxa"/>
            <w:vAlign w:val="center"/>
          </w:tcPr>
          <w:p>
            <w:pPr>
              <w:widowControl/>
              <w:jc w:val="center"/>
              <w:rPr>
                <w:rFonts w:ascii="宋体" w:hAnsi="宋体" w:cs="宋体"/>
              </w:rPr>
            </w:pPr>
            <w:r>
              <w:rPr>
                <w:rFonts w:hint="eastAsia" w:ascii="宋体" w:hAnsi="宋体" w:cs="宋体"/>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3" w:type="dxa"/>
            <w:vAlign w:val="center"/>
          </w:tcPr>
          <w:p>
            <w:pPr>
              <w:widowControl/>
              <w:jc w:val="center"/>
              <w:rPr>
                <w:rFonts w:ascii="宋体" w:hAnsi="宋体" w:cs="宋体"/>
              </w:rPr>
            </w:pPr>
            <w:r>
              <w:rPr>
                <w:rFonts w:hint="eastAsia" w:ascii="宋体" w:hAnsi="宋体" w:cs="宋体"/>
              </w:rPr>
              <w:t>1</w:t>
            </w:r>
          </w:p>
        </w:tc>
        <w:tc>
          <w:tcPr>
            <w:tcW w:w="1794" w:type="dxa"/>
            <w:vAlign w:val="center"/>
          </w:tcPr>
          <w:p>
            <w:pPr>
              <w:widowControl/>
              <w:jc w:val="center"/>
              <w:rPr>
                <w:rFonts w:ascii="宋体" w:hAnsi="宋体" w:cs="宋体"/>
              </w:rPr>
            </w:pPr>
            <w:r>
              <w:rPr>
                <w:rFonts w:hint="eastAsia" w:ascii="宋体" w:hAnsi="宋体" w:cs="宋体"/>
              </w:rPr>
              <w:t>投标总价</w:t>
            </w:r>
          </w:p>
        </w:tc>
        <w:tc>
          <w:tcPr>
            <w:tcW w:w="6486" w:type="dxa"/>
            <w:vAlign w:val="center"/>
          </w:tcPr>
          <w:p>
            <w:pPr>
              <w:widowControl/>
              <w:spacing w:line="360" w:lineRule="auto"/>
              <w:rPr>
                <w:rFonts w:ascii="宋体" w:hAnsi="宋体" w:cs="宋体"/>
                <w:b/>
                <w:bCs/>
              </w:rPr>
            </w:pPr>
            <w:r>
              <w:rPr>
                <w:rFonts w:hint="eastAsia" w:ascii="宋体" w:hAnsi="宋体" w:cs="宋体"/>
                <w:b/>
                <w:bCs/>
              </w:rPr>
              <w:t>投标总价：万元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3" w:type="dxa"/>
            <w:vAlign w:val="center"/>
          </w:tcPr>
          <w:p>
            <w:pPr>
              <w:widowControl/>
              <w:jc w:val="center"/>
              <w:rPr>
                <w:rFonts w:ascii="宋体" w:hAnsi="宋体" w:cs="宋体"/>
              </w:rPr>
            </w:pPr>
            <w:r>
              <w:rPr>
                <w:rFonts w:hint="eastAsia" w:ascii="宋体" w:hAnsi="宋体" w:cs="宋体"/>
              </w:rPr>
              <w:t>2</w:t>
            </w:r>
          </w:p>
        </w:tc>
        <w:tc>
          <w:tcPr>
            <w:tcW w:w="1794" w:type="dxa"/>
            <w:vAlign w:val="center"/>
          </w:tcPr>
          <w:p>
            <w:pPr>
              <w:widowControl/>
              <w:jc w:val="center"/>
              <w:rPr>
                <w:rFonts w:ascii="宋体" w:hAnsi="宋体" w:cs="宋体"/>
              </w:rPr>
            </w:pPr>
            <w:r>
              <w:rPr>
                <w:rFonts w:hint="eastAsia" w:ascii="宋体" w:hAnsi="宋体" w:cs="宋体"/>
              </w:rPr>
              <w:t>投标有效期</w:t>
            </w:r>
          </w:p>
        </w:tc>
        <w:tc>
          <w:tcPr>
            <w:tcW w:w="6486" w:type="dxa"/>
            <w:vAlign w:val="center"/>
          </w:tcPr>
          <w:p>
            <w:pPr>
              <w:widowControl/>
              <w:jc w:val="center"/>
              <w:rPr>
                <w:rFonts w:ascii="宋体" w:hAnsi="宋体" w:cs="宋体"/>
              </w:rPr>
            </w:pPr>
            <w:r>
              <w:rPr>
                <w:rFonts w:hint="eastAsia" w:ascii="宋体" w:hAnsi="宋体"/>
              </w:rPr>
              <w:t>开标之日起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3" w:type="dxa"/>
            <w:vAlign w:val="center"/>
          </w:tcPr>
          <w:p>
            <w:pPr>
              <w:widowControl/>
              <w:jc w:val="center"/>
              <w:rPr>
                <w:rFonts w:ascii="宋体" w:hAnsi="宋体" w:cs="宋体"/>
              </w:rPr>
            </w:pPr>
            <w:r>
              <w:rPr>
                <w:rFonts w:hint="eastAsia" w:ascii="宋体" w:hAnsi="宋体" w:cs="宋体"/>
              </w:rPr>
              <w:t>3</w:t>
            </w:r>
          </w:p>
        </w:tc>
        <w:tc>
          <w:tcPr>
            <w:tcW w:w="1794" w:type="dxa"/>
            <w:vAlign w:val="center"/>
          </w:tcPr>
          <w:p>
            <w:pPr>
              <w:widowControl/>
              <w:jc w:val="center"/>
              <w:rPr>
                <w:rFonts w:ascii="宋体" w:hAnsi="宋体" w:cs="宋体"/>
              </w:rPr>
            </w:pPr>
            <w:r>
              <w:rPr>
                <w:rFonts w:hint="eastAsia" w:ascii="宋体" w:hAnsi="宋体" w:cs="宋体"/>
              </w:rPr>
              <w:t>服务期</w:t>
            </w:r>
          </w:p>
        </w:tc>
        <w:tc>
          <w:tcPr>
            <w:tcW w:w="6486" w:type="dxa"/>
            <w:vAlign w:val="center"/>
          </w:tcPr>
          <w:p>
            <w:pPr>
              <w:widowControl/>
              <w:rPr>
                <w:rFonts w:ascii="宋体" w:hAnsi="宋体" w:cs="宋体"/>
              </w:rPr>
            </w:pPr>
            <w:r>
              <w:rPr>
                <w:rFonts w:hint="eastAsia" w:ascii="宋体" w:hAnsi="宋体" w:cs="宋体"/>
              </w:rPr>
              <w:t xml:space="preserve">　            </w:t>
            </w:r>
          </w:p>
        </w:tc>
      </w:tr>
    </w:tbl>
    <w:p>
      <w:pPr>
        <w:jc w:val="center"/>
        <w:rPr>
          <w:rFonts w:ascii="宋体" w:hAnsi="宋体"/>
          <w:szCs w:val="21"/>
        </w:rPr>
      </w:pPr>
    </w:p>
    <w:p>
      <w:pPr>
        <w:jc w:val="center"/>
        <w:rPr>
          <w:rFonts w:ascii="宋体" w:hAnsi="宋体"/>
          <w:szCs w:val="21"/>
        </w:rPr>
      </w:pPr>
    </w:p>
    <w:p>
      <w:pPr>
        <w:jc w:val="center"/>
        <w:rPr>
          <w:rFonts w:ascii="宋体" w:hAnsi="宋体"/>
          <w:szCs w:val="21"/>
        </w:rPr>
      </w:pPr>
    </w:p>
    <w:p>
      <w:pPr>
        <w:wordWrap w:val="0"/>
        <w:jc w:val="right"/>
        <w:rPr>
          <w:rFonts w:ascii="宋体" w:hAnsi="宋体"/>
          <w:szCs w:val="21"/>
        </w:rPr>
      </w:pPr>
      <w:r>
        <w:rPr>
          <w:rFonts w:hint="eastAsia" w:ascii="宋体" w:hAnsi="宋体"/>
          <w:szCs w:val="21"/>
        </w:rPr>
        <w:t xml:space="preserve">投标人： </w:t>
      </w:r>
      <w:r>
        <w:rPr>
          <w:rFonts w:ascii="宋体" w:cs="宋体"/>
          <w:kern w:val="0"/>
          <w:position w:val="-2"/>
          <w:szCs w:val="21"/>
          <w:u w:val="single"/>
        </w:rPr>
        <w:tab/>
      </w:r>
      <w:r>
        <w:rPr>
          <w:rFonts w:hint="eastAsia" w:ascii="宋体" w:cs="宋体"/>
          <w:kern w:val="0"/>
          <w:position w:val="-2"/>
          <w:szCs w:val="21"/>
          <w:u w:val="single"/>
        </w:rPr>
        <w:t xml:space="preserve">  （</w:t>
      </w:r>
      <w:r>
        <w:rPr>
          <w:rFonts w:hint="eastAsia" w:ascii="宋体" w:cs="宋体"/>
          <w:spacing w:val="-1"/>
          <w:kern w:val="0"/>
          <w:position w:val="-2"/>
          <w:szCs w:val="21"/>
          <w:u w:val="single"/>
        </w:rPr>
        <w:t>盖</w:t>
      </w:r>
      <w:r>
        <w:rPr>
          <w:rFonts w:hint="eastAsia" w:ascii="宋体" w:cs="宋体"/>
          <w:kern w:val="0"/>
          <w:position w:val="-2"/>
          <w:szCs w:val="21"/>
          <w:u w:val="single"/>
        </w:rPr>
        <w:t>单位章）</w:t>
      </w:r>
      <w:r>
        <w:rPr>
          <w:rFonts w:ascii="宋体" w:cs="宋体"/>
          <w:kern w:val="0"/>
          <w:position w:val="-2"/>
          <w:szCs w:val="21"/>
          <w:u w:val="single"/>
        </w:rPr>
        <w:tab/>
      </w:r>
    </w:p>
    <w:p>
      <w:pPr>
        <w:jc w:val="right"/>
        <w:rPr>
          <w:rFonts w:ascii="宋体" w:hAnsi="宋体"/>
          <w:szCs w:val="21"/>
        </w:rPr>
      </w:pPr>
    </w:p>
    <w:p>
      <w:pPr>
        <w:wordWrap w:val="0"/>
        <w:jc w:val="right"/>
        <w:rPr>
          <w:rFonts w:ascii="宋体" w:hAnsi="宋体"/>
          <w:szCs w:val="21"/>
        </w:rPr>
      </w:pPr>
      <w:r>
        <w:rPr>
          <w:rFonts w:hint="eastAsia" w:ascii="宋体" w:hAnsi="宋体"/>
          <w:szCs w:val="21"/>
        </w:rPr>
        <w:t>法定代表人或其委托代理人：</w:t>
      </w:r>
      <w:r>
        <w:rPr>
          <w:rFonts w:hint="eastAsia" w:ascii="宋体" w:hAnsi="宋体"/>
          <w:szCs w:val="21"/>
          <w:u w:val="single"/>
        </w:rPr>
        <w:t>（签字）</w:t>
      </w:r>
    </w:p>
    <w:p>
      <w:pPr>
        <w:widowControl/>
        <w:jc w:val="left"/>
        <w:rPr>
          <w:rFonts w:ascii="宋体" w:hAnsi="宋体"/>
          <w:szCs w:val="21"/>
        </w:rPr>
      </w:pPr>
      <w:r>
        <w:rPr>
          <w:rFonts w:ascii="宋体" w:hAnsi="宋体"/>
          <w:szCs w:val="21"/>
        </w:rPr>
        <w:br w:type="page"/>
      </w:r>
    </w:p>
    <w:p>
      <w:pPr>
        <w:pStyle w:val="72"/>
        <w:jc w:val="center"/>
        <w:outlineLvl w:val="0"/>
      </w:pPr>
      <w:bookmarkStart w:id="91" w:name="_Toc426621295"/>
      <w:bookmarkStart w:id="92" w:name="_Toc523823666"/>
      <w:bookmarkStart w:id="93" w:name="_Toc21780693"/>
      <w:r>
        <w:rPr>
          <w:rFonts w:hint="eastAsia"/>
        </w:rPr>
        <w:t>（三）</w:t>
      </w:r>
      <w:bookmarkEnd w:id="91"/>
      <w:bookmarkEnd w:id="92"/>
      <w:r>
        <w:rPr>
          <w:rFonts w:hint="eastAsia"/>
        </w:rPr>
        <w:t>投标人资格文件，包括营业执照或事业单位法人证书复印件</w:t>
      </w:r>
      <w:bookmarkEnd w:id="93"/>
    </w:p>
    <w:p>
      <w:pPr>
        <w:jc w:val="center"/>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widowControl/>
        <w:jc w:val="left"/>
        <w:rPr>
          <w:rFonts w:ascii="宋体" w:hAnsi="宋体"/>
          <w:szCs w:val="21"/>
        </w:rPr>
      </w:pPr>
      <w:r>
        <w:rPr>
          <w:rFonts w:ascii="宋体" w:hAnsi="宋体"/>
          <w:szCs w:val="21"/>
        </w:rPr>
        <w:br w:type="page"/>
      </w:r>
    </w:p>
    <w:p>
      <w:pPr>
        <w:pStyle w:val="72"/>
        <w:jc w:val="center"/>
        <w:outlineLvl w:val="0"/>
        <w:rPr>
          <w:rFonts w:ascii="宋体" w:hAnsi="宋体" w:eastAsia="宋体"/>
          <w:b/>
          <w:bCs w:val="0"/>
        </w:rPr>
      </w:pPr>
      <w:bookmarkStart w:id="94" w:name="_Toc384825312"/>
      <w:bookmarkStart w:id="95" w:name="_Toc523823667"/>
      <w:bookmarkStart w:id="96" w:name="_Toc426621296"/>
      <w:bookmarkStart w:id="97" w:name="_Toc21780694"/>
      <w:r>
        <w:rPr>
          <w:rFonts w:hint="eastAsia"/>
        </w:rPr>
        <w:t>（四）</w:t>
      </w:r>
      <w:bookmarkEnd w:id="94"/>
      <w:bookmarkEnd w:id="95"/>
      <w:bookmarkEnd w:id="96"/>
      <w:r>
        <w:rPr>
          <w:rFonts w:hint="eastAsia"/>
        </w:rPr>
        <w:t>法定代表人授权委托书原件和委托代理人身份证复印件</w:t>
      </w:r>
      <w:bookmarkEnd w:id="97"/>
    </w:p>
    <w:p>
      <w:pPr>
        <w:jc w:val="left"/>
        <w:rPr>
          <w:rFonts w:ascii="宋体" w:hAnsi="宋体"/>
          <w:szCs w:val="21"/>
        </w:rPr>
      </w:pPr>
    </w:p>
    <w:p>
      <w:pPr>
        <w:spacing w:line="400" w:lineRule="exact"/>
        <w:ind w:firstLine="525" w:firstLineChars="250"/>
        <w:jc w:val="left"/>
        <w:rPr>
          <w:rFonts w:ascii="宋体" w:hAnsi="宋体"/>
          <w:szCs w:val="21"/>
        </w:rPr>
      </w:pPr>
      <w:r>
        <w:rPr>
          <w:rFonts w:hint="eastAsia" w:ascii="宋体" w:hAnsi="宋体"/>
          <w:szCs w:val="21"/>
        </w:rPr>
        <w:t>本人</w:t>
      </w:r>
      <w:r>
        <w:rPr>
          <w:rFonts w:hint="eastAsia" w:ascii="宋体" w:hAnsi="宋体"/>
          <w:szCs w:val="21"/>
          <w:u w:val="single"/>
        </w:rPr>
        <w:tab/>
      </w:r>
      <w:r>
        <w:rPr>
          <w:rFonts w:hint="eastAsia" w:ascii="宋体" w:hAnsi="宋体"/>
          <w:szCs w:val="21"/>
          <w:u w:val="single"/>
        </w:rPr>
        <w:tab/>
      </w:r>
      <w:r>
        <w:rPr>
          <w:rFonts w:hint="eastAsia" w:ascii="宋体" w:hAnsi="宋体"/>
          <w:szCs w:val="21"/>
        </w:rPr>
        <w:t>（姓名）系</w:t>
      </w:r>
      <w:r>
        <w:rPr>
          <w:rFonts w:hint="eastAsia" w:ascii="宋体" w:hAnsi="宋体"/>
          <w:szCs w:val="21"/>
          <w:u w:val="single"/>
        </w:rPr>
        <w:tab/>
      </w:r>
      <w:r>
        <w:rPr>
          <w:rFonts w:hint="eastAsia" w:ascii="宋体" w:hAnsi="宋体"/>
          <w:szCs w:val="21"/>
          <w:u w:val="single"/>
        </w:rPr>
        <w:tab/>
      </w:r>
      <w:r>
        <w:rPr>
          <w:rFonts w:hint="eastAsia" w:ascii="宋体" w:hAnsi="宋体"/>
          <w:szCs w:val="21"/>
        </w:rPr>
        <w:t>（投标人名称）的法定代表人，现委托</w:t>
      </w:r>
      <w:r>
        <w:rPr>
          <w:rFonts w:hint="eastAsia" w:ascii="宋体" w:hAnsi="宋体"/>
          <w:szCs w:val="21"/>
          <w:u w:val="single"/>
        </w:rPr>
        <w:tab/>
      </w:r>
      <w:r>
        <w:rPr>
          <w:rFonts w:hint="eastAsia" w:ascii="宋体" w:hAnsi="宋体"/>
          <w:szCs w:val="21"/>
          <w:u w:val="single"/>
        </w:rPr>
        <w:tab/>
      </w:r>
      <w:r>
        <w:rPr>
          <w:rFonts w:hint="eastAsia" w:ascii="宋体" w:hAnsi="宋体"/>
          <w:szCs w:val="21"/>
        </w:rPr>
        <w:t>（姓名）为我方代理人。代理人根据授权，以我方名义签署、澄清、说明、补正、递交、撤回、修改</w:t>
      </w:r>
    </w:p>
    <w:p>
      <w:pPr>
        <w:spacing w:line="400" w:lineRule="exact"/>
        <w:jc w:val="left"/>
        <w:rPr>
          <w:rFonts w:ascii="宋体" w:hAnsi="宋体"/>
          <w:szCs w:val="21"/>
        </w:rPr>
      </w:pPr>
      <w:r>
        <w:rPr>
          <w:rFonts w:hint="eastAsia" w:ascii="宋体" w:hAnsi="宋体"/>
          <w:szCs w:val="21"/>
        </w:rPr>
        <w:t>（项目名称）</w:t>
      </w:r>
      <w:r>
        <w:rPr>
          <w:rFonts w:hint="eastAsia" w:ascii="宋体" w:hAnsi="宋体"/>
          <w:szCs w:val="21"/>
          <w:u w:val="single"/>
        </w:rPr>
        <w:tab/>
      </w:r>
      <w:r>
        <w:rPr>
          <w:rFonts w:hint="eastAsia" w:ascii="宋体" w:hAnsi="宋体"/>
          <w:szCs w:val="21"/>
        </w:rPr>
        <w:t>标段项目投标文件、签订合同和处理有关事宜，其法律后果由我方承担。</w:t>
      </w:r>
    </w:p>
    <w:p>
      <w:pPr>
        <w:spacing w:line="400" w:lineRule="exact"/>
        <w:ind w:firstLine="420" w:firstLineChars="200"/>
        <w:jc w:val="left"/>
        <w:rPr>
          <w:rFonts w:ascii="宋体" w:hAnsi="宋体"/>
          <w:szCs w:val="21"/>
        </w:rPr>
      </w:pPr>
      <w:r>
        <w:rPr>
          <w:rFonts w:hint="eastAsia" w:ascii="宋体" w:hAnsi="宋体"/>
          <w:szCs w:val="21"/>
        </w:rPr>
        <w:t>委托期限：</w:t>
      </w:r>
      <w:r>
        <w:rPr>
          <w:rFonts w:hint="eastAsia" w:ascii="宋体" w:hAnsi="宋体"/>
          <w:szCs w:val="21"/>
          <w:u w:val="single"/>
        </w:rPr>
        <w:tab/>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代理人无转委托权。</w:t>
      </w:r>
    </w:p>
    <w:p>
      <w:pPr>
        <w:spacing w:line="400" w:lineRule="exact"/>
        <w:ind w:firstLine="420" w:firstLineChars="200"/>
        <w:jc w:val="left"/>
        <w:rPr>
          <w:rFonts w:ascii="宋体" w:hAnsi="宋体"/>
          <w:szCs w:val="21"/>
        </w:rPr>
      </w:pPr>
      <w:r>
        <w:rPr>
          <w:rFonts w:hint="eastAsia" w:ascii="宋体" w:hAnsi="宋体"/>
          <w:szCs w:val="21"/>
        </w:rPr>
        <w:t>附：法定代表人身份证明</w: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spacing w:line="440" w:lineRule="exact"/>
        <w:ind w:firstLine="5040" w:firstLineChars="2400"/>
        <w:jc w:val="left"/>
        <w:rPr>
          <w:rFonts w:ascii="宋体" w:hAnsi="宋体"/>
          <w:szCs w:val="21"/>
        </w:rPr>
      </w:pPr>
      <w:r>
        <w:rPr>
          <w:rFonts w:hint="eastAsia" w:ascii="宋体" w:hAnsi="宋体"/>
          <w:szCs w:val="21"/>
        </w:rPr>
        <w:t>投标人：</w:t>
      </w:r>
      <w:r>
        <w:rPr>
          <w:rFonts w:hint="eastAsia" w:ascii="宋体" w:hAnsi="宋体"/>
          <w:szCs w:val="21"/>
          <w:u w:val="single"/>
        </w:rPr>
        <w:tab/>
      </w:r>
      <w:r>
        <w:rPr>
          <w:rFonts w:hint="eastAsia" w:ascii="宋体" w:hAnsi="宋体"/>
          <w:szCs w:val="21"/>
        </w:rPr>
        <w:t>（盖单位章）</w:t>
      </w:r>
    </w:p>
    <w:p>
      <w:pPr>
        <w:spacing w:line="440" w:lineRule="exact"/>
        <w:ind w:firstLine="5040" w:firstLineChars="2400"/>
        <w:jc w:val="left"/>
        <w:rPr>
          <w:rFonts w:ascii="宋体" w:hAnsi="宋体"/>
          <w:szCs w:val="21"/>
        </w:rPr>
      </w:pPr>
      <w:r>
        <w:rPr>
          <w:rFonts w:hint="eastAsia" w:ascii="宋体" w:hAnsi="宋体"/>
          <w:szCs w:val="21"/>
        </w:rPr>
        <w:t>法定代表人：</w:t>
      </w:r>
      <w:r>
        <w:rPr>
          <w:rFonts w:hint="eastAsia" w:ascii="宋体" w:hAnsi="宋体"/>
          <w:szCs w:val="21"/>
          <w:u w:val="single"/>
        </w:rPr>
        <w:tab/>
      </w:r>
      <w:r>
        <w:rPr>
          <w:rFonts w:hint="eastAsia" w:ascii="宋体" w:hAnsi="宋体"/>
          <w:szCs w:val="21"/>
        </w:rPr>
        <w:t>（签字或盖章）</w:t>
      </w:r>
    </w:p>
    <w:p>
      <w:pPr>
        <w:spacing w:line="440" w:lineRule="exact"/>
        <w:ind w:firstLine="5040" w:firstLineChars="2400"/>
        <w:jc w:val="left"/>
        <w:rPr>
          <w:rFonts w:ascii="宋体" w:hAnsi="宋体"/>
          <w:szCs w:val="21"/>
        </w:rPr>
      </w:pPr>
      <w:r>
        <w:rPr>
          <w:rFonts w:hint="eastAsia" w:ascii="宋体" w:hAnsi="宋体"/>
          <w:szCs w:val="21"/>
        </w:rPr>
        <w:t>身份证号码：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440" w:lineRule="exact"/>
        <w:ind w:firstLine="5040" w:firstLineChars="2400"/>
        <w:jc w:val="left"/>
        <w:rPr>
          <w:rFonts w:ascii="宋体" w:hAnsi="宋体"/>
          <w:szCs w:val="21"/>
        </w:rPr>
      </w:pPr>
      <w:r>
        <w:rPr>
          <w:rFonts w:hint="eastAsia" w:ascii="宋体" w:hAnsi="宋体"/>
          <w:szCs w:val="21"/>
        </w:rPr>
        <w:t>委托代理人：</w:t>
      </w:r>
      <w:r>
        <w:rPr>
          <w:rFonts w:hint="eastAsia" w:ascii="宋体" w:hAnsi="宋体"/>
          <w:szCs w:val="21"/>
          <w:u w:val="single"/>
        </w:rPr>
        <w:tab/>
      </w:r>
      <w:r>
        <w:rPr>
          <w:rFonts w:hint="eastAsia" w:ascii="宋体" w:hAnsi="宋体"/>
          <w:szCs w:val="21"/>
          <w:u w:val="single"/>
        </w:rPr>
        <w:tab/>
      </w:r>
      <w:r>
        <w:rPr>
          <w:rFonts w:hint="eastAsia" w:ascii="宋体" w:hAnsi="宋体"/>
          <w:szCs w:val="21"/>
        </w:rPr>
        <w:t>（签字）</w:t>
      </w:r>
    </w:p>
    <w:p>
      <w:pPr>
        <w:spacing w:line="440" w:lineRule="exact"/>
        <w:ind w:firstLine="5040" w:firstLineChars="2400"/>
        <w:jc w:val="left"/>
        <w:rPr>
          <w:rFonts w:ascii="宋体" w:hAnsi="宋体"/>
          <w:szCs w:val="21"/>
        </w:rPr>
      </w:pPr>
      <w:r>
        <w:rPr>
          <w:rFonts w:hint="eastAsia" w:ascii="宋体" w:hAnsi="宋体"/>
          <w:szCs w:val="21"/>
        </w:rPr>
        <w:t>身份证号码：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r>
        <w:rPr>
          <w:rFonts w:hint="eastAsia" w:ascii="宋体" w:hAnsi="宋体"/>
          <w:szCs w:val="21"/>
          <w:u w:val="single"/>
        </w:rPr>
        <w:tab/>
      </w:r>
      <w:r>
        <w:rPr>
          <w:rFonts w:hint="eastAsia" w:ascii="宋体" w:hAnsi="宋体"/>
          <w:szCs w:val="21"/>
        </w:rPr>
        <w:t>年</w:t>
      </w:r>
      <w:r>
        <w:rPr>
          <w:rFonts w:hint="eastAsia" w:ascii="宋体" w:hAnsi="宋体"/>
          <w:szCs w:val="21"/>
          <w:u w:val="single"/>
        </w:rPr>
        <w:tab/>
      </w:r>
      <w:r>
        <w:rPr>
          <w:rFonts w:hint="eastAsia" w:ascii="宋体" w:hAnsi="宋体"/>
          <w:szCs w:val="21"/>
        </w:rPr>
        <w:t>月</w:t>
      </w:r>
      <w:r>
        <w:rPr>
          <w:rFonts w:hint="eastAsia" w:ascii="宋体" w:hAnsi="宋体"/>
          <w:szCs w:val="21"/>
          <w:u w:val="single"/>
        </w:rPr>
        <w:tab/>
      </w:r>
      <w:r>
        <w:rPr>
          <w:rFonts w:hint="eastAsia" w:ascii="宋体" w:hAnsi="宋体"/>
          <w:szCs w:val="21"/>
        </w:rPr>
        <w:t>日</w:t>
      </w: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72"/>
        <w:jc w:val="center"/>
        <w:outlineLvl w:val="0"/>
      </w:pPr>
      <w:bookmarkStart w:id="98" w:name="_Toc426621297"/>
      <w:bookmarkStart w:id="99" w:name="_Toc523823668"/>
      <w:bookmarkStart w:id="100" w:name="_Toc384825313"/>
      <w:bookmarkStart w:id="101" w:name="_Toc21780695"/>
      <w:r>
        <w:rPr>
          <w:rFonts w:hint="eastAsia"/>
        </w:rPr>
        <w:t>（五）</w:t>
      </w:r>
      <w:bookmarkEnd w:id="98"/>
      <w:bookmarkEnd w:id="99"/>
      <w:bookmarkEnd w:id="100"/>
      <w:r>
        <w:rPr>
          <w:rFonts w:hint="eastAsia"/>
        </w:rPr>
        <w:t>项目负责人资质证书、业绩材料；</w:t>
      </w:r>
      <w:bookmarkEnd w:id="101"/>
    </w:p>
    <w:p/>
    <w:p>
      <w:pPr>
        <w:spacing w:line="440" w:lineRule="exact"/>
        <w:jc w:val="center"/>
        <w:rPr>
          <w:rFonts w:eastAsia="黑体" w:cs="Calibri"/>
          <w:sz w:val="28"/>
          <w:szCs w:val="28"/>
        </w:rPr>
      </w:pPr>
      <w:r>
        <w:rPr>
          <w:rFonts w:eastAsia="黑体" w:cs="Calibri"/>
          <w:sz w:val="28"/>
          <w:szCs w:val="28"/>
        </w:rPr>
        <w:t>项目负责人简介</w:t>
      </w:r>
    </w:p>
    <w:tbl>
      <w:tblPr>
        <w:tblStyle w:val="33"/>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
    <w:p/>
    <w:p/>
    <w:p/>
    <w:p/>
    <w:p/>
    <w:p>
      <w:pPr>
        <w:widowControl/>
        <w:jc w:val="left"/>
      </w:pPr>
      <w:r>
        <w:br w:type="page"/>
      </w:r>
    </w:p>
    <w:p>
      <w:pPr>
        <w:pStyle w:val="72"/>
        <w:jc w:val="center"/>
        <w:outlineLvl w:val="0"/>
      </w:pPr>
      <w:bookmarkStart w:id="102" w:name="_Toc523823669"/>
      <w:bookmarkStart w:id="103" w:name="_Toc21780696"/>
      <w:r>
        <w:rPr>
          <w:rFonts w:hint="eastAsia"/>
        </w:rPr>
        <w:t>（六）</w:t>
      </w:r>
      <w:bookmarkEnd w:id="102"/>
      <w:bookmarkStart w:id="104" w:name="_Toc384825314"/>
      <w:bookmarkStart w:id="105" w:name="_Toc286358013"/>
      <w:bookmarkStart w:id="106" w:name="_Toc426621298"/>
      <w:r>
        <w:rPr>
          <w:rFonts w:hint="eastAsia"/>
        </w:rPr>
        <w:t>项目组人员基本情况及资质证书；</w:t>
      </w:r>
      <w:bookmarkEnd w:id="103"/>
    </w:p>
    <w:p>
      <w:pPr>
        <w:spacing w:line="440" w:lineRule="exact"/>
        <w:jc w:val="center"/>
        <w:rPr>
          <w:rFonts w:eastAsia="黑体" w:cs="Calibri"/>
          <w:sz w:val="28"/>
          <w:szCs w:val="28"/>
        </w:rPr>
      </w:pPr>
      <w:bookmarkStart w:id="107" w:name="_Toc346796858"/>
      <w:bookmarkStart w:id="108" w:name="_Toc324793619"/>
      <w:bookmarkStart w:id="109" w:name="_Toc265502248"/>
      <w:bookmarkStart w:id="110" w:name="_Toc523823670"/>
      <w:bookmarkStart w:id="111" w:name="_Toc208577833"/>
      <w:bookmarkStart w:id="112" w:name="_Toc265313730"/>
      <w:bookmarkStart w:id="113" w:name="_Toc267572672"/>
      <w:r>
        <w:rPr>
          <w:rFonts w:eastAsia="黑体" w:cs="Calibri"/>
          <w:sz w:val="28"/>
          <w:szCs w:val="28"/>
        </w:rPr>
        <w:t>主要参与</w:t>
      </w:r>
      <w:r>
        <w:rPr>
          <w:rFonts w:hint="eastAsia" w:eastAsia="黑体" w:cs="Calibri"/>
          <w:sz w:val="28"/>
          <w:szCs w:val="28"/>
        </w:rPr>
        <w:t>服务</w:t>
      </w:r>
      <w:r>
        <w:rPr>
          <w:rFonts w:eastAsia="黑体" w:cs="Calibri"/>
          <w:sz w:val="28"/>
          <w:szCs w:val="28"/>
        </w:rPr>
        <w:t>人员简介</w:t>
      </w:r>
    </w:p>
    <w:tbl>
      <w:tblPr>
        <w:tblStyle w:val="3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vAlign w:val="center"/>
          </w:tcPr>
          <w:p>
            <w:pPr>
              <w:pStyle w:val="15"/>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5"/>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5"/>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241"/>
              <w:jc w:val="center"/>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bl>
    <w:p>
      <w:pPr>
        <w:spacing w:line="400" w:lineRule="exact"/>
        <w:ind w:firstLine="420"/>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widowControl/>
        <w:jc w:val="left"/>
        <w:rPr>
          <w:rFonts w:ascii="Arial" w:hAnsi="Arial" w:eastAsia="黑体"/>
          <w:bCs/>
          <w:sz w:val="24"/>
        </w:rPr>
      </w:pPr>
      <w:r>
        <w:br w:type="page"/>
      </w:r>
    </w:p>
    <w:p>
      <w:pPr>
        <w:pStyle w:val="72"/>
        <w:jc w:val="center"/>
        <w:outlineLvl w:val="0"/>
      </w:pPr>
      <w:bookmarkStart w:id="114" w:name="_Toc21780697"/>
      <w:r>
        <w:rPr>
          <w:rFonts w:hint="eastAsia"/>
        </w:rPr>
        <w:t>（七）</w:t>
      </w:r>
      <w:bookmarkEnd w:id="107"/>
      <w:bookmarkEnd w:id="108"/>
      <w:bookmarkEnd w:id="109"/>
      <w:bookmarkEnd w:id="110"/>
      <w:bookmarkEnd w:id="111"/>
      <w:bookmarkEnd w:id="112"/>
      <w:bookmarkEnd w:id="113"/>
      <w:r>
        <w:rPr>
          <w:rFonts w:hint="eastAsia"/>
        </w:rPr>
        <w:t>投标人综合实力证明文件复印件</w:t>
      </w:r>
      <w:bookmarkEnd w:id="114"/>
    </w:p>
    <w:bookmarkEnd w:id="104"/>
    <w:bookmarkEnd w:id="105"/>
    <w:bookmarkEnd w:id="106"/>
    <w:p>
      <w:pPr>
        <w:spacing w:line="400" w:lineRule="exact"/>
        <w:ind w:firstLine="420"/>
        <w:rPr>
          <w:szCs w:val="21"/>
        </w:rPr>
      </w:pPr>
    </w:p>
    <w:p>
      <w:pPr>
        <w:widowControl/>
        <w:jc w:val="left"/>
        <w:rPr>
          <w:szCs w:val="21"/>
        </w:rPr>
      </w:pPr>
      <w:r>
        <w:rPr>
          <w:szCs w:val="21"/>
        </w:rPr>
        <w:br w:type="page"/>
      </w:r>
    </w:p>
    <w:p>
      <w:pPr>
        <w:pStyle w:val="72"/>
        <w:jc w:val="center"/>
      </w:pPr>
      <w:bookmarkStart w:id="115" w:name="_Toc523823671"/>
      <w:bookmarkStart w:id="116" w:name="_Toc21780698"/>
      <w:r>
        <w:rPr>
          <w:rFonts w:hint="eastAsia"/>
        </w:rPr>
        <w:t>（八）</w:t>
      </w:r>
      <w:bookmarkEnd w:id="115"/>
      <w:bookmarkStart w:id="117" w:name="_Toc479172345"/>
      <w:bookmarkStart w:id="118" w:name="_Toc7935"/>
      <w:bookmarkStart w:id="119" w:name="_Toc523752746"/>
      <w:r>
        <w:rPr>
          <w:rFonts w:hint="eastAsia"/>
        </w:rPr>
        <w:t>投标人承诺书</w:t>
      </w:r>
      <w:bookmarkEnd w:id="117"/>
      <w:bookmarkEnd w:id="118"/>
      <w:bookmarkEnd w:id="119"/>
    </w:p>
    <w:p>
      <w:pPr>
        <w:spacing w:line="360" w:lineRule="auto"/>
        <w:ind w:firstLine="420" w:firstLineChars="200"/>
        <w:rPr>
          <w:rFonts w:ascii="Arial" w:hAnsi="Arial" w:cs="Arial"/>
        </w:rPr>
      </w:pPr>
      <w:r>
        <w:rPr>
          <w:rFonts w:hint="eastAsia" w:ascii="Arial" w:hAnsi="Arial" w:cs="Arial"/>
        </w:rPr>
        <w:t>致</w:t>
      </w:r>
      <w:r>
        <w:rPr>
          <w:rFonts w:hint="eastAsia" w:ascii="Arial" w:hAnsi="Arial" w:cs="Arial"/>
          <w:u w:val="single"/>
        </w:rPr>
        <w:t>（招标人）</w:t>
      </w:r>
      <w:r>
        <w:rPr>
          <w:rFonts w:hint="eastAsia" w:ascii="Arial" w:hAnsi="Arial" w:cs="Arial"/>
        </w:rPr>
        <w:t>：</w:t>
      </w:r>
    </w:p>
    <w:p>
      <w:pPr>
        <w:spacing w:line="360" w:lineRule="auto"/>
        <w:ind w:firstLine="420" w:firstLineChars="200"/>
        <w:rPr>
          <w:rFonts w:ascii="Arial" w:hAnsi="Arial" w:cs="Arial"/>
        </w:rPr>
      </w:pPr>
      <w:r>
        <w:rPr>
          <w:rFonts w:hint="eastAsia" w:ascii="Arial" w:hAnsi="Arial" w:cs="Arial"/>
        </w:rPr>
        <w:t>本公司作为在中华人民共和国境内依法成立的独立法人，在此郑重承诺：</w:t>
      </w:r>
    </w:p>
    <w:p>
      <w:pPr>
        <w:spacing w:line="360" w:lineRule="auto"/>
        <w:ind w:firstLine="420" w:firstLineChars="200"/>
        <w:rPr>
          <w:rFonts w:ascii="Arial" w:hAnsi="Arial" w:cs="Arial"/>
        </w:rPr>
      </w:pPr>
      <w:r>
        <w:rPr>
          <w:rFonts w:hint="eastAsia" w:ascii="Arial" w:hAnsi="Arial" w:cs="Arial"/>
        </w:rPr>
        <w:t>1、本企业此次参加</w:t>
      </w:r>
      <w:r>
        <w:rPr>
          <w:rFonts w:hint="eastAsia" w:ascii="Arial" w:hAnsi="Arial" w:cs="Arial"/>
          <w:u w:val="single"/>
        </w:rPr>
        <w:t>（项目名称）</w:t>
      </w:r>
      <w:r>
        <w:rPr>
          <w:rFonts w:ascii="Arial" w:hAnsi="Arial" w:cs="Arial"/>
        </w:rPr>
        <w:t>项目</w:t>
      </w:r>
      <w:r>
        <w:rPr>
          <w:rFonts w:hint="eastAsia" w:ascii="Arial" w:hAnsi="Arial" w:cs="Arial"/>
        </w:rPr>
        <w:t>投标所提交的所有资料都是真实的，我方准备随时解答贵方提出的疑问。为此，我们授权任何相关个人和公司向贵方提供真实情况和资料以证实我们所填报的各项内容。</w:t>
      </w:r>
    </w:p>
    <w:p>
      <w:pPr>
        <w:spacing w:line="360" w:lineRule="auto"/>
        <w:ind w:firstLine="420" w:firstLineChars="200"/>
        <w:rPr>
          <w:rFonts w:ascii="Arial" w:hAnsi="Arial" w:cs="Arial"/>
        </w:rPr>
      </w:pPr>
      <w:r>
        <w:rPr>
          <w:rFonts w:hint="eastAsia" w:ascii="Arial" w:hAnsi="Arial" w:cs="Arial"/>
        </w:rPr>
        <w:t>2、我单位保证</w:t>
      </w:r>
      <w:r>
        <w:rPr>
          <w:rFonts w:hint="eastAsia"/>
          <w:szCs w:val="21"/>
        </w:rPr>
        <w:t>近3年</w:t>
      </w:r>
      <w:r>
        <w:rPr>
          <w:rFonts w:hint="eastAsia" w:ascii="宋体" w:hAnsi="宋体"/>
          <w:szCs w:val="21"/>
        </w:rPr>
        <w:t>（2019年1月1日至今）内</w:t>
      </w:r>
      <w:r>
        <w:rPr>
          <w:szCs w:val="21"/>
        </w:rPr>
        <w:t>没有处于被责令停业，财产被接管、</w:t>
      </w:r>
      <w:r>
        <w:rPr>
          <w:rFonts w:hint="eastAsia"/>
          <w:szCs w:val="21"/>
        </w:rPr>
        <w:t>全部</w:t>
      </w:r>
      <w:r>
        <w:rPr>
          <w:szCs w:val="21"/>
        </w:rPr>
        <w:t>冻结，破产状态</w:t>
      </w:r>
      <w:r>
        <w:rPr>
          <w:rFonts w:hint="eastAsia"/>
          <w:szCs w:val="21"/>
        </w:rPr>
        <w:t>；没有在合同履约方面败诉的诉讼案件；没有骗取中标和严重违约及重大工程质量问题；未被列入严重违法失信企业名单（http://www.gsxt.gov.cn/）、失信被执行人名单（http://www.creditchina.gov.cn/）</w:t>
      </w:r>
      <w:r>
        <w:rPr>
          <w:rFonts w:hint="eastAsia" w:ascii="Arial" w:hAnsi="Arial" w:cs="Arial"/>
        </w:rPr>
        <w:t>。本公司不存在第二章投标人须知第1.2.2款中列明的情形。如果在该项目投标过程中或者中标后，招标人及有管辖权的招标投标行政监管机构发现并查实我公司在所填报的该项目投标文件中存在提供虚假或不真实的信息或者伪造数据、资料或证书等情况，不管招标人或者有管辖权的招标投标行政监管机构是否有合法的处罚依据，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hint="eastAsia" w:ascii="Arial" w:hAnsi="Arial" w:cs="Arial"/>
        </w:rPr>
        <w:t>本承诺既是投标文件的有效组成内容，也是我公司真实意思的表示，对我公司在与该项目有关的任何行为中始终具有优先的法律约束力。</w:t>
      </w:r>
    </w:p>
    <w:p>
      <w:pPr>
        <w:spacing w:line="360" w:lineRule="auto"/>
        <w:ind w:firstLine="420" w:firstLineChars="200"/>
        <w:rPr>
          <w:rFonts w:ascii="Arial" w:hAnsi="Arial" w:cs="Arial"/>
        </w:rPr>
      </w:pPr>
    </w:p>
    <w:p>
      <w:pPr>
        <w:wordWrap w:val="0"/>
        <w:spacing w:line="400" w:lineRule="exact"/>
        <w:ind w:firstLine="420" w:firstLineChars="200"/>
        <w:jc w:val="right"/>
        <w:rPr>
          <w:rFonts w:ascii="宋体" w:hAnsi="宋体" w:cs="Arial"/>
          <w:kern w:val="0"/>
          <w:szCs w:val="21"/>
        </w:rPr>
      </w:pPr>
      <w:r>
        <w:rPr>
          <w:rFonts w:hint="eastAsia" w:ascii="宋体" w:hAnsi="宋体" w:cs="Arial"/>
          <w:kern w:val="0"/>
          <w:szCs w:val="21"/>
        </w:rPr>
        <w:t xml:space="preserve">        投标人：  （盖单位公章）  </w:t>
      </w:r>
    </w:p>
    <w:p>
      <w:pPr>
        <w:spacing w:line="400" w:lineRule="exact"/>
        <w:ind w:firstLine="420" w:firstLineChars="200"/>
        <w:jc w:val="right"/>
        <w:rPr>
          <w:rFonts w:ascii="宋体" w:hAnsi="宋体" w:cs="Arial"/>
          <w:kern w:val="0"/>
          <w:szCs w:val="21"/>
        </w:rPr>
      </w:pPr>
      <w:r>
        <w:rPr>
          <w:rFonts w:hint="eastAsia" w:ascii="宋体" w:hAnsi="宋体" w:cs="Arial"/>
          <w:kern w:val="0"/>
          <w:szCs w:val="21"/>
        </w:rPr>
        <w:t xml:space="preserve">   法定代表人或其授权代理人：</w:t>
      </w:r>
      <w:r>
        <w:rPr>
          <w:rFonts w:hint="eastAsia" w:ascii="宋体" w:hAnsi="宋体" w:cs="Arial"/>
          <w:kern w:val="0"/>
          <w:szCs w:val="21"/>
        </w:rPr>
        <w:tab/>
      </w:r>
      <w:r>
        <w:rPr>
          <w:rFonts w:hint="eastAsia" w:ascii="宋体" w:hAnsi="宋体" w:cs="Arial"/>
          <w:kern w:val="0"/>
          <w:szCs w:val="21"/>
        </w:rPr>
        <w:t>（签字或盖章）</w:t>
      </w:r>
    </w:p>
    <w:p>
      <w:pPr>
        <w:spacing w:line="400" w:lineRule="exact"/>
        <w:ind w:right="420" w:firstLine="5565" w:firstLineChars="2650"/>
        <w:rPr>
          <w:rFonts w:ascii="宋体" w:hAnsi="宋体" w:cs="Arial"/>
          <w:kern w:val="0"/>
          <w:szCs w:val="21"/>
        </w:rPr>
      </w:pPr>
      <w:r>
        <w:rPr>
          <w:rFonts w:hint="eastAsia" w:ascii="宋体" w:hAnsi="宋体" w:cs="Arial"/>
          <w:kern w:val="0"/>
          <w:szCs w:val="21"/>
        </w:rPr>
        <w:t>日期：</w:t>
      </w:r>
    </w:p>
    <w:p>
      <w:pPr>
        <w:pStyle w:val="72"/>
        <w:jc w:val="center"/>
        <w:outlineLvl w:val="0"/>
      </w:pPr>
    </w:p>
    <w:p>
      <w:pPr>
        <w:widowControl/>
        <w:jc w:val="left"/>
        <w:rPr>
          <w:rFonts w:ascii="Arial" w:hAnsi="Arial" w:eastAsia="黑体"/>
          <w:bCs/>
          <w:sz w:val="24"/>
        </w:rPr>
      </w:pPr>
      <w:r>
        <w:br w:type="page"/>
      </w:r>
    </w:p>
    <w:p>
      <w:pPr>
        <w:pStyle w:val="72"/>
        <w:jc w:val="center"/>
        <w:outlineLvl w:val="0"/>
      </w:pPr>
      <w:r>
        <w:rPr>
          <w:rFonts w:hint="eastAsia"/>
        </w:rPr>
        <w:t>（九）投标人认为有必要说明的其他内容。</w:t>
      </w:r>
      <w:bookmarkEnd w:id="116"/>
    </w:p>
    <w:p>
      <w:pPr>
        <w:widowControl/>
        <w:jc w:val="left"/>
        <w:rPr>
          <w:szCs w:val="21"/>
        </w:rPr>
      </w:pPr>
      <w:r>
        <w:rPr>
          <w:szCs w:val="21"/>
        </w:rPr>
        <w:br w:type="page"/>
      </w:r>
    </w:p>
    <w:p>
      <w:pPr>
        <w:spacing w:line="400" w:lineRule="exact"/>
        <w:ind w:firstLine="420"/>
        <w:jc w:val="center"/>
        <w:rPr>
          <w:rFonts w:ascii="Arial" w:hAnsi="Arial" w:eastAsia="黑体"/>
          <w:bCs/>
          <w:sz w:val="24"/>
        </w:rPr>
      </w:pPr>
      <w:r>
        <w:rPr>
          <w:rFonts w:hint="eastAsia" w:ascii="Arial" w:hAnsi="Arial" w:eastAsia="黑体"/>
          <w:bCs/>
          <w:sz w:val="24"/>
        </w:rPr>
        <w:t>技术文件</w:t>
      </w:r>
    </w:p>
    <w:p>
      <w:pPr>
        <w:widowControl w:val="0"/>
        <w:spacing w:line="400" w:lineRule="exact"/>
        <w:ind w:firstLine="420" w:firstLineChars="200"/>
        <w:jc w:val="both"/>
        <w:outlineLvl w:val="3"/>
        <w:rPr>
          <w:rFonts w:hint="eastAsia"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（1）对本项目的理解和认识及工作流程的梳理；</w:t>
      </w:r>
    </w:p>
    <w:p>
      <w:pPr>
        <w:widowControl w:val="0"/>
        <w:spacing w:line="400" w:lineRule="exact"/>
        <w:ind w:firstLine="420" w:firstLineChars="200"/>
        <w:jc w:val="both"/>
        <w:outlineLvl w:val="3"/>
        <w:rPr>
          <w:rFonts w:hint="eastAsia"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（2）编制实施方案；</w:t>
      </w:r>
    </w:p>
    <w:p>
      <w:pPr>
        <w:widowControl w:val="0"/>
        <w:spacing w:line="400" w:lineRule="exact"/>
        <w:ind w:firstLine="420" w:firstLineChars="200"/>
        <w:jc w:val="both"/>
        <w:outlineLvl w:val="3"/>
        <w:rPr>
          <w:rFonts w:hint="eastAsia"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（3）重点与难点分析；</w:t>
      </w:r>
    </w:p>
    <w:p>
      <w:pPr>
        <w:widowControl w:val="0"/>
        <w:spacing w:line="400" w:lineRule="exact"/>
        <w:ind w:firstLine="420" w:firstLineChars="200"/>
        <w:jc w:val="both"/>
        <w:outlineLvl w:val="3"/>
        <w:rPr>
          <w:rFonts w:hint="eastAsia"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（4）合理化建议；</w:t>
      </w:r>
    </w:p>
    <w:p>
      <w:pPr>
        <w:widowControl w:val="0"/>
        <w:spacing w:line="400" w:lineRule="exact"/>
        <w:ind w:firstLine="420" w:firstLineChars="200"/>
        <w:jc w:val="both"/>
        <w:outlineLvl w:val="3"/>
        <w:rPr>
          <w:rFonts w:hint="eastAsia"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（5）服务承诺；</w:t>
      </w:r>
    </w:p>
    <w:p>
      <w:pPr>
        <w:widowControl w:val="0"/>
        <w:spacing w:line="400" w:lineRule="exact"/>
        <w:ind w:firstLine="420" w:firstLineChars="200"/>
        <w:jc w:val="both"/>
        <w:outlineLvl w:val="3"/>
        <w:rPr>
          <w:rFonts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（6）投标人认为有必要说明的其他内容。</w:t>
      </w:r>
    </w:p>
    <w:p>
      <w:pPr>
        <w:widowControl/>
        <w:jc w:val="left"/>
        <w:rPr>
          <w:szCs w:val="21"/>
        </w:rPr>
      </w:pPr>
    </w:p>
    <w:p/>
    <w:p>
      <w:pPr>
        <w:tabs>
          <w:tab w:val="left" w:pos="2200"/>
          <w:tab w:val="left" w:pos="5560"/>
        </w:tabs>
        <w:autoSpaceDE w:val="0"/>
        <w:autoSpaceDN w:val="0"/>
        <w:adjustRightInd w:val="0"/>
        <w:spacing w:line="330" w:lineRule="exact"/>
        <w:ind w:right="-20"/>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jc w:val="center"/>
        <w:rPr>
          <w:rFonts w:hint="eastAsia" w:ascii="宋体" w:hAnsi="宋体" w:eastAsia="宋体" w:cs="宋体"/>
          <w:b/>
          <w:sz w:val="44"/>
          <w:szCs w:val="44"/>
        </w:rPr>
      </w:pPr>
      <w:r>
        <w:rPr>
          <w:rFonts w:hint="eastAsia" w:ascii="宋体" w:hAnsi="宋体" w:eastAsia="宋体" w:cs="宋体"/>
          <w:b/>
          <w:sz w:val="44"/>
          <w:szCs w:val="44"/>
        </w:rPr>
        <w:t>供应商参加投标确认函</w:t>
      </w:r>
    </w:p>
    <w:p>
      <w:pPr>
        <w:rPr>
          <w:rFonts w:hint="eastAsia" w:ascii="宋体" w:hAnsi="宋体" w:eastAsia="宋体" w:cs="宋体"/>
          <w:sz w:val="32"/>
          <w:szCs w:val="32"/>
        </w:rPr>
      </w:pPr>
      <w:r>
        <w:rPr>
          <w:rFonts w:hint="eastAsia" w:ascii="宋体" w:hAnsi="宋体" w:eastAsia="宋体" w:cs="宋体"/>
          <w:sz w:val="32"/>
          <w:szCs w:val="32"/>
        </w:rPr>
        <w:t>江苏时代投资咨询有限公司：</w:t>
      </w:r>
    </w:p>
    <w:p>
      <w:pPr>
        <w:rPr>
          <w:rFonts w:hint="eastAsia" w:ascii="宋体" w:hAnsi="宋体" w:eastAsia="宋体" w:cs="宋体"/>
          <w:sz w:val="32"/>
          <w:szCs w:val="32"/>
        </w:rPr>
      </w:pPr>
      <w:r>
        <w:rPr>
          <w:rFonts w:hint="eastAsia" w:ascii="宋体" w:hAnsi="宋体" w:eastAsia="宋体" w:cs="宋体"/>
          <w:sz w:val="32"/>
          <w:szCs w:val="32"/>
        </w:rPr>
        <w:t>　　本单位将参加贵公司于</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日开标的采购编号为</w:t>
      </w:r>
      <w:r>
        <w:rPr>
          <w:rFonts w:hint="eastAsia" w:ascii="宋体" w:hAnsi="宋体" w:eastAsia="宋体" w:cs="宋体"/>
          <w:sz w:val="32"/>
          <w:szCs w:val="32"/>
          <w:u w:val="single"/>
        </w:rPr>
        <w:t xml:space="preserve">       </w:t>
      </w:r>
      <w:r>
        <w:rPr>
          <w:rFonts w:hint="eastAsia" w:ascii="宋体" w:hAnsi="宋体" w:eastAsia="宋体" w:cs="宋体"/>
          <w:sz w:val="32"/>
          <w:szCs w:val="32"/>
        </w:rPr>
        <w:t>的</w:t>
      </w:r>
      <w:r>
        <w:rPr>
          <w:rFonts w:hint="eastAsia" w:ascii="宋体" w:hAnsi="宋体" w:eastAsia="宋体" w:cs="宋体"/>
          <w:sz w:val="32"/>
          <w:szCs w:val="32"/>
          <w:u w:val="single"/>
        </w:rPr>
        <w:t xml:space="preserve">              </w:t>
      </w:r>
      <w:r>
        <w:rPr>
          <w:rFonts w:hint="eastAsia" w:ascii="宋体" w:hAnsi="宋体" w:eastAsia="宋体" w:cs="宋体"/>
          <w:sz w:val="32"/>
          <w:szCs w:val="32"/>
        </w:rPr>
        <w:t>项目的投标。本单位已在网站成功下载标书，特发函确认。</w:t>
      </w:r>
    </w:p>
    <w:p>
      <w:pPr>
        <w:ind w:left="4160" w:hanging="4160" w:hangingChars="130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（单位公章）</w:t>
      </w:r>
    </w:p>
    <w:p>
      <w:pPr>
        <w:pBdr>
          <w:bottom w:val="single" w:color="auto" w:sz="6" w:space="1"/>
        </w:pBdr>
        <w:ind w:left="5280" w:hanging="5280" w:hangingChars="1650"/>
        <w:jc w:val="right"/>
        <w:rPr>
          <w:rFonts w:hint="eastAsia" w:ascii="宋体" w:hAnsi="宋体" w:eastAsia="宋体" w:cs="宋体"/>
          <w:sz w:val="32"/>
          <w:szCs w:val="32"/>
        </w:rPr>
      </w:pPr>
      <w:r>
        <w:rPr>
          <w:rFonts w:hint="eastAsia" w:ascii="宋体" w:hAnsi="宋体" w:eastAsia="宋体" w:cs="宋体"/>
          <w:sz w:val="32"/>
          <w:szCs w:val="32"/>
        </w:rPr>
        <w:t>　　　　　　　　　　　　年　　　月　　　日</w:t>
      </w:r>
    </w:p>
    <w:p>
      <w:pPr>
        <w:ind w:left="5280" w:hanging="5280" w:hangingChars="1650"/>
        <w:rPr>
          <w:rFonts w:hint="eastAsia" w:ascii="宋体" w:hAnsi="宋体" w:eastAsia="宋体" w:cs="宋体"/>
          <w:sz w:val="32"/>
          <w:szCs w:val="32"/>
        </w:rPr>
      </w:pPr>
      <w:r>
        <w:rPr>
          <w:rFonts w:hint="eastAsia" w:ascii="宋体" w:hAnsi="宋体" w:eastAsia="宋体" w:cs="宋体"/>
          <w:sz w:val="32"/>
          <w:szCs w:val="32"/>
        </w:rPr>
        <w:t>附：</w:t>
      </w:r>
    </w:p>
    <w:p>
      <w:pPr>
        <w:ind w:left="5963" w:hanging="5963" w:hangingChars="1650"/>
        <w:jc w:val="center"/>
        <w:rPr>
          <w:rFonts w:hint="eastAsia" w:ascii="宋体" w:hAnsi="宋体" w:eastAsia="宋体" w:cs="宋体"/>
          <w:b/>
          <w:sz w:val="36"/>
          <w:szCs w:val="36"/>
        </w:rPr>
      </w:pPr>
      <w:r>
        <w:rPr>
          <w:rFonts w:hint="eastAsia" w:ascii="宋体" w:hAnsi="宋体" w:eastAsia="宋体" w:cs="宋体"/>
          <w:b/>
          <w:sz w:val="36"/>
          <w:szCs w:val="36"/>
        </w:rPr>
        <w:t>供应商联系表</w:t>
      </w:r>
    </w:p>
    <w:tbl>
      <w:tblPr>
        <w:tblStyle w:val="33"/>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51"/>
        <w:gridCol w:w="2550"/>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单位名称</w:t>
            </w:r>
          </w:p>
        </w:tc>
        <w:tc>
          <w:tcPr>
            <w:tcW w:w="7330" w:type="dxa"/>
            <w:gridSpan w:val="3"/>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单位地址</w:t>
            </w:r>
          </w:p>
        </w:tc>
        <w:tc>
          <w:tcPr>
            <w:tcW w:w="7330" w:type="dxa"/>
            <w:gridSpan w:val="3"/>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法定代表人</w:t>
            </w:r>
          </w:p>
        </w:tc>
        <w:tc>
          <w:tcPr>
            <w:tcW w:w="2551" w:type="dxa"/>
            <w:noWrap w:val="0"/>
            <w:vAlign w:val="top"/>
          </w:tcPr>
          <w:p>
            <w:pPr>
              <w:rPr>
                <w:rFonts w:hint="eastAsia" w:ascii="宋体" w:hAnsi="宋体" w:eastAsia="宋体" w:cs="宋体"/>
                <w:sz w:val="28"/>
                <w:szCs w:val="28"/>
              </w:rPr>
            </w:pPr>
          </w:p>
        </w:tc>
        <w:tc>
          <w:tcPr>
            <w:tcW w:w="2550"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邮    编</w:t>
            </w:r>
          </w:p>
        </w:tc>
        <w:tc>
          <w:tcPr>
            <w:tcW w:w="2229" w:type="dxa"/>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单位电话</w:t>
            </w:r>
          </w:p>
        </w:tc>
        <w:tc>
          <w:tcPr>
            <w:tcW w:w="2551" w:type="dxa"/>
            <w:noWrap w:val="0"/>
            <w:vAlign w:val="top"/>
          </w:tcPr>
          <w:p>
            <w:pPr>
              <w:jc w:val="center"/>
              <w:rPr>
                <w:rFonts w:hint="eastAsia" w:ascii="宋体" w:hAnsi="宋体" w:eastAsia="宋体" w:cs="宋体"/>
                <w:sz w:val="28"/>
                <w:szCs w:val="28"/>
              </w:rPr>
            </w:pPr>
          </w:p>
        </w:tc>
        <w:tc>
          <w:tcPr>
            <w:tcW w:w="2550" w:type="dxa"/>
            <w:noWrap w:val="0"/>
            <w:vAlign w:val="top"/>
          </w:tcPr>
          <w:p>
            <w:pPr>
              <w:jc w:val="left"/>
              <w:rPr>
                <w:rFonts w:hint="eastAsia" w:ascii="宋体" w:hAnsi="宋体" w:eastAsia="宋体" w:cs="宋体"/>
                <w:sz w:val="28"/>
                <w:szCs w:val="28"/>
              </w:rPr>
            </w:pPr>
            <w:r>
              <w:rPr>
                <w:rFonts w:hint="eastAsia" w:ascii="宋体" w:hAnsi="宋体" w:eastAsia="宋体" w:cs="宋体"/>
                <w:sz w:val="28"/>
                <w:szCs w:val="28"/>
              </w:rPr>
              <w:t>传真号码</w:t>
            </w:r>
          </w:p>
        </w:tc>
        <w:tc>
          <w:tcPr>
            <w:tcW w:w="2229" w:type="dxa"/>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项目联系人</w:t>
            </w:r>
          </w:p>
        </w:tc>
        <w:tc>
          <w:tcPr>
            <w:tcW w:w="2551" w:type="dxa"/>
            <w:noWrap w:val="0"/>
            <w:vAlign w:val="top"/>
          </w:tcPr>
          <w:p>
            <w:pPr>
              <w:jc w:val="center"/>
              <w:rPr>
                <w:rFonts w:hint="eastAsia" w:ascii="宋体" w:hAnsi="宋体" w:eastAsia="宋体" w:cs="宋体"/>
                <w:sz w:val="28"/>
                <w:szCs w:val="28"/>
              </w:rPr>
            </w:pPr>
          </w:p>
        </w:tc>
        <w:tc>
          <w:tcPr>
            <w:tcW w:w="2550"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邮    箱</w:t>
            </w:r>
          </w:p>
        </w:tc>
        <w:tc>
          <w:tcPr>
            <w:tcW w:w="2229" w:type="dxa"/>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联系人电话</w:t>
            </w:r>
          </w:p>
        </w:tc>
        <w:tc>
          <w:tcPr>
            <w:tcW w:w="2551" w:type="dxa"/>
            <w:noWrap w:val="0"/>
            <w:vAlign w:val="top"/>
          </w:tcPr>
          <w:p>
            <w:pPr>
              <w:jc w:val="center"/>
              <w:rPr>
                <w:rFonts w:hint="eastAsia" w:ascii="宋体" w:hAnsi="宋体" w:eastAsia="宋体" w:cs="宋体"/>
                <w:sz w:val="28"/>
                <w:szCs w:val="28"/>
              </w:rPr>
            </w:pPr>
          </w:p>
        </w:tc>
        <w:tc>
          <w:tcPr>
            <w:tcW w:w="2550"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联系人手机</w:t>
            </w:r>
          </w:p>
        </w:tc>
        <w:tc>
          <w:tcPr>
            <w:tcW w:w="2229" w:type="dxa"/>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所投分包</w:t>
            </w:r>
          </w:p>
        </w:tc>
        <w:tc>
          <w:tcPr>
            <w:tcW w:w="7330" w:type="dxa"/>
            <w:gridSpan w:val="3"/>
            <w:noWrap w:val="0"/>
            <w:vAlign w:val="top"/>
          </w:tcPr>
          <w:p>
            <w:pPr>
              <w:jc w:val="center"/>
              <w:rPr>
                <w:rFonts w:hint="eastAsia" w:ascii="宋体" w:hAnsi="宋体" w:eastAsia="宋体" w:cs="宋体"/>
                <w:sz w:val="28"/>
                <w:szCs w:val="28"/>
              </w:rPr>
            </w:pPr>
            <w:r>
              <w:rPr>
                <w:rFonts w:hint="eastAsia" w:ascii="宋体" w:hAnsi="宋体" w:eastAsia="宋体" w:cs="宋体"/>
                <w:sz w:val="28"/>
                <w:szCs w:val="28"/>
              </w:rPr>
              <w:t>/</w:t>
            </w:r>
          </w:p>
        </w:tc>
      </w:tr>
    </w:tbl>
    <w:p>
      <w:pPr>
        <w:tabs>
          <w:tab w:val="left" w:pos="2200"/>
          <w:tab w:val="left" w:pos="5560"/>
        </w:tabs>
        <w:autoSpaceDE w:val="0"/>
        <w:autoSpaceDN w:val="0"/>
        <w:adjustRightInd w:val="0"/>
        <w:spacing w:line="480" w:lineRule="auto"/>
        <w:ind w:right="-20"/>
        <w:jc w:val="both"/>
        <w:rPr>
          <w:rFonts w:hint="eastAsia" w:ascii="宋体" w:hAnsi="宋体" w:eastAsia="宋体" w:cs="宋体"/>
          <w:b/>
          <w:bCs/>
          <w:sz w:val="24"/>
          <w:szCs w:val="24"/>
          <w:lang w:eastAsia="zh-CN"/>
        </w:rPr>
      </w:pPr>
      <w:r>
        <w:rPr>
          <w:rFonts w:hint="eastAsia" w:ascii="宋体" w:hAnsi="宋体" w:eastAsia="宋体" w:cs="宋体"/>
          <w:b/>
          <w:bCs/>
          <w:sz w:val="24"/>
          <w:szCs w:val="24"/>
        </w:rPr>
        <w:t>备注：1、请准备参与本项目投标的供应商如实填写（以上信息均为必填内容）后邮件至采购代理机构（邮 箱：396759638@qq.com，电话：18652798268）。</w:t>
      </w:r>
    </w:p>
    <w:p>
      <w:pPr>
        <w:tabs>
          <w:tab w:val="left" w:pos="2200"/>
          <w:tab w:val="left" w:pos="5560"/>
        </w:tabs>
        <w:autoSpaceDE w:val="0"/>
        <w:autoSpaceDN w:val="0"/>
        <w:adjustRightInd w:val="0"/>
        <w:spacing w:line="480" w:lineRule="auto"/>
        <w:ind w:right="-20"/>
        <w:jc w:val="both"/>
        <w:rPr>
          <w:rFonts w:ascii="宋体" w:cs="宋体"/>
          <w:kern w:val="0"/>
          <w:position w:val="-3"/>
          <w:sz w:val="27"/>
          <w:szCs w:val="27"/>
          <w:u w:val="single"/>
        </w:rPr>
      </w:pPr>
      <w:r>
        <w:rPr>
          <w:rFonts w:hint="eastAsia" w:ascii="宋体" w:hAnsi="宋体" w:eastAsia="宋体" w:cs="宋体"/>
          <w:b/>
          <w:bCs/>
          <w:sz w:val="24"/>
          <w:szCs w:val="24"/>
        </w:rPr>
        <w:t>2、因投标人填写有误，造成以上信息资料的不实将由投标人承担责任。</w:t>
      </w:r>
    </w:p>
    <w:sectPr>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Microsoft JhengHei">
    <w:panose1 w:val="020B080302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941" w:y="157"/>
      <w:rPr>
        <w:rStyle w:val="36"/>
      </w:rPr>
    </w:pPr>
    <w:r>
      <w:fldChar w:fldCharType="begin"/>
    </w:r>
    <w:r>
      <w:rPr>
        <w:rStyle w:val="36"/>
      </w:rPr>
      <w:instrText xml:space="preserve">PAGE  </w:instrText>
    </w:r>
    <w:r>
      <w:fldChar w:fldCharType="separate"/>
    </w:r>
    <w:r>
      <w:rPr>
        <w:rStyle w:val="36"/>
      </w:rPr>
      <w:t>1</w: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36"/>
      </w:rPr>
    </w:pPr>
    <w:r>
      <w:fldChar w:fldCharType="begin"/>
    </w:r>
    <w:r>
      <w:rPr>
        <w:rStyle w:val="36"/>
      </w:rPr>
      <w:instrText xml:space="preserve">PAGE  </w:instrText>
    </w:r>
    <w:r>
      <w:fldChar w:fldCharType="separate"/>
    </w:r>
    <w:r>
      <w:rPr>
        <w:rStyle w:val="36"/>
      </w:rPr>
      <w:t>40</w: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t>51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941" w:y="157"/>
      <w:rPr>
        <w:rStyle w:val="36"/>
      </w:rPr>
    </w:pPr>
    <w:r>
      <w:fldChar w:fldCharType="begin"/>
    </w:r>
    <w:r>
      <w:rPr>
        <w:rStyle w:val="36"/>
      </w:rPr>
      <w:instrText xml:space="preserve">PAGE  </w:instrText>
    </w:r>
    <w:r>
      <w:fldChar w:fldCharType="separate"/>
    </w:r>
    <w:r>
      <w:rPr>
        <w:rStyle w:val="36"/>
      </w:rPr>
      <w:t>I</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941" w:y="157"/>
      <w:rPr>
        <w:rStyle w:val="36"/>
      </w:rPr>
    </w:pPr>
    <w:r>
      <w:fldChar w:fldCharType="begin"/>
    </w:r>
    <w:r>
      <w:rPr>
        <w:rStyle w:val="36"/>
      </w:rPr>
      <w:instrText xml:space="preserve">PAGE  </w:instrText>
    </w:r>
    <w:r>
      <w:fldChar w:fldCharType="separate"/>
    </w:r>
    <w:r>
      <w:rPr>
        <w:rStyle w:val="36"/>
      </w:rPr>
      <w:t>15</w:t>
    </w:r>
    <w:r>
      <w:fldChar w:fldCharType="end"/>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941" w:y="157"/>
      <w:rPr>
        <w:rStyle w:val="36"/>
      </w:rPr>
    </w:pPr>
    <w:r>
      <w:fldChar w:fldCharType="begin"/>
    </w:r>
    <w:r>
      <w:rPr>
        <w:rStyle w:val="36"/>
      </w:rPr>
      <w:instrText xml:space="preserve">PAGE  </w:instrText>
    </w:r>
    <w:r>
      <w:fldChar w:fldCharType="separate"/>
    </w:r>
    <w:r>
      <w:rPr>
        <w:rStyle w:val="36"/>
      </w:rPr>
      <w:t>36</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980"/>
        </w:tabs>
        <w:ind w:left="980" w:hanging="420"/>
      </w:pPr>
      <w:rPr>
        <w:rFonts w:hint="eastAsia"/>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OTk4MDJhY2NkMjZhZWYzZDQ0OTc2YTUzNzkyZjUifQ=="/>
  </w:docVars>
  <w:rsids>
    <w:rsidRoot w:val="00451EAD"/>
    <w:rsid w:val="00003F8B"/>
    <w:rsid w:val="0001432F"/>
    <w:rsid w:val="00020326"/>
    <w:rsid w:val="00021DA0"/>
    <w:rsid w:val="0002247B"/>
    <w:rsid w:val="0002445F"/>
    <w:rsid w:val="00043FF0"/>
    <w:rsid w:val="000451AD"/>
    <w:rsid w:val="00061BF5"/>
    <w:rsid w:val="00061F77"/>
    <w:rsid w:val="000666B7"/>
    <w:rsid w:val="000667D4"/>
    <w:rsid w:val="00071537"/>
    <w:rsid w:val="00077B5C"/>
    <w:rsid w:val="00080048"/>
    <w:rsid w:val="00087AF1"/>
    <w:rsid w:val="000A0AAD"/>
    <w:rsid w:val="000A62AA"/>
    <w:rsid w:val="000B1AFE"/>
    <w:rsid w:val="000B74C1"/>
    <w:rsid w:val="000C7345"/>
    <w:rsid w:val="000F1392"/>
    <w:rsid w:val="000F3164"/>
    <w:rsid w:val="000F6604"/>
    <w:rsid w:val="00117474"/>
    <w:rsid w:val="0013438D"/>
    <w:rsid w:val="00135AAE"/>
    <w:rsid w:val="0014259F"/>
    <w:rsid w:val="00146443"/>
    <w:rsid w:val="00151F52"/>
    <w:rsid w:val="00152454"/>
    <w:rsid w:val="001563DC"/>
    <w:rsid w:val="0016143B"/>
    <w:rsid w:val="0016401D"/>
    <w:rsid w:val="00166A4F"/>
    <w:rsid w:val="00166BEC"/>
    <w:rsid w:val="00166E95"/>
    <w:rsid w:val="00171AB9"/>
    <w:rsid w:val="00173AD6"/>
    <w:rsid w:val="00182623"/>
    <w:rsid w:val="00182F63"/>
    <w:rsid w:val="001A108A"/>
    <w:rsid w:val="001C1074"/>
    <w:rsid w:val="001D3032"/>
    <w:rsid w:val="001D75DC"/>
    <w:rsid w:val="001E1A80"/>
    <w:rsid w:val="001E3F1F"/>
    <w:rsid w:val="001F71EB"/>
    <w:rsid w:val="0020361A"/>
    <w:rsid w:val="00203E47"/>
    <w:rsid w:val="0022389D"/>
    <w:rsid w:val="00226AC4"/>
    <w:rsid w:val="00226E49"/>
    <w:rsid w:val="00240DF3"/>
    <w:rsid w:val="00241067"/>
    <w:rsid w:val="00242AF2"/>
    <w:rsid w:val="00243947"/>
    <w:rsid w:val="00246F04"/>
    <w:rsid w:val="0025186A"/>
    <w:rsid w:val="002662E4"/>
    <w:rsid w:val="002673AD"/>
    <w:rsid w:val="002678CF"/>
    <w:rsid w:val="00270FDC"/>
    <w:rsid w:val="00277CBE"/>
    <w:rsid w:val="002915D3"/>
    <w:rsid w:val="002930DF"/>
    <w:rsid w:val="002A05D6"/>
    <w:rsid w:val="002A2594"/>
    <w:rsid w:val="002B13AB"/>
    <w:rsid w:val="002B6A4A"/>
    <w:rsid w:val="002C51CE"/>
    <w:rsid w:val="002D076F"/>
    <w:rsid w:val="002E2A27"/>
    <w:rsid w:val="002F2BC8"/>
    <w:rsid w:val="002F3BB4"/>
    <w:rsid w:val="002F66AF"/>
    <w:rsid w:val="00304120"/>
    <w:rsid w:val="00313A29"/>
    <w:rsid w:val="00321B7A"/>
    <w:rsid w:val="003354FF"/>
    <w:rsid w:val="0034172F"/>
    <w:rsid w:val="00351D7C"/>
    <w:rsid w:val="00362146"/>
    <w:rsid w:val="00363738"/>
    <w:rsid w:val="00371DEE"/>
    <w:rsid w:val="00377BFC"/>
    <w:rsid w:val="00384990"/>
    <w:rsid w:val="00390EBA"/>
    <w:rsid w:val="003B0FD4"/>
    <w:rsid w:val="003B478A"/>
    <w:rsid w:val="003B4E8B"/>
    <w:rsid w:val="003C4FB4"/>
    <w:rsid w:val="003C62FA"/>
    <w:rsid w:val="003D47C6"/>
    <w:rsid w:val="003E38AD"/>
    <w:rsid w:val="003E3C37"/>
    <w:rsid w:val="003E7FD2"/>
    <w:rsid w:val="00415247"/>
    <w:rsid w:val="00431E20"/>
    <w:rsid w:val="00440EFC"/>
    <w:rsid w:val="00451EAD"/>
    <w:rsid w:val="00451FD5"/>
    <w:rsid w:val="00455F61"/>
    <w:rsid w:val="00456AC2"/>
    <w:rsid w:val="00463BFE"/>
    <w:rsid w:val="004775D7"/>
    <w:rsid w:val="00483053"/>
    <w:rsid w:val="0048592F"/>
    <w:rsid w:val="00487583"/>
    <w:rsid w:val="004917DB"/>
    <w:rsid w:val="004A027B"/>
    <w:rsid w:val="004A1E2E"/>
    <w:rsid w:val="004A405A"/>
    <w:rsid w:val="004A4129"/>
    <w:rsid w:val="004A5A94"/>
    <w:rsid w:val="004B11AA"/>
    <w:rsid w:val="004C1EE5"/>
    <w:rsid w:val="004C3454"/>
    <w:rsid w:val="004D21CE"/>
    <w:rsid w:val="004E2493"/>
    <w:rsid w:val="004F0491"/>
    <w:rsid w:val="004F67A2"/>
    <w:rsid w:val="00502DB8"/>
    <w:rsid w:val="00506A7D"/>
    <w:rsid w:val="00510168"/>
    <w:rsid w:val="0051138A"/>
    <w:rsid w:val="0051350C"/>
    <w:rsid w:val="00514CAE"/>
    <w:rsid w:val="005153D5"/>
    <w:rsid w:val="005200C0"/>
    <w:rsid w:val="005222E2"/>
    <w:rsid w:val="00536639"/>
    <w:rsid w:val="005417C0"/>
    <w:rsid w:val="0054580D"/>
    <w:rsid w:val="00553FB0"/>
    <w:rsid w:val="00555C33"/>
    <w:rsid w:val="00562E86"/>
    <w:rsid w:val="005638BD"/>
    <w:rsid w:val="00572F46"/>
    <w:rsid w:val="005735A2"/>
    <w:rsid w:val="005774FC"/>
    <w:rsid w:val="00592A9E"/>
    <w:rsid w:val="00594063"/>
    <w:rsid w:val="00596609"/>
    <w:rsid w:val="005A4400"/>
    <w:rsid w:val="005A4A08"/>
    <w:rsid w:val="005B5128"/>
    <w:rsid w:val="005C4173"/>
    <w:rsid w:val="005C4A78"/>
    <w:rsid w:val="005C4C53"/>
    <w:rsid w:val="005D6C5F"/>
    <w:rsid w:val="005E05CB"/>
    <w:rsid w:val="005E442B"/>
    <w:rsid w:val="005E5866"/>
    <w:rsid w:val="005E72DB"/>
    <w:rsid w:val="005F2BC6"/>
    <w:rsid w:val="00601FEB"/>
    <w:rsid w:val="00605DA7"/>
    <w:rsid w:val="006135EC"/>
    <w:rsid w:val="00613D9E"/>
    <w:rsid w:val="00623F5C"/>
    <w:rsid w:val="00633180"/>
    <w:rsid w:val="006411DB"/>
    <w:rsid w:val="00644BE9"/>
    <w:rsid w:val="0064586A"/>
    <w:rsid w:val="00646558"/>
    <w:rsid w:val="00653EF6"/>
    <w:rsid w:val="0066001F"/>
    <w:rsid w:val="0066474D"/>
    <w:rsid w:val="0066613D"/>
    <w:rsid w:val="00672CDF"/>
    <w:rsid w:val="00686D8E"/>
    <w:rsid w:val="00690319"/>
    <w:rsid w:val="006916F0"/>
    <w:rsid w:val="00691E21"/>
    <w:rsid w:val="006939BA"/>
    <w:rsid w:val="0069407C"/>
    <w:rsid w:val="00696220"/>
    <w:rsid w:val="006A5E1B"/>
    <w:rsid w:val="006B1C47"/>
    <w:rsid w:val="006B5180"/>
    <w:rsid w:val="006C7E7A"/>
    <w:rsid w:val="006D753F"/>
    <w:rsid w:val="006F0805"/>
    <w:rsid w:val="006F1B5D"/>
    <w:rsid w:val="00703900"/>
    <w:rsid w:val="007061ED"/>
    <w:rsid w:val="00711016"/>
    <w:rsid w:val="00716491"/>
    <w:rsid w:val="00725A87"/>
    <w:rsid w:val="0073090D"/>
    <w:rsid w:val="007324D8"/>
    <w:rsid w:val="00733D48"/>
    <w:rsid w:val="00734747"/>
    <w:rsid w:val="00743CA9"/>
    <w:rsid w:val="00744FBF"/>
    <w:rsid w:val="00754719"/>
    <w:rsid w:val="0075621D"/>
    <w:rsid w:val="00757529"/>
    <w:rsid w:val="0076081C"/>
    <w:rsid w:val="007661E0"/>
    <w:rsid w:val="00781EFE"/>
    <w:rsid w:val="0078228F"/>
    <w:rsid w:val="00786AAE"/>
    <w:rsid w:val="00790D89"/>
    <w:rsid w:val="007B5F2B"/>
    <w:rsid w:val="007B6047"/>
    <w:rsid w:val="007B65D2"/>
    <w:rsid w:val="007B74E9"/>
    <w:rsid w:val="007B7DEC"/>
    <w:rsid w:val="007C5AD8"/>
    <w:rsid w:val="007E1757"/>
    <w:rsid w:val="007E2B4B"/>
    <w:rsid w:val="007E3370"/>
    <w:rsid w:val="0080467A"/>
    <w:rsid w:val="0080547F"/>
    <w:rsid w:val="008054D8"/>
    <w:rsid w:val="00813BE6"/>
    <w:rsid w:val="00814025"/>
    <w:rsid w:val="00825287"/>
    <w:rsid w:val="00827EED"/>
    <w:rsid w:val="008359ED"/>
    <w:rsid w:val="00844B3E"/>
    <w:rsid w:val="00851633"/>
    <w:rsid w:val="0085397B"/>
    <w:rsid w:val="00855CFA"/>
    <w:rsid w:val="00877184"/>
    <w:rsid w:val="00884C2D"/>
    <w:rsid w:val="00887C49"/>
    <w:rsid w:val="008A0F28"/>
    <w:rsid w:val="008A2A6F"/>
    <w:rsid w:val="008B09A5"/>
    <w:rsid w:val="008B45EB"/>
    <w:rsid w:val="008B79D1"/>
    <w:rsid w:val="008C56F7"/>
    <w:rsid w:val="008C694F"/>
    <w:rsid w:val="008D4655"/>
    <w:rsid w:val="008E32E7"/>
    <w:rsid w:val="008F012A"/>
    <w:rsid w:val="008F6174"/>
    <w:rsid w:val="00900E09"/>
    <w:rsid w:val="00903E9A"/>
    <w:rsid w:val="009049DC"/>
    <w:rsid w:val="00922DD0"/>
    <w:rsid w:val="0092357E"/>
    <w:rsid w:val="00923A26"/>
    <w:rsid w:val="009271D0"/>
    <w:rsid w:val="00936227"/>
    <w:rsid w:val="0093684E"/>
    <w:rsid w:val="00940CBA"/>
    <w:rsid w:val="00945A30"/>
    <w:rsid w:val="00946C9C"/>
    <w:rsid w:val="00950B46"/>
    <w:rsid w:val="00951E30"/>
    <w:rsid w:val="00954E9D"/>
    <w:rsid w:val="0096543B"/>
    <w:rsid w:val="00966D95"/>
    <w:rsid w:val="00973082"/>
    <w:rsid w:val="00976004"/>
    <w:rsid w:val="00982F3C"/>
    <w:rsid w:val="009B06E8"/>
    <w:rsid w:val="009E2416"/>
    <w:rsid w:val="009F1D12"/>
    <w:rsid w:val="00A06D91"/>
    <w:rsid w:val="00A13D8E"/>
    <w:rsid w:val="00A15636"/>
    <w:rsid w:val="00A32322"/>
    <w:rsid w:val="00A325F2"/>
    <w:rsid w:val="00A52CDB"/>
    <w:rsid w:val="00A5409C"/>
    <w:rsid w:val="00A55277"/>
    <w:rsid w:val="00A71541"/>
    <w:rsid w:val="00A725A2"/>
    <w:rsid w:val="00A762CF"/>
    <w:rsid w:val="00A821E0"/>
    <w:rsid w:val="00A85E3F"/>
    <w:rsid w:val="00A860D3"/>
    <w:rsid w:val="00A922A1"/>
    <w:rsid w:val="00AA4156"/>
    <w:rsid w:val="00AA6BBF"/>
    <w:rsid w:val="00AB3514"/>
    <w:rsid w:val="00AC0E95"/>
    <w:rsid w:val="00AD408F"/>
    <w:rsid w:val="00AE069D"/>
    <w:rsid w:val="00AE55C4"/>
    <w:rsid w:val="00AE6FEE"/>
    <w:rsid w:val="00AF746F"/>
    <w:rsid w:val="00AF7CE1"/>
    <w:rsid w:val="00B0118C"/>
    <w:rsid w:val="00B0226E"/>
    <w:rsid w:val="00B02DCC"/>
    <w:rsid w:val="00B07CCB"/>
    <w:rsid w:val="00B1232B"/>
    <w:rsid w:val="00B22CF0"/>
    <w:rsid w:val="00B27EAC"/>
    <w:rsid w:val="00B33C14"/>
    <w:rsid w:val="00B433E3"/>
    <w:rsid w:val="00B47351"/>
    <w:rsid w:val="00B505EA"/>
    <w:rsid w:val="00B50AA5"/>
    <w:rsid w:val="00B51D65"/>
    <w:rsid w:val="00B52204"/>
    <w:rsid w:val="00B6337E"/>
    <w:rsid w:val="00B6403E"/>
    <w:rsid w:val="00B65137"/>
    <w:rsid w:val="00B65676"/>
    <w:rsid w:val="00B67E05"/>
    <w:rsid w:val="00B83E02"/>
    <w:rsid w:val="00B910FC"/>
    <w:rsid w:val="00B916D0"/>
    <w:rsid w:val="00B933E5"/>
    <w:rsid w:val="00B9631A"/>
    <w:rsid w:val="00B96F68"/>
    <w:rsid w:val="00BB42D0"/>
    <w:rsid w:val="00BC2AA4"/>
    <w:rsid w:val="00BC745F"/>
    <w:rsid w:val="00BD30DB"/>
    <w:rsid w:val="00BD7153"/>
    <w:rsid w:val="00BE36B5"/>
    <w:rsid w:val="00BE50A7"/>
    <w:rsid w:val="00BF5E42"/>
    <w:rsid w:val="00BF6283"/>
    <w:rsid w:val="00C02E13"/>
    <w:rsid w:val="00C02E5E"/>
    <w:rsid w:val="00C11F68"/>
    <w:rsid w:val="00C355AC"/>
    <w:rsid w:val="00C44088"/>
    <w:rsid w:val="00C52525"/>
    <w:rsid w:val="00C56EBF"/>
    <w:rsid w:val="00C77A6D"/>
    <w:rsid w:val="00C86FF4"/>
    <w:rsid w:val="00C9343F"/>
    <w:rsid w:val="00C96729"/>
    <w:rsid w:val="00CA5373"/>
    <w:rsid w:val="00CB6E80"/>
    <w:rsid w:val="00CB7BBC"/>
    <w:rsid w:val="00CB7BFE"/>
    <w:rsid w:val="00CB7C94"/>
    <w:rsid w:val="00CD37E5"/>
    <w:rsid w:val="00CF203A"/>
    <w:rsid w:val="00CF5163"/>
    <w:rsid w:val="00CF682E"/>
    <w:rsid w:val="00D00E71"/>
    <w:rsid w:val="00D06007"/>
    <w:rsid w:val="00D10016"/>
    <w:rsid w:val="00D117B7"/>
    <w:rsid w:val="00D12A46"/>
    <w:rsid w:val="00D15F1E"/>
    <w:rsid w:val="00D244F1"/>
    <w:rsid w:val="00D3284F"/>
    <w:rsid w:val="00D35950"/>
    <w:rsid w:val="00D371AC"/>
    <w:rsid w:val="00D41BF0"/>
    <w:rsid w:val="00D506CB"/>
    <w:rsid w:val="00D52DCA"/>
    <w:rsid w:val="00D6481C"/>
    <w:rsid w:val="00D80282"/>
    <w:rsid w:val="00D86F90"/>
    <w:rsid w:val="00D90552"/>
    <w:rsid w:val="00D90685"/>
    <w:rsid w:val="00D951BE"/>
    <w:rsid w:val="00D96C5A"/>
    <w:rsid w:val="00D973A9"/>
    <w:rsid w:val="00DA3BFA"/>
    <w:rsid w:val="00DB0C51"/>
    <w:rsid w:val="00DB423A"/>
    <w:rsid w:val="00DB5C7F"/>
    <w:rsid w:val="00DC0670"/>
    <w:rsid w:val="00DC733F"/>
    <w:rsid w:val="00DD0D5D"/>
    <w:rsid w:val="00E07877"/>
    <w:rsid w:val="00E1058C"/>
    <w:rsid w:val="00E10ED8"/>
    <w:rsid w:val="00E226B7"/>
    <w:rsid w:val="00E232AD"/>
    <w:rsid w:val="00E23F23"/>
    <w:rsid w:val="00E256D8"/>
    <w:rsid w:val="00E44439"/>
    <w:rsid w:val="00E453FC"/>
    <w:rsid w:val="00E45BD8"/>
    <w:rsid w:val="00E74E3B"/>
    <w:rsid w:val="00E965E5"/>
    <w:rsid w:val="00E97280"/>
    <w:rsid w:val="00EA2E72"/>
    <w:rsid w:val="00EA4FA3"/>
    <w:rsid w:val="00EA78B0"/>
    <w:rsid w:val="00EB04E1"/>
    <w:rsid w:val="00EC5B46"/>
    <w:rsid w:val="00EC6D6D"/>
    <w:rsid w:val="00ED5AFB"/>
    <w:rsid w:val="00ED7131"/>
    <w:rsid w:val="00ED77F2"/>
    <w:rsid w:val="00EE0284"/>
    <w:rsid w:val="00EE2CA1"/>
    <w:rsid w:val="00EF239B"/>
    <w:rsid w:val="00EF3CCD"/>
    <w:rsid w:val="00EF50B0"/>
    <w:rsid w:val="00F10989"/>
    <w:rsid w:val="00F1583A"/>
    <w:rsid w:val="00F21DBE"/>
    <w:rsid w:val="00F310A1"/>
    <w:rsid w:val="00F318EE"/>
    <w:rsid w:val="00F37736"/>
    <w:rsid w:val="00F50EB4"/>
    <w:rsid w:val="00F51F34"/>
    <w:rsid w:val="00F53264"/>
    <w:rsid w:val="00F55B99"/>
    <w:rsid w:val="00F60118"/>
    <w:rsid w:val="00F6274B"/>
    <w:rsid w:val="00F949DB"/>
    <w:rsid w:val="00FA14CE"/>
    <w:rsid w:val="00FA69D2"/>
    <w:rsid w:val="00FA7C1E"/>
    <w:rsid w:val="00FB23D0"/>
    <w:rsid w:val="00FB7F2F"/>
    <w:rsid w:val="00FC3F9E"/>
    <w:rsid w:val="00FC523D"/>
    <w:rsid w:val="00FD10A2"/>
    <w:rsid w:val="00FE06A5"/>
    <w:rsid w:val="00FE6CBC"/>
    <w:rsid w:val="021E4A93"/>
    <w:rsid w:val="033B7DC8"/>
    <w:rsid w:val="03457DBA"/>
    <w:rsid w:val="03526B74"/>
    <w:rsid w:val="043E291F"/>
    <w:rsid w:val="04DD3539"/>
    <w:rsid w:val="05A27652"/>
    <w:rsid w:val="06AE1197"/>
    <w:rsid w:val="06B730D5"/>
    <w:rsid w:val="075F7EB5"/>
    <w:rsid w:val="07DE3922"/>
    <w:rsid w:val="08C849AE"/>
    <w:rsid w:val="09065108"/>
    <w:rsid w:val="09EA0C97"/>
    <w:rsid w:val="0C3816B5"/>
    <w:rsid w:val="0CCE51C4"/>
    <w:rsid w:val="0EC123A5"/>
    <w:rsid w:val="0FDB4FAB"/>
    <w:rsid w:val="10211D21"/>
    <w:rsid w:val="13570124"/>
    <w:rsid w:val="15F1253D"/>
    <w:rsid w:val="17E52A74"/>
    <w:rsid w:val="186056D9"/>
    <w:rsid w:val="18C142E5"/>
    <w:rsid w:val="192835FC"/>
    <w:rsid w:val="1AEB62A7"/>
    <w:rsid w:val="1D3E1EFA"/>
    <w:rsid w:val="1DDC3914"/>
    <w:rsid w:val="1F053615"/>
    <w:rsid w:val="1F151F61"/>
    <w:rsid w:val="1F6F0D50"/>
    <w:rsid w:val="210C2F1B"/>
    <w:rsid w:val="217A0799"/>
    <w:rsid w:val="21D40108"/>
    <w:rsid w:val="23FB2813"/>
    <w:rsid w:val="258306BF"/>
    <w:rsid w:val="265465C8"/>
    <w:rsid w:val="27863C28"/>
    <w:rsid w:val="2787670E"/>
    <w:rsid w:val="279711C1"/>
    <w:rsid w:val="28CE16CD"/>
    <w:rsid w:val="28E5567E"/>
    <w:rsid w:val="28F93EF6"/>
    <w:rsid w:val="29120694"/>
    <w:rsid w:val="293D0A7B"/>
    <w:rsid w:val="2A191AF6"/>
    <w:rsid w:val="2B8320D5"/>
    <w:rsid w:val="2C5415FE"/>
    <w:rsid w:val="2CAB0320"/>
    <w:rsid w:val="2CDB54E9"/>
    <w:rsid w:val="2EAB79F5"/>
    <w:rsid w:val="2EF159BB"/>
    <w:rsid w:val="2FFF776A"/>
    <w:rsid w:val="313102AA"/>
    <w:rsid w:val="31B274B4"/>
    <w:rsid w:val="32656271"/>
    <w:rsid w:val="34CC0799"/>
    <w:rsid w:val="34FC4EA5"/>
    <w:rsid w:val="352645E7"/>
    <w:rsid w:val="35413847"/>
    <w:rsid w:val="363E7890"/>
    <w:rsid w:val="36AC7FFE"/>
    <w:rsid w:val="37D34928"/>
    <w:rsid w:val="390565C6"/>
    <w:rsid w:val="39704F74"/>
    <w:rsid w:val="39F37D8A"/>
    <w:rsid w:val="3C2B7A60"/>
    <w:rsid w:val="3D2F7C2D"/>
    <w:rsid w:val="3F3D7E88"/>
    <w:rsid w:val="3F601159"/>
    <w:rsid w:val="432F5335"/>
    <w:rsid w:val="44CF2252"/>
    <w:rsid w:val="47174AD8"/>
    <w:rsid w:val="472606D5"/>
    <w:rsid w:val="479D5F11"/>
    <w:rsid w:val="48E251D1"/>
    <w:rsid w:val="4A821F18"/>
    <w:rsid w:val="4BA268DC"/>
    <w:rsid w:val="4CB06F97"/>
    <w:rsid w:val="4EA23636"/>
    <w:rsid w:val="500D3C0F"/>
    <w:rsid w:val="50665EBE"/>
    <w:rsid w:val="51B832FC"/>
    <w:rsid w:val="52EF4EDE"/>
    <w:rsid w:val="53221966"/>
    <w:rsid w:val="538762E9"/>
    <w:rsid w:val="53890B1B"/>
    <w:rsid w:val="54673DE7"/>
    <w:rsid w:val="54C05BC1"/>
    <w:rsid w:val="55055F40"/>
    <w:rsid w:val="55510812"/>
    <w:rsid w:val="556D2ED5"/>
    <w:rsid w:val="57527518"/>
    <w:rsid w:val="59732BB2"/>
    <w:rsid w:val="5A5159E8"/>
    <w:rsid w:val="5EC76A7A"/>
    <w:rsid w:val="5F733278"/>
    <w:rsid w:val="62A54D33"/>
    <w:rsid w:val="62B54EAD"/>
    <w:rsid w:val="64AF3298"/>
    <w:rsid w:val="68DF4CD0"/>
    <w:rsid w:val="6A107FB1"/>
    <w:rsid w:val="6BEC2659"/>
    <w:rsid w:val="6D025A2E"/>
    <w:rsid w:val="71B87770"/>
    <w:rsid w:val="74502077"/>
    <w:rsid w:val="74FA610B"/>
    <w:rsid w:val="75BA79FB"/>
    <w:rsid w:val="762C2B91"/>
    <w:rsid w:val="76B07A43"/>
    <w:rsid w:val="77E23077"/>
    <w:rsid w:val="7A6967C6"/>
    <w:rsid w:val="7AAE7844"/>
    <w:rsid w:val="7AE91169"/>
    <w:rsid w:val="7E77333A"/>
    <w:rsid w:val="7F154C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nhideWhenUsed="0" w:uiPriority="0" w:semiHidden="0" w:name="Balloon Text"/>
    <w:lsdException w:qFormat="1" w:unhideWhenUsed="0" w:uiPriority="0"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heading 1"/>
    <w:basedOn w:val="1"/>
    <w:next w:val="1"/>
    <w:link w:val="42"/>
    <w:qFormat/>
    <w:uiPriority w:val="0"/>
    <w:pPr>
      <w:outlineLvl w:val="0"/>
    </w:pPr>
  </w:style>
  <w:style w:type="paragraph" w:styleId="11">
    <w:name w:val="heading 2"/>
    <w:basedOn w:val="1"/>
    <w:next w:val="1"/>
    <w:link w:val="43"/>
    <w:qFormat/>
    <w:uiPriority w:val="0"/>
    <w:pPr>
      <w:keepNext/>
      <w:keepLines/>
      <w:spacing w:before="260" w:after="260" w:line="413" w:lineRule="auto"/>
      <w:outlineLvl w:val="1"/>
    </w:pPr>
    <w:rPr>
      <w:rFonts w:ascii="Arial" w:hAnsi="Arial" w:eastAsia="黑体"/>
      <w:b/>
      <w:bCs/>
      <w:sz w:val="32"/>
      <w:szCs w:val="32"/>
    </w:rPr>
  </w:style>
  <w:style w:type="paragraph" w:styleId="12">
    <w:name w:val="heading 3"/>
    <w:basedOn w:val="1"/>
    <w:next w:val="1"/>
    <w:link w:val="44"/>
    <w:qFormat/>
    <w:uiPriority w:val="0"/>
    <w:pPr>
      <w:keepNext/>
      <w:keepLines/>
      <w:spacing w:before="260" w:after="260" w:line="413" w:lineRule="auto"/>
      <w:outlineLvl w:val="2"/>
    </w:pPr>
    <w:rPr>
      <w:b/>
      <w:bCs/>
      <w:sz w:val="32"/>
      <w:szCs w:val="32"/>
    </w:rPr>
  </w:style>
  <w:style w:type="paragraph" w:styleId="13">
    <w:name w:val="heading 4"/>
    <w:basedOn w:val="1"/>
    <w:next w:val="1"/>
    <w:link w:val="45"/>
    <w:qFormat/>
    <w:uiPriority w:val="0"/>
    <w:pPr>
      <w:keepNext/>
      <w:keepLines/>
      <w:spacing w:before="280" w:after="290" w:line="372" w:lineRule="auto"/>
      <w:outlineLvl w:val="3"/>
    </w:pPr>
    <w:rPr>
      <w:rFonts w:ascii="Arial" w:hAnsi="Arial" w:eastAsia="黑体"/>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qFormat/>
    <w:uiPriority w:val="0"/>
    <w:pPr>
      <w:spacing w:line="360" w:lineRule="auto"/>
      <w:ind w:firstLine="200" w:firstLineChars="200"/>
    </w:pPr>
    <w:rPr>
      <w:rFonts w:ascii="宋体" w:hAnsi="宋体"/>
    </w:rPr>
  </w:style>
  <w:style w:type="paragraph" w:customStyle="1" w:styleId="3">
    <w:name w:val="Char Char Char Char Char Char Char Char Char"/>
    <w:basedOn w:val="1"/>
    <w:next w:val="4"/>
    <w:qFormat/>
    <w:uiPriority w:val="0"/>
    <w:pPr>
      <w:ind w:left="360" w:firstLine="5784"/>
    </w:pPr>
  </w:style>
  <w:style w:type="paragraph" w:customStyle="1" w:styleId="4">
    <w:name w:val="正文文本 21"/>
    <w:basedOn w:val="1"/>
    <w:next w:val="5"/>
    <w:qFormat/>
    <w:uiPriority w:val="0"/>
    <w:pPr>
      <w:widowControl/>
      <w:autoSpaceDE w:val="0"/>
      <w:autoSpaceDN w:val="0"/>
      <w:ind w:left="720" w:firstLine="5680"/>
    </w:pPr>
  </w:style>
  <w:style w:type="paragraph" w:customStyle="1" w:styleId="5">
    <w:name w:val="默认段落字体 Para Char Char Char Char Char Char Char"/>
    <w:basedOn w:val="1"/>
    <w:next w:val="6"/>
    <w:qFormat/>
    <w:uiPriority w:val="0"/>
    <w:rPr>
      <w:szCs w:val="20"/>
    </w:rPr>
  </w:style>
  <w:style w:type="paragraph" w:customStyle="1" w:styleId="6">
    <w:name w:val="样式 首行缩进:  2 字符"/>
    <w:basedOn w:val="1"/>
    <w:next w:val="7"/>
    <w:qFormat/>
    <w:uiPriority w:val="0"/>
    <w:pPr>
      <w:spacing w:line="360" w:lineRule="auto"/>
      <w:ind w:left="480" w:firstLine="5856"/>
    </w:pPr>
  </w:style>
  <w:style w:type="paragraph" w:customStyle="1" w:styleId="7">
    <w:name w:val="样式 段后: 0.25 行"/>
    <w:basedOn w:val="1"/>
    <w:next w:val="8"/>
    <w:qFormat/>
    <w:uiPriority w:val="0"/>
    <w:pPr>
      <w:widowControl/>
      <w:spacing w:line="300" w:lineRule="auto"/>
      <w:ind w:left="420" w:firstLine="5796"/>
    </w:pPr>
  </w:style>
  <w:style w:type="paragraph" w:customStyle="1" w:styleId="8">
    <w:name w:val="正文 New New New New New New New New New New New New New New"/>
    <w:next w:val="9"/>
    <w:qFormat/>
    <w:uiPriority w:val="0"/>
    <w:pPr>
      <w:widowControl w:val="0"/>
      <w:ind w:firstLine="2048"/>
      <w:jc w:val="both"/>
    </w:pPr>
    <w:rPr>
      <w:rFonts w:ascii="Calibri" w:hAnsi="Calibri" w:eastAsia="宋体" w:cs="Times New Roman"/>
      <w:lang w:val="en-US" w:eastAsia="zh-CN" w:bidi="ar-SA"/>
    </w:rPr>
  </w:style>
  <w:style w:type="paragraph" w:styleId="9">
    <w:name w:val="toc 9"/>
    <w:basedOn w:val="1"/>
    <w:next w:val="1"/>
    <w:semiHidden/>
    <w:qFormat/>
    <w:uiPriority w:val="0"/>
    <w:pPr>
      <w:ind w:left="3360" w:leftChars="1600"/>
    </w:pPr>
  </w:style>
  <w:style w:type="paragraph" w:styleId="14">
    <w:name w:val="List 3"/>
    <w:basedOn w:val="1"/>
    <w:qFormat/>
    <w:uiPriority w:val="0"/>
    <w:pPr>
      <w:ind w:left="1260" w:hanging="420"/>
    </w:pPr>
    <w:rPr>
      <w:szCs w:val="20"/>
    </w:rPr>
  </w:style>
  <w:style w:type="paragraph" w:styleId="15">
    <w:name w:val="Normal Indent"/>
    <w:basedOn w:val="1"/>
    <w:link w:val="79"/>
    <w:qFormat/>
    <w:uiPriority w:val="0"/>
    <w:pPr>
      <w:ind w:firstLine="420"/>
    </w:pPr>
    <w:rPr>
      <w:b/>
      <w:sz w:val="24"/>
      <w:szCs w:val="20"/>
    </w:rPr>
  </w:style>
  <w:style w:type="paragraph" w:styleId="16">
    <w:name w:val="Document Map"/>
    <w:basedOn w:val="1"/>
    <w:link w:val="48"/>
    <w:qFormat/>
    <w:uiPriority w:val="0"/>
    <w:pPr>
      <w:shd w:val="clear" w:color="auto" w:fill="000080"/>
    </w:pPr>
  </w:style>
  <w:style w:type="paragraph" w:styleId="17">
    <w:name w:val="annotation text"/>
    <w:basedOn w:val="1"/>
    <w:link w:val="46"/>
    <w:unhideWhenUsed/>
    <w:qFormat/>
    <w:uiPriority w:val="0"/>
    <w:pPr>
      <w:jc w:val="left"/>
    </w:pPr>
  </w:style>
  <w:style w:type="paragraph" w:styleId="18">
    <w:name w:val="Body Text 3"/>
    <w:basedOn w:val="1"/>
    <w:link w:val="81"/>
    <w:semiHidden/>
    <w:unhideWhenUsed/>
    <w:qFormat/>
    <w:uiPriority w:val="99"/>
    <w:pPr>
      <w:spacing w:after="120"/>
    </w:pPr>
    <w:rPr>
      <w:sz w:val="16"/>
      <w:szCs w:val="16"/>
    </w:rPr>
  </w:style>
  <w:style w:type="paragraph" w:styleId="19">
    <w:name w:val="Body Text"/>
    <w:basedOn w:val="1"/>
    <w:link w:val="49"/>
    <w:qFormat/>
    <w:uiPriority w:val="0"/>
    <w:pPr>
      <w:jc w:val="center"/>
    </w:pPr>
    <w:rPr>
      <w:rFonts w:ascii="黑体" w:eastAsia="黑体"/>
      <w:b/>
      <w:sz w:val="48"/>
      <w:szCs w:val="20"/>
    </w:rPr>
  </w:style>
  <w:style w:type="paragraph" w:styleId="20">
    <w:name w:val="Body Text Indent"/>
    <w:basedOn w:val="1"/>
    <w:link w:val="50"/>
    <w:qFormat/>
    <w:uiPriority w:val="0"/>
    <w:pPr>
      <w:snapToGrid w:val="0"/>
      <w:ind w:left="420"/>
    </w:pPr>
    <w:rPr>
      <w:sz w:val="28"/>
      <w:szCs w:val="20"/>
    </w:rPr>
  </w:style>
  <w:style w:type="paragraph" w:styleId="21">
    <w:name w:val="List 2"/>
    <w:basedOn w:val="1"/>
    <w:qFormat/>
    <w:uiPriority w:val="0"/>
    <w:pPr>
      <w:ind w:left="840" w:hanging="420"/>
    </w:pPr>
    <w:rPr>
      <w:szCs w:val="20"/>
    </w:rPr>
  </w:style>
  <w:style w:type="paragraph" w:styleId="22">
    <w:name w:val="toc 3"/>
    <w:basedOn w:val="1"/>
    <w:next w:val="1"/>
    <w:qFormat/>
    <w:uiPriority w:val="39"/>
    <w:pPr>
      <w:ind w:left="840" w:leftChars="400"/>
    </w:pPr>
  </w:style>
  <w:style w:type="paragraph" w:styleId="23">
    <w:name w:val="Plain Text"/>
    <w:basedOn w:val="1"/>
    <w:link w:val="51"/>
    <w:qFormat/>
    <w:uiPriority w:val="99"/>
    <w:rPr>
      <w:rFonts w:ascii="宋体" w:hAnsi="Courier New"/>
      <w:szCs w:val="20"/>
    </w:rPr>
  </w:style>
  <w:style w:type="paragraph" w:styleId="24">
    <w:name w:val="Date"/>
    <w:basedOn w:val="1"/>
    <w:next w:val="1"/>
    <w:link w:val="52"/>
    <w:qFormat/>
    <w:uiPriority w:val="0"/>
    <w:rPr>
      <w:szCs w:val="20"/>
    </w:rPr>
  </w:style>
  <w:style w:type="paragraph" w:styleId="25">
    <w:name w:val="Balloon Text"/>
    <w:basedOn w:val="1"/>
    <w:link w:val="53"/>
    <w:qFormat/>
    <w:uiPriority w:val="0"/>
    <w:rPr>
      <w:rFonts w:ascii="Calibri" w:hAnsi="Calibri"/>
      <w:sz w:val="18"/>
      <w:szCs w:val="18"/>
    </w:rPr>
  </w:style>
  <w:style w:type="paragraph" w:styleId="26">
    <w:name w:val="footer"/>
    <w:basedOn w:val="1"/>
    <w:link w:val="41"/>
    <w:unhideWhenUsed/>
    <w:qFormat/>
    <w:uiPriority w:val="0"/>
    <w:pPr>
      <w:tabs>
        <w:tab w:val="center" w:pos="4153"/>
        <w:tab w:val="right" w:pos="8306"/>
      </w:tabs>
      <w:snapToGrid w:val="0"/>
      <w:jc w:val="left"/>
    </w:pPr>
    <w:rPr>
      <w:sz w:val="18"/>
      <w:szCs w:val="18"/>
    </w:rPr>
  </w:style>
  <w:style w:type="paragraph" w:styleId="2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footnote text"/>
    <w:basedOn w:val="1"/>
    <w:link w:val="54"/>
    <w:qFormat/>
    <w:uiPriority w:val="0"/>
    <w:pPr>
      <w:snapToGrid w:val="0"/>
      <w:jc w:val="left"/>
    </w:pPr>
    <w:rPr>
      <w:sz w:val="18"/>
      <w:szCs w:val="18"/>
    </w:rPr>
  </w:style>
  <w:style w:type="paragraph" w:styleId="30">
    <w:name w:val="toc 2"/>
    <w:basedOn w:val="1"/>
    <w:next w:val="1"/>
    <w:qFormat/>
    <w:uiPriority w:val="39"/>
    <w:pPr>
      <w:ind w:left="420" w:leftChars="200"/>
    </w:pPr>
  </w:style>
  <w:style w:type="paragraph" w:styleId="31">
    <w:name w:val="Normal (Web)"/>
    <w:basedOn w:val="1"/>
    <w:qFormat/>
    <w:uiPriority w:val="99"/>
    <w:pPr>
      <w:widowControl/>
      <w:spacing w:before="100" w:beforeAutospacing="1" w:after="100" w:afterAutospacing="1"/>
      <w:jc w:val="left"/>
    </w:pPr>
    <w:rPr>
      <w:rFonts w:ascii="宋体" w:hAnsi="宋体"/>
      <w:kern w:val="0"/>
      <w:sz w:val="24"/>
    </w:rPr>
  </w:style>
  <w:style w:type="paragraph" w:styleId="32">
    <w:name w:val="annotation subject"/>
    <w:basedOn w:val="17"/>
    <w:next w:val="17"/>
    <w:link w:val="47"/>
    <w:qFormat/>
    <w:uiPriority w:val="0"/>
    <w:rPr>
      <w:b/>
      <w:bC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styleId="39">
    <w:name w:val="footnote reference"/>
    <w:qFormat/>
    <w:uiPriority w:val="0"/>
    <w:rPr>
      <w:vertAlign w:val="superscript"/>
    </w:rPr>
  </w:style>
  <w:style w:type="character" w:customStyle="1" w:styleId="40">
    <w:name w:val="页眉 Char"/>
    <w:basedOn w:val="35"/>
    <w:link w:val="27"/>
    <w:semiHidden/>
    <w:qFormat/>
    <w:uiPriority w:val="99"/>
    <w:rPr>
      <w:sz w:val="18"/>
      <w:szCs w:val="18"/>
    </w:rPr>
  </w:style>
  <w:style w:type="character" w:customStyle="1" w:styleId="41">
    <w:name w:val="页脚 Char"/>
    <w:basedOn w:val="35"/>
    <w:link w:val="26"/>
    <w:semiHidden/>
    <w:qFormat/>
    <w:uiPriority w:val="99"/>
    <w:rPr>
      <w:sz w:val="18"/>
      <w:szCs w:val="18"/>
    </w:rPr>
  </w:style>
  <w:style w:type="character" w:customStyle="1" w:styleId="42">
    <w:name w:val="标题 1 Char"/>
    <w:basedOn w:val="35"/>
    <w:link w:val="10"/>
    <w:qFormat/>
    <w:uiPriority w:val="0"/>
    <w:rPr>
      <w:rFonts w:ascii="Times New Roman" w:hAnsi="Times New Roman" w:eastAsia="宋体" w:cs="Times New Roman"/>
      <w:szCs w:val="24"/>
    </w:rPr>
  </w:style>
  <w:style w:type="character" w:customStyle="1" w:styleId="43">
    <w:name w:val="标题 2 Char"/>
    <w:basedOn w:val="35"/>
    <w:link w:val="11"/>
    <w:qFormat/>
    <w:uiPriority w:val="0"/>
    <w:rPr>
      <w:rFonts w:ascii="Arial" w:hAnsi="Arial" w:eastAsia="黑体" w:cs="Times New Roman"/>
      <w:b/>
      <w:bCs/>
      <w:sz w:val="32"/>
      <w:szCs w:val="32"/>
    </w:rPr>
  </w:style>
  <w:style w:type="character" w:customStyle="1" w:styleId="44">
    <w:name w:val="标题 3 Char"/>
    <w:basedOn w:val="35"/>
    <w:link w:val="12"/>
    <w:qFormat/>
    <w:uiPriority w:val="0"/>
    <w:rPr>
      <w:rFonts w:ascii="Times New Roman" w:hAnsi="Times New Roman" w:eastAsia="宋体" w:cs="Times New Roman"/>
      <w:b/>
      <w:bCs/>
      <w:sz w:val="32"/>
      <w:szCs w:val="32"/>
    </w:rPr>
  </w:style>
  <w:style w:type="character" w:customStyle="1" w:styleId="45">
    <w:name w:val="标题 4 Char"/>
    <w:basedOn w:val="35"/>
    <w:link w:val="13"/>
    <w:qFormat/>
    <w:uiPriority w:val="0"/>
    <w:rPr>
      <w:rFonts w:ascii="Arial" w:hAnsi="Arial" w:eastAsia="黑体" w:cs="Times New Roman"/>
      <w:b/>
      <w:bCs/>
      <w:sz w:val="28"/>
      <w:szCs w:val="28"/>
    </w:rPr>
  </w:style>
  <w:style w:type="character" w:customStyle="1" w:styleId="46">
    <w:name w:val="批注文字 Char"/>
    <w:basedOn w:val="35"/>
    <w:link w:val="17"/>
    <w:semiHidden/>
    <w:qFormat/>
    <w:uiPriority w:val="99"/>
    <w:rPr>
      <w:rFonts w:ascii="Times New Roman" w:hAnsi="Times New Roman" w:eastAsia="宋体" w:cs="Times New Roman"/>
      <w:szCs w:val="24"/>
    </w:rPr>
  </w:style>
  <w:style w:type="character" w:customStyle="1" w:styleId="47">
    <w:name w:val="批注主题 Char"/>
    <w:basedOn w:val="46"/>
    <w:link w:val="32"/>
    <w:qFormat/>
    <w:uiPriority w:val="0"/>
    <w:rPr>
      <w:rFonts w:ascii="Times New Roman" w:hAnsi="Times New Roman" w:eastAsia="宋体" w:cs="Times New Roman"/>
      <w:b/>
      <w:bCs/>
      <w:szCs w:val="24"/>
    </w:rPr>
  </w:style>
  <w:style w:type="character" w:customStyle="1" w:styleId="48">
    <w:name w:val="文档结构图 Char"/>
    <w:basedOn w:val="35"/>
    <w:link w:val="16"/>
    <w:qFormat/>
    <w:uiPriority w:val="0"/>
    <w:rPr>
      <w:rFonts w:ascii="Times New Roman" w:hAnsi="Times New Roman" w:eastAsia="宋体" w:cs="Times New Roman"/>
      <w:szCs w:val="24"/>
      <w:shd w:val="clear" w:color="auto" w:fill="000080"/>
    </w:rPr>
  </w:style>
  <w:style w:type="character" w:customStyle="1" w:styleId="49">
    <w:name w:val="正文文本 Char"/>
    <w:basedOn w:val="35"/>
    <w:link w:val="19"/>
    <w:qFormat/>
    <w:uiPriority w:val="0"/>
    <w:rPr>
      <w:rFonts w:ascii="黑体" w:hAnsi="Times New Roman" w:eastAsia="黑体" w:cs="Times New Roman"/>
      <w:b/>
      <w:sz w:val="48"/>
      <w:szCs w:val="20"/>
    </w:rPr>
  </w:style>
  <w:style w:type="character" w:customStyle="1" w:styleId="50">
    <w:name w:val="正文文本缩进 Char"/>
    <w:basedOn w:val="35"/>
    <w:link w:val="20"/>
    <w:qFormat/>
    <w:uiPriority w:val="0"/>
    <w:rPr>
      <w:rFonts w:ascii="Times New Roman" w:hAnsi="Times New Roman" w:eastAsia="宋体" w:cs="Times New Roman"/>
      <w:sz w:val="28"/>
      <w:szCs w:val="20"/>
    </w:rPr>
  </w:style>
  <w:style w:type="character" w:customStyle="1" w:styleId="51">
    <w:name w:val="纯文本 Char"/>
    <w:basedOn w:val="35"/>
    <w:link w:val="23"/>
    <w:qFormat/>
    <w:uiPriority w:val="99"/>
    <w:rPr>
      <w:rFonts w:ascii="宋体" w:hAnsi="Courier New" w:eastAsia="宋体" w:cs="Times New Roman"/>
      <w:szCs w:val="20"/>
    </w:rPr>
  </w:style>
  <w:style w:type="character" w:customStyle="1" w:styleId="52">
    <w:name w:val="日期 Char"/>
    <w:basedOn w:val="35"/>
    <w:link w:val="24"/>
    <w:qFormat/>
    <w:uiPriority w:val="0"/>
    <w:rPr>
      <w:rFonts w:ascii="Times New Roman" w:hAnsi="Times New Roman" w:eastAsia="宋体" w:cs="Times New Roman"/>
      <w:szCs w:val="20"/>
    </w:rPr>
  </w:style>
  <w:style w:type="character" w:customStyle="1" w:styleId="53">
    <w:name w:val="批注框文本 Char"/>
    <w:basedOn w:val="35"/>
    <w:link w:val="25"/>
    <w:qFormat/>
    <w:uiPriority w:val="0"/>
    <w:rPr>
      <w:rFonts w:ascii="Calibri" w:hAnsi="Calibri" w:eastAsia="宋体" w:cs="Times New Roman"/>
      <w:sz w:val="18"/>
      <w:szCs w:val="18"/>
    </w:rPr>
  </w:style>
  <w:style w:type="character" w:customStyle="1" w:styleId="54">
    <w:name w:val="脚注文本 Char"/>
    <w:basedOn w:val="35"/>
    <w:link w:val="29"/>
    <w:qFormat/>
    <w:uiPriority w:val="0"/>
    <w:rPr>
      <w:rFonts w:ascii="Times New Roman" w:hAnsi="Times New Roman" w:eastAsia="宋体" w:cs="Times New Roman"/>
      <w:sz w:val="18"/>
      <w:szCs w:val="18"/>
    </w:rPr>
  </w:style>
  <w:style w:type="paragraph" w:customStyle="1" w:styleId="55">
    <w:name w:val="正文（首行缩进两字）"/>
    <w:basedOn w:val="1"/>
    <w:qFormat/>
    <w:uiPriority w:val="0"/>
    <w:rPr>
      <w:szCs w:val="20"/>
    </w:rPr>
  </w:style>
  <w:style w:type="paragraph" w:customStyle="1" w:styleId="56">
    <w:name w:val="标题1"/>
    <w:basedOn w:val="1"/>
    <w:qFormat/>
    <w:uiPriority w:val="0"/>
    <w:pPr>
      <w:jc w:val="center"/>
    </w:pPr>
    <w:rPr>
      <w:sz w:val="36"/>
      <w:szCs w:val="36"/>
    </w:rPr>
  </w:style>
  <w:style w:type="paragraph" w:customStyle="1" w:styleId="57">
    <w:name w:val="Char Char1 Char Char Char Char"/>
    <w:basedOn w:val="1"/>
    <w:qFormat/>
    <w:uiPriority w:val="0"/>
    <w:pPr>
      <w:widowControl/>
      <w:spacing w:after="160" w:line="240" w:lineRule="exact"/>
      <w:jc w:val="left"/>
    </w:pPr>
    <w:rPr>
      <w:rFonts w:ascii="Verdana" w:hAnsi="Verdana"/>
      <w:kern w:val="0"/>
      <w:szCs w:val="20"/>
    </w:rPr>
  </w:style>
  <w:style w:type="paragraph" w:customStyle="1" w:styleId="58">
    <w:name w:val="标题3"/>
    <w:basedOn w:val="1"/>
    <w:link w:val="70"/>
    <w:qFormat/>
    <w:uiPriority w:val="0"/>
    <w:pPr>
      <w:spacing w:line="400" w:lineRule="exact"/>
    </w:pPr>
    <w:rPr>
      <w:sz w:val="24"/>
    </w:rPr>
  </w:style>
  <w:style w:type="paragraph" w:customStyle="1" w:styleId="59">
    <w:name w:val="Char Char Char"/>
    <w:basedOn w:val="1"/>
    <w:qFormat/>
    <w:uiPriority w:val="0"/>
    <w:pPr>
      <w:widowControl/>
      <w:jc w:val="left"/>
    </w:pPr>
    <w:rPr>
      <w:rFonts w:ascii="Tahoma" w:hAnsi="Tahoma" w:cs="宋体"/>
      <w:kern w:val="0"/>
      <w:sz w:val="24"/>
      <w:szCs w:val="20"/>
    </w:rPr>
  </w:style>
  <w:style w:type="paragraph" w:customStyle="1" w:styleId="60">
    <w:name w:val="标题2"/>
    <w:basedOn w:val="1"/>
    <w:qFormat/>
    <w:uiPriority w:val="0"/>
    <w:pPr>
      <w:spacing w:line="400" w:lineRule="exact"/>
    </w:pPr>
    <w:rPr>
      <w:sz w:val="28"/>
      <w:szCs w:val="28"/>
    </w:rPr>
  </w:style>
  <w:style w:type="paragraph" w:customStyle="1" w:styleId="61">
    <w:name w:val="Char Char Char1"/>
    <w:basedOn w:val="1"/>
    <w:qFormat/>
    <w:uiPriority w:val="0"/>
    <w:pPr>
      <w:widowControl/>
      <w:jc w:val="left"/>
    </w:pPr>
    <w:rPr>
      <w:rFonts w:ascii="Tahoma" w:hAnsi="Tahoma" w:cs="宋体"/>
      <w:kern w:val="0"/>
      <w:sz w:val="24"/>
      <w:szCs w:val="20"/>
    </w:rPr>
  </w:style>
  <w:style w:type="paragraph" w:customStyle="1" w:styleId="62">
    <w:name w:val="Char Char Char Char"/>
    <w:basedOn w:val="1"/>
    <w:qFormat/>
    <w:uiPriority w:val="0"/>
    <w:pPr>
      <w:widowControl/>
      <w:spacing w:after="120" w:line="360" w:lineRule="auto"/>
      <w:ind w:left="560" w:firstLine="480" w:firstLineChars="200"/>
      <w:jc w:val="left"/>
    </w:pPr>
    <w:rPr>
      <w:rFonts w:ascii="Verdana" w:hAnsi="Verdana"/>
      <w:kern w:val="0"/>
      <w:sz w:val="24"/>
    </w:rPr>
  </w:style>
  <w:style w:type="paragraph" w:customStyle="1" w:styleId="63">
    <w:name w:val="默认段落字体 Para Char Char Char Char"/>
    <w:basedOn w:val="1"/>
    <w:qFormat/>
    <w:uiPriority w:val="0"/>
    <w:pPr>
      <w:spacing w:line="240" w:lineRule="atLeast"/>
      <w:ind w:left="420" w:firstLine="420"/>
    </w:pPr>
    <w:rPr>
      <w:kern w:val="0"/>
      <w:szCs w:val="21"/>
    </w:rPr>
  </w:style>
  <w:style w:type="paragraph" w:customStyle="1" w:styleId="64">
    <w:name w:val="Char Char1 Char Char Char Char1"/>
    <w:basedOn w:val="1"/>
    <w:qFormat/>
    <w:uiPriority w:val="0"/>
    <w:pPr>
      <w:widowControl/>
      <w:spacing w:after="160" w:line="240" w:lineRule="exact"/>
      <w:jc w:val="left"/>
    </w:pPr>
  </w:style>
  <w:style w:type="paragraph" w:customStyle="1" w:styleId="65">
    <w:name w:val="Char"/>
    <w:basedOn w:val="1"/>
    <w:qFormat/>
    <w:uiPriority w:val="0"/>
    <w:pPr>
      <w:tabs>
        <w:tab w:val="left" w:pos="360"/>
      </w:tabs>
    </w:pPr>
    <w:rPr>
      <w:sz w:val="24"/>
    </w:rPr>
  </w:style>
  <w:style w:type="paragraph" w:customStyle="1" w:styleId="66">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67">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68">
    <w:name w:val="1"/>
    <w:basedOn w:val="1"/>
    <w:qFormat/>
    <w:uiPriority w:val="0"/>
    <w:pPr>
      <w:tabs>
        <w:tab w:val="left" w:pos="360"/>
      </w:tabs>
    </w:pPr>
    <w:rPr>
      <w:sz w:val="24"/>
    </w:rPr>
  </w:style>
  <w:style w:type="paragraph" w:customStyle="1" w:styleId="69">
    <w:name w:val="Char Char1"/>
    <w:basedOn w:val="1"/>
    <w:qFormat/>
    <w:uiPriority w:val="0"/>
    <w:pPr>
      <w:widowControl/>
      <w:spacing w:after="160" w:line="240" w:lineRule="exact"/>
      <w:jc w:val="left"/>
    </w:pPr>
    <w:rPr>
      <w:rFonts w:ascii="Verdana" w:hAnsi="Verdana"/>
      <w:kern w:val="0"/>
      <w:szCs w:val="20"/>
    </w:rPr>
  </w:style>
  <w:style w:type="character" w:customStyle="1" w:styleId="70">
    <w:name w:val="标题3 Char Char"/>
    <w:link w:val="58"/>
    <w:qFormat/>
    <w:uiPriority w:val="0"/>
    <w:rPr>
      <w:rFonts w:ascii="Times New Roman" w:hAnsi="Times New Roman" w:eastAsia="宋体" w:cs="Times New Roman"/>
      <w:sz w:val="24"/>
      <w:szCs w:val="24"/>
    </w:rPr>
  </w:style>
  <w:style w:type="paragraph" w:customStyle="1" w:styleId="71">
    <w:name w:val="第二层标题"/>
    <w:basedOn w:val="11"/>
    <w:qFormat/>
    <w:uiPriority w:val="0"/>
    <w:pPr>
      <w:spacing w:before="140" w:after="140" w:line="400" w:lineRule="exact"/>
    </w:pPr>
    <w:rPr>
      <w:b w:val="0"/>
      <w:sz w:val="28"/>
      <w:szCs w:val="28"/>
    </w:rPr>
  </w:style>
  <w:style w:type="paragraph" w:customStyle="1" w:styleId="72">
    <w:name w:val="第三层标题"/>
    <w:basedOn w:val="71"/>
    <w:qFormat/>
    <w:uiPriority w:val="0"/>
    <w:pPr>
      <w:spacing w:line="360" w:lineRule="exact"/>
    </w:pPr>
    <w:rPr>
      <w:sz w:val="24"/>
      <w:szCs w:val="24"/>
    </w:rPr>
  </w:style>
  <w:style w:type="paragraph" w:customStyle="1" w:styleId="73">
    <w:name w:val="Char Char Char Char1"/>
    <w:basedOn w:val="1"/>
    <w:qFormat/>
    <w:uiPriority w:val="0"/>
  </w:style>
  <w:style w:type="paragraph" w:customStyle="1" w:styleId="74">
    <w:name w:val="Char Char Char Char11"/>
    <w:basedOn w:val="1"/>
    <w:qFormat/>
    <w:uiPriority w:val="0"/>
  </w:style>
  <w:style w:type="paragraph" w:customStyle="1" w:styleId="75">
    <w:name w:val="纯文本1"/>
    <w:basedOn w:val="1"/>
    <w:qFormat/>
    <w:uiPriority w:val="0"/>
    <w:rPr>
      <w:rFonts w:ascii="宋体" w:hAnsi="Courier New"/>
      <w:sz w:val="28"/>
      <w:szCs w:val="20"/>
    </w:rPr>
  </w:style>
  <w:style w:type="paragraph" w:styleId="76">
    <w:name w:val="List Paragraph"/>
    <w:basedOn w:val="1"/>
    <w:unhideWhenUsed/>
    <w:qFormat/>
    <w:uiPriority w:val="99"/>
    <w:pPr>
      <w:ind w:firstLine="420" w:firstLineChars="200"/>
    </w:pPr>
  </w:style>
  <w:style w:type="paragraph" w:customStyle="1" w:styleId="77">
    <w:name w:val="Z5"/>
    <w:basedOn w:val="1"/>
    <w:qFormat/>
    <w:uiPriority w:val="0"/>
    <w:pPr>
      <w:autoSpaceDE w:val="0"/>
      <w:autoSpaceDN w:val="0"/>
      <w:adjustRightInd w:val="0"/>
      <w:spacing w:line="360" w:lineRule="auto"/>
      <w:ind w:firstLine="420" w:firstLineChars="200"/>
      <w:jc w:val="left"/>
    </w:pPr>
    <w:rPr>
      <w:rFonts w:ascii="宋体" w:hAnsi="Calibri" w:cs="宋体"/>
      <w:kern w:val="0"/>
      <w:szCs w:val="21"/>
    </w:rPr>
  </w:style>
  <w:style w:type="paragraph" w:customStyle="1" w:styleId="78">
    <w:name w:val="Char Char1 Char Char Char Char2"/>
    <w:basedOn w:val="1"/>
    <w:qFormat/>
    <w:uiPriority w:val="0"/>
    <w:pPr>
      <w:widowControl/>
      <w:spacing w:after="160" w:line="240" w:lineRule="exact"/>
      <w:jc w:val="left"/>
    </w:pPr>
  </w:style>
  <w:style w:type="character" w:customStyle="1" w:styleId="79">
    <w:name w:val="正文缩进 Char"/>
    <w:link w:val="15"/>
    <w:qFormat/>
    <w:uiPriority w:val="0"/>
    <w:rPr>
      <w:rFonts w:ascii="Times New Roman" w:hAnsi="Times New Roman" w:eastAsia="宋体" w:cs="Times New Roman"/>
      <w:b/>
      <w:kern w:val="2"/>
      <w:sz w:val="24"/>
    </w:rPr>
  </w:style>
  <w:style w:type="character" w:customStyle="1" w:styleId="80">
    <w:name w:val="纯文本 Char1"/>
    <w:qFormat/>
    <w:uiPriority w:val="0"/>
    <w:rPr>
      <w:rFonts w:ascii="宋体" w:hAnsi="Courier New"/>
      <w:lang w:val="en-US" w:eastAsia="zh-CN"/>
    </w:rPr>
  </w:style>
  <w:style w:type="character" w:customStyle="1" w:styleId="81">
    <w:name w:val="正文文本 3 Char"/>
    <w:basedOn w:val="35"/>
    <w:link w:val="18"/>
    <w:semiHidden/>
    <w:qFormat/>
    <w:uiPriority w:val="99"/>
    <w:rPr>
      <w:rFonts w:ascii="Times New Roman" w:hAnsi="Times New Roman" w:eastAsia="宋体" w:cs="Times New Roman"/>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CB3E33-DC19-4C67-BD2E-B063D75620A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39</Pages>
  <Words>16352</Words>
  <Characters>17273</Characters>
  <Lines>142</Lines>
  <Paragraphs>40</Paragraphs>
  <TotalTime>6</TotalTime>
  <ScaleCrop>false</ScaleCrop>
  <LinksUpToDate>false</LinksUpToDate>
  <CharactersWithSpaces>18410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2020-12-15T01:04:00Z</dcterms:created>
  <dc:creator>ZhouTao_JCEC</dc:creator>
  <cp:lastModifiedBy>蓓蓓酱要取个萌萌哒的名字</cp:lastModifiedBy>
  <cp:lastPrinted>2022-11-09T04:18:00Z</cp:lastPrinted>
  <dcterms:modified xsi:type="dcterms:W3CDTF">2022-11-16T08:29:06Z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74EC4B0D3AC34BC78322E7C8EC0C1375</vt:lpwstr>
  </property>
</Properties>
</file>