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360" w:lineRule="auto"/>
        <w:jc w:val="center"/>
        <w:rPr>
          <w:rFonts w:hint="eastAsia"/>
          <w:b/>
          <w:sz w:val="36"/>
          <w:szCs w:val="36"/>
        </w:rPr>
      </w:pPr>
      <w:r>
        <w:rPr>
          <w:rFonts w:hint="eastAsia"/>
          <w:b/>
          <w:sz w:val="36"/>
          <w:szCs w:val="36"/>
        </w:rPr>
        <w:t>润扬路红线范围内涉及的水系迁改项目</w:t>
      </w:r>
    </w:p>
    <w:p>
      <w:pPr>
        <w:adjustRightInd w:val="0"/>
        <w:snapToGrid w:val="0"/>
        <w:spacing w:line="360" w:lineRule="auto"/>
        <w:jc w:val="center"/>
        <w:rPr>
          <w:rFonts w:ascii="华文楷体" w:hAnsi="华文楷体" w:eastAsia="华文楷体"/>
          <w:b/>
          <w:spacing w:val="28"/>
          <w:sz w:val="52"/>
          <w:szCs w:val="52"/>
        </w:rPr>
      </w:pPr>
      <w:r>
        <w:rPr>
          <w:rFonts w:hint="eastAsia"/>
          <w:b/>
          <w:sz w:val="36"/>
          <w:szCs w:val="36"/>
          <w:lang w:eastAsia="zh-CN"/>
        </w:rPr>
        <w:t>洪评及</w:t>
      </w:r>
      <w:r>
        <w:rPr>
          <w:rFonts w:hint="eastAsia"/>
          <w:b/>
          <w:sz w:val="36"/>
          <w:szCs w:val="36"/>
        </w:rPr>
        <w:t>水利专项设计服务比价文件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bookmarkStart w:id="4" w:name="_GoBack"/>
    </w:p>
    <w:bookmarkEnd w:id="4"/>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rPr>
        <w:t>9年</w:t>
      </w:r>
      <w:r>
        <w:rPr>
          <w:rFonts w:hint="eastAsia" w:ascii="华文楷体" w:hAnsi="华文楷体" w:eastAsia="华文楷体"/>
          <w:b/>
          <w:bCs/>
          <w:snapToGrid w:val="0"/>
          <w:sz w:val="32"/>
          <w:szCs w:val="32"/>
          <w:u w:val="single"/>
          <w:lang w:val="en-US" w:eastAsia="zh-CN"/>
        </w:rPr>
        <w:t>7</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19</w:t>
      </w:r>
      <w:r>
        <w:rPr>
          <w:rFonts w:hint="eastAsia" w:ascii="华文楷体" w:hAnsi="华文楷体" w:eastAsia="华文楷体"/>
          <w:b/>
          <w:bCs/>
          <w:snapToGrid w:val="0"/>
          <w:sz w:val="32"/>
          <w:szCs w:val="32"/>
          <w:u w:val="single"/>
        </w:rPr>
        <w:t>日</w:t>
      </w:r>
    </w:p>
    <w:p>
      <w:pPr>
        <w:pStyle w:val="4"/>
        <w:widowControl/>
        <w:adjustRightInd w:val="0"/>
        <w:snapToGrid w:val="0"/>
        <w:spacing w:line="360" w:lineRule="auto"/>
        <w:ind w:firstLine="600"/>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spacing w:line="360" w:lineRule="auto"/>
        <w:jc w:val="center"/>
        <w:rPr>
          <w:rFonts w:hint="eastAsia" w:ascii="黑体" w:eastAsia="黑体"/>
          <w:b/>
          <w:snapToGrid w:val="0"/>
          <w:sz w:val="32"/>
          <w:szCs w:val="32"/>
        </w:rPr>
      </w:pPr>
      <w:bookmarkStart w:id="2" w:name="EB6ea16da7b15743eea2725672f72d6ef5"/>
      <w:bookmarkEnd w:id="2"/>
      <w:bookmarkStart w:id="3" w:name="EBae3932507ea447db8869e9e90f30bd27"/>
      <w:bookmarkEnd w:id="3"/>
      <w:r>
        <w:rPr>
          <w:rFonts w:hint="eastAsia" w:ascii="黑体" w:eastAsia="黑体"/>
          <w:b/>
          <w:snapToGrid w:val="0"/>
          <w:sz w:val="32"/>
          <w:szCs w:val="32"/>
        </w:rPr>
        <w:t>润扬路红线范围内涉及的水系迁改项目</w:t>
      </w:r>
    </w:p>
    <w:p>
      <w:pPr>
        <w:spacing w:line="360" w:lineRule="auto"/>
        <w:jc w:val="center"/>
        <w:rPr>
          <w:rFonts w:ascii="仿宋_GB2312" w:hAnsi="华文中宋" w:eastAsia="仿宋_GB2312"/>
          <w:b/>
          <w:sz w:val="32"/>
          <w:szCs w:val="32"/>
        </w:rPr>
      </w:pPr>
      <w:r>
        <w:rPr>
          <w:rFonts w:hint="eastAsia" w:ascii="黑体" w:eastAsia="黑体"/>
          <w:b/>
          <w:snapToGrid w:val="0"/>
          <w:sz w:val="32"/>
          <w:szCs w:val="32"/>
          <w:lang w:eastAsia="zh-CN"/>
        </w:rPr>
        <w:t>洪评及</w:t>
      </w:r>
      <w:r>
        <w:rPr>
          <w:rFonts w:hint="eastAsia" w:ascii="黑体" w:eastAsia="黑体"/>
          <w:b/>
          <w:snapToGrid w:val="0"/>
          <w:sz w:val="32"/>
          <w:szCs w:val="32"/>
        </w:rPr>
        <w:t>水利专项设计服务比价公告</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润扬路红线范围内涉及的水系迁改项目</w:t>
      </w:r>
      <w:r>
        <w:rPr>
          <w:rFonts w:hint="eastAsia" w:ascii="仿宋_GB2312" w:hAnsi="华文中宋" w:eastAsia="仿宋_GB2312"/>
          <w:sz w:val="28"/>
          <w:szCs w:val="28"/>
          <w:lang w:eastAsia="zh-CN"/>
        </w:rPr>
        <w:t>洪评及</w:t>
      </w:r>
      <w:r>
        <w:rPr>
          <w:rFonts w:hint="eastAsia" w:ascii="仿宋_GB2312" w:hAnsi="华文中宋" w:eastAsia="仿宋_GB2312"/>
          <w:sz w:val="28"/>
          <w:szCs w:val="28"/>
        </w:rPr>
        <w:t>水利专项设计服务比价</w:t>
      </w:r>
    </w:p>
    <w:p>
      <w:pPr>
        <w:numPr>
          <w:ilvl w:val="0"/>
          <w:numId w:val="1"/>
        </w:numPr>
        <w:spacing w:line="360" w:lineRule="auto"/>
        <w:rPr>
          <w:rFonts w:ascii="黑体" w:hAnsi="黑体" w:eastAsia="黑体" w:cs="黑体"/>
          <w:bCs/>
          <w:sz w:val="30"/>
          <w:szCs w:val="30"/>
        </w:rPr>
      </w:pP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sz w:val="28"/>
          <w:szCs w:val="28"/>
        </w:rPr>
        <w:t>润扬快速路（润扬路东侧、杨柳青路以北、沿山河以南）补偿工程设计内容包括：</w:t>
      </w:r>
      <w:r>
        <w:rPr>
          <w:rFonts w:hint="eastAsia" w:ascii="仿宋_GB2312" w:hAnsi="华文中宋" w:eastAsia="仿宋_GB2312"/>
          <w:color w:val="000000" w:themeColor="text1"/>
          <w:sz w:val="28"/>
          <w:szCs w:val="28"/>
          <w:u w:val="none"/>
          <w14:textFill>
            <w14:solidFill>
              <w14:schemeClr w14:val="tx1"/>
            </w14:solidFill>
          </w14:textFill>
        </w:rPr>
        <w:t>四望亭河洪评</w:t>
      </w:r>
      <w:r>
        <w:rPr>
          <w:rFonts w:hint="eastAsia" w:ascii="仿宋_GB2312" w:hAnsi="华文中宋" w:eastAsia="仿宋_GB2312"/>
          <w:color w:val="000000" w:themeColor="text1"/>
          <w:sz w:val="28"/>
          <w:szCs w:val="28"/>
          <w14:textFill>
            <w14:solidFill>
              <w14:schemeClr w14:val="tx1"/>
            </w14:solidFill>
          </w14:textFill>
        </w:rPr>
        <w:t>以及四望亭闸向东移址的引水涵及其景观闸房、引水涵与沿山河之间的进水口连接段、引水涵出水口与杨柳青路箱涵连接段、引水涵新址景观绿化恢复、引水涵与道路之间的防护措施。</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本项目报价人可自行现场</w:t>
      </w:r>
      <w:r>
        <w:rPr>
          <w:rFonts w:hint="eastAsia" w:ascii="仿宋_GB2312" w:hAnsi="华文中宋" w:eastAsia="仿宋_GB2312"/>
          <w:color w:val="000000" w:themeColor="text1"/>
          <w:sz w:val="28"/>
          <w:szCs w:val="28"/>
          <w:lang w:eastAsia="zh-CN"/>
          <w14:textFill>
            <w14:solidFill>
              <w14:schemeClr w14:val="tx1"/>
            </w14:solidFill>
          </w14:textFill>
        </w:rPr>
        <w:t>踏勘</w:t>
      </w:r>
      <w:r>
        <w:rPr>
          <w:rFonts w:hint="eastAsia" w:ascii="仿宋_GB2312" w:hAnsi="华文中宋" w:eastAsia="仿宋_GB2312"/>
          <w:color w:val="000000" w:themeColor="text1"/>
          <w:sz w:val="28"/>
          <w:szCs w:val="28"/>
          <w14:textFill>
            <w14:solidFill>
              <w14:schemeClr w14:val="tx1"/>
            </w14:solidFill>
          </w14:textFill>
        </w:rPr>
        <w:t>。</w:t>
      </w:r>
    </w:p>
    <w:p>
      <w:pPr>
        <w:spacing w:line="360" w:lineRule="auto"/>
        <w:rPr>
          <w:rFonts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四、对报价人资质要求：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1、具备国家发改委颁发的工程咨询（水利工程）专业乙级及以上资质；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等证明资料（以合同签订时间为准）。</w:t>
      </w:r>
    </w:p>
    <w:p>
      <w:pPr>
        <w:pStyle w:val="7"/>
        <w:spacing w:before="120" w:beforeAutospacing="0" w:after="120" w:afterAutospacing="0" w:line="320" w:lineRule="atLeast"/>
        <w:rPr>
          <w:rFonts w:ascii="黑体" w:hAnsi="黑体" w:eastAsia="黑体" w:cs="黑体"/>
          <w:color w:val="000000" w:themeColor="text1"/>
          <w:kern w:val="2"/>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五、</w:t>
      </w:r>
      <w:r>
        <w:rPr>
          <w:rFonts w:hint="eastAsia" w:ascii="黑体" w:hAnsi="黑体" w:eastAsia="黑体" w:cs="黑体"/>
          <w:b/>
          <w:color w:val="000000" w:themeColor="text1"/>
          <w:kern w:val="2"/>
          <w:sz w:val="30"/>
          <w:szCs w:val="30"/>
          <w14:textFill>
            <w14:solidFill>
              <w14:schemeClr w14:val="tx1"/>
            </w14:solidFill>
          </w14:textFill>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黑体" w:hAnsi="黑体" w:eastAsia="黑体" w:cs="黑体"/>
          <w:bCs/>
          <w:sz w:val="30"/>
          <w:szCs w:val="30"/>
        </w:rPr>
      </w:pPr>
      <w:r>
        <w:rPr>
          <w:rFonts w:hint="eastAsia" w:ascii="黑体" w:hAnsi="黑体" w:eastAsia="黑体" w:cs="黑体"/>
          <w:bCs/>
          <w:sz w:val="30"/>
          <w:szCs w:val="30"/>
        </w:rPr>
        <w:t>六、报名及相关文件等资料的获取：</w:t>
      </w:r>
    </w:p>
    <w:p>
      <w:pPr>
        <w:spacing w:line="360" w:lineRule="auto"/>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、报价文件递交地点：史可法路</w:t>
      </w:r>
      <w:r>
        <w:rPr>
          <w:rFonts w:ascii="仿宋_GB2312" w:hAnsi="华文中宋" w:eastAsia="仿宋_GB2312"/>
          <w:sz w:val="28"/>
          <w:szCs w:val="28"/>
        </w:rPr>
        <w:t>58-21</w:t>
      </w:r>
      <w:r>
        <w:rPr>
          <w:rFonts w:hint="eastAsia" w:ascii="仿宋_GB2312" w:hAnsi="华文中宋" w:eastAsia="仿宋_GB2312"/>
          <w:sz w:val="28"/>
          <w:szCs w:val="28"/>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sz w:val="28"/>
          <w:szCs w:val="28"/>
        </w:rPr>
        <w:t>2</w:t>
      </w:r>
      <w:r>
        <w:rPr>
          <w:rFonts w:hint="eastAsia" w:ascii="仿宋_GB2312" w:hAnsi="华文中宋" w:eastAsia="仿宋_GB2312"/>
          <w:sz w:val="28"/>
          <w:szCs w:val="28"/>
        </w:rPr>
        <w:t>、递交报价文件时间</w:t>
      </w:r>
      <w:r>
        <w:rPr>
          <w:rFonts w:hint="eastAsia" w:ascii="仿宋_GB2312" w:hAnsi="华文中宋" w:eastAsia="仿宋_GB2312"/>
          <w:color w:val="000000" w:themeColor="text1"/>
          <w:sz w:val="28"/>
          <w:szCs w:val="28"/>
          <w14:textFill>
            <w14:solidFill>
              <w14:schemeClr w14:val="tx1"/>
            </w14:solidFill>
          </w14:textFill>
        </w:rPr>
        <w:t>：</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9年</w:t>
      </w:r>
      <w:r>
        <w:rPr>
          <w:rFonts w:hint="eastAsia" w:ascii="仿宋_GB2312" w:hAnsi="华文中宋" w:eastAsia="仿宋_GB2312"/>
          <w:color w:val="000000" w:themeColor="text1"/>
          <w:sz w:val="28"/>
          <w:szCs w:val="28"/>
          <w:lang w:val="en-US" w:eastAsia="zh-CN"/>
          <w14:textFill>
            <w14:solidFill>
              <w14:schemeClr w14:val="tx1"/>
            </w14:solidFill>
          </w14:textFill>
        </w:rPr>
        <w:t>7</w:t>
      </w:r>
      <w:r>
        <w:rPr>
          <w:rFonts w:hint="eastAsia" w:ascii="仿宋_GB2312" w:hAnsi="华文中宋" w:eastAsia="仿宋_GB2312"/>
          <w:color w:val="000000" w:themeColor="text1"/>
          <w:sz w:val="28"/>
          <w:szCs w:val="28"/>
          <w14:textFill>
            <w14:solidFill>
              <w14:schemeClr w14:val="tx1"/>
            </w14:solidFill>
          </w14:textFill>
        </w:rPr>
        <w:t>月2</w:t>
      </w:r>
      <w:r>
        <w:rPr>
          <w:rFonts w:hint="eastAsia" w:ascii="仿宋_GB2312" w:hAnsi="华文中宋" w:eastAsia="仿宋_GB2312"/>
          <w:color w:val="000000" w:themeColor="text1"/>
          <w:sz w:val="28"/>
          <w:szCs w:val="28"/>
          <w:lang w:val="en-US" w:eastAsia="zh-CN"/>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hint="eastAsia" w:ascii="黑体" w:eastAsia="黑体"/>
          <w:b/>
          <w:snapToGrid w:val="0"/>
          <w:sz w:val="32"/>
          <w:szCs w:val="32"/>
        </w:rPr>
      </w:pPr>
      <w:r>
        <w:rPr>
          <w:rFonts w:hint="eastAsia" w:ascii="黑体" w:eastAsia="黑体"/>
          <w:b/>
          <w:snapToGrid w:val="0"/>
          <w:sz w:val="32"/>
          <w:szCs w:val="32"/>
        </w:rPr>
        <w:t>润扬路红线范围内涉及的水系迁改项目</w:t>
      </w:r>
    </w:p>
    <w:p>
      <w:pPr>
        <w:spacing w:line="360" w:lineRule="auto"/>
        <w:jc w:val="center"/>
        <w:rPr>
          <w:rFonts w:ascii="黑体" w:eastAsia="黑体"/>
          <w:b/>
          <w:snapToGrid w:val="0"/>
          <w:color w:val="000000" w:themeColor="text1"/>
          <w:sz w:val="32"/>
          <w:szCs w:val="32"/>
          <w14:textFill>
            <w14:solidFill>
              <w14:schemeClr w14:val="tx1"/>
            </w14:solidFill>
          </w14:textFill>
        </w:rPr>
      </w:pPr>
      <w:r>
        <w:rPr>
          <w:rFonts w:hint="eastAsia" w:ascii="黑体" w:eastAsia="黑体"/>
          <w:b/>
          <w:snapToGrid w:val="0"/>
          <w:sz w:val="32"/>
          <w:szCs w:val="32"/>
          <w:lang w:eastAsia="zh-CN"/>
        </w:rPr>
        <w:t>洪评及</w:t>
      </w:r>
      <w:r>
        <w:rPr>
          <w:rFonts w:hint="eastAsia" w:ascii="黑体" w:eastAsia="黑体"/>
          <w:b/>
          <w:snapToGrid w:val="0"/>
          <w:sz w:val="32"/>
          <w:szCs w:val="32"/>
        </w:rPr>
        <w:t>水利专项设计服务比价</w:t>
      </w:r>
      <w:r>
        <w:rPr>
          <w:rFonts w:hint="eastAsia" w:ascii="黑体" w:eastAsia="黑体"/>
          <w:b/>
          <w:snapToGrid w:val="0"/>
          <w:color w:val="000000" w:themeColor="text1"/>
          <w:sz w:val="32"/>
          <w:szCs w:val="32"/>
          <w14:textFill>
            <w14:solidFill>
              <w14:schemeClr w14:val="tx1"/>
            </w14:solidFill>
          </w14:textFill>
        </w:rPr>
        <w:t>文件</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润扬路红线范围内涉及的水系迁改项目</w:t>
      </w:r>
      <w:r>
        <w:rPr>
          <w:rFonts w:hint="eastAsia" w:ascii="仿宋_GB2312" w:hAnsi="华文中宋" w:eastAsia="仿宋_GB2312"/>
          <w:sz w:val="28"/>
          <w:szCs w:val="28"/>
          <w:lang w:eastAsia="zh-CN"/>
        </w:rPr>
        <w:t>洪评及</w:t>
      </w:r>
      <w:r>
        <w:rPr>
          <w:rFonts w:hint="eastAsia" w:ascii="仿宋_GB2312" w:hAnsi="华文中宋" w:eastAsia="仿宋_GB2312"/>
          <w:sz w:val="28"/>
          <w:szCs w:val="28"/>
        </w:rPr>
        <w:t>水利专项设计服务比价</w:t>
      </w:r>
    </w:p>
    <w:p>
      <w:pPr>
        <w:numPr>
          <w:ilvl w:val="0"/>
          <w:numId w:val="0"/>
        </w:numPr>
        <w:spacing w:line="360" w:lineRule="auto"/>
        <w:rPr>
          <w:rFonts w:ascii="黑体" w:hAnsi="黑体" w:eastAsia="黑体" w:cs="黑体"/>
          <w:bCs/>
          <w:sz w:val="30"/>
          <w:szCs w:val="30"/>
        </w:rPr>
      </w:pPr>
      <w:r>
        <w:rPr>
          <w:rFonts w:hint="eastAsia" w:ascii="黑体" w:hAnsi="黑体" w:eastAsia="黑体" w:cs="黑体"/>
          <w:bCs/>
          <w:sz w:val="30"/>
          <w:szCs w:val="30"/>
          <w:lang w:eastAsia="zh-CN"/>
        </w:rPr>
        <w:t>二、</w:t>
      </w: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润扬快速路（润扬路东侧、杨柳青路以北、沿山河以南）补偿工程设计内容包括：</w:t>
      </w:r>
      <w:r>
        <w:rPr>
          <w:rFonts w:hint="eastAsia" w:ascii="仿宋_GB2312" w:hAnsi="华文中宋" w:eastAsia="仿宋_GB2312"/>
          <w:color w:val="000000" w:themeColor="text1"/>
          <w:sz w:val="28"/>
          <w:szCs w:val="28"/>
          <w:u w:val="none"/>
          <w14:textFill>
            <w14:solidFill>
              <w14:schemeClr w14:val="tx1"/>
            </w14:solidFill>
          </w14:textFill>
        </w:rPr>
        <w:t>四望亭河</w:t>
      </w:r>
      <w:r>
        <w:rPr>
          <w:rFonts w:hint="eastAsia" w:ascii="仿宋_GB2312" w:hAnsi="华文中宋" w:eastAsia="仿宋_GB2312"/>
          <w:color w:val="000000" w:themeColor="text1"/>
          <w:sz w:val="28"/>
          <w:szCs w:val="28"/>
          <w14:textFill>
            <w14:solidFill>
              <w14:schemeClr w14:val="tx1"/>
            </w14:solidFill>
          </w14:textFill>
        </w:rPr>
        <w:t>洪评以及四望亭闸向东移址的引水涵及其景观闸房、引水涵与沿山河之间的进`口连接段、引水涵出水口与杨</w:t>
      </w:r>
      <w:r>
        <w:rPr>
          <w:rFonts w:hint="eastAsia" w:ascii="仿宋_GB2312" w:hAnsi="华文中宋" w:eastAsia="仿宋_GB2312"/>
          <w:sz w:val="28"/>
          <w:szCs w:val="28"/>
        </w:rPr>
        <w:t>柳青路箱涵连接段、引水涵新址景观绿化恢复、引水涵与道路之间的防护措施。</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本项目报价人可自行现场踏勘。</w:t>
      </w:r>
    </w:p>
    <w:p>
      <w:pPr>
        <w:spacing w:line="360" w:lineRule="auto"/>
        <w:rPr>
          <w:rFonts w:ascii="黑体" w:hAnsi="黑体" w:eastAsia="黑体" w:cs="黑体"/>
          <w:bCs/>
          <w:sz w:val="30"/>
          <w:szCs w:val="30"/>
        </w:rPr>
      </w:pPr>
      <w:r>
        <w:rPr>
          <w:rFonts w:hint="eastAsia" w:ascii="黑体" w:hAnsi="黑体" w:eastAsia="黑体" w:cs="黑体"/>
          <w:bCs/>
          <w:sz w:val="30"/>
          <w:szCs w:val="30"/>
        </w:rPr>
        <w:t>四、对报价人资质要求：</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1、具备国家发改委颁发的工程咨询（水利工程）专业乙级及以上资质；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等证明资料（以合同签订时间为准）。</w:t>
      </w:r>
    </w:p>
    <w:p>
      <w:pPr>
        <w:pStyle w:val="7"/>
        <w:spacing w:before="0" w:beforeAutospacing="0" w:after="0" w:afterAutospacing="0" w:line="360" w:lineRule="auto"/>
        <w:rPr>
          <w:rFonts w:ascii="黑体" w:hAnsi="黑体" w:eastAsia="黑体" w:cs="黑体"/>
          <w:bCs/>
          <w:sz w:val="30"/>
          <w:szCs w:val="30"/>
        </w:rPr>
      </w:pPr>
      <w:r>
        <w:rPr>
          <w:rFonts w:hint="eastAsia" w:ascii="黑体" w:hAnsi="黑体" w:eastAsia="黑体" w:cs="黑体"/>
          <w:bCs/>
          <w:kern w:val="2"/>
          <w:sz w:val="30"/>
          <w:szCs w:val="30"/>
        </w:rPr>
        <w:t>五、报价文件组成及要求：</w:t>
      </w:r>
    </w:p>
    <w:p>
      <w:pPr>
        <w:pStyle w:val="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7"/>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7"/>
        <w:spacing w:before="0" w:beforeAutospacing="0" w:after="0" w:afterAutospacing="0" w:line="360" w:lineRule="auto"/>
        <w:rPr>
          <w:rFonts w:ascii="黑体" w:hAnsi="黑体" w:eastAsia="黑体" w:cs="黑体"/>
          <w:bCs/>
          <w:kern w:val="2"/>
          <w:sz w:val="30"/>
          <w:szCs w:val="30"/>
        </w:rPr>
      </w:pPr>
      <w:r>
        <w:rPr>
          <w:rFonts w:hint="eastAsia" w:ascii="黑体" w:hAnsi="黑体" w:eastAsia="黑体" w:cs="黑体"/>
          <w:bCs/>
          <w:kern w:val="2"/>
          <w:sz w:val="30"/>
          <w:szCs w:val="30"/>
        </w:rPr>
        <w:t>六、废标条款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黑体" w:hAnsi="黑体" w:eastAsia="黑体" w:cs="黑体"/>
          <w:bCs/>
          <w:color w:val="000000" w:themeColor="text1"/>
          <w:kern w:val="2"/>
          <w:sz w:val="30"/>
          <w:szCs w:val="30"/>
          <w14:textFill>
            <w14:solidFill>
              <w14:schemeClr w14:val="tx1"/>
            </w14:solidFill>
          </w14:textFill>
        </w:rPr>
        <w:t>七、付款及进度</w:t>
      </w:r>
      <w:r>
        <w:rPr>
          <w:rFonts w:hint="eastAsia" w:ascii="仿宋_GB2312" w:hAnsi="华文中宋" w:eastAsia="仿宋_GB2312" w:cs="Times New Roman"/>
          <w:b/>
          <w:color w:val="000000" w:themeColor="text1"/>
          <w:kern w:val="2"/>
          <w:sz w:val="30"/>
          <w:szCs w:val="30"/>
          <w14:textFill>
            <w14:solidFill>
              <w14:schemeClr w14:val="tx1"/>
            </w14:solidFill>
          </w14:textFill>
        </w:rPr>
        <w:t>：</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numPr>
          <w:ilvl w:val="0"/>
          <w:numId w:val="2"/>
        </w:num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付款条件：取得批复文件后一个月内付清。</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八、报价、结算方式、最高限价及评标方法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评审费、税金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 xml:space="preserve">本项目最高限价: </w:t>
      </w:r>
      <w:r>
        <w:rPr>
          <w:rFonts w:hint="eastAsia" w:ascii="仿宋_GB2312" w:hAnsi="华文中宋" w:eastAsia="仿宋_GB2312"/>
          <w:color w:val="000000" w:themeColor="text1"/>
          <w:sz w:val="28"/>
          <w:szCs w:val="28"/>
          <w:lang w:val="en-US" w:eastAsia="zh-CN"/>
          <w14:textFill>
            <w14:solidFill>
              <w14:schemeClr w14:val="tx1"/>
            </w14:solidFill>
          </w14:textFill>
        </w:rPr>
        <w:t>21.5万</w:t>
      </w:r>
      <w:r>
        <w:rPr>
          <w:rFonts w:hint="eastAsia" w:ascii="仿宋_GB2312" w:hAnsi="华文中宋" w:eastAsia="仿宋_GB2312"/>
          <w:color w:val="000000" w:themeColor="text1"/>
          <w:sz w:val="28"/>
          <w:szCs w:val="28"/>
          <w14:textFill>
            <w14:solidFill>
              <w14:schemeClr w14:val="tx1"/>
            </w14:solidFill>
          </w14:textFill>
        </w:rPr>
        <w:t>。</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w:t>
      </w:r>
      <w:r>
        <w:rPr>
          <w:rFonts w:hint="eastAsia" w:ascii="仿宋_GB2312" w:hAnsi="仿宋_GB2312" w:eastAsia="仿宋_GB2312" w:cs="仿宋_GB2312"/>
          <w:color w:val="000000" w:themeColor="text1"/>
          <w:sz w:val="28"/>
          <w:szCs w:val="28"/>
          <w:lang w:eastAsia="zh-CN"/>
          <w14:textFill>
            <w14:solidFill>
              <w14:schemeClr w14:val="tx1"/>
            </w14:solidFill>
          </w14:textFill>
        </w:rPr>
        <w:t>包干</w:t>
      </w:r>
      <w:r>
        <w:rPr>
          <w:rFonts w:hint="eastAsia" w:ascii="仿宋_GB2312" w:hAnsi="仿宋_GB2312" w:eastAsia="仿宋_GB2312" w:cs="仿宋_GB2312"/>
          <w:color w:val="000000" w:themeColor="text1"/>
          <w:sz w:val="28"/>
          <w:szCs w:val="28"/>
          <w14:textFill>
            <w14:solidFill>
              <w14:schemeClr w14:val="tx1"/>
            </w14:solidFill>
          </w14:textFill>
        </w:rPr>
        <w:t>，报价人需在报价时提供报价组成。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2、递交报价文件时间：2019年</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7</w:t>
      </w:r>
      <w:r>
        <w:rPr>
          <w:rFonts w:hint="eastAsia" w:ascii="仿宋_GB2312" w:hAnsi="华文中宋" w:eastAsia="仿宋_GB2312" w:cs="Times New Roman"/>
          <w:color w:val="000000" w:themeColor="text1"/>
          <w:kern w:val="2"/>
          <w:sz w:val="28"/>
          <w:szCs w:val="28"/>
          <w14:textFill>
            <w14:solidFill>
              <w14:schemeClr w14:val="tx1"/>
            </w14:solidFill>
          </w14:textFill>
        </w:rPr>
        <w:t>月</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22</w:t>
      </w:r>
      <w:r>
        <w:rPr>
          <w:rFonts w:hint="eastAsia" w:ascii="仿宋_GB2312" w:hAnsi="华文中宋" w:eastAsia="仿宋_GB2312" w:cs="Times New Roman"/>
          <w:color w:val="000000" w:themeColor="text1"/>
          <w:kern w:val="2"/>
          <w:sz w:val="28"/>
          <w:szCs w:val="28"/>
          <w14:textFill>
            <w14:solidFill>
              <w14:schemeClr w14:val="tx1"/>
            </w14:solidFill>
          </w14:textFill>
        </w:rPr>
        <w:t>日上午10:00前；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spacing w:line="360" w:lineRule="auto"/>
        <w:rPr>
          <w:rFonts w:ascii="宋体" w:hAnsi="宋体"/>
          <w:b/>
          <w:color w:val="000000"/>
          <w:sz w:val="30"/>
        </w:rPr>
      </w:pPr>
      <w:r>
        <w:rPr>
          <w:rFonts w:hint="eastAsia" w:ascii="宋体" w:hAnsi="宋体"/>
          <w:b/>
          <w:color w:val="000000"/>
          <w:sz w:val="30"/>
        </w:rPr>
        <w:t>附：报价文件格式</w:t>
      </w:r>
    </w:p>
    <w:p>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b/>
          <w:bCs/>
          <w:spacing w:val="28"/>
          <w:sz w:val="24"/>
          <w:szCs w:val="24"/>
          <w:u w:val="single"/>
        </w:rPr>
        <w:t>润扬路快速化改造工程环境影响评</w:t>
      </w:r>
      <w:r>
        <w:rPr>
          <w:rFonts w:hint="eastAsia" w:ascii="宋体" w:hAnsi="宋体"/>
          <w:b/>
          <w:spacing w:val="28"/>
          <w:sz w:val="24"/>
          <w:szCs w:val="24"/>
          <w:u w:val="single"/>
        </w:rPr>
        <w:t>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
    <w:p/>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5"/>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报</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价</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5"/>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4410D"/>
    <w:multiLevelType w:val="singleLevel"/>
    <w:tmpl w:val="E504410D"/>
    <w:lvl w:ilvl="0" w:tentative="0">
      <w:start w:val="2"/>
      <w:numFmt w:val="decimal"/>
      <w:suff w:val="nothing"/>
      <w:lvlText w:val="%1、"/>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3F"/>
    <w:rsid w:val="006E40F9"/>
    <w:rsid w:val="0073613F"/>
    <w:rsid w:val="009B63AA"/>
    <w:rsid w:val="00A405C3"/>
    <w:rsid w:val="00E437CF"/>
    <w:rsid w:val="0434693E"/>
    <w:rsid w:val="13FF2A5A"/>
    <w:rsid w:val="15D72CF1"/>
    <w:rsid w:val="177E15B8"/>
    <w:rsid w:val="194E5CA9"/>
    <w:rsid w:val="349622AB"/>
    <w:rsid w:val="36B26312"/>
    <w:rsid w:val="380F04D4"/>
    <w:rsid w:val="3A707FAB"/>
    <w:rsid w:val="4C483343"/>
    <w:rsid w:val="54E4495E"/>
    <w:rsid w:val="627B328B"/>
    <w:rsid w:val="628B30B0"/>
    <w:rsid w:val="6877111E"/>
    <w:rsid w:val="68F8226B"/>
    <w:rsid w:val="6CD733D5"/>
    <w:rsid w:val="7AD3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678</Words>
  <Characters>3870</Characters>
  <Lines>32</Lines>
  <Paragraphs>9</Paragraphs>
  <TotalTime>1</TotalTime>
  <ScaleCrop>false</ScaleCrop>
  <LinksUpToDate>false</LinksUpToDate>
  <CharactersWithSpaces>4539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2019-07-19T08:00:34Z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