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rPr>
      </w:pPr>
    </w:p>
    <w:p>
      <w:pPr>
        <w:jc w:val="center"/>
        <w:rPr>
          <w:rFonts w:ascii="宋体" w:hAnsi="宋体"/>
          <w:b/>
          <w:sz w:val="72"/>
          <w:szCs w:val="72"/>
        </w:rPr>
      </w:pPr>
    </w:p>
    <w:p>
      <w:pPr>
        <w:jc w:val="center"/>
        <w:rPr>
          <w:rFonts w:ascii="宋体" w:hAnsi="宋体"/>
          <w:b/>
          <w:sz w:val="72"/>
          <w:szCs w:val="72"/>
        </w:rPr>
      </w:pPr>
      <w:r>
        <w:rPr>
          <w:rFonts w:hint="eastAsia" w:ascii="宋体" w:hAnsi="宋体"/>
          <w:b/>
          <w:sz w:val="72"/>
          <w:szCs w:val="72"/>
        </w:rPr>
        <w:t>【赞化巷停车场】</w:t>
      </w: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r>
        <w:rPr>
          <w:rFonts w:hint="eastAsia" w:ascii="宋体" w:hAnsi="宋体"/>
          <w:b/>
          <w:sz w:val="52"/>
          <w:szCs w:val="52"/>
        </w:rPr>
        <w:t>保</w:t>
      </w:r>
    </w:p>
    <w:p>
      <w:pPr>
        <w:jc w:val="center"/>
        <w:rPr>
          <w:rFonts w:ascii="宋体" w:hAnsi="宋体"/>
          <w:b/>
          <w:sz w:val="52"/>
          <w:szCs w:val="52"/>
        </w:rPr>
      </w:pPr>
      <w:r>
        <w:rPr>
          <w:rFonts w:hint="eastAsia" w:ascii="宋体" w:hAnsi="宋体"/>
          <w:b/>
          <w:sz w:val="52"/>
          <w:szCs w:val="52"/>
        </w:rPr>
        <w:t>安</w:t>
      </w:r>
    </w:p>
    <w:p>
      <w:pPr>
        <w:jc w:val="center"/>
        <w:rPr>
          <w:rFonts w:ascii="宋体" w:hAnsi="宋体"/>
          <w:b/>
          <w:sz w:val="52"/>
          <w:szCs w:val="52"/>
        </w:rPr>
      </w:pPr>
      <w:r>
        <w:rPr>
          <w:rFonts w:hint="eastAsia" w:ascii="宋体" w:hAnsi="宋体"/>
          <w:b/>
          <w:sz w:val="52"/>
          <w:szCs w:val="52"/>
        </w:rPr>
        <w:t>服</w:t>
      </w:r>
    </w:p>
    <w:p>
      <w:pPr>
        <w:jc w:val="center"/>
        <w:rPr>
          <w:rFonts w:ascii="宋体" w:hAnsi="宋体"/>
          <w:b/>
          <w:sz w:val="52"/>
          <w:szCs w:val="52"/>
        </w:rPr>
      </w:pPr>
      <w:r>
        <w:rPr>
          <w:rFonts w:hint="eastAsia" w:ascii="宋体" w:hAnsi="宋体"/>
          <w:b/>
          <w:sz w:val="52"/>
          <w:szCs w:val="52"/>
        </w:rPr>
        <w:t>务</w:t>
      </w:r>
    </w:p>
    <w:p>
      <w:pPr>
        <w:jc w:val="center"/>
        <w:rPr>
          <w:rFonts w:ascii="宋体" w:hAnsi="宋体"/>
          <w:b/>
          <w:sz w:val="52"/>
          <w:szCs w:val="52"/>
        </w:rPr>
      </w:pPr>
      <w:r>
        <w:rPr>
          <w:rFonts w:hint="eastAsia" w:ascii="宋体" w:hAnsi="宋体"/>
          <w:b/>
          <w:sz w:val="52"/>
          <w:szCs w:val="52"/>
        </w:rPr>
        <w:t>招</w:t>
      </w:r>
    </w:p>
    <w:p>
      <w:pPr>
        <w:jc w:val="center"/>
        <w:rPr>
          <w:rFonts w:ascii="宋体" w:hAnsi="宋体"/>
          <w:b/>
          <w:sz w:val="52"/>
          <w:szCs w:val="52"/>
        </w:rPr>
      </w:pPr>
      <w:r>
        <w:rPr>
          <w:rFonts w:hint="eastAsia" w:ascii="宋体" w:hAnsi="宋体"/>
          <w:b/>
          <w:sz w:val="52"/>
          <w:szCs w:val="52"/>
        </w:rPr>
        <w:t>标</w:t>
      </w:r>
    </w:p>
    <w:p>
      <w:pPr>
        <w:jc w:val="center"/>
        <w:rPr>
          <w:rFonts w:ascii="宋体" w:hAnsi="宋体"/>
          <w:b/>
          <w:sz w:val="52"/>
          <w:szCs w:val="52"/>
        </w:rPr>
      </w:pPr>
      <w:r>
        <w:rPr>
          <w:rFonts w:hint="eastAsia" w:ascii="宋体" w:hAnsi="宋体"/>
          <w:b/>
          <w:sz w:val="52"/>
          <w:szCs w:val="52"/>
        </w:rPr>
        <w:t>文</w:t>
      </w:r>
    </w:p>
    <w:p>
      <w:pPr>
        <w:jc w:val="center"/>
        <w:rPr>
          <w:rFonts w:ascii="宋体" w:hAnsi="宋体"/>
          <w:b/>
          <w:sz w:val="52"/>
          <w:szCs w:val="52"/>
        </w:rPr>
      </w:pPr>
      <w:r>
        <w:rPr>
          <w:rFonts w:hint="eastAsia" w:ascii="宋体" w:hAnsi="宋体"/>
          <w:b/>
          <w:sz w:val="52"/>
          <w:szCs w:val="52"/>
        </w:rPr>
        <w:t>件</w:t>
      </w:r>
    </w:p>
    <w:p>
      <w:pPr>
        <w:rPr>
          <w:rFonts w:ascii="宋体" w:hAnsi="宋体"/>
          <w:b/>
          <w:sz w:val="52"/>
          <w:szCs w:val="52"/>
        </w:rPr>
      </w:pPr>
    </w:p>
    <w:p>
      <w:pPr>
        <w:rPr>
          <w:rFonts w:ascii="宋体" w:hAnsi="宋体"/>
          <w:b/>
        </w:rPr>
      </w:pPr>
    </w:p>
    <w:p>
      <w:pPr>
        <w:ind w:firstLine="596" w:firstLineChars="198"/>
        <w:rPr>
          <w:rFonts w:ascii="宋体" w:hAnsi="宋体"/>
          <w:b/>
          <w:sz w:val="30"/>
          <w:szCs w:val="30"/>
        </w:rPr>
      </w:pPr>
      <w:r>
        <w:rPr>
          <w:rFonts w:hint="eastAsia" w:ascii="宋体" w:hAnsi="宋体"/>
          <w:b/>
          <w:sz w:val="30"/>
          <w:szCs w:val="30"/>
        </w:rPr>
        <w:t>招标人（章）：扬州市城建资产经营管理有限责任公司</w:t>
      </w:r>
    </w:p>
    <w:p>
      <w:pPr>
        <w:ind w:firstLine="596" w:firstLineChars="198"/>
        <w:rPr>
          <w:rFonts w:ascii="宋体" w:hAnsi="宋体"/>
          <w:b/>
          <w:sz w:val="30"/>
          <w:szCs w:val="30"/>
        </w:rPr>
      </w:pPr>
      <w:r>
        <w:rPr>
          <w:rFonts w:hint="eastAsia" w:ascii="宋体" w:hAnsi="宋体"/>
          <w:b/>
          <w:sz w:val="30"/>
          <w:szCs w:val="30"/>
        </w:rPr>
        <w:t>编 制 时 间：二零二零年七月</w:t>
      </w:r>
      <w:r>
        <w:rPr>
          <w:rFonts w:hint="eastAsia" w:ascii="宋体" w:hAnsi="宋体"/>
          <w:b/>
          <w:sz w:val="30"/>
          <w:szCs w:val="30"/>
          <w:lang w:val="en-US" w:eastAsia="zh-CN"/>
        </w:rPr>
        <w:t>二十</w:t>
      </w:r>
      <w:r>
        <w:rPr>
          <w:rFonts w:hint="eastAsia" w:ascii="宋体" w:hAnsi="宋体"/>
          <w:b/>
          <w:sz w:val="30"/>
          <w:szCs w:val="30"/>
        </w:rPr>
        <w:t>日</w:t>
      </w:r>
    </w:p>
    <w:p>
      <w:pPr>
        <w:rPr>
          <w:rFonts w:ascii="宋体" w:hAnsi="宋体"/>
          <w:bCs/>
          <w:sz w:val="48"/>
          <w:szCs w:val="48"/>
        </w:rPr>
      </w:pPr>
    </w:p>
    <w:p>
      <w:pPr>
        <w:ind w:left="176" w:leftChars="84"/>
        <w:jc w:val="center"/>
        <w:rPr>
          <w:rFonts w:ascii="宋体" w:hAnsi="宋体"/>
          <w:bCs/>
          <w:sz w:val="48"/>
          <w:szCs w:val="48"/>
        </w:rPr>
      </w:pPr>
      <w:r>
        <w:rPr>
          <w:rFonts w:hint="eastAsia" w:ascii="宋体" w:hAnsi="宋体"/>
          <w:bCs/>
          <w:sz w:val="48"/>
          <w:szCs w:val="48"/>
        </w:rPr>
        <w:t>目    录</w:t>
      </w:r>
    </w:p>
    <w:p>
      <w:pPr>
        <w:rPr>
          <w:rFonts w:ascii="宋体" w:hAnsi="宋体"/>
          <w:b/>
          <w:sz w:val="28"/>
          <w:szCs w:val="28"/>
        </w:rPr>
      </w:pPr>
      <w:r>
        <w:rPr>
          <w:rFonts w:hint="eastAsia" w:ascii="宋体" w:hAnsi="宋体"/>
          <w:b/>
          <w:bCs/>
          <w:sz w:val="28"/>
          <w:szCs w:val="28"/>
        </w:rPr>
        <w:t>第一部分 招标公告</w:t>
      </w:r>
    </w:p>
    <w:p>
      <w:pPr>
        <w:pStyle w:val="9"/>
        <w:tabs>
          <w:tab w:val="right" w:leader="dot" w:pos="8990"/>
        </w:tabs>
        <w:rPr>
          <w:b/>
          <w:sz w:val="28"/>
          <w:szCs w:val="28"/>
        </w:rPr>
      </w:pPr>
      <w:r>
        <w:rPr>
          <w:rFonts w:ascii="宋体" w:hAnsi="宋体"/>
          <w:b/>
          <w:sz w:val="28"/>
          <w:szCs w:val="28"/>
        </w:rPr>
        <w:fldChar w:fldCharType="begin"/>
      </w:r>
      <w:r>
        <w:rPr>
          <w:rFonts w:hint="eastAsia" w:ascii="宋体" w:hAnsi="宋体"/>
          <w:b/>
          <w:sz w:val="28"/>
          <w:szCs w:val="28"/>
        </w:rPr>
        <w:instrText xml:space="preserve">TOC \o "1-3" \h \z \u</w:instrText>
      </w:r>
      <w:r>
        <w:rPr>
          <w:rFonts w:ascii="宋体" w:hAnsi="宋体"/>
          <w:b/>
          <w:sz w:val="28"/>
          <w:szCs w:val="28"/>
        </w:rPr>
        <w:fldChar w:fldCharType="separate"/>
      </w:r>
      <w:r>
        <w:fldChar w:fldCharType="begin"/>
      </w:r>
      <w:r>
        <w:instrText xml:space="preserve"> HYPERLINK \l "_Toc346202428" </w:instrText>
      </w:r>
      <w:r>
        <w:fldChar w:fldCharType="separate"/>
      </w:r>
      <w:r>
        <w:rPr>
          <w:rStyle w:val="14"/>
          <w:rFonts w:hint="eastAsia" w:ascii="宋体" w:hAnsi="宋体"/>
          <w:b/>
          <w:sz w:val="28"/>
          <w:szCs w:val="28"/>
        </w:rPr>
        <w:t>第二部分投标人须知</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"_Toc346202429" </w:instrText>
      </w:r>
      <w:r>
        <w:fldChar w:fldCharType="separate"/>
      </w:r>
      <w:r>
        <w:rPr>
          <w:rStyle w:val="14"/>
          <w:rFonts w:hint="eastAsia" w:ascii="宋体" w:hAnsi="宋体"/>
          <w:b/>
          <w:sz w:val="28"/>
          <w:szCs w:val="28"/>
        </w:rPr>
        <w:t>一、前附表</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"_Toc346202430" </w:instrText>
      </w:r>
      <w:r>
        <w:fldChar w:fldCharType="separate"/>
      </w:r>
      <w:r>
        <w:rPr>
          <w:rStyle w:val="14"/>
          <w:rFonts w:hint="eastAsia" w:ascii="宋体" w:hAnsi="宋体"/>
          <w:b/>
          <w:sz w:val="28"/>
          <w:szCs w:val="28"/>
        </w:rPr>
        <w:t>二、投标方</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"_Toc346202431" </w:instrText>
      </w:r>
      <w:r>
        <w:fldChar w:fldCharType="separate"/>
      </w:r>
      <w:r>
        <w:rPr>
          <w:rStyle w:val="14"/>
          <w:rFonts w:hint="eastAsia" w:ascii="宋体" w:hAnsi="宋体"/>
          <w:b/>
          <w:sz w:val="28"/>
          <w:szCs w:val="28"/>
        </w:rPr>
        <w:t>三、招标文件相关</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"_Toc346202432" </w:instrText>
      </w:r>
      <w:r>
        <w:fldChar w:fldCharType="separate"/>
      </w:r>
      <w:r>
        <w:rPr>
          <w:rStyle w:val="14"/>
          <w:rFonts w:hint="eastAsia" w:ascii="宋体" w:hAnsi="宋体"/>
          <w:b/>
          <w:sz w:val="28"/>
          <w:szCs w:val="28"/>
        </w:rPr>
        <w:t>四、投标文件部分</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"_Toc346202433" </w:instrText>
      </w:r>
      <w:r>
        <w:fldChar w:fldCharType="separate"/>
      </w:r>
      <w:r>
        <w:rPr>
          <w:rStyle w:val="14"/>
          <w:rFonts w:hint="eastAsia" w:ascii="宋体" w:hAnsi="宋体"/>
          <w:b/>
          <w:sz w:val="28"/>
          <w:szCs w:val="28"/>
        </w:rPr>
        <w:t>五、开标及评标</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"_Toc346202434" </w:instrText>
      </w:r>
      <w:r>
        <w:fldChar w:fldCharType="separate"/>
      </w:r>
      <w:r>
        <w:rPr>
          <w:rStyle w:val="14"/>
          <w:rFonts w:hint="eastAsia" w:ascii="宋体" w:hAnsi="宋体"/>
          <w:b/>
          <w:sz w:val="28"/>
          <w:szCs w:val="28"/>
        </w:rPr>
        <w:t>六、定标办法</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"_Toc346202435" </w:instrText>
      </w:r>
      <w:r>
        <w:fldChar w:fldCharType="separate"/>
      </w:r>
      <w:r>
        <w:rPr>
          <w:rStyle w:val="14"/>
          <w:rFonts w:hint="eastAsia" w:ascii="宋体" w:hAnsi="宋体"/>
          <w:b/>
          <w:sz w:val="28"/>
          <w:szCs w:val="28"/>
        </w:rPr>
        <w:t>七、中标通知</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"_Toc346202436" </w:instrText>
      </w:r>
      <w:r>
        <w:fldChar w:fldCharType="separate"/>
      </w:r>
      <w:r>
        <w:rPr>
          <w:rStyle w:val="14"/>
          <w:rFonts w:hint="eastAsia" w:ascii="宋体" w:hAnsi="宋体"/>
          <w:b/>
          <w:sz w:val="28"/>
          <w:szCs w:val="28"/>
        </w:rPr>
        <w:t>八、签定合同</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"_Toc346202438" </w:instrText>
      </w:r>
      <w:r>
        <w:fldChar w:fldCharType="separate"/>
      </w:r>
      <w:r>
        <w:rPr>
          <w:rStyle w:val="14"/>
          <w:rFonts w:hint="eastAsia" w:ascii="宋体" w:hAnsi="宋体"/>
          <w:b/>
          <w:sz w:val="28"/>
          <w:szCs w:val="28"/>
        </w:rPr>
        <w:t>九、中标方经营方式</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"_Toc346202439" </w:instrText>
      </w:r>
      <w:r>
        <w:fldChar w:fldCharType="separate"/>
      </w:r>
      <w:r>
        <w:rPr>
          <w:rStyle w:val="14"/>
          <w:rFonts w:hint="eastAsia" w:ascii="宋体" w:hAnsi="宋体"/>
          <w:b/>
          <w:sz w:val="28"/>
          <w:szCs w:val="28"/>
        </w:rPr>
        <w:t>第三部分技术条款</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"_Toc346202440" </w:instrText>
      </w:r>
      <w:r>
        <w:fldChar w:fldCharType="separate"/>
      </w:r>
      <w:r>
        <w:rPr>
          <w:rStyle w:val="14"/>
          <w:rFonts w:hint="eastAsia" w:ascii="宋体" w:hAnsi="宋体"/>
          <w:b/>
          <w:sz w:val="28"/>
          <w:szCs w:val="28"/>
        </w:rPr>
        <w:t>一、项目总预算</w:t>
      </w:r>
      <w:r>
        <w:rPr>
          <w:b/>
          <w:sz w:val="28"/>
          <w:szCs w:val="28"/>
        </w:rPr>
        <w:tab/>
      </w:r>
      <w:r>
        <w:rPr>
          <w:b/>
          <w:sz w:val="28"/>
          <w:szCs w:val="28"/>
        </w:rPr>
        <w:fldChar w:fldCharType="end"/>
      </w:r>
    </w:p>
    <w:p>
      <w:pPr>
        <w:pStyle w:val="9"/>
        <w:tabs>
          <w:tab w:val="right" w:leader="dot" w:pos="8990"/>
        </w:tabs>
        <w:rPr>
          <w:rStyle w:val="14"/>
          <w:b/>
          <w:sz w:val="28"/>
          <w:szCs w:val="28"/>
        </w:rPr>
      </w:pPr>
      <w:r>
        <w:fldChar w:fldCharType="begin"/>
      </w:r>
      <w:r>
        <w:instrText xml:space="preserve"> HYPERLINK \l "_Toc346202441" </w:instrText>
      </w:r>
      <w:r>
        <w:fldChar w:fldCharType="separate"/>
      </w:r>
      <w:r>
        <w:rPr>
          <w:rStyle w:val="14"/>
          <w:rFonts w:hint="eastAsia" w:ascii="宋体" w:hAnsi="宋体"/>
          <w:b/>
          <w:bCs/>
          <w:sz w:val="28"/>
          <w:szCs w:val="28"/>
        </w:rPr>
        <w:t>二、项目情况简介</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"_Toc346202444" </w:instrText>
      </w:r>
      <w:r>
        <w:fldChar w:fldCharType="separate"/>
      </w:r>
      <w:r>
        <w:rPr>
          <w:rStyle w:val="14"/>
          <w:rFonts w:hint="eastAsia" w:ascii="宋体" w:hAnsi="宋体"/>
          <w:b/>
          <w:sz w:val="28"/>
          <w:szCs w:val="28"/>
        </w:rPr>
        <w:t>三、保安管理内容</w:t>
      </w:r>
      <w:r>
        <w:rPr>
          <w:b/>
          <w:sz w:val="28"/>
          <w:szCs w:val="28"/>
        </w:rPr>
        <w:tab/>
      </w:r>
      <w:r>
        <w:rPr>
          <w:b/>
          <w:sz w:val="28"/>
          <w:szCs w:val="28"/>
        </w:rPr>
        <w:fldChar w:fldCharType="end"/>
      </w:r>
    </w:p>
    <w:p>
      <w:pPr>
        <w:rPr>
          <w:b/>
          <w:sz w:val="28"/>
          <w:szCs w:val="28"/>
        </w:rPr>
      </w:pPr>
      <w:r>
        <w:rPr>
          <w:rFonts w:hint="eastAsia"/>
          <w:b/>
          <w:sz w:val="28"/>
          <w:szCs w:val="28"/>
        </w:rPr>
        <w:t>四、保安服务标准及考核依据</w:t>
      </w:r>
      <w:r>
        <w:rPr>
          <w:b/>
          <w:sz w:val="28"/>
          <w:szCs w:val="28"/>
        </w:rPr>
        <w:t>…………………………………………………</w:t>
      </w:r>
      <w:r>
        <w:rPr>
          <w:rFonts w:hint="eastAsia"/>
          <w:b/>
          <w:sz w:val="28"/>
          <w:szCs w:val="28"/>
        </w:rPr>
        <w:t xml:space="preserve">.                          </w:t>
      </w:r>
    </w:p>
    <w:p>
      <w:pPr>
        <w:pStyle w:val="9"/>
        <w:tabs>
          <w:tab w:val="right" w:leader="dot" w:pos="8990"/>
        </w:tabs>
        <w:rPr>
          <w:b/>
          <w:sz w:val="28"/>
          <w:szCs w:val="28"/>
        </w:rPr>
      </w:pPr>
      <w:r>
        <w:fldChar w:fldCharType="begin"/>
      </w:r>
      <w:r>
        <w:instrText xml:space="preserve"> HYPERLINK \l "_Toc346202445" </w:instrText>
      </w:r>
      <w:r>
        <w:fldChar w:fldCharType="separate"/>
      </w:r>
      <w:r>
        <w:rPr>
          <w:rStyle w:val="14"/>
          <w:rFonts w:hint="eastAsia" w:ascii="宋体" w:hAnsi="宋体"/>
          <w:b/>
          <w:sz w:val="28"/>
          <w:szCs w:val="28"/>
        </w:rPr>
        <w:t>第四部分招投标工作计划与时间安排</w:t>
      </w:r>
      <w:r>
        <w:rPr>
          <w:b/>
          <w:sz w:val="28"/>
          <w:szCs w:val="28"/>
        </w:rPr>
        <w:tab/>
      </w:r>
      <w:r>
        <w:rPr>
          <w:b/>
          <w:sz w:val="28"/>
          <w:szCs w:val="28"/>
        </w:rPr>
        <w:fldChar w:fldCharType="end"/>
      </w:r>
    </w:p>
    <w:p>
      <w:pPr>
        <w:pStyle w:val="9"/>
        <w:tabs>
          <w:tab w:val="right" w:leader="dot" w:pos="8990"/>
        </w:tabs>
        <w:rPr>
          <w:b/>
          <w:sz w:val="28"/>
          <w:szCs w:val="28"/>
        </w:rPr>
      </w:pPr>
      <w:r>
        <w:fldChar w:fldCharType="begin"/>
      </w:r>
      <w:r>
        <w:instrText xml:space="preserve"> HYPERLINK \l "_Toc346202446" </w:instrText>
      </w:r>
      <w:r>
        <w:fldChar w:fldCharType="separate"/>
      </w:r>
      <w:r>
        <w:rPr>
          <w:rStyle w:val="14"/>
          <w:rFonts w:hint="eastAsia" w:ascii="宋体" w:hAnsi="宋体"/>
          <w:b/>
          <w:sz w:val="28"/>
          <w:szCs w:val="28"/>
        </w:rPr>
        <w:t>第五部分附件</w:t>
      </w:r>
      <w:r>
        <w:rPr>
          <w:b/>
          <w:sz w:val="28"/>
          <w:szCs w:val="28"/>
        </w:rPr>
        <w:tab/>
      </w:r>
      <w:r>
        <w:rPr>
          <w:b/>
          <w:sz w:val="28"/>
          <w:szCs w:val="28"/>
        </w:rPr>
        <w:fldChar w:fldCharType="end"/>
      </w:r>
    </w:p>
    <w:p>
      <w:pPr>
        <w:tabs>
          <w:tab w:val="left" w:pos="1701"/>
          <w:tab w:val="left" w:pos="2127"/>
          <w:tab w:val="left" w:pos="4111"/>
        </w:tabs>
        <w:rPr>
          <w:rFonts w:ascii="宋体" w:hAnsi="宋体"/>
          <w:sz w:val="24"/>
        </w:rPr>
      </w:pPr>
      <w:r>
        <w:rPr>
          <w:rFonts w:ascii="宋体" w:hAnsi="宋体"/>
          <w:b/>
          <w:sz w:val="28"/>
          <w:szCs w:val="28"/>
        </w:rPr>
        <w:fldChar w:fldCharType="end"/>
      </w:r>
    </w:p>
    <w:p>
      <w:pPr>
        <w:tabs>
          <w:tab w:val="left" w:pos="1701"/>
          <w:tab w:val="left" w:pos="2127"/>
          <w:tab w:val="left" w:pos="4111"/>
        </w:tabs>
        <w:rPr>
          <w:rFonts w:ascii="宋体" w:hAnsi="宋体"/>
          <w:sz w:val="28"/>
          <w:szCs w:val="28"/>
        </w:rPr>
      </w:pPr>
    </w:p>
    <w:p>
      <w:pPr>
        <w:jc w:val="both"/>
        <w:rPr>
          <w:rFonts w:asciiTheme="majorEastAsia" w:hAnsiTheme="majorEastAsia" w:eastAsiaTheme="majorEastAsia"/>
          <w:b/>
          <w:sz w:val="44"/>
          <w:szCs w:val="44"/>
        </w:rPr>
      </w:pPr>
      <w:bookmarkStart w:id="0" w:name="_Toc346202428"/>
    </w:p>
    <w:p>
      <w:pPr>
        <w:ind w:left="426"/>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第一部分   招标公告</w:t>
      </w:r>
    </w:p>
    <w:p>
      <w:pPr>
        <w:rPr>
          <w:rFonts w:ascii="新宋体" w:hAnsi="新宋体" w:eastAsia="新宋体"/>
          <w:sz w:val="28"/>
          <w:szCs w:val="28"/>
        </w:rPr>
      </w:pPr>
      <w:r>
        <w:rPr>
          <w:rFonts w:hint="eastAsia" w:ascii="新宋体" w:hAnsi="新宋体" w:eastAsia="新宋体"/>
          <w:sz w:val="28"/>
          <w:szCs w:val="28"/>
        </w:rPr>
        <w:t>一、招标项目概况</w:t>
      </w:r>
    </w:p>
    <w:p>
      <w:pPr>
        <w:ind w:firstLine="560" w:firstLineChars="200"/>
        <w:rPr>
          <w:rFonts w:ascii="新宋体" w:hAnsi="新宋体" w:eastAsia="新宋体"/>
          <w:sz w:val="28"/>
          <w:szCs w:val="28"/>
        </w:rPr>
      </w:pPr>
      <w:r>
        <w:rPr>
          <w:rFonts w:hint="eastAsia" w:ascii="新宋体" w:hAnsi="新宋体" w:eastAsia="新宋体"/>
          <w:sz w:val="28"/>
          <w:szCs w:val="28"/>
        </w:rPr>
        <w:t>赞化巷立体停车场位于扬州市中心文昌阁东南角，西临南门街、北临赞化巷、南临甘泉路，占地面积2761m2,建筑面积1497m2，主体为五层液压式升降横移机械停车库，共有停车位198个。停车场外观古朴大方，采用仿古砖饰面和琉璃瓦坡屋顶，与周边建筑风格统一。停车场有两个入口、两个出口，分别为：北侧居中赞化巷入口；北侧偏东赞化巷出口；西南侧南门街出口和东南侧甘泉路出入口。采用“自助缴费+移动支付+人工收费”模式对停车场的出入口进行智能化管理。</w:t>
      </w:r>
    </w:p>
    <w:p>
      <w:pPr>
        <w:rPr>
          <w:rFonts w:ascii="新宋体" w:hAnsi="新宋体" w:eastAsia="新宋体"/>
          <w:sz w:val="28"/>
          <w:szCs w:val="28"/>
        </w:rPr>
      </w:pPr>
      <w:r>
        <w:rPr>
          <w:rFonts w:hint="eastAsia" w:ascii="新宋体" w:hAnsi="新宋体" w:eastAsia="新宋体"/>
          <w:sz w:val="28"/>
          <w:szCs w:val="28"/>
        </w:rPr>
        <w:t>二、招标单位</w:t>
      </w:r>
    </w:p>
    <w:p>
      <w:pPr>
        <w:ind w:firstLine="560" w:firstLineChars="200"/>
        <w:rPr>
          <w:rFonts w:ascii="新宋体" w:hAnsi="新宋体" w:eastAsia="新宋体"/>
          <w:sz w:val="28"/>
          <w:szCs w:val="28"/>
        </w:rPr>
      </w:pPr>
      <w:r>
        <w:rPr>
          <w:rFonts w:hint="eastAsia" w:ascii="新宋体" w:hAnsi="新宋体" w:eastAsia="新宋体"/>
          <w:sz w:val="28"/>
          <w:szCs w:val="28"/>
        </w:rPr>
        <w:t>扬州市城建资产经营管理有限责任公司</w:t>
      </w:r>
    </w:p>
    <w:p>
      <w:pPr>
        <w:rPr>
          <w:rFonts w:ascii="新宋体" w:hAnsi="新宋体" w:eastAsia="新宋体"/>
          <w:sz w:val="28"/>
          <w:szCs w:val="28"/>
        </w:rPr>
      </w:pPr>
      <w:r>
        <w:rPr>
          <w:rFonts w:hint="eastAsia" w:ascii="新宋体" w:hAnsi="新宋体" w:eastAsia="新宋体"/>
          <w:sz w:val="28"/>
          <w:szCs w:val="28"/>
        </w:rPr>
        <w:t>三、招标对象</w:t>
      </w:r>
    </w:p>
    <w:p>
      <w:pPr>
        <w:ind w:firstLine="560" w:firstLineChars="200"/>
        <w:rPr>
          <w:rFonts w:ascii="新宋体" w:hAnsi="新宋体" w:eastAsia="新宋体"/>
          <w:sz w:val="28"/>
          <w:szCs w:val="28"/>
        </w:rPr>
      </w:pPr>
      <w:r>
        <w:rPr>
          <w:rFonts w:hint="eastAsia" w:ascii="新宋体" w:hAnsi="新宋体" w:eastAsia="新宋体"/>
          <w:sz w:val="28"/>
          <w:szCs w:val="28"/>
        </w:rPr>
        <w:t>具有独立法人资格且具有公安主管部门颁发的保安服务许可证的保安服务公司。</w:t>
      </w:r>
    </w:p>
    <w:p>
      <w:pPr>
        <w:rPr>
          <w:rFonts w:ascii="新宋体" w:hAnsi="新宋体" w:eastAsia="新宋体"/>
          <w:sz w:val="28"/>
          <w:szCs w:val="28"/>
        </w:rPr>
      </w:pPr>
      <w:r>
        <w:rPr>
          <w:rFonts w:hint="eastAsia" w:ascii="新宋体" w:hAnsi="新宋体" w:eastAsia="新宋体"/>
          <w:sz w:val="28"/>
          <w:szCs w:val="28"/>
        </w:rPr>
        <w:t>四、招标说明</w:t>
      </w:r>
    </w:p>
    <w:p>
      <w:pPr>
        <w:rPr>
          <w:rFonts w:ascii="新宋体" w:hAnsi="新宋体" w:eastAsia="新宋体"/>
          <w:sz w:val="28"/>
          <w:szCs w:val="28"/>
        </w:rPr>
      </w:pPr>
      <w:r>
        <w:rPr>
          <w:rFonts w:hint="eastAsia" w:ascii="新宋体" w:hAnsi="新宋体" w:eastAsia="新宋体"/>
          <w:sz w:val="28"/>
          <w:szCs w:val="28"/>
        </w:rPr>
        <w:t>1、参加投标的单位以书面报名为准。在书面报名时，须交纳投标保证金贰万元，否则视为无效报名。招标结束后，投标保证金在一周内无息全额返还未入围单位。中标单位的保证金不予退还，在保安服务合同签订后自动转为履约保证金的一部分。</w:t>
      </w:r>
    </w:p>
    <w:p>
      <w:pPr>
        <w:rPr>
          <w:rFonts w:ascii="新宋体" w:hAnsi="新宋体" w:eastAsia="新宋体"/>
          <w:sz w:val="28"/>
          <w:szCs w:val="28"/>
        </w:rPr>
      </w:pPr>
      <w:r>
        <w:rPr>
          <w:rFonts w:hint="eastAsia" w:ascii="新宋体" w:hAnsi="新宋体" w:eastAsia="新宋体"/>
          <w:sz w:val="28"/>
          <w:szCs w:val="28"/>
        </w:rPr>
        <w:t>2、招标单位不得以不合理条件限制或者排斥潜在投标人。招投标过程中如出现违法、违规、违纪现象的，当事人可向扬州市城建资产经营管理有限责任公司举报（举报电话：0514—87370501）。</w:t>
      </w:r>
    </w:p>
    <w:p>
      <w:pPr>
        <w:rPr>
          <w:rFonts w:ascii="新宋体" w:hAnsi="新宋体" w:eastAsia="新宋体"/>
          <w:sz w:val="28"/>
          <w:szCs w:val="28"/>
        </w:rPr>
      </w:pPr>
      <w:r>
        <w:rPr>
          <w:rFonts w:hint="eastAsia" w:ascii="新宋体" w:hAnsi="新宋体" w:eastAsia="新宋体"/>
          <w:sz w:val="28"/>
          <w:szCs w:val="28"/>
        </w:rPr>
        <w:t xml:space="preserve">3、投标截止时间： </w:t>
      </w:r>
      <w:r>
        <w:rPr>
          <w:rFonts w:hint="eastAsia" w:ascii="新宋体" w:hAnsi="新宋体" w:eastAsia="新宋体"/>
          <w:sz w:val="28"/>
          <w:szCs w:val="28"/>
          <w:lang w:val="en-US" w:eastAsia="zh-CN"/>
        </w:rPr>
        <w:t>2020</w:t>
      </w:r>
      <w:r>
        <w:rPr>
          <w:rFonts w:hint="eastAsia" w:ascii="新宋体" w:hAnsi="新宋体" w:eastAsia="新宋体"/>
          <w:sz w:val="28"/>
          <w:szCs w:val="28"/>
        </w:rPr>
        <w:t xml:space="preserve"> 年</w:t>
      </w:r>
      <w:r>
        <w:rPr>
          <w:rFonts w:hint="eastAsia" w:ascii="新宋体" w:hAnsi="新宋体" w:eastAsia="新宋体"/>
          <w:sz w:val="28"/>
          <w:szCs w:val="28"/>
          <w:lang w:val="en-US" w:eastAsia="zh-CN"/>
        </w:rPr>
        <w:t>8</w:t>
      </w:r>
      <w:r>
        <w:rPr>
          <w:rFonts w:hint="eastAsia" w:ascii="新宋体" w:hAnsi="新宋体" w:eastAsia="新宋体"/>
          <w:sz w:val="28"/>
          <w:szCs w:val="28"/>
        </w:rPr>
        <w:t xml:space="preserve"> 月 </w:t>
      </w:r>
      <w:r>
        <w:rPr>
          <w:rFonts w:hint="eastAsia" w:ascii="新宋体" w:hAnsi="新宋体" w:eastAsia="新宋体"/>
          <w:sz w:val="28"/>
          <w:szCs w:val="28"/>
          <w:lang w:val="en-US" w:eastAsia="zh-CN"/>
        </w:rPr>
        <w:t>20</w:t>
      </w:r>
      <w:r>
        <w:rPr>
          <w:rFonts w:hint="eastAsia" w:ascii="新宋体" w:hAnsi="新宋体" w:eastAsia="新宋体"/>
          <w:sz w:val="28"/>
          <w:szCs w:val="28"/>
        </w:rPr>
        <w:t xml:space="preserve">日 </w:t>
      </w:r>
      <w:r>
        <w:rPr>
          <w:rFonts w:hint="eastAsia" w:ascii="新宋体" w:hAnsi="新宋体" w:eastAsia="新宋体"/>
          <w:sz w:val="28"/>
          <w:szCs w:val="28"/>
          <w:lang w:val="en-US" w:eastAsia="zh-CN"/>
        </w:rPr>
        <w:t>18：00前</w:t>
      </w:r>
      <w:r>
        <w:rPr>
          <w:rFonts w:hint="eastAsia" w:ascii="新宋体" w:hAnsi="新宋体" w:eastAsia="新宋体"/>
          <w:sz w:val="28"/>
          <w:szCs w:val="28"/>
        </w:rPr>
        <w:t xml:space="preserve"> ：  </w:t>
      </w:r>
    </w:p>
    <w:p>
      <w:pPr>
        <w:ind w:firstLine="280" w:firstLineChars="100"/>
        <w:rPr>
          <w:rFonts w:ascii="新宋体" w:hAnsi="新宋体" w:eastAsia="新宋体"/>
          <w:sz w:val="28"/>
          <w:szCs w:val="28"/>
        </w:rPr>
      </w:pPr>
      <w:r>
        <w:rPr>
          <w:rFonts w:hint="eastAsia" w:ascii="新宋体" w:hAnsi="新宋体" w:eastAsia="新宋体"/>
          <w:sz w:val="28"/>
          <w:szCs w:val="28"/>
        </w:rPr>
        <w:t>五、投标人报名需提供的材料</w:t>
      </w:r>
    </w:p>
    <w:p>
      <w:pPr>
        <w:rPr>
          <w:rFonts w:ascii="新宋体" w:hAnsi="新宋体" w:eastAsia="新宋体"/>
          <w:sz w:val="28"/>
          <w:szCs w:val="28"/>
        </w:rPr>
      </w:pPr>
      <w:r>
        <w:rPr>
          <w:rFonts w:hint="eastAsia" w:ascii="新宋体" w:hAnsi="新宋体" w:eastAsia="新宋体"/>
          <w:sz w:val="28"/>
          <w:szCs w:val="28"/>
        </w:rPr>
        <w:t>1、投标报名申请表 ；</w:t>
      </w:r>
    </w:p>
    <w:p>
      <w:pPr>
        <w:rPr>
          <w:rFonts w:ascii="新宋体" w:hAnsi="新宋体" w:eastAsia="新宋体"/>
          <w:sz w:val="28"/>
          <w:szCs w:val="28"/>
        </w:rPr>
      </w:pPr>
      <w:r>
        <w:rPr>
          <w:rFonts w:hint="eastAsia" w:ascii="新宋体" w:hAnsi="新宋体" w:eastAsia="新宋体"/>
          <w:sz w:val="28"/>
          <w:szCs w:val="28"/>
        </w:rPr>
        <w:t>2、企业营业执照（经年检合格）副本复印件；</w:t>
      </w:r>
    </w:p>
    <w:p>
      <w:pPr>
        <w:rPr>
          <w:rFonts w:ascii="新宋体" w:hAnsi="新宋体" w:eastAsia="新宋体"/>
          <w:sz w:val="28"/>
          <w:szCs w:val="28"/>
        </w:rPr>
      </w:pPr>
      <w:r>
        <w:rPr>
          <w:rFonts w:hint="eastAsia" w:ascii="新宋体" w:hAnsi="新宋体" w:eastAsia="新宋体"/>
          <w:sz w:val="28"/>
          <w:szCs w:val="28"/>
        </w:rPr>
        <w:t>3、保安服务许可证书复印件；</w:t>
      </w:r>
    </w:p>
    <w:p>
      <w:pPr>
        <w:rPr>
          <w:rFonts w:ascii="新宋体" w:hAnsi="新宋体" w:eastAsia="新宋体"/>
          <w:sz w:val="28"/>
          <w:szCs w:val="28"/>
        </w:rPr>
      </w:pPr>
      <w:r>
        <w:rPr>
          <w:rFonts w:hint="eastAsia" w:ascii="新宋体" w:hAnsi="新宋体" w:eastAsia="新宋体"/>
          <w:sz w:val="28"/>
          <w:szCs w:val="28"/>
        </w:rPr>
        <w:t>4、近两年同类保安服务项目业绩情况（须注明规模、类型、接管时间、项目所在地）</w:t>
      </w:r>
      <w:r>
        <w:rPr>
          <w:rFonts w:hint="eastAsia" w:ascii="新宋体" w:hAnsi="新宋体" w:eastAsia="新宋体"/>
          <w:color w:val="0070C0"/>
          <w:sz w:val="28"/>
          <w:szCs w:val="28"/>
        </w:rPr>
        <w:t>；</w:t>
      </w:r>
    </w:p>
    <w:p>
      <w:pPr>
        <w:rPr>
          <w:rFonts w:ascii="新宋体" w:hAnsi="新宋体" w:eastAsia="新宋体"/>
          <w:sz w:val="28"/>
          <w:szCs w:val="28"/>
        </w:rPr>
      </w:pPr>
      <w:r>
        <w:rPr>
          <w:rFonts w:hint="eastAsia" w:ascii="新宋体" w:hAnsi="新宋体" w:eastAsia="新宋体"/>
          <w:sz w:val="28"/>
          <w:szCs w:val="28"/>
        </w:rPr>
        <w:t>5、外地企业参与竞标的，应有当地行政主管部门出具的诚信证明（本地已接管项目且在本地行政主管部门进行企业备案的除外）。</w:t>
      </w:r>
    </w:p>
    <w:p>
      <w:pPr>
        <w:rPr>
          <w:rFonts w:ascii="新宋体" w:hAnsi="新宋体" w:eastAsia="新宋体"/>
          <w:sz w:val="28"/>
          <w:szCs w:val="28"/>
        </w:rPr>
      </w:pPr>
      <w:r>
        <w:rPr>
          <w:rFonts w:hint="eastAsia" w:ascii="新宋体" w:hAnsi="新宋体" w:eastAsia="新宋体"/>
          <w:sz w:val="28"/>
          <w:szCs w:val="28"/>
        </w:rPr>
        <w:t>说明：</w:t>
      </w:r>
    </w:p>
    <w:p>
      <w:pPr>
        <w:rPr>
          <w:rFonts w:ascii="新宋体" w:hAnsi="新宋体" w:eastAsia="新宋体"/>
          <w:sz w:val="28"/>
          <w:szCs w:val="28"/>
        </w:rPr>
      </w:pPr>
      <w:r>
        <w:rPr>
          <w:rFonts w:hint="eastAsia" w:ascii="新宋体" w:hAnsi="新宋体" w:eastAsia="新宋体"/>
          <w:sz w:val="28"/>
          <w:szCs w:val="28"/>
        </w:rPr>
        <w:t>1、投标申请人提供的以上资料均一式一份，并按上述顺序装订，所有复印件需加盖企业公章，原件备查。上述资料有任何一项缺漏，报名都将被拒绝。</w:t>
      </w:r>
    </w:p>
    <w:p>
      <w:pPr>
        <w:rPr>
          <w:rFonts w:ascii="新宋体" w:hAnsi="新宋体" w:eastAsia="新宋体"/>
          <w:sz w:val="28"/>
          <w:szCs w:val="28"/>
        </w:rPr>
      </w:pPr>
      <w:r>
        <w:rPr>
          <w:rFonts w:hint="eastAsia" w:ascii="新宋体" w:hAnsi="新宋体" w:eastAsia="新宋体"/>
          <w:sz w:val="28"/>
          <w:szCs w:val="28"/>
        </w:rPr>
        <w:t>2、投标申请人须对报名材料的真实性负责，若有弄虚作假的行为，一经查实，将取消投标资格。</w:t>
      </w:r>
    </w:p>
    <w:p>
      <w:pPr>
        <w:rPr>
          <w:rFonts w:ascii="新宋体" w:hAnsi="新宋体" w:eastAsia="新宋体"/>
          <w:sz w:val="28"/>
          <w:szCs w:val="28"/>
        </w:rPr>
      </w:pPr>
      <w:r>
        <w:rPr>
          <w:rFonts w:hint="eastAsia" w:ascii="新宋体" w:hAnsi="新宋体" w:eastAsia="新宋体"/>
          <w:sz w:val="28"/>
          <w:szCs w:val="28"/>
          <w:lang w:val="en-US" w:eastAsia="zh-CN"/>
        </w:rPr>
        <w:t>六</w:t>
      </w:r>
      <w:r>
        <w:rPr>
          <w:rFonts w:hint="eastAsia" w:ascii="新宋体" w:hAnsi="新宋体" w:eastAsia="新宋体"/>
          <w:sz w:val="28"/>
          <w:szCs w:val="28"/>
        </w:rPr>
        <w:t>、联系方式</w:t>
      </w:r>
    </w:p>
    <w:p>
      <w:pPr>
        <w:rPr>
          <w:rFonts w:ascii="新宋体" w:hAnsi="新宋体" w:eastAsia="新宋体"/>
          <w:sz w:val="28"/>
          <w:szCs w:val="28"/>
        </w:rPr>
      </w:pPr>
      <w:r>
        <w:rPr>
          <w:rFonts w:hint="eastAsia" w:ascii="新宋体" w:hAnsi="新宋体" w:eastAsia="新宋体"/>
          <w:sz w:val="28"/>
          <w:szCs w:val="28"/>
        </w:rPr>
        <w:t>地址：扬州市城建资产经营管理有限责任公司（扬州沿河街56号工艺坊A区四楼）</w:t>
      </w:r>
    </w:p>
    <w:p>
      <w:pPr>
        <w:pStyle w:val="20"/>
        <w:rPr>
          <w:rFonts w:ascii="新宋体" w:hAnsi="新宋体" w:eastAsia="新宋体"/>
          <w:sz w:val="28"/>
          <w:szCs w:val="28"/>
        </w:rPr>
      </w:pPr>
      <w:r>
        <w:rPr>
          <w:rFonts w:hint="eastAsia" w:ascii="新宋体" w:hAnsi="新宋体" w:eastAsia="新宋体"/>
          <w:sz w:val="28"/>
          <w:szCs w:val="28"/>
        </w:rPr>
        <w:t xml:space="preserve">联系人：车俊       </w:t>
      </w:r>
      <w:r>
        <w:rPr>
          <w:rFonts w:hint="eastAsia" w:ascii="新宋体" w:hAnsi="新宋体" w:eastAsia="新宋体"/>
          <w:sz w:val="28"/>
          <w:szCs w:val="28"/>
          <w:lang w:val="en-US" w:eastAsia="zh-CN"/>
        </w:rPr>
        <w:t xml:space="preserve">             </w:t>
      </w:r>
      <w:r>
        <w:rPr>
          <w:rFonts w:hint="eastAsia" w:ascii="新宋体" w:hAnsi="新宋体" w:eastAsia="新宋体"/>
          <w:sz w:val="28"/>
          <w:szCs w:val="28"/>
        </w:rPr>
        <w:t xml:space="preserve"> 联系电话：18136227866</w:t>
      </w:r>
    </w:p>
    <w:p>
      <w:pPr>
        <w:ind w:firstLine="4200" w:firstLineChars="1500"/>
        <w:jc w:val="both"/>
        <w:rPr>
          <w:rFonts w:ascii="新宋体" w:hAnsi="新宋体" w:eastAsia="新宋体"/>
          <w:sz w:val="28"/>
          <w:szCs w:val="28"/>
        </w:rPr>
      </w:pPr>
      <w:r>
        <w:rPr>
          <w:rFonts w:hint="eastAsia" w:ascii="新宋体" w:hAnsi="新宋体" w:eastAsia="新宋体"/>
          <w:sz w:val="28"/>
          <w:szCs w:val="28"/>
        </w:rPr>
        <w:t>扬州市城建资产经营管理有限责任公司</w:t>
      </w:r>
    </w:p>
    <w:p>
      <w:pPr>
        <w:ind w:firstLine="6440" w:firstLineChars="2300"/>
        <w:rPr>
          <w:rFonts w:hint="eastAsia" w:ascii="新宋体" w:hAnsi="新宋体" w:eastAsia="新宋体"/>
          <w:sz w:val="28"/>
          <w:szCs w:val="28"/>
        </w:rPr>
      </w:pPr>
      <w:r>
        <w:rPr>
          <w:rFonts w:hint="eastAsia" w:ascii="新宋体" w:hAnsi="新宋体" w:eastAsia="新宋体"/>
          <w:sz w:val="28"/>
          <w:szCs w:val="28"/>
        </w:rPr>
        <w:t>二〇二〇年七月</w:t>
      </w:r>
    </w:p>
    <w:p>
      <w:pPr>
        <w:ind w:firstLine="6440" w:firstLineChars="2300"/>
        <w:rPr>
          <w:rFonts w:hint="eastAsia" w:ascii="新宋体" w:hAnsi="新宋体" w:eastAsia="新宋体"/>
          <w:sz w:val="28"/>
          <w:szCs w:val="28"/>
        </w:rPr>
      </w:pPr>
    </w:p>
    <w:p>
      <w:pPr>
        <w:ind w:firstLine="6440" w:firstLineChars="2300"/>
        <w:rPr>
          <w:rFonts w:hint="eastAsia" w:ascii="新宋体" w:hAnsi="新宋体" w:eastAsia="新宋体"/>
          <w:sz w:val="28"/>
          <w:szCs w:val="28"/>
        </w:rPr>
      </w:pPr>
    </w:p>
    <w:p>
      <w:pPr>
        <w:pStyle w:val="2"/>
        <w:spacing w:line="240" w:lineRule="auto"/>
        <w:ind w:firstLine="2209" w:firstLineChars="500"/>
        <w:jc w:val="both"/>
        <w:rPr>
          <w:rFonts w:ascii="宋体" w:hAnsi="宋体"/>
          <w:kern w:val="2"/>
          <w:sz w:val="24"/>
        </w:rPr>
      </w:pPr>
      <w:r>
        <w:rPr>
          <w:rFonts w:hint="eastAsia" w:ascii="宋体" w:hAnsi="宋体"/>
        </w:rPr>
        <w:t>第二部分  投标人须知</w:t>
      </w:r>
      <w:bookmarkEnd w:id="0"/>
    </w:p>
    <w:p>
      <w:pPr>
        <w:ind w:firstLine="602" w:firstLineChars="200"/>
        <w:jc w:val="left"/>
        <w:outlineLvl w:val="0"/>
        <w:rPr>
          <w:rFonts w:ascii="宋体" w:hAnsi="宋体"/>
          <w:b/>
          <w:sz w:val="30"/>
          <w:szCs w:val="30"/>
        </w:rPr>
      </w:pPr>
      <w:bookmarkStart w:id="1" w:name="_Toc346202429"/>
      <w:r>
        <w:rPr>
          <w:rFonts w:hint="eastAsia" w:ascii="宋体" w:hAnsi="宋体"/>
          <w:b/>
          <w:sz w:val="30"/>
          <w:szCs w:val="30"/>
        </w:rPr>
        <w:t>一、前附表</w:t>
      </w:r>
      <w:bookmarkEnd w:id="1"/>
    </w:p>
    <w:tbl>
      <w:tblPr>
        <w:tblStyle w:val="11"/>
        <w:tblW w:w="846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44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招标单位</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扬州市城建资产经营管理有限责任公司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标的名称</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“赞化巷立体停车场”保安（操作</w:t>
            </w:r>
            <w:r>
              <w:rPr>
                <w:rFonts w:hint="eastAsia" w:ascii="宋体" w:hAnsi="宋体" w:cs="宋体"/>
                <w:sz w:val="24"/>
              </w:rPr>
              <w:t>、</w:t>
            </w:r>
            <w:r>
              <w:rPr>
                <w:rFonts w:hint="eastAsia" w:ascii="宋体" w:hAnsi="宋体"/>
                <w:sz w:val="24"/>
              </w:rPr>
              <w:t>收费）外包项目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标的地点</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新宋体" w:hAnsi="新宋体" w:eastAsia="新宋体"/>
                <w:sz w:val="28"/>
                <w:szCs w:val="28"/>
              </w:rPr>
              <w:t>南门街112号.</w:t>
            </w:r>
            <w:r>
              <w:rPr>
                <w:rFonts w:hint="eastAsia" w:ascii="宋体" w:hAnsi="宋体"/>
                <w:sz w:val="24"/>
              </w:rPr>
              <w:t>东至供电公司、西至南门街、北至</w:t>
            </w:r>
            <w:r>
              <w:rPr>
                <w:rFonts w:hint="eastAsia" w:ascii="宋体" w:hAnsi="宋体"/>
                <w:bCs/>
                <w:kern w:val="0"/>
                <w:sz w:val="24"/>
                <w:szCs w:val="36"/>
              </w:rPr>
              <w:t>赞化巷</w:t>
            </w:r>
            <w:r>
              <w:rPr>
                <w:rFonts w:hint="eastAsia" w:ascii="宋体" w:hAnsi="宋体"/>
                <w:sz w:val="24"/>
              </w:rPr>
              <w:t>、南至甘泉路。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项目概况</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新宋体" w:hAnsi="新宋体" w:eastAsia="新宋体"/>
                <w:sz w:val="28"/>
                <w:szCs w:val="28"/>
              </w:rPr>
              <w:t>总面积2761</w:t>
            </w:r>
            <w:r>
              <w:rPr>
                <w:rFonts w:hint="eastAsia" w:ascii="宋体" w:hAnsi="宋体" w:cs="宋体"/>
                <w:sz w:val="28"/>
                <w:szCs w:val="28"/>
              </w:rPr>
              <w:t>㎡，</w:t>
            </w:r>
            <w:r>
              <w:rPr>
                <w:rFonts w:hint="eastAsia" w:ascii="新宋体" w:hAnsi="新宋体" w:eastAsia="新宋体"/>
                <w:sz w:val="28"/>
                <w:szCs w:val="28"/>
              </w:rPr>
              <w:t>其中室内面积1356.14</w:t>
            </w:r>
            <w:r>
              <w:rPr>
                <w:rFonts w:hint="eastAsia" w:ascii="宋体" w:hAnsi="宋体" w:cs="宋体"/>
                <w:sz w:val="28"/>
                <w:szCs w:val="28"/>
              </w:rPr>
              <w:t>㎡；停车位198个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现场勘察</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投标人自行对现场和周围环境进行勘察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投标文件份数</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共计2本（正本1本、副本1本）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投标文件递交</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扬州市城建资产经营管理有限责任公司零星资产营运部（扬州市沿河街56号工艺坊A区四 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招标方式</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扬州市城建国有资产控股（集团）有限责任公司网站（网址：http://cjkg.yangzhou.gov.cn/）公开招标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sz w:val="24"/>
              </w:rPr>
            </w:pPr>
            <w:r>
              <w:rPr>
                <w:rFonts w:hint="eastAsia"/>
                <w:sz w:val="24"/>
                <w:lang w:val="zh-CN"/>
              </w:rPr>
              <w:t>价款结算办法及报价</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ind w:firstLine="420" w:firstLineChars="200"/>
              <w:jc w:val="left"/>
              <w:rPr>
                <w:rFonts w:ascii="宋体" w:hAnsi="宋体"/>
                <w:kern w:val="0"/>
                <w:sz w:val="24"/>
              </w:rPr>
            </w:pPr>
            <w:r>
              <w:rPr>
                <w:rFonts w:hint="eastAsia" w:hAnsi="宋体"/>
              </w:rPr>
              <w:t>实行总价包干制，包干费用包括</w:t>
            </w:r>
            <w:r>
              <w:rPr>
                <w:rFonts w:hint="eastAsia" w:ascii="宋体" w:hAnsi="宋体"/>
                <w:kern w:val="0"/>
                <w:sz w:val="24"/>
              </w:rPr>
              <w:t>员工工资、国家法定节假日加班费分摊、劳动合同经济补偿金、带薪年休假工资、社会保险费用、员工住房补贴、工作餐补贴、员工福利及管理人员津贴、管理费及利润、税金）,招标方不再承担任何形式的其他费用。</w:t>
            </w:r>
          </w:p>
          <w:p>
            <w:pPr>
              <w:autoSpaceDE w:val="0"/>
              <w:autoSpaceDN w:val="0"/>
              <w:adjustRightInd w:val="0"/>
              <w:spacing w:line="380" w:lineRule="atLeas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sz w:val="24"/>
              </w:rPr>
            </w:pPr>
            <w:r>
              <w:rPr>
                <w:rFonts w:hint="eastAsia"/>
                <w:sz w:val="24"/>
                <w:lang w:val="zh-CN"/>
              </w:rPr>
              <w:t>付款方式</w:t>
            </w:r>
          </w:p>
        </w:tc>
        <w:tc>
          <w:tcPr>
            <w:tcW w:w="6660" w:type="dxa"/>
            <w:gridSpan w:val="2"/>
            <w:tcBorders>
              <w:top w:val="single" w:color="auto" w:sz="4" w:space="0"/>
              <w:left w:val="single" w:color="auto" w:sz="4" w:space="0"/>
              <w:bottom w:val="single" w:color="auto" w:sz="4" w:space="0"/>
              <w:right w:val="single" w:color="auto" w:sz="4" w:space="0"/>
            </w:tcBorders>
            <w:vAlign w:val="center"/>
          </w:tcPr>
          <w:p>
            <w:pPr>
              <w:tabs>
                <w:tab w:val="left" w:pos="900"/>
                <w:tab w:val="left" w:pos="2397"/>
              </w:tabs>
              <w:jc w:val="center"/>
              <w:rPr>
                <w:rFonts w:ascii="宋体" w:hAnsi="宋体"/>
                <w:color w:val="000000"/>
                <w:sz w:val="24"/>
              </w:rPr>
            </w:pPr>
            <w:r>
              <w:rPr>
                <w:rFonts w:hint="eastAsia" w:hAnsi="宋体"/>
              </w:rPr>
              <w:t>本项目无预付款，按月支付，于进场之日起服务满1个月后，经甲方评价考核合格后，支付上月的服务费，依此类推。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800" w:type="dxa"/>
            <w:vMerge w:val="restart"/>
            <w:tcBorders>
              <w:top w:val="single" w:color="auto" w:sz="4" w:space="0"/>
              <w:left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联系方法</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联系地址</w:t>
            </w:r>
          </w:p>
        </w:tc>
        <w:tc>
          <w:tcPr>
            <w:tcW w:w="522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扬州市城建资产经营管理有限责任公司（扬州市沿河街56号工艺坊A区四楼）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1800" w:type="dxa"/>
            <w:vMerge w:val="continue"/>
            <w:tcBorders>
              <w:left w:val="single" w:color="auto" w:sz="4" w:space="0"/>
              <w:right w:val="single" w:color="auto" w:sz="4" w:space="0"/>
            </w:tcBorders>
            <w:vAlign w:val="center"/>
          </w:tcPr>
          <w:p>
            <w:pPr>
              <w:tabs>
                <w:tab w:val="left" w:pos="900"/>
              </w:tabs>
              <w:jc w:val="cente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联系人</w:t>
            </w:r>
          </w:p>
        </w:tc>
        <w:tc>
          <w:tcPr>
            <w:tcW w:w="5220" w:type="dxa"/>
            <w:tcBorders>
              <w:top w:val="single" w:color="auto" w:sz="4" w:space="0"/>
              <w:left w:val="single" w:color="auto" w:sz="4" w:space="0"/>
              <w:bottom w:val="single" w:color="auto" w:sz="4" w:space="0"/>
              <w:right w:val="single" w:color="auto" w:sz="4" w:space="0"/>
            </w:tcBorders>
            <w:vAlign w:val="center"/>
          </w:tcPr>
          <w:p>
            <w:pPr>
              <w:ind w:firstLine="2160" w:firstLineChars="900"/>
              <w:rPr>
                <w:rFonts w:ascii="宋体" w:hAnsi="宋体"/>
                <w:sz w:val="24"/>
              </w:rPr>
            </w:pPr>
            <w:r>
              <w:rPr>
                <w:rFonts w:hint="eastAsia" w:ascii="宋体" w:hAnsi="宋体"/>
                <w:sz w:val="24"/>
              </w:rPr>
              <w:t>车俊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800" w:type="dxa"/>
            <w:vMerge w:val="continue"/>
            <w:tcBorders>
              <w:left w:val="single" w:color="auto" w:sz="4" w:space="0"/>
              <w:right w:val="single" w:color="auto" w:sz="4" w:space="0"/>
            </w:tcBorders>
            <w:vAlign w:val="center"/>
          </w:tcPr>
          <w:p>
            <w:pPr>
              <w:widowControl/>
              <w:jc w:val="left"/>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900"/>
              </w:tabs>
              <w:jc w:val="center"/>
              <w:rPr>
                <w:rFonts w:ascii="宋体" w:hAnsi="宋体"/>
                <w:sz w:val="24"/>
              </w:rPr>
            </w:pPr>
            <w:r>
              <w:rPr>
                <w:rFonts w:hint="eastAsia" w:ascii="宋体" w:hAnsi="宋体"/>
                <w:sz w:val="24"/>
              </w:rPr>
              <w:t>电  话</w:t>
            </w:r>
          </w:p>
        </w:tc>
        <w:tc>
          <w:tcPr>
            <w:tcW w:w="5220" w:type="dxa"/>
            <w:tcBorders>
              <w:top w:val="single" w:color="auto" w:sz="4" w:space="0"/>
              <w:left w:val="single" w:color="auto" w:sz="4" w:space="0"/>
              <w:bottom w:val="single" w:color="auto" w:sz="4" w:space="0"/>
              <w:right w:val="single" w:color="auto" w:sz="4" w:space="0"/>
            </w:tcBorders>
            <w:vAlign w:val="center"/>
          </w:tcPr>
          <w:p>
            <w:pPr>
              <w:pStyle w:val="20"/>
              <w:ind w:left="840" w:firstLine="840" w:firstLineChars="300"/>
              <w:rPr>
                <w:rFonts w:ascii="宋体" w:hAnsi="宋体"/>
                <w:color w:val="000000"/>
                <w:sz w:val="24"/>
              </w:rPr>
            </w:pPr>
            <w:r>
              <w:rPr>
                <w:rFonts w:hint="eastAsia" w:ascii="新宋体" w:hAnsi="新宋体" w:eastAsia="新宋体"/>
                <w:sz w:val="28"/>
                <w:szCs w:val="28"/>
              </w:rPr>
              <w:t>18136227866</w:t>
            </w:r>
          </w:p>
        </w:tc>
      </w:tr>
    </w:tbl>
    <w:p>
      <w:pPr>
        <w:jc w:val="left"/>
        <w:outlineLvl w:val="0"/>
        <w:rPr>
          <w:rFonts w:hint="eastAsia" w:ascii="宋体" w:hAnsi="宋体"/>
          <w:b/>
          <w:sz w:val="30"/>
          <w:szCs w:val="30"/>
        </w:rPr>
      </w:pPr>
      <w:bookmarkStart w:id="2" w:name="_Toc346202430"/>
      <w:bookmarkStart w:id="3" w:name="_Toc77757107"/>
    </w:p>
    <w:p>
      <w:pPr>
        <w:ind w:firstLine="602" w:firstLineChars="200"/>
        <w:jc w:val="left"/>
        <w:outlineLvl w:val="0"/>
        <w:rPr>
          <w:rFonts w:hint="eastAsia" w:ascii="宋体" w:hAnsi="宋体"/>
          <w:b/>
          <w:sz w:val="30"/>
          <w:szCs w:val="30"/>
        </w:rPr>
      </w:pPr>
    </w:p>
    <w:p>
      <w:pPr>
        <w:ind w:firstLine="602" w:firstLineChars="200"/>
        <w:jc w:val="left"/>
        <w:outlineLvl w:val="0"/>
        <w:rPr>
          <w:rFonts w:ascii="宋体" w:hAnsi="宋体"/>
          <w:b/>
          <w:sz w:val="30"/>
          <w:szCs w:val="30"/>
        </w:rPr>
      </w:pPr>
      <w:r>
        <w:rPr>
          <w:rFonts w:hint="eastAsia" w:ascii="宋体" w:hAnsi="宋体"/>
          <w:b/>
          <w:sz w:val="30"/>
          <w:szCs w:val="30"/>
        </w:rPr>
        <w:t>二、投标方</w:t>
      </w:r>
      <w:bookmarkEnd w:id="2"/>
    </w:p>
    <w:p>
      <w:pPr>
        <w:spacing w:line="360" w:lineRule="auto"/>
        <w:ind w:firstLine="482" w:firstLineChars="200"/>
        <w:jc w:val="left"/>
        <w:rPr>
          <w:rFonts w:ascii="宋体" w:hAnsi="宋体"/>
          <w:b/>
          <w:sz w:val="24"/>
        </w:rPr>
      </w:pPr>
      <w:r>
        <w:rPr>
          <w:rFonts w:hint="eastAsia" w:ascii="宋体" w:hAnsi="宋体"/>
          <w:b/>
          <w:sz w:val="24"/>
        </w:rPr>
        <w:t>1、对投标方的资格根据下列标准进行审查</w:t>
      </w:r>
      <w:bookmarkEnd w:id="3"/>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 xml:space="preserve">1）具有独立法人资格的保安公司； </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2）具备一般纳税人资格，可开具增值税专用发票；</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3）具备公安机关颁发的保安服务许可证。</w:t>
      </w:r>
    </w:p>
    <w:p>
      <w:pPr>
        <w:spacing w:line="360" w:lineRule="auto"/>
        <w:ind w:firstLine="482" w:firstLineChars="200"/>
        <w:jc w:val="left"/>
        <w:rPr>
          <w:rFonts w:ascii="宋体" w:hAnsi="宋体"/>
          <w:b/>
          <w:sz w:val="24"/>
        </w:rPr>
      </w:pPr>
      <w:r>
        <w:rPr>
          <w:rFonts w:hint="eastAsia" w:ascii="宋体" w:hAnsi="宋体"/>
          <w:b/>
          <w:sz w:val="24"/>
        </w:rPr>
        <w:t>2、投标委托</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如投标方代表不是公司的法定代表人的，则须持有《法定代表人授权书》</w:t>
      </w:r>
      <w:r>
        <w:rPr>
          <w:rFonts w:ascii="宋体" w:hAnsi="宋体" w:cs="宋体"/>
          <w:spacing w:val="12"/>
          <w:kern w:val="0"/>
          <w:sz w:val="24"/>
        </w:rPr>
        <w:t>(</w:t>
      </w:r>
      <w:r>
        <w:rPr>
          <w:rFonts w:hint="eastAsia" w:ascii="宋体" w:hAnsi="宋体" w:cs="宋体"/>
          <w:spacing w:val="12"/>
          <w:kern w:val="0"/>
          <w:sz w:val="24"/>
        </w:rPr>
        <w:t>见附件</w:t>
      </w:r>
      <w:r>
        <w:rPr>
          <w:rFonts w:ascii="宋体" w:hAnsi="宋体" w:cs="宋体"/>
          <w:spacing w:val="12"/>
          <w:kern w:val="0"/>
          <w:sz w:val="24"/>
        </w:rPr>
        <w:t>)</w:t>
      </w:r>
      <w:r>
        <w:rPr>
          <w:rFonts w:hint="eastAsia" w:ascii="宋体" w:hAnsi="宋体" w:cs="宋体"/>
          <w:spacing w:val="12"/>
          <w:kern w:val="0"/>
          <w:sz w:val="24"/>
        </w:rPr>
        <w:t>。</w:t>
      </w:r>
    </w:p>
    <w:p>
      <w:pPr>
        <w:spacing w:line="360" w:lineRule="auto"/>
        <w:ind w:firstLine="482" w:firstLineChars="200"/>
        <w:jc w:val="left"/>
        <w:rPr>
          <w:rFonts w:ascii="宋体" w:hAnsi="宋体"/>
          <w:b/>
          <w:sz w:val="24"/>
        </w:rPr>
      </w:pPr>
      <w:r>
        <w:rPr>
          <w:rFonts w:hint="eastAsia" w:ascii="宋体" w:hAnsi="宋体"/>
          <w:b/>
          <w:sz w:val="24"/>
        </w:rPr>
        <w:t>3、投标费用</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无论招投标最终结果如何，投标方自行承担与本次投标有关的全部费用。</w:t>
      </w:r>
    </w:p>
    <w:p>
      <w:pPr>
        <w:ind w:firstLine="602" w:firstLineChars="200"/>
        <w:jc w:val="left"/>
        <w:outlineLvl w:val="0"/>
        <w:rPr>
          <w:rFonts w:ascii="宋体" w:hAnsi="宋体"/>
          <w:b/>
          <w:sz w:val="30"/>
          <w:szCs w:val="30"/>
        </w:rPr>
      </w:pPr>
      <w:bookmarkStart w:id="4" w:name="_Toc346202431"/>
      <w:r>
        <w:rPr>
          <w:rFonts w:hint="eastAsia" w:ascii="宋体" w:hAnsi="宋体"/>
          <w:b/>
          <w:sz w:val="30"/>
          <w:szCs w:val="30"/>
        </w:rPr>
        <w:t>三、招标文件相关</w:t>
      </w:r>
      <w:bookmarkEnd w:id="4"/>
    </w:p>
    <w:p>
      <w:pPr>
        <w:spacing w:line="360" w:lineRule="auto"/>
        <w:ind w:firstLine="482" w:firstLineChars="200"/>
        <w:jc w:val="left"/>
        <w:rPr>
          <w:rFonts w:ascii="宋体" w:hAnsi="宋体"/>
          <w:b/>
          <w:sz w:val="24"/>
        </w:rPr>
      </w:pPr>
      <w:r>
        <w:rPr>
          <w:rFonts w:hint="eastAsia" w:ascii="宋体" w:hAnsi="宋体"/>
          <w:b/>
          <w:sz w:val="24"/>
        </w:rPr>
        <w:t>1、招标文件</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1）招标文件由目录所列内容组成。</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2）投标方应详细阅读招标文件的全部内容。不按招标文件要求提供的投标文件和资料，一律按废标处理。</w:t>
      </w:r>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2、现场踏勘与招标文件的澄清</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1）投标方在获得投标资格后，自行组织踏勘现场，进入赞化巷立体停车场需服从现场工作人员管理。</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投标方对招标文件如有疑点要求澄清或认为有必要与招标方进行技术交流时，必须以书面、传真形式通知招标方，书面疑问提交时间在领取招标文件后3日内，招标方将视情况确定技术交流的时间及地点，或以书面形式予以答复，如有必要时可将答复内容包括原提出的问题</w:t>
      </w:r>
      <w:r>
        <w:rPr>
          <w:rFonts w:ascii="宋体" w:hAnsi="宋体" w:cs="宋体"/>
          <w:spacing w:val="12"/>
          <w:kern w:val="0"/>
          <w:sz w:val="24"/>
        </w:rPr>
        <w:t>(</w:t>
      </w:r>
      <w:r>
        <w:rPr>
          <w:rFonts w:hint="eastAsia" w:ascii="宋体" w:hAnsi="宋体" w:cs="宋体"/>
          <w:spacing w:val="12"/>
          <w:kern w:val="0"/>
          <w:sz w:val="24"/>
        </w:rPr>
        <w:t>但不标明问题查询的来源</w:t>
      </w:r>
      <w:r>
        <w:rPr>
          <w:rFonts w:ascii="宋体" w:hAnsi="宋体" w:cs="宋体"/>
          <w:spacing w:val="12"/>
          <w:kern w:val="0"/>
          <w:sz w:val="24"/>
        </w:rPr>
        <w:t>)</w:t>
      </w:r>
      <w:r>
        <w:rPr>
          <w:rFonts w:hint="eastAsia" w:ascii="宋体" w:hAnsi="宋体" w:cs="宋体"/>
          <w:spacing w:val="12"/>
          <w:kern w:val="0"/>
          <w:sz w:val="24"/>
        </w:rPr>
        <w:t xml:space="preserve">，分发给所取得同一招标文件的投标方。  </w:t>
      </w:r>
    </w:p>
    <w:p>
      <w:pPr>
        <w:autoSpaceDE w:val="0"/>
        <w:autoSpaceDN w:val="0"/>
        <w:adjustRightInd w:val="0"/>
        <w:spacing w:line="360" w:lineRule="auto"/>
        <w:ind w:firstLine="482" w:firstLineChars="200"/>
        <w:rPr>
          <w:rFonts w:ascii="宋体" w:hAnsi="宋体"/>
          <w:b/>
          <w:sz w:val="24"/>
        </w:rPr>
      </w:pPr>
      <w:r>
        <w:rPr>
          <w:rFonts w:hint="eastAsia" w:ascii="宋体" w:hAnsi="宋体"/>
          <w:b/>
          <w:sz w:val="24"/>
        </w:rPr>
        <w:t xml:space="preserve">3、招标文件的修改 </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1）在投标截止时间3日前，招标方无论出于自己的考虑，还是出于对投标方提问的澄清，在法律、法规规定的时间内均可对招标文件用补充文件的方式进行修改。</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2）对招标文件的修改，招标方将在城控集团网站公开发布，敬请投标方密切关注。修改、补充的文件将作为招标文件的组成部分，对所有投标方均有约束力。</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3）为使投标方有足够的时间按招标文件的修改要求考虑修正投标文件，招标方可根据实际情况酌情推迟投标的截止日期和开标日期，并将此变更按上述方式通知每一投标方。</w:t>
      </w:r>
    </w:p>
    <w:p>
      <w:pPr>
        <w:ind w:firstLine="602" w:firstLineChars="200"/>
        <w:jc w:val="left"/>
        <w:outlineLvl w:val="0"/>
        <w:rPr>
          <w:rFonts w:ascii="宋体" w:hAnsi="宋体"/>
          <w:b/>
          <w:sz w:val="30"/>
          <w:szCs w:val="30"/>
        </w:rPr>
      </w:pPr>
      <w:bookmarkStart w:id="5" w:name="_Toc346202432"/>
      <w:r>
        <w:rPr>
          <w:rFonts w:hint="eastAsia" w:ascii="宋体" w:hAnsi="宋体"/>
          <w:b/>
          <w:sz w:val="30"/>
          <w:szCs w:val="30"/>
        </w:rPr>
        <w:t>四、投标文件部分</w:t>
      </w:r>
      <w:bookmarkEnd w:id="5"/>
    </w:p>
    <w:p>
      <w:pPr>
        <w:autoSpaceDE w:val="0"/>
        <w:autoSpaceDN w:val="0"/>
        <w:adjustRightInd w:val="0"/>
        <w:spacing w:line="360" w:lineRule="auto"/>
        <w:ind w:firstLine="482" w:firstLineChars="200"/>
        <w:jc w:val="left"/>
        <w:rPr>
          <w:rFonts w:ascii="宋体" w:hAnsi="宋体"/>
          <w:b/>
          <w:sz w:val="24"/>
          <w:u w:val="single"/>
        </w:rPr>
      </w:pPr>
      <w:r>
        <w:rPr>
          <w:rFonts w:hint="eastAsia" w:ascii="宋体" w:hAnsi="宋体"/>
          <w:b/>
          <w:sz w:val="24"/>
        </w:rPr>
        <w:t>1、投标文件的组成</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1）投标函（格式见附件）</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2）企业简介</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3）资格证明文件，包括但不限于：</w:t>
      </w:r>
    </w:p>
    <w:p>
      <w:pPr>
        <w:pStyle w:val="4"/>
        <w:numPr>
          <w:ilvl w:val="0"/>
          <w:numId w:val="1"/>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营业执照副本（复印件加盖投标人公章）；</w:t>
      </w:r>
    </w:p>
    <w:p>
      <w:pPr>
        <w:numPr>
          <w:ilvl w:val="0"/>
          <w:numId w:val="1"/>
        </w:numPr>
        <w:spacing w:line="360" w:lineRule="auto"/>
        <w:rPr>
          <w:rFonts w:ascii="仿宋_GB2312" w:eastAsia="新宋体"/>
          <w:sz w:val="24"/>
        </w:rPr>
      </w:pPr>
      <w:r>
        <w:rPr>
          <w:rFonts w:hint="eastAsia" w:ascii="仿宋_GB2312" w:eastAsia="新宋体"/>
          <w:sz w:val="24"/>
        </w:rPr>
        <w:t>公安机关颁发的保安服务许可证（复印件加盖投标人公章）；</w:t>
      </w:r>
    </w:p>
    <w:p>
      <w:pPr>
        <w:pStyle w:val="4"/>
        <w:numPr>
          <w:ilvl w:val="0"/>
          <w:numId w:val="1"/>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法定代表人身份证明函，法定代表人身份证复印件；</w:t>
      </w:r>
    </w:p>
    <w:p>
      <w:pPr>
        <w:pStyle w:val="4"/>
        <w:numPr>
          <w:ilvl w:val="0"/>
          <w:numId w:val="1"/>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法定代表人授权委托书，委托代理人身份证复印件（在委托投标情况下）；</w:t>
      </w:r>
    </w:p>
    <w:p>
      <w:pPr>
        <w:pStyle w:val="4"/>
        <w:numPr>
          <w:ilvl w:val="0"/>
          <w:numId w:val="1"/>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拟定项目负责人上岗证（复印件）、简历及相关荣誉；</w:t>
      </w:r>
    </w:p>
    <w:p>
      <w:pPr>
        <w:pStyle w:val="4"/>
        <w:numPr>
          <w:ilvl w:val="0"/>
          <w:numId w:val="1"/>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投标方近两年同类保安服务项目业绩情况明细；</w:t>
      </w:r>
    </w:p>
    <w:p>
      <w:pPr>
        <w:pStyle w:val="4"/>
        <w:numPr>
          <w:ilvl w:val="0"/>
          <w:numId w:val="1"/>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廉洁投标承诺书（格式见附件）；</w:t>
      </w:r>
    </w:p>
    <w:p>
      <w:pPr>
        <w:pStyle w:val="4"/>
        <w:numPr>
          <w:ilvl w:val="0"/>
          <w:numId w:val="1"/>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投标人近三年内在经营活动中没有重大违法记录的书面声明原件（格式见附件）。</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4）技术标（管理方案）</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5）商务标（报价）</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6）投标保证金复印件或有效的进账回执单复印件。</w:t>
      </w:r>
    </w:p>
    <w:p>
      <w:pPr>
        <w:autoSpaceDE w:val="0"/>
        <w:autoSpaceDN w:val="0"/>
        <w:adjustRightInd w:val="0"/>
        <w:spacing w:line="360" w:lineRule="auto"/>
        <w:ind w:firstLine="482" w:firstLineChars="200"/>
        <w:jc w:val="left"/>
        <w:rPr>
          <w:rFonts w:ascii="宋体" w:hAnsi="宋体"/>
          <w:sz w:val="24"/>
        </w:rPr>
      </w:pPr>
      <w:r>
        <w:rPr>
          <w:rFonts w:hint="eastAsia" w:ascii="宋体" w:hAnsi="宋体"/>
          <w:b/>
          <w:sz w:val="24"/>
        </w:rPr>
        <w:t>2、投标报价</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1）所有投标均以人民币“元”为单位报价（保留小数点两位），不按要求则为无效。</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2）投标方应严格按照招标文件要求格式填写报价，以及所包含项目单价、总价及明细等其他内容，并由法定代表人或授权代表签署并加盖单位公章。</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3）投标报价需计算准确，各项明细报价合计应与总报价相等，如出现不等，则以明细报价加总后的得数为准。</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4）最低报价不作为中标的保证。</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5）投标方的报价总价作为商务标评分依据。</w:t>
      </w:r>
    </w:p>
    <w:p>
      <w:pPr>
        <w:autoSpaceDE w:val="0"/>
        <w:autoSpaceDN w:val="0"/>
        <w:adjustRightInd w:val="0"/>
        <w:spacing w:line="360" w:lineRule="auto"/>
        <w:ind w:firstLine="482" w:firstLineChars="200"/>
        <w:jc w:val="left"/>
        <w:rPr>
          <w:rFonts w:hint="eastAsia" w:ascii="宋体" w:hAnsi="宋体"/>
          <w:b/>
          <w:sz w:val="24"/>
        </w:rPr>
      </w:pPr>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3、投标文件</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1）投标书的份数和签署</w:t>
      </w:r>
    </w:p>
    <w:p>
      <w:pPr>
        <w:pStyle w:val="4"/>
        <w:spacing w:line="360" w:lineRule="auto"/>
        <w:ind w:firstLine="530"/>
        <w:jc w:val="left"/>
        <w:rPr>
          <w:rFonts w:ascii="宋体" w:hAnsi="宋体" w:cs="宋体"/>
          <w:spacing w:val="12"/>
          <w:kern w:val="0"/>
          <w:sz w:val="24"/>
        </w:rPr>
      </w:pPr>
      <w:r>
        <w:rPr>
          <w:rFonts w:hint="eastAsia" w:ascii="宋体" w:hAnsi="宋体" w:cs="宋体"/>
          <w:b/>
          <w:spacing w:val="12"/>
          <w:kern w:val="0"/>
          <w:sz w:val="24"/>
          <w:u w:val="single"/>
        </w:rPr>
        <w:t>编制标书共2套，正本1份，副本1份</w:t>
      </w:r>
      <w:r>
        <w:rPr>
          <w:rFonts w:hint="eastAsia" w:ascii="宋体" w:hAnsi="宋体" w:cs="宋体"/>
          <w:spacing w:val="12"/>
          <w:kern w:val="0"/>
          <w:sz w:val="24"/>
        </w:rPr>
        <w:t>。须在封面明确注明“正本”或“副本”字样，一旦正本和副本有差异，以正本为准。投标书须打印并由投标方法定代表人签署和加盖公章。电报、电话、传真形式的投标概不接受。</w:t>
      </w:r>
    </w:p>
    <w:p>
      <w:pPr>
        <w:numPr>
          <w:numId w:val="0"/>
        </w:numPr>
        <w:spacing w:after="0" w:line="498" w:lineRule="exact"/>
        <w:ind w:firstLine="528" w:firstLineChars="200"/>
        <w:rPr>
          <w:rFonts w:asciiTheme="minorEastAsia" w:hAnsiTheme="minorEastAsia" w:eastAsiaTheme="minorEastAsia"/>
          <w:sz w:val="28"/>
          <w:szCs w:val="28"/>
        </w:rPr>
      </w:pPr>
      <w:r>
        <w:rPr>
          <w:rFonts w:hint="eastAsia" w:ascii="宋体" w:hAnsi="宋体" w:cs="宋体"/>
          <w:spacing w:val="12"/>
          <w:kern w:val="0"/>
          <w:sz w:val="24"/>
        </w:rPr>
        <w:t>2）投标文件</w:t>
      </w:r>
      <w:r>
        <w:rPr>
          <w:rFonts w:hint="eastAsia" w:ascii="宋体" w:hAnsi="宋体" w:cs="宋体"/>
          <w:spacing w:val="12"/>
          <w:kern w:val="0"/>
          <w:sz w:val="24"/>
          <w:lang w:val="en-US" w:eastAsia="zh-CN"/>
        </w:rPr>
        <w:t>递交</w:t>
      </w:r>
      <w:r>
        <w:rPr>
          <w:rFonts w:hint="eastAsia" w:ascii="宋体" w:hAnsi="宋体" w:cs="宋体"/>
          <w:spacing w:val="12"/>
          <w:kern w:val="0"/>
          <w:sz w:val="24"/>
        </w:rPr>
        <w:t>：</w:t>
      </w:r>
    </w:p>
    <w:p>
      <w:pPr>
        <w:numPr>
          <w:numId w:val="0"/>
        </w:numPr>
        <w:spacing w:after="0" w:line="498" w:lineRule="exact"/>
        <w:ind w:firstLine="528" w:firstLineChars="200"/>
        <w:rPr>
          <w:rFonts w:hint="eastAsia" w:ascii="宋体" w:hAnsi="宋体" w:eastAsia="宋体" w:cs="宋体"/>
          <w:spacing w:val="12"/>
          <w:kern w:val="0"/>
          <w:sz w:val="24"/>
          <w:szCs w:val="24"/>
          <w:lang w:val="en-US" w:eastAsia="zh-CN" w:bidi="ar-SA"/>
        </w:rPr>
      </w:pPr>
      <w:r>
        <w:rPr>
          <w:rFonts w:hint="eastAsia" w:ascii="宋体" w:hAnsi="宋体" w:eastAsia="宋体" w:cs="宋体"/>
          <w:spacing w:val="12"/>
          <w:kern w:val="0"/>
          <w:sz w:val="24"/>
          <w:szCs w:val="24"/>
          <w:lang w:val="en-US" w:eastAsia="zh-CN" w:bidi="ar-SA"/>
        </w:rPr>
        <w:t>除投标报价单及运营管理实施方案须装入文件袋内密封外，其余所有投标材料无需密封，个人在封口上签字，单位在封口上盖章，于指定时间前投送指定地点。</w:t>
      </w:r>
    </w:p>
    <w:p>
      <w:pPr>
        <w:pStyle w:val="4"/>
        <w:spacing w:line="360" w:lineRule="auto"/>
        <w:ind w:left="0" w:leftChars="0" w:firstLine="528" w:firstLineChars="200"/>
        <w:jc w:val="left"/>
        <w:rPr>
          <w:rFonts w:ascii="宋体" w:hAnsi="宋体" w:cs="宋体"/>
          <w:spacing w:val="12"/>
          <w:kern w:val="0"/>
          <w:sz w:val="24"/>
        </w:rPr>
      </w:pPr>
      <w:r>
        <w:rPr>
          <w:rFonts w:hint="eastAsia" w:ascii="宋体" w:hAnsi="宋体" w:cs="宋体"/>
          <w:spacing w:val="12"/>
          <w:kern w:val="0"/>
          <w:sz w:val="24"/>
        </w:rPr>
        <w:t>投标书正本应单独密封，副本另行密封袋密封。封口处应同时加盖有法定代表人或委托人的签章与投标单位公章。封皮上写明：</w:t>
      </w:r>
    </w:p>
    <w:p>
      <w:pPr>
        <w:pStyle w:val="4"/>
        <w:numPr>
          <w:ilvl w:val="0"/>
          <w:numId w:val="2"/>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项目名称、投标方名称、投标日期</w:t>
      </w:r>
    </w:p>
    <w:p>
      <w:pPr>
        <w:pStyle w:val="4"/>
        <w:numPr>
          <w:ilvl w:val="0"/>
          <w:numId w:val="2"/>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相应正副本密封袋外注明：投标书正本或投标书副本。</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3）投标书有下列情况之一的，应当视为废标：</w:t>
      </w:r>
    </w:p>
    <w:p>
      <w:pPr>
        <w:pStyle w:val="4"/>
        <w:numPr>
          <w:ilvl w:val="0"/>
          <w:numId w:val="3"/>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投标书未按要求密封；</w:t>
      </w:r>
    </w:p>
    <w:p>
      <w:pPr>
        <w:pStyle w:val="4"/>
        <w:numPr>
          <w:ilvl w:val="0"/>
          <w:numId w:val="3"/>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投标书未同时加盖单位公章和法定代表人或委托人签章；</w:t>
      </w:r>
    </w:p>
    <w:p>
      <w:pPr>
        <w:pStyle w:val="4"/>
        <w:numPr>
          <w:ilvl w:val="0"/>
          <w:numId w:val="3"/>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投标书没有响应招标文件；</w:t>
      </w:r>
    </w:p>
    <w:p>
      <w:pPr>
        <w:pStyle w:val="4"/>
        <w:numPr>
          <w:ilvl w:val="0"/>
          <w:numId w:val="3"/>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投标书逾期送达；</w:t>
      </w:r>
    </w:p>
    <w:p>
      <w:pPr>
        <w:pStyle w:val="4"/>
        <w:numPr>
          <w:ilvl w:val="0"/>
          <w:numId w:val="3"/>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经评委组一致认定报价明显低于成本的；</w:t>
      </w:r>
    </w:p>
    <w:p>
      <w:pPr>
        <w:pStyle w:val="4"/>
        <w:numPr>
          <w:ilvl w:val="0"/>
          <w:numId w:val="3"/>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投标书未按编标依据编制；</w:t>
      </w:r>
    </w:p>
    <w:p>
      <w:pPr>
        <w:pStyle w:val="4"/>
        <w:numPr>
          <w:ilvl w:val="0"/>
          <w:numId w:val="3"/>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隐瞒真实情况，弄虚作假的。</w:t>
      </w:r>
    </w:p>
    <w:p>
      <w:pPr>
        <w:spacing w:after="0" w:line="498" w:lineRule="exact"/>
        <w:ind w:firstLine="528" w:firstLineChars="200"/>
        <w:rPr>
          <w:rFonts w:asciiTheme="minorEastAsia" w:hAnsiTheme="minorEastAsia" w:eastAsiaTheme="minorEastAsia"/>
          <w:b/>
          <w:bCs/>
          <w:sz w:val="28"/>
          <w:szCs w:val="28"/>
        </w:rPr>
      </w:pPr>
      <w:r>
        <w:rPr>
          <w:rFonts w:hint="eastAsia" w:ascii="宋体" w:hAnsi="宋体" w:cs="宋体"/>
          <w:spacing w:val="12"/>
          <w:kern w:val="0"/>
          <w:sz w:val="24"/>
          <w:lang w:val="en-US" w:eastAsia="zh-CN"/>
        </w:rPr>
        <w:t>3</w:t>
      </w:r>
      <w:r>
        <w:rPr>
          <w:rFonts w:hint="eastAsia" w:ascii="宋体" w:hAnsi="宋体" w:cs="宋体"/>
          <w:spacing w:val="12"/>
          <w:kern w:val="0"/>
          <w:sz w:val="24"/>
        </w:rPr>
        <w:t>）</w:t>
      </w:r>
      <w:r>
        <w:rPr>
          <w:rFonts w:hint="eastAsia" w:ascii="宋体" w:hAnsi="宋体"/>
          <w:b/>
          <w:sz w:val="24"/>
        </w:rPr>
        <w:t>中标规则：</w:t>
      </w:r>
    </w:p>
    <w:p>
      <w:pPr>
        <w:spacing w:after="0" w:line="498" w:lineRule="exact"/>
        <w:ind w:firstLine="528" w:firstLineChars="200"/>
        <w:rPr>
          <w:rFonts w:hint="eastAsia" w:ascii="宋体" w:hAnsi="宋体" w:eastAsia="宋体" w:cs="宋体"/>
          <w:spacing w:val="12"/>
          <w:kern w:val="0"/>
          <w:sz w:val="24"/>
          <w:szCs w:val="24"/>
          <w:lang w:val="en-US" w:eastAsia="zh-CN" w:bidi="ar-SA"/>
        </w:rPr>
      </w:pPr>
      <w:r>
        <w:rPr>
          <w:rFonts w:hint="eastAsia" w:ascii="宋体" w:hAnsi="宋体" w:eastAsia="宋体" w:cs="宋体"/>
          <w:spacing w:val="12"/>
          <w:kern w:val="0"/>
          <w:sz w:val="24"/>
          <w:szCs w:val="24"/>
          <w:lang w:val="en-US" w:eastAsia="zh-CN" w:bidi="ar-SA"/>
        </w:rPr>
        <w:t>本次投标为资质前审的公开招标，符合条件的投标人，不低于底价的最高报价为中标。中标后签订停车场承包经营合同，投标人需一次性付清第一年度承包金，同时一次性缴纳履约保证金。</w:t>
      </w:r>
    </w:p>
    <w:p>
      <w:pPr>
        <w:pStyle w:val="4"/>
        <w:spacing w:line="360" w:lineRule="auto"/>
        <w:ind w:left="0" w:leftChars="0" w:firstLine="482" w:firstLineChars="200"/>
        <w:jc w:val="left"/>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4、投标保证金</w:t>
      </w:r>
    </w:p>
    <w:p>
      <w:pPr>
        <w:pStyle w:val="4"/>
        <w:spacing w:line="360" w:lineRule="auto"/>
        <w:ind w:firstLine="570" w:firstLineChars="0"/>
        <w:jc w:val="left"/>
        <w:rPr>
          <w:rFonts w:ascii="宋体" w:hAnsi="宋体" w:cs="宋体"/>
          <w:spacing w:val="12"/>
          <w:kern w:val="0"/>
          <w:sz w:val="24"/>
        </w:rPr>
      </w:pPr>
      <w:r>
        <w:rPr>
          <w:rFonts w:hint="eastAsia" w:ascii="宋体" w:hAnsi="宋体" w:cs="宋体"/>
          <w:spacing w:val="12"/>
          <w:kern w:val="0"/>
          <w:sz w:val="24"/>
        </w:rPr>
        <w:t xml:space="preserve">1）投标人提供人民币20000元（大写：贰万元整）的投标保证金，且必须在   </w:t>
      </w:r>
      <w:r>
        <w:rPr>
          <w:rFonts w:hint="eastAsia" w:ascii="宋体" w:hAnsi="宋体" w:cs="宋体"/>
          <w:spacing w:val="12"/>
          <w:kern w:val="0"/>
          <w:sz w:val="24"/>
          <w:lang w:val="en-US" w:eastAsia="zh-CN"/>
        </w:rPr>
        <w:t xml:space="preserve"> </w:t>
      </w:r>
      <w:r>
        <w:rPr>
          <w:rFonts w:hint="eastAsia" w:ascii="宋体" w:hAnsi="宋体" w:cs="宋体"/>
          <w:spacing w:val="12"/>
          <w:kern w:val="0"/>
          <w:sz w:val="24"/>
        </w:rPr>
        <w:t xml:space="preserve">年  </w:t>
      </w:r>
      <w:r>
        <w:rPr>
          <w:rFonts w:hint="eastAsia" w:ascii="宋体" w:hAnsi="宋体" w:cs="宋体"/>
          <w:spacing w:val="12"/>
          <w:kern w:val="0"/>
          <w:sz w:val="24"/>
          <w:lang w:val="en-US" w:eastAsia="zh-CN"/>
        </w:rPr>
        <w:t xml:space="preserve"> </w:t>
      </w:r>
      <w:r>
        <w:rPr>
          <w:rFonts w:hint="eastAsia" w:ascii="宋体" w:hAnsi="宋体" w:cs="宋体"/>
          <w:spacing w:val="12"/>
          <w:kern w:val="0"/>
          <w:sz w:val="24"/>
        </w:rPr>
        <w:t xml:space="preserve">月 </w:t>
      </w:r>
      <w:r>
        <w:rPr>
          <w:rFonts w:hint="eastAsia" w:ascii="宋体" w:hAnsi="宋体" w:cs="宋体"/>
          <w:spacing w:val="12"/>
          <w:kern w:val="0"/>
          <w:sz w:val="24"/>
          <w:lang w:val="en-US" w:eastAsia="zh-CN"/>
        </w:rPr>
        <w:t xml:space="preserve"> </w:t>
      </w:r>
      <w:r>
        <w:rPr>
          <w:rFonts w:hint="eastAsia" w:ascii="宋体" w:hAnsi="宋体" w:cs="宋体"/>
          <w:spacing w:val="12"/>
          <w:kern w:val="0"/>
          <w:sz w:val="24"/>
        </w:rPr>
        <w:t xml:space="preserve"> 日前存入招标人指定银行账号（以有效的进账回执单为准），投标保证金有效的进账回执单是投标文件的一个组成部分。</w:t>
      </w:r>
    </w:p>
    <w:p>
      <w:pPr>
        <w:pStyle w:val="4"/>
        <w:spacing w:line="360" w:lineRule="auto"/>
        <w:ind w:firstLine="570" w:firstLineChars="0"/>
        <w:jc w:val="left"/>
        <w:rPr>
          <w:rFonts w:hint="eastAsia" w:ascii="宋体" w:hAnsi="宋体" w:cs="宋体"/>
          <w:spacing w:val="12"/>
          <w:kern w:val="0"/>
          <w:sz w:val="24"/>
        </w:rPr>
      </w:pPr>
    </w:p>
    <w:p>
      <w:pPr>
        <w:pStyle w:val="4"/>
        <w:spacing w:line="360" w:lineRule="auto"/>
        <w:ind w:firstLine="570" w:firstLineChars="0"/>
        <w:jc w:val="left"/>
        <w:rPr>
          <w:rFonts w:ascii="宋体" w:hAnsi="宋体" w:cs="宋体"/>
          <w:spacing w:val="12"/>
          <w:kern w:val="0"/>
          <w:sz w:val="24"/>
        </w:rPr>
      </w:pPr>
      <w:r>
        <w:rPr>
          <w:rFonts w:hint="eastAsia" w:ascii="宋体" w:hAnsi="宋体" w:cs="宋体"/>
          <w:spacing w:val="12"/>
          <w:kern w:val="0"/>
          <w:sz w:val="24"/>
        </w:rPr>
        <w:t>户名：</w:t>
      </w:r>
      <w:r>
        <w:rPr>
          <w:rFonts w:ascii="宋体" w:hAnsi="宋体" w:cs="宋体"/>
          <w:spacing w:val="12"/>
          <w:kern w:val="0"/>
          <w:sz w:val="24"/>
        </w:rPr>
        <w:t>扬州市城建资产经营管理有限责任公司   </w:t>
      </w:r>
    </w:p>
    <w:p>
      <w:pPr>
        <w:ind w:firstLine="528" w:firstLineChars="200"/>
        <w:rPr>
          <w:rFonts w:ascii="宋体" w:hAnsi="宋体" w:cs="宋体"/>
          <w:spacing w:val="12"/>
          <w:kern w:val="0"/>
          <w:sz w:val="24"/>
        </w:rPr>
      </w:pPr>
      <w:r>
        <w:rPr>
          <w:rFonts w:hint="eastAsia" w:ascii="宋体" w:hAnsi="宋体" w:cs="宋体"/>
          <w:spacing w:val="12"/>
          <w:kern w:val="0"/>
          <w:sz w:val="24"/>
        </w:rPr>
        <w:t>开户行：</w:t>
      </w:r>
      <w:r>
        <w:rPr>
          <w:rFonts w:ascii="宋体" w:hAnsi="宋体" w:cs="宋体"/>
          <w:spacing w:val="12"/>
          <w:kern w:val="0"/>
          <w:sz w:val="24"/>
        </w:rPr>
        <w:t>交行国庆北路支行</w:t>
      </w:r>
    </w:p>
    <w:p>
      <w:pPr>
        <w:ind w:firstLine="528" w:firstLineChars="200"/>
        <w:rPr>
          <w:sz w:val="28"/>
          <w:szCs w:val="28"/>
        </w:rPr>
      </w:pPr>
      <w:r>
        <w:rPr>
          <w:rFonts w:hint="eastAsia" w:ascii="宋体" w:hAnsi="宋体" w:cs="宋体"/>
          <w:spacing w:val="12"/>
          <w:kern w:val="0"/>
          <w:sz w:val="24"/>
        </w:rPr>
        <w:t>账号：</w:t>
      </w:r>
      <w:r>
        <w:rPr>
          <w:rFonts w:ascii="宋体" w:hAnsi="宋体" w:cs="宋体"/>
          <w:spacing w:val="12"/>
          <w:kern w:val="0"/>
          <w:sz w:val="24"/>
        </w:rPr>
        <w:t>395067300018010011605</w:t>
      </w:r>
    </w:p>
    <w:p>
      <w:pPr>
        <w:pStyle w:val="4"/>
        <w:spacing w:line="360" w:lineRule="auto"/>
        <w:ind w:firstLine="570" w:firstLineChars="0"/>
        <w:jc w:val="left"/>
        <w:rPr>
          <w:rFonts w:ascii="宋体" w:hAnsi="宋体" w:cs="宋体"/>
          <w:spacing w:val="12"/>
          <w:kern w:val="0"/>
          <w:sz w:val="24"/>
          <w:u w:val="single"/>
        </w:rPr>
      </w:pPr>
      <w:r>
        <w:rPr>
          <w:rFonts w:hint="eastAsia" w:ascii="宋体" w:hAnsi="宋体" w:cs="宋体"/>
          <w:spacing w:val="12"/>
          <w:kern w:val="0"/>
          <w:sz w:val="24"/>
        </w:rPr>
        <w:t>电话：0514-87370502</w:t>
      </w:r>
    </w:p>
    <w:p>
      <w:pPr>
        <w:pStyle w:val="4"/>
        <w:spacing w:line="360" w:lineRule="auto"/>
        <w:ind w:firstLine="570" w:firstLineChars="0"/>
        <w:jc w:val="left"/>
        <w:rPr>
          <w:rFonts w:ascii="宋体" w:hAnsi="宋体" w:cs="宋体"/>
          <w:spacing w:val="12"/>
          <w:kern w:val="0"/>
          <w:sz w:val="24"/>
        </w:rPr>
      </w:pPr>
      <w:r>
        <w:rPr>
          <w:rFonts w:hint="eastAsia" w:ascii="宋体" w:hAnsi="宋体" w:cs="宋体"/>
          <w:spacing w:val="12"/>
          <w:kern w:val="0"/>
          <w:sz w:val="24"/>
        </w:rPr>
        <w:t>2）未中标的投标人于招标结束后在投标保证金单据背面填写投标单位户名、账号和开户行、联系人、联系电话，并交由招标人统一退还保证金。中标人的投标保证金转为履约保证金，未中标的投标人投标保证金将在宣布结果后七个工作日内无息退还，中标候选人的投标保证金在招标人与中标人签订合同完毕后七个工作日内无息退还，招标人不针对个人账户退还投标保证金。</w:t>
      </w:r>
    </w:p>
    <w:p>
      <w:pPr>
        <w:pStyle w:val="4"/>
        <w:spacing w:line="360" w:lineRule="auto"/>
        <w:ind w:firstLine="570" w:firstLineChars="0"/>
        <w:jc w:val="left"/>
        <w:rPr>
          <w:rFonts w:ascii="宋体" w:hAnsi="宋体" w:cs="宋体"/>
          <w:spacing w:val="12"/>
          <w:kern w:val="0"/>
          <w:sz w:val="24"/>
        </w:rPr>
      </w:pPr>
      <w:r>
        <w:rPr>
          <w:rFonts w:hint="eastAsia" w:ascii="宋体" w:hAnsi="宋体" w:cs="宋体"/>
          <w:spacing w:val="12"/>
          <w:kern w:val="0"/>
          <w:sz w:val="24"/>
        </w:rPr>
        <w:t>3）如有下列情况，将没收投标保证金：</w:t>
      </w:r>
    </w:p>
    <w:p>
      <w:pPr>
        <w:pStyle w:val="4"/>
        <w:numPr>
          <w:ilvl w:val="0"/>
          <w:numId w:val="4"/>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投标人交纳投标保证金后放弃投标的（因不可抗力除外）；</w:t>
      </w:r>
    </w:p>
    <w:p>
      <w:pPr>
        <w:pStyle w:val="4"/>
        <w:numPr>
          <w:ilvl w:val="0"/>
          <w:numId w:val="4"/>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因中标人原因未能在招标文件规定期限内签署合同或不签署合同的；</w:t>
      </w:r>
    </w:p>
    <w:p>
      <w:pPr>
        <w:pStyle w:val="4"/>
        <w:numPr>
          <w:ilvl w:val="0"/>
          <w:numId w:val="4"/>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招标人发现在开标、评标现场有恶意扰乱招标程序或串标者或投标人私下进行沟通的；</w:t>
      </w:r>
    </w:p>
    <w:p>
      <w:pPr>
        <w:pStyle w:val="4"/>
        <w:numPr>
          <w:ilvl w:val="0"/>
          <w:numId w:val="4"/>
        </w:numPr>
        <w:spacing w:line="360" w:lineRule="auto"/>
        <w:ind w:firstLineChars="0"/>
        <w:jc w:val="left"/>
        <w:rPr>
          <w:rFonts w:ascii="宋体" w:hAnsi="宋体" w:cs="宋体"/>
          <w:spacing w:val="12"/>
          <w:kern w:val="0"/>
          <w:sz w:val="24"/>
        </w:rPr>
      </w:pPr>
      <w:r>
        <w:rPr>
          <w:rFonts w:hint="eastAsia" w:ascii="宋体" w:hAnsi="宋体" w:cs="宋体"/>
          <w:spacing w:val="12"/>
          <w:kern w:val="0"/>
          <w:sz w:val="24"/>
        </w:rPr>
        <w:t>中标人在中标后不按照招标文件、投标文件、现场统一标准签订合同的。</w:t>
      </w:r>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5、投标截止时间</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1）投标文件必须在投标截止时间前送达到指定的投标地点（以招标方具体通知为准）。</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2）在投标截止时间以后送达的投标文件，招标方拒绝接收。</w:t>
      </w:r>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6、开标后投标文件的处理</w:t>
      </w:r>
    </w:p>
    <w:p>
      <w:pPr>
        <w:pStyle w:val="4"/>
        <w:spacing w:line="360" w:lineRule="auto"/>
        <w:ind w:firstLine="528"/>
        <w:jc w:val="left"/>
        <w:rPr>
          <w:rFonts w:ascii="宋体" w:hAnsi="宋体" w:cs="宋体"/>
          <w:b/>
          <w:spacing w:val="12"/>
          <w:kern w:val="0"/>
          <w:sz w:val="24"/>
          <w:u w:val="single"/>
        </w:rPr>
      </w:pPr>
      <w:r>
        <w:rPr>
          <w:rFonts w:hint="eastAsia" w:ascii="宋体" w:hAnsi="宋体" w:cs="宋体"/>
          <w:spacing w:val="12"/>
          <w:kern w:val="0"/>
          <w:sz w:val="24"/>
        </w:rPr>
        <w:t>1）</w:t>
      </w:r>
      <w:r>
        <w:rPr>
          <w:rFonts w:hint="eastAsia" w:ascii="宋体" w:hAnsi="宋体" w:cs="宋体"/>
          <w:b/>
          <w:spacing w:val="12"/>
          <w:kern w:val="0"/>
          <w:sz w:val="24"/>
          <w:u w:val="single"/>
        </w:rPr>
        <w:t>所有有效投标人在正式参加投标后，即作为其同意投标书所有权的无偿转让；</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2）招标方可根据实际情况需要退还或不退还投标方的投标书，以及在投标过程中所作出的相关书面承诺文件。</w:t>
      </w:r>
    </w:p>
    <w:p>
      <w:pPr>
        <w:spacing w:line="360" w:lineRule="auto"/>
        <w:ind w:firstLine="602" w:firstLineChars="200"/>
        <w:jc w:val="left"/>
        <w:outlineLvl w:val="0"/>
        <w:rPr>
          <w:rFonts w:ascii="宋体" w:hAnsi="宋体"/>
          <w:b/>
          <w:sz w:val="30"/>
          <w:szCs w:val="30"/>
        </w:rPr>
      </w:pPr>
      <w:bookmarkStart w:id="6" w:name="_Toc346202433"/>
      <w:r>
        <w:rPr>
          <w:rFonts w:hint="eastAsia" w:ascii="宋体" w:hAnsi="宋体"/>
          <w:b/>
          <w:sz w:val="30"/>
          <w:szCs w:val="30"/>
        </w:rPr>
        <w:t>五、开标及评标</w:t>
      </w:r>
      <w:bookmarkEnd w:id="6"/>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1、开标</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开标由扬州市城建资产经营管理有限责任公司招标小组人员参加开标。</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开标时由监标组相关人员查验投标文件密封情况，确认无误后拆封。</w:t>
      </w:r>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2、投标的澄清</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评标委员会有权就投标文件中含混之处向投标方提出询问或澄清要求。投标方必须按照评标组的要求进行答疑和澄清。</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必要时评标组可要求投标方就澄清的问题作书面回答，该书面回答应有投标方全权代表的签章，并将作为投标文件的一部分。</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投标方对投标文件的澄清不得改变投标价格及实质内容。</w:t>
      </w:r>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3、评标</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（1）评标委员会由扬州市城建资产经营管理有限责任公司招标小组人员组成，只对具备实质性响应的投标文件进行评估，评标委员会独立开展评审工作。</w:t>
      </w:r>
    </w:p>
    <w:p>
      <w:pPr>
        <w:spacing w:line="360" w:lineRule="auto"/>
        <w:ind w:firstLine="630" w:firstLineChars="300"/>
        <w:rPr>
          <w:rFonts w:ascii="宋体" w:hAnsi="宋体"/>
          <w:sz w:val="24"/>
        </w:rPr>
      </w:pPr>
      <w:r>
        <w:rPr>
          <w:rFonts w:hint="eastAsia"/>
          <w:kern w:val="0"/>
        </w:rPr>
        <w:t>（2）</w:t>
      </w:r>
      <w:r>
        <w:rPr>
          <w:rFonts w:hint="eastAsia"/>
          <w:kern w:val="0"/>
          <w:sz w:val="24"/>
        </w:rPr>
        <w:t>本次</w:t>
      </w:r>
      <w:r>
        <w:rPr>
          <w:rFonts w:hint="eastAsia" w:ascii="宋体" w:hAnsi="宋体"/>
          <w:sz w:val="24"/>
        </w:rPr>
        <w:t>评标采用综合评分法，主要因素及其权值如下：</w:t>
      </w:r>
    </w:p>
    <w:p>
      <w:pPr>
        <w:spacing w:line="360" w:lineRule="auto"/>
        <w:ind w:firstLine="720" w:firstLineChars="300"/>
        <w:rPr>
          <w:rFonts w:ascii="宋体" w:hAnsi="宋体"/>
          <w:sz w:val="24"/>
        </w:rPr>
      </w:pPr>
    </w:p>
    <w:tbl>
      <w:tblPr>
        <w:tblStyle w:val="11"/>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3" w:type="dxa"/>
            <w:vAlign w:val="center"/>
          </w:tcPr>
          <w:p>
            <w:pPr>
              <w:jc w:val="center"/>
              <w:rPr>
                <w:rFonts w:hAnsi="宋体" w:cs="宋体"/>
                <w:szCs w:val="21"/>
              </w:rPr>
            </w:pPr>
            <w:r>
              <w:rPr>
                <w:rFonts w:hint="eastAsia" w:hAnsi="宋体" w:cs="宋体"/>
                <w:szCs w:val="21"/>
              </w:rPr>
              <w:t>项  目</w:t>
            </w:r>
          </w:p>
        </w:tc>
        <w:tc>
          <w:tcPr>
            <w:tcW w:w="7277" w:type="dxa"/>
            <w:vAlign w:val="center"/>
          </w:tcPr>
          <w:p>
            <w:pPr>
              <w:jc w:val="center"/>
              <w:rPr>
                <w:rFonts w:hAnsi="宋体" w:cs="宋体"/>
                <w:szCs w:val="21"/>
              </w:rPr>
            </w:pPr>
            <w:r>
              <w:rPr>
                <w:rFonts w:hint="eastAsia" w:hAnsi="宋体" w:cs="宋体"/>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3" w:type="dxa"/>
            <w:tcBorders>
              <w:bottom w:val="single" w:color="auto" w:sz="4" w:space="0"/>
            </w:tcBorders>
            <w:vAlign w:val="center"/>
          </w:tcPr>
          <w:p>
            <w:pPr>
              <w:jc w:val="center"/>
              <w:rPr>
                <w:rFonts w:hAnsi="宋体" w:cs="宋体"/>
                <w:szCs w:val="21"/>
              </w:rPr>
            </w:pPr>
            <w:r>
              <w:rPr>
                <w:rFonts w:hint="eastAsia" w:hAnsi="宋体" w:cs="宋体"/>
                <w:szCs w:val="21"/>
              </w:rPr>
              <w:t>报价</w:t>
            </w:r>
          </w:p>
          <w:p>
            <w:pPr>
              <w:jc w:val="center"/>
              <w:rPr>
                <w:rFonts w:hAnsi="宋体" w:cs="宋体"/>
                <w:szCs w:val="21"/>
              </w:rPr>
            </w:pPr>
            <w:r>
              <w:rPr>
                <w:rFonts w:hint="eastAsia" w:hAnsi="宋体" w:cs="宋体"/>
                <w:szCs w:val="21"/>
              </w:rPr>
              <w:t>（30分）</w:t>
            </w:r>
          </w:p>
        </w:tc>
        <w:tc>
          <w:tcPr>
            <w:tcW w:w="7277" w:type="dxa"/>
            <w:vAlign w:val="center"/>
          </w:tcPr>
          <w:p>
            <w:pPr>
              <w:spacing w:line="360" w:lineRule="auto"/>
              <w:rPr>
                <w:rFonts w:hAnsi="宋体" w:cs="宋体"/>
                <w:szCs w:val="21"/>
              </w:rPr>
            </w:pPr>
            <w:r>
              <w:rPr>
                <w:rFonts w:hint="eastAsia" w:ascii="宋体" w:hAnsi="宋体"/>
                <w:kern w:val="0"/>
                <w:szCs w:val="21"/>
                <w:lang w:val="zh-CN"/>
              </w:rPr>
              <w:t>以满足招标文件要求的所有合格投标人的报价平均值为评标基准价，满分30分；投标报价与评标基准价的差值，每高1%扣1分，每低1%扣0.5分。最多扣5分，不足1%按插入法计算。                                                          备注：报价大于最高限价的不参加平均值计算，为零分。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3" w:type="dxa"/>
            <w:vAlign w:val="center"/>
          </w:tcPr>
          <w:p>
            <w:pPr>
              <w:jc w:val="center"/>
              <w:rPr>
                <w:rFonts w:hAnsi="宋体" w:cs="宋体"/>
                <w:szCs w:val="21"/>
                <w:lang w:val="zh-CN"/>
              </w:rPr>
            </w:pPr>
            <w:r>
              <w:rPr>
                <w:rFonts w:hint="eastAsia" w:hAnsi="宋体" w:cs="宋体"/>
                <w:szCs w:val="21"/>
                <w:lang w:val="zh-CN"/>
              </w:rPr>
              <w:t>服务方案</w:t>
            </w:r>
          </w:p>
          <w:p>
            <w:pPr>
              <w:jc w:val="center"/>
              <w:rPr>
                <w:rFonts w:hAnsi="宋体" w:cs="宋体"/>
                <w:szCs w:val="21"/>
              </w:rPr>
            </w:pPr>
            <w:r>
              <w:rPr>
                <w:rFonts w:hint="eastAsia" w:hAnsi="宋体" w:cs="宋体"/>
                <w:szCs w:val="21"/>
                <w:lang w:val="zh-CN"/>
              </w:rPr>
              <w:t>（</w:t>
            </w:r>
            <w:r>
              <w:rPr>
                <w:rFonts w:hint="eastAsia" w:hAnsi="宋体" w:cs="宋体"/>
                <w:szCs w:val="21"/>
              </w:rPr>
              <w:t>40</w:t>
            </w:r>
            <w:r>
              <w:rPr>
                <w:rFonts w:hint="eastAsia" w:hAnsi="宋体" w:cs="宋体"/>
                <w:szCs w:val="21"/>
                <w:lang w:val="zh-CN"/>
              </w:rPr>
              <w:t>分）</w:t>
            </w:r>
          </w:p>
        </w:tc>
        <w:tc>
          <w:tcPr>
            <w:tcW w:w="7277" w:type="dxa"/>
            <w:vAlign w:val="center"/>
          </w:tcPr>
          <w:p>
            <w:pPr>
              <w:numPr>
                <w:ilvl w:val="0"/>
                <w:numId w:val="5"/>
              </w:numPr>
              <w:spacing w:line="360" w:lineRule="auto"/>
              <w:rPr>
                <w:rFonts w:hAnsi="宋体" w:cs="宋体"/>
                <w:szCs w:val="21"/>
              </w:rPr>
            </w:pPr>
            <w:r>
              <w:rPr>
                <w:rFonts w:hint="eastAsia" w:hAnsi="宋体" w:cs="宋体"/>
                <w:szCs w:val="21"/>
              </w:rPr>
              <w:t>总体服务方案科学合理，内容详细，亮点多，针对性强，各投标人横向对比，优得18-20分，良得15-17分，一般得13-14分，总体服务方案无特点，无针对性，不能满足采购人实际需求，不进入实质性评标。</w:t>
            </w:r>
          </w:p>
          <w:p>
            <w:pPr>
              <w:numPr>
                <w:ilvl w:val="0"/>
                <w:numId w:val="5"/>
              </w:numPr>
              <w:spacing w:line="360" w:lineRule="auto"/>
              <w:rPr>
                <w:rFonts w:ascii="仿宋_GB2312" w:hAnsi="仿宋_GB2312" w:eastAsia="仿宋_GB2312" w:cs="仿宋_GB2312"/>
                <w:sz w:val="24"/>
              </w:rPr>
            </w:pPr>
            <w:r>
              <w:rPr>
                <w:rFonts w:hint="eastAsia" w:hAnsi="宋体" w:cs="宋体"/>
                <w:szCs w:val="21"/>
              </w:rPr>
              <w:t>应对反恐，处理突发事件的方案。对比最优得10分，良得8-9分，一般得6-7分，没有此项不得分。</w:t>
            </w:r>
          </w:p>
          <w:p>
            <w:pPr>
              <w:numPr>
                <w:ilvl w:val="0"/>
                <w:numId w:val="5"/>
              </w:numPr>
              <w:spacing w:line="360" w:lineRule="auto"/>
              <w:rPr>
                <w:rFonts w:ascii="仿宋_GB2312" w:hAnsi="仿宋_GB2312" w:eastAsia="仿宋_GB2312" w:cs="仿宋_GB2312"/>
                <w:sz w:val="24"/>
              </w:rPr>
            </w:pPr>
            <w:r>
              <w:rPr>
                <w:rFonts w:hint="eastAsia" w:hAnsi="宋体" w:cs="宋体"/>
                <w:szCs w:val="21"/>
              </w:rPr>
              <w:t>保安员年龄结构、培训及管理。人员培训及管理合理可行，年龄结构合理。消防控制室所有值班人员（人员名册应与实际人员相符）均能持消防证上岗。对比最优得10分，良得8-9分，一般得6-7分，没有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3" w:type="dxa"/>
            <w:vAlign w:val="center"/>
          </w:tcPr>
          <w:p>
            <w:pPr>
              <w:jc w:val="center"/>
              <w:rPr>
                <w:rFonts w:hAnsi="宋体" w:cs="宋体"/>
                <w:szCs w:val="21"/>
                <w:lang w:val="zh-CN"/>
              </w:rPr>
            </w:pPr>
            <w:r>
              <w:rPr>
                <w:rFonts w:hint="eastAsia" w:hAnsi="宋体" w:cs="宋体"/>
                <w:szCs w:val="21"/>
                <w:lang w:val="zh-CN"/>
              </w:rPr>
              <w:t>资质经验</w:t>
            </w:r>
          </w:p>
          <w:p>
            <w:pPr>
              <w:jc w:val="center"/>
              <w:rPr>
                <w:rFonts w:hAnsi="宋体" w:cs="宋体"/>
                <w:szCs w:val="21"/>
                <w:lang w:val="zh-CN"/>
              </w:rPr>
            </w:pPr>
            <w:r>
              <w:rPr>
                <w:rFonts w:hint="eastAsia" w:hAnsi="宋体" w:cs="宋体"/>
                <w:szCs w:val="21"/>
                <w:lang w:val="zh-CN"/>
              </w:rPr>
              <w:t>（</w:t>
            </w:r>
            <w:r>
              <w:rPr>
                <w:rFonts w:hint="eastAsia" w:hAnsi="宋体" w:cs="宋体"/>
                <w:szCs w:val="21"/>
              </w:rPr>
              <w:t>16</w:t>
            </w:r>
            <w:r>
              <w:rPr>
                <w:rFonts w:hint="eastAsia" w:hAnsi="宋体" w:cs="宋体"/>
                <w:szCs w:val="21"/>
                <w:lang w:val="zh-CN"/>
              </w:rPr>
              <w:t>分）</w:t>
            </w:r>
          </w:p>
        </w:tc>
        <w:tc>
          <w:tcPr>
            <w:tcW w:w="7277" w:type="dxa"/>
            <w:vAlign w:val="center"/>
          </w:tcPr>
          <w:p>
            <w:pPr>
              <w:numPr>
                <w:ilvl w:val="0"/>
                <w:numId w:val="6"/>
              </w:numPr>
              <w:spacing w:line="360" w:lineRule="auto"/>
              <w:rPr>
                <w:rFonts w:hAnsi="宋体" w:cs="宋体"/>
                <w:color w:val="FF0000"/>
                <w:szCs w:val="21"/>
              </w:rPr>
            </w:pPr>
            <w:r>
              <w:rPr>
                <w:rFonts w:hint="eastAsia" w:hAnsi="宋体" w:cs="宋体"/>
                <w:color w:val="FF0000"/>
                <w:szCs w:val="21"/>
              </w:rPr>
              <w:t>项目负责人具备大专文化且具有高级保安员证书的，得4分；</w:t>
            </w:r>
          </w:p>
          <w:p>
            <w:pPr>
              <w:spacing w:line="360" w:lineRule="auto"/>
              <w:rPr>
                <w:rFonts w:hAnsi="宋体" w:cs="宋体"/>
                <w:color w:val="FF0000"/>
                <w:szCs w:val="21"/>
              </w:rPr>
            </w:pPr>
            <w:r>
              <w:rPr>
                <w:rFonts w:hint="eastAsia" w:hAnsi="宋体" w:cs="宋体"/>
                <w:color w:val="FF0000"/>
                <w:szCs w:val="21"/>
              </w:rPr>
              <w:t>（提供项目负责人相关证书及近三个月社保缴纳记录复印件</w:t>
            </w:r>
            <w:r>
              <w:rPr>
                <w:rFonts w:hint="eastAsia" w:hAnsi="宋体" w:cs="宋体"/>
                <w:color w:val="FF0000"/>
                <w:szCs w:val="21"/>
                <w:lang w:val="zh-CN"/>
              </w:rPr>
              <w:t>并加盖投标人公章</w:t>
            </w:r>
            <w:r>
              <w:rPr>
                <w:rFonts w:hint="eastAsia" w:hAnsi="宋体" w:cs="宋体"/>
                <w:color w:val="FF0000"/>
                <w:szCs w:val="21"/>
              </w:rPr>
              <w:t>，原件备查）</w:t>
            </w:r>
          </w:p>
          <w:p>
            <w:pPr>
              <w:spacing w:line="360" w:lineRule="auto"/>
              <w:rPr>
                <w:rFonts w:hAnsi="宋体" w:cs="宋体"/>
                <w:color w:val="FF0000"/>
                <w:szCs w:val="21"/>
              </w:rPr>
            </w:pPr>
            <w:r>
              <w:rPr>
                <w:rFonts w:hint="eastAsia" w:hAnsi="宋体" w:cs="宋体"/>
                <w:color w:val="FF0000"/>
                <w:szCs w:val="21"/>
              </w:rPr>
              <w:t>2、投标人需提供自2016年1月1日至今，银行或信用评级机构出具的信用评级报告（证书），AAA级以上的得5分，AA级的得4分，A级的得3分</w:t>
            </w:r>
            <w:r>
              <w:rPr>
                <w:rFonts w:hint="eastAsia" w:hAnsi="宋体" w:cs="宋体"/>
                <w:color w:val="FF0000"/>
                <w:szCs w:val="21"/>
                <w:lang w:val="zh-CN"/>
              </w:rPr>
              <w:t>（提供报告或证书复印件加盖投标人公章，原件备查）</w:t>
            </w:r>
            <w:r>
              <w:rPr>
                <w:rFonts w:hint="eastAsia" w:hAnsi="宋体" w:cs="宋体"/>
                <w:color w:val="FF0000"/>
                <w:szCs w:val="21"/>
              </w:rPr>
              <w:t>；</w:t>
            </w:r>
          </w:p>
          <w:p>
            <w:pPr>
              <w:spacing w:line="360" w:lineRule="auto"/>
              <w:rPr>
                <w:rFonts w:hAnsi="宋体" w:cs="宋体"/>
                <w:szCs w:val="21"/>
              </w:rPr>
            </w:pPr>
            <w:r>
              <w:rPr>
                <w:rFonts w:hint="eastAsia" w:hAnsi="宋体" w:cs="宋体"/>
                <w:color w:val="FF0000"/>
                <w:szCs w:val="21"/>
              </w:rPr>
              <w:t>3、投标人自2016年01月01日至今，获得过地级市及以上公安部门颁发的先进保安组织或优秀企业的，国家级荣誉得3分/个，省级荣誉得2分/个，地市级荣誉得1分/个，最多得7分。[需提供相关证书或奖牌（具体时间以公安部门发文时间为准）复印件</w:t>
            </w:r>
            <w:r>
              <w:rPr>
                <w:rFonts w:hint="eastAsia" w:hAnsi="宋体" w:cs="宋体"/>
                <w:color w:val="FF0000"/>
                <w:szCs w:val="21"/>
                <w:lang w:val="zh-CN"/>
              </w:rPr>
              <w:t>并加盖投标人公章</w:t>
            </w:r>
            <w:r>
              <w:rPr>
                <w:rFonts w:hint="eastAsia" w:hAnsi="宋体" w:cs="宋体"/>
                <w:color w:val="FF0000"/>
                <w:szCs w:val="21"/>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03" w:type="dxa"/>
            <w:vAlign w:val="center"/>
          </w:tcPr>
          <w:p>
            <w:pPr>
              <w:jc w:val="center"/>
              <w:rPr>
                <w:rFonts w:hAnsi="宋体" w:cs="宋体"/>
                <w:szCs w:val="21"/>
                <w:lang w:val="zh-CN"/>
              </w:rPr>
            </w:pPr>
            <w:r>
              <w:rPr>
                <w:rFonts w:hint="eastAsia" w:hAnsi="宋体" w:cs="宋体"/>
                <w:szCs w:val="21"/>
                <w:lang w:val="zh-CN"/>
              </w:rPr>
              <w:t>业绩</w:t>
            </w:r>
          </w:p>
          <w:p>
            <w:pPr>
              <w:jc w:val="center"/>
              <w:rPr>
                <w:rFonts w:hAnsi="宋体" w:cs="宋体"/>
                <w:szCs w:val="21"/>
                <w:lang w:val="zh-CN"/>
              </w:rPr>
            </w:pPr>
            <w:r>
              <w:rPr>
                <w:rFonts w:hint="eastAsia" w:hAnsi="宋体" w:cs="宋体"/>
                <w:szCs w:val="21"/>
                <w:lang w:val="zh-CN"/>
              </w:rPr>
              <w:t>（</w:t>
            </w:r>
            <w:r>
              <w:rPr>
                <w:rFonts w:hint="eastAsia" w:hAnsi="宋体" w:cs="宋体"/>
                <w:szCs w:val="21"/>
              </w:rPr>
              <w:t>14</w:t>
            </w:r>
            <w:r>
              <w:rPr>
                <w:rFonts w:hint="eastAsia" w:hAnsi="宋体" w:cs="宋体"/>
                <w:szCs w:val="21"/>
                <w:lang w:val="zh-CN"/>
              </w:rPr>
              <w:t>分）</w:t>
            </w:r>
          </w:p>
        </w:tc>
        <w:tc>
          <w:tcPr>
            <w:tcW w:w="7277" w:type="dxa"/>
            <w:vAlign w:val="center"/>
          </w:tcPr>
          <w:p>
            <w:pPr>
              <w:spacing w:line="360" w:lineRule="auto"/>
              <w:rPr>
                <w:rFonts w:hAnsi="宋体" w:cs="宋体"/>
                <w:color w:val="C00000"/>
                <w:szCs w:val="21"/>
              </w:rPr>
            </w:pPr>
            <w:r>
              <w:rPr>
                <w:rFonts w:hint="eastAsia" w:hAnsi="宋体" w:cs="宋体"/>
                <w:color w:val="C00000"/>
                <w:szCs w:val="21"/>
              </w:rPr>
              <w:t>投标人自2016年01月01日至今，承担过</w:t>
            </w:r>
            <w:r>
              <w:rPr>
                <w:rFonts w:hint="eastAsia" w:hAnsi="宋体" w:cs="宋体"/>
                <w:color w:val="C00000"/>
                <w:szCs w:val="21"/>
                <w:lang w:val="zh-CN"/>
              </w:rPr>
              <w:t>单项合同金额</w:t>
            </w:r>
            <w:r>
              <w:rPr>
                <w:rFonts w:hint="eastAsia" w:hAnsi="宋体" w:cs="宋体"/>
                <w:color w:val="C00000"/>
                <w:szCs w:val="21"/>
                <w:highlight w:val="yellow"/>
              </w:rPr>
              <w:t>50万元</w:t>
            </w:r>
            <w:r>
              <w:rPr>
                <w:rFonts w:hint="eastAsia" w:hAnsi="宋体" w:cs="宋体"/>
                <w:color w:val="C00000"/>
                <w:szCs w:val="21"/>
              </w:rPr>
              <w:t>及以上的保安</w:t>
            </w:r>
            <w:r>
              <w:rPr>
                <w:rFonts w:hint="eastAsia" w:hAnsi="宋体" w:cs="宋体"/>
                <w:color w:val="C00000"/>
                <w:szCs w:val="21"/>
                <w:lang w:val="zh-CN"/>
              </w:rPr>
              <w:t>服务项目</w:t>
            </w:r>
            <w:r>
              <w:rPr>
                <w:rFonts w:hint="eastAsia" w:hAnsi="宋体" w:cs="宋体"/>
                <w:color w:val="C00000"/>
                <w:szCs w:val="21"/>
              </w:rPr>
              <w:t>，每有一项得4分，至多8分；承担过</w:t>
            </w:r>
            <w:r>
              <w:rPr>
                <w:rFonts w:hint="eastAsia" w:hAnsi="宋体" w:cs="宋体"/>
                <w:color w:val="C00000"/>
                <w:szCs w:val="21"/>
                <w:lang w:val="zh-CN"/>
              </w:rPr>
              <w:t>单项合同金额</w:t>
            </w:r>
            <w:r>
              <w:rPr>
                <w:rFonts w:hint="eastAsia" w:hAnsi="宋体" w:cs="宋体"/>
                <w:color w:val="C00000"/>
                <w:szCs w:val="21"/>
                <w:highlight w:val="yellow"/>
              </w:rPr>
              <w:t>30万元</w:t>
            </w:r>
            <w:r>
              <w:rPr>
                <w:rFonts w:hint="eastAsia" w:hAnsi="宋体" w:cs="宋体"/>
                <w:color w:val="C00000"/>
                <w:szCs w:val="21"/>
              </w:rPr>
              <w:t>及以上且50万元以下的保安</w:t>
            </w:r>
            <w:r>
              <w:rPr>
                <w:rFonts w:hint="eastAsia" w:hAnsi="宋体" w:cs="宋体"/>
                <w:color w:val="C00000"/>
                <w:szCs w:val="21"/>
                <w:lang w:val="zh-CN"/>
              </w:rPr>
              <w:t>服务项目</w:t>
            </w:r>
            <w:r>
              <w:rPr>
                <w:rFonts w:hint="eastAsia" w:hAnsi="宋体" w:cs="宋体"/>
                <w:color w:val="C00000"/>
                <w:szCs w:val="21"/>
              </w:rPr>
              <w:t>，每有一项得2分，至多6分。其他不得分。</w:t>
            </w:r>
          </w:p>
          <w:p>
            <w:pPr>
              <w:spacing w:line="360" w:lineRule="auto"/>
              <w:rPr>
                <w:rFonts w:hAnsi="宋体" w:cs="宋体"/>
                <w:szCs w:val="21"/>
              </w:rPr>
            </w:pPr>
            <w:r>
              <w:rPr>
                <w:rFonts w:hint="eastAsia" w:hAnsi="宋体" w:cs="宋体"/>
                <w:szCs w:val="21"/>
              </w:rPr>
              <w:t>（以合同签订日期及金额为准，提供合同复印件加盖投标人公章，原件备查）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0" w:type="dxa"/>
            <w:gridSpan w:val="2"/>
            <w:vAlign w:val="center"/>
          </w:tcPr>
          <w:p>
            <w:pPr>
              <w:jc w:val="center"/>
              <w:rPr>
                <w:rFonts w:hAnsi="宋体" w:cs="宋体"/>
                <w:szCs w:val="21"/>
              </w:rPr>
            </w:pPr>
            <w:r>
              <w:rPr>
                <w:rFonts w:hint="eastAsia" w:hAnsi="宋体" w:cs="宋体"/>
                <w:szCs w:val="21"/>
              </w:rPr>
              <w:t>满分100分</w:t>
            </w:r>
          </w:p>
        </w:tc>
      </w:tr>
    </w:tbl>
    <w:p>
      <w:pPr>
        <w:pStyle w:val="4"/>
        <w:spacing w:line="360" w:lineRule="auto"/>
        <w:ind w:firstLine="528"/>
        <w:jc w:val="left"/>
        <w:rPr>
          <w:rFonts w:ascii="宋体" w:hAnsi="宋体" w:cs="宋体"/>
          <w:spacing w:val="12"/>
          <w:kern w:val="0"/>
          <w:sz w:val="24"/>
        </w:rPr>
      </w:pPr>
    </w:p>
    <w:p>
      <w:pPr>
        <w:autoSpaceDE w:val="0"/>
        <w:autoSpaceDN w:val="0"/>
        <w:adjustRightInd w:val="0"/>
        <w:spacing w:line="360" w:lineRule="auto"/>
        <w:ind w:firstLine="482" w:firstLineChars="200"/>
        <w:jc w:val="left"/>
        <w:rPr>
          <w:rFonts w:hint="eastAsia" w:ascii="宋体" w:hAnsi="宋体"/>
          <w:b/>
          <w:sz w:val="24"/>
        </w:rPr>
      </w:pPr>
    </w:p>
    <w:p>
      <w:pPr>
        <w:autoSpaceDE w:val="0"/>
        <w:autoSpaceDN w:val="0"/>
        <w:adjustRightInd w:val="0"/>
        <w:spacing w:line="360" w:lineRule="auto"/>
        <w:ind w:firstLine="482" w:firstLineChars="200"/>
        <w:jc w:val="left"/>
        <w:rPr>
          <w:rFonts w:hint="eastAsia" w:ascii="宋体" w:hAnsi="宋体"/>
          <w:b/>
          <w:sz w:val="24"/>
        </w:rPr>
      </w:pPr>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4、评标依据</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评标委员会严格按照招标文件的要求进行评标。</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评标委员会根据上述原则综合评出中标优选方案，并依据确定的定标程序选出中标方。</w:t>
      </w:r>
      <w:bookmarkStart w:id="7" w:name="_Toc77757131"/>
    </w:p>
    <w:p>
      <w:pPr>
        <w:pStyle w:val="5"/>
        <w:spacing w:line="360" w:lineRule="auto"/>
        <w:ind w:firstLine="482"/>
        <w:jc w:val="left"/>
        <w:rPr>
          <w:b/>
          <w:szCs w:val="24"/>
        </w:rPr>
      </w:pPr>
      <w:r>
        <w:rPr>
          <w:rFonts w:hint="eastAsia"/>
          <w:b/>
          <w:szCs w:val="24"/>
        </w:rPr>
        <w:t>5、评标过程保密</w:t>
      </w:r>
      <w:bookmarkEnd w:id="7"/>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开标之后，直到授予投标方合同为止，凡是属于审查、澄清、评价和比较投标的有关资料以及授标意向等，均不得向投标方或其他无关的人员透露。</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在评标期间，投标方企图影响招标方的任何活动，将导致投标被拒绝，并承担相应的法律责任。</w:t>
      </w:r>
    </w:p>
    <w:p>
      <w:pPr>
        <w:ind w:firstLine="602" w:firstLineChars="200"/>
        <w:jc w:val="left"/>
        <w:outlineLvl w:val="0"/>
        <w:rPr>
          <w:rFonts w:ascii="宋体" w:hAnsi="宋体"/>
          <w:b/>
          <w:sz w:val="30"/>
          <w:szCs w:val="30"/>
        </w:rPr>
      </w:pPr>
      <w:bookmarkStart w:id="8" w:name="_Toc346202434"/>
      <w:r>
        <w:rPr>
          <w:rFonts w:hint="eastAsia" w:ascii="宋体" w:hAnsi="宋体"/>
          <w:b/>
          <w:sz w:val="30"/>
          <w:szCs w:val="30"/>
        </w:rPr>
        <w:t>六、定标办法</w:t>
      </w:r>
      <w:bookmarkEnd w:id="8"/>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1、评标委员会按照综合得分顺序推荐得分最高单位为意向中标单位。</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2、当确定的意向中标单位因不可抗力提出不能履行合同，招标单位可以依照评标得分顺序确定得分第二名投标单位为意向中标单位，依此类推。</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3、若多家总得分相同而影响到评定结果时，则由评委组对得分相同的投标单位再进行评定后确定。</w:t>
      </w:r>
    </w:p>
    <w:p>
      <w:pPr>
        <w:ind w:firstLine="602" w:firstLineChars="200"/>
        <w:jc w:val="left"/>
        <w:outlineLvl w:val="0"/>
        <w:rPr>
          <w:rFonts w:ascii="宋体" w:hAnsi="宋体"/>
          <w:b/>
          <w:sz w:val="30"/>
          <w:szCs w:val="30"/>
        </w:rPr>
      </w:pPr>
      <w:bookmarkStart w:id="9" w:name="_Toc346202435"/>
      <w:r>
        <w:rPr>
          <w:rFonts w:hint="eastAsia" w:ascii="宋体" w:hAnsi="宋体"/>
          <w:b/>
          <w:sz w:val="30"/>
          <w:szCs w:val="30"/>
        </w:rPr>
        <w:t>七、中标通知</w:t>
      </w:r>
      <w:bookmarkEnd w:id="9"/>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1、在定标后，招标方通知中标单位，发放中标通知书。</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2、中标通知书将是合同的一个组成部分。</w:t>
      </w:r>
      <w:bookmarkStart w:id="10" w:name="_Toc77757135"/>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3、招标方对落标的投标方不作落标原因的解释。</w:t>
      </w:r>
    </w:p>
    <w:p>
      <w:pPr>
        <w:ind w:firstLine="602" w:firstLineChars="200"/>
        <w:jc w:val="left"/>
        <w:outlineLvl w:val="0"/>
        <w:rPr>
          <w:rFonts w:ascii="宋体" w:hAnsi="宋体"/>
          <w:b/>
          <w:sz w:val="30"/>
          <w:szCs w:val="30"/>
        </w:rPr>
      </w:pPr>
      <w:bookmarkStart w:id="11" w:name="_Toc346202436"/>
      <w:r>
        <w:rPr>
          <w:rFonts w:hint="eastAsia" w:ascii="宋体" w:hAnsi="宋体"/>
          <w:b/>
          <w:sz w:val="30"/>
          <w:szCs w:val="30"/>
        </w:rPr>
        <w:t>八、签订合同</w:t>
      </w:r>
      <w:bookmarkEnd w:id="10"/>
      <w:bookmarkEnd w:id="11"/>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1、招投标双方应按中标通知书中规定的时间、地点签订合同，否则按开标后撤回投标处理。</w:t>
      </w:r>
    </w:p>
    <w:p>
      <w:pPr>
        <w:pStyle w:val="4"/>
        <w:spacing w:line="360" w:lineRule="auto"/>
        <w:ind w:firstLine="528"/>
        <w:jc w:val="left"/>
        <w:rPr>
          <w:rFonts w:ascii="宋体" w:hAnsi="宋体" w:cs="宋体"/>
          <w:spacing w:val="12"/>
          <w:kern w:val="0"/>
          <w:sz w:val="24"/>
        </w:rPr>
      </w:pPr>
      <w:r>
        <w:rPr>
          <w:rFonts w:hint="eastAsia" w:ascii="宋体" w:hAnsi="宋体" w:cs="宋体"/>
          <w:spacing w:val="12"/>
          <w:kern w:val="0"/>
          <w:sz w:val="24"/>
        </w:rPr>
        <w:t>2、合同是本次中标方必须签订的文件。</w:t>
      </w:r>
      <w:bookmarkStart w:id="12" w:name="_Toc77757136"/>
    </w:p>
    <w:p>
      <w:pPr>
        <w:spacing w:line="360" w:lineRule="auto"/>
        <w:ind w:firstLine="528" w:firstLineChars="200"/>
        <w:rPr>
          <w:rFonts w:ascii="宋体" w:hAnsi="宋体" w:cs="宋体"/>
        </w:rPr>
      </w:pPr>
      <w:r>
        <w:rPr>
          <w:rFonts w:hint="eastAsia" w:ascii="宋体" w:hAnsi="宋体" w:cs="宋体"/>
          <w:spacing w:val="12"/>
          <w:kern w:val="0"/>
          <w:sz w:val="24"/>
        </w:rPr>
        <w:t>3、合同期限为：暂定1年。</w:t>
      </w:r>
      <w:r>
        <w:rPr>
          <w:rFonts w:hint="eastAsia" w:ascii="宋体" w:hAnsi="宋体" w:cs="宋体"/>
        </w:rPr>
        <w:t>乙方履行合同期满时，经甲方组织评审，对乙方服务情况满意的，经甲、乙双方商定同意，可续签1年合同。</w:t>
      </w:r>
    </w:p>
    <w:p>
      <w:pPr>
        <w:spacing w:line="360" w:lineRule="auto"/>
        <w:ind w:firstLine="528" w:firstLineChars="200"/>
        <w:rPr>
          <w:rFonts w:hAnsi="宋体"/>
          <w:color w:val="000000"/>
          <w:sz w:val="24"/>
        </w:rPr>
      </w:pPr>
      <w:r>
        <w:rPr>
          <w:rFonts w:hint="eastAsia" w:ascii="宋体" w:cs="宋体"/>
          <w:spacing w:val="12"/>
          <w:kern w:val="0"/>
          <w:sz w:val="24"/>
        </w:rPr>
        <w:t>4、</w:t>
      </w:r>
      <w:r>
        <w:rPr>
          <w:rFonts w:hint="eastAsia"/>
          <w:sz w:val="24"/>
        </w:rPr>
        <w:t>招标方在实际运作中按照岗位需求有权随时增加或减少保安人员，双方给予书面确认，服务费用按照实际发生结算。</w:t>
      </w:r>
    </w:p>
    <w:bookmarkEnd w:id="12"/>
    <w:p>
      <w:pPr>
        <w:spacing w:line="360" w:lineRule="auto"/>
        <w:ind w:firstLine="482" w:firstLineChars="200"/>
        <w:jc w:val="left"/>
        <w:outlineLvl w:val="0"/>
        <w:rPr>
          <w:rFonts w:ascii="宋体" w:hAnsi="宋体"/>
          <w:b/>
          <w:sz w:val="24"/>
        </w:rPr>
      </w:pPr>
      <w:bookmarkStart w:id="13" w:name="_Toc346202438"/>
      <w:r>
        <w:rPr>
          <w:rFonts w:hint="eastAsia" w:ascii="宋体" w:hAnsi="宋体"/>
          <w:b/>
          <w:sz w:val="24"/>
        </w:rPr>
        <w:t>九、中标方经营方式</w:t>
      </w:r>
      <w:bookmarkEnd w:id="13"/>
    </w:p>
    <w:p>
      <w:pPr>
        <w:pStyle w:val="4"/>
        <w:spacing w:line="360" w:lineRule="auto"/>
        <w:ind w:firstLine="480"/>
        <w:jc w:val="left"/>
        <w:rPr>
          <w:rFonts w:hint="eastAsia" w:ascii="宋体" w:hAnsi="宋体"/>
        </w:rPr>
      </w:pPr>
      <w:r>
        <w:rPr>
          <w:rFonts w:hint="eastAsia" w:ascii="宋体" w:hAnsi="宋体"/>
          <w:kern w:val="0"/>
          <w:sz w:val="24"/>
        </w:rPr>
        <w:t>中标方在日常服务管理中经营方式为：包干制。</w:t>
      </w:r>
      <w:bookmarkStart w:id="14" w:name="_Toc346202439"/>
    </w:p>
    <w:p>
      <w:pPr>
        <w:pStyle w:val="2"/>
        <w:spacing w:before="0" w:after="0" w:line="240" w:lineRule="auto"/>
        <w:jc w:val="center"/>
        <w:rPr>
          <w:rFonts w:hint="eastAsia" w:ascii="宋体" w:hAnsi="宋体"/>
        </w:rPr>
      </w:pPr>
    </w:p>
    <w:p>
      <w:pPr>
        <w:pStyle w:val="2"/>
        <w:spacing w:before="0" w:after="0" w:line="240" w:lineRule="auto"/>
        <w:jc w:val="center"/>
        <w:rPr>
          <w:rFonts w:ascii="宋体" w:hAnsi="宋体"/>
        </w:rPr>
      </w:pPr>
      <w:r>
        <w:rPr>
          <w:rFonts w:hint="eastAsia" w:ascii="宋体" w:hAnsi="宋体"/>
        </w:rPr>
        <w:t xml:space="preserve">第三部分  </w:t>
      </w:r>
      <w:bookmarkEnd w:id="14"/>
      <w:r>
        <w:rPr>
          <w:rFonts w:hint="eastAsia" w:ascii="宋体" w:hAnsi="宋体"/>
        </w:rPr>
        <w:t>技术条款</w:t>
      </w:r>
    </w:p>
    <w:p>
      <w:pPr>
        <w:pStyle w:val="4"/>
        <w:spacing w:line="240" w:lineRule="auto"/>
        <w:ind w:firstLine="482"/>
        <w:outlineLvl w:val="0"/>
        <w:rPr>
          <w:rFonts w:ascii="宋体" w:hAnsi="宋体"/>
          <w:b/>
          <w:sz w:val="24"/>
        </w:rPr>
      </w:pPr>
      <w:bookmarkStart w:id="15" w:name="_Toc346202440"/>
    </w:p>
    <w:p>
      <w:pPr>
        <w:pStyle w:val="21"/>
        <w:numPr>
          <w:ilvl w:val="0"/>
          <w:numId w:val="7"/>
        </w:numPr>
        <w:spacing w:line="360" w:lineRule="auto"/>
        <w:ind w:firstLineChars="0"/>
        <w:rPr>
          <w:rFonts w:hAnsi="宋体"/>
          <w:b/>
          <w:bCs/>
          <w:sz w:val="24"/>
          <w:szCs w:val="24"/>
        </w:rPr>
      </w:pPr>
      <w:r>
        <w:rPr>
          <w:rFonts w:hint="eastAsia" w:hAnsi="宋体"/>
          <w:b/>
          <w:bCs/>
          <w:sz w:val="24"/>
          <w:szCs w:val="24"/>
        </w:rPr>
        <w:t>本项目总预算：28.8万元。投标报价不得高于预算价，否则作无效标处理。</w:t>
      </w:r>
    </w:p>
    <w:p>
      <w:pPr>
        <w:pStyle w:val="4"/>
        <w:spacing w:line="240" w:lineRule="auto"/>
        <w:ind w:firstLine="482"/>
        <w:outlineLvl w:val="0"/>
        <w:rPr>
          <w:rFonts w:ascii="宋体" w:hAnsi="宋体"/>
          <w:b/>
          <w:sz w:val="24"/>
        </w:rPr>
      </w:pPr>
      <w:r>
        <w:rPr>
          <w:rFonts w:hint="eastAsia" w:ascii="宋体" w:hAnsi="宋体"/>
          <w:b/>
          <w:sz w:val="24"/>
        </w:rPr>
        <w:t>二、项目情况简介</w:t>
      </w:r>
      <w:bookmarkEnd w:id="15"/>
      <w:r>
        <w:rPr>
          <w:rFonts w:hint="eastAsia" w:ascii="宋体" w:hAnsi="宋体"/>
          <w:b/>
          <w:sz w:val="24"/>
        </w:rPr>
        <w:t>：</w:t>
      </w:r>
    </w:p>
    <w:p>
      <w:pPr>
        <w:pStyle w:val="10"/>
        <w:spacing w:before="0" w:beforeAutospacing="0" w:after="0" w:afterAutospacing="0" w:line="360" w:lineRule="auto"/>
        <w:ind w:firstLine="528" w:firstLineChars="200"/>
        <w:jc w:val="both"/>
        <w:rPr>
          <w:rFonts w:ascii="新宋体" w:hAnsi="新宋体" w:eastAsia="新宋体" w:cs="Times New Roman"/>
          <w:spacing w:val="12"/>
          <w:kern w:val="2"/>
        </w:rPr>
      </w:pPr>
      <w:r>
        <w:rPr>
          <w:rFonts w:hint="eastAsia" w:ascii="新宋体" w:hAnsi="新宋体" w:eastAsia="新宋体" w:cs="Times New Roman"/>
          <w:spacing w:val="12"/>
          <w:kern w:val="2"/>
        </w:rPr>
        <w:t>1、停车场地点：南门街112号，东至供电公司、西至南门街、北至赞化巷、南至甘泉路</w:t>
      </w:r>
    </w:p>
    <w:p>
      <w:pPr>
        <w:pStyle w:val="10"/>
        <w:spacing w:before="0" w:beforeAutospacing="0" w:after="0" w:afterAutospacing="0" w:line="360" w:lineRule="auto"/>
        <w:ind w:firstLine="528" w:firstLineChars="200"/>
        <w:jc w:val="both"/>
        <w:rPr>
          <w:rFonts w:ascii="新宋体" w:hAnsi="新宋体" w:eastAsia="新宋体" w:cs="Times New Roman"/>
          <w:spacing w:val="12"/>
          <w:kern w:val="2"/>
        </w:rPr>
      </w:pPr>
      <w:r>
        <w:rPr>
          <w:rFonts w:hint="eastAsia" w:ascii="新宋体" w:hAnsi="新宋体" w:eastAsia="新宋体" w:cs="Times New Roman"/>
          <w:spacing w:val="12"/>
          <w:kern w:val="2"/>
        </w:rPr>
        <w:t>2、停车场出入口：共4个。</w:t>
      </w:r>
    </w:p>
    <w:p>
      <w:pPr>
        <w:pStyle w:val="10"/>
        <w:spacing w:before="0" w:beforeAutospacing="0" w:after="0" w:afterAutospacing="0" w:line="360" w:lineRule="auto"/>
        <w:ind w:firstLine="528" w:firstLineChars="200"/>
        <w:jc w:val="both"/>
        <w:rPr>
          <w:rFonts w:ascii="新宋体" w:hAnsi="新宋体" w:eastAsia="新宋体" w:cs="Times New Roman"/>
          <w:spacing w:val="12"/>
          <w:kern w:val="2"/>
        </w:rPr>
      </w:pPr>
      <w:r>
        <w:rPr>
          <w:rFonts w:hint="eastAsia" w:ascii="新宋体" w:hAnsi="新宋体" w:eastAsia="新宋体" w:cs="Times New Roman"/>
          <w:spacing w:val="12"/>
          <w:kern w:val="2"/>
        </w:rPr>
        <w:t>3、总面积2761㎡，其中室内面积1356.14㎡；停车场198个</w:t>
      </w:r>
    </w:p>
    <w:p>
      <w:pPr>
        <w:pStyle w:val="10"/>
        <w:spacing w:before="0" w:beforeAutospacing="0" w:after="0" w:afterAutospacing="0" w:line="360" w:lineRule="auto"/>
        <w:ind w:firstLine="528" w:firstLineChars="200"/>
        <w:jc w:val="both"/>
        <w:rPr>
          <w:spacing w:val="12"/>
        </w:rPr>
      </w:pPr>
      <w:r>
        <w:rPr>
          <w:rFonts w:hint="eastAsia"/>
          <w:spacing w:val="12"/>
        </w:rPr>
        <w:t>4、消防、监控系统。</w:t>
      </w:r>
      <w:bookmarkStart w:id="16" w:name="_Toc346202441"/>
    </w:p>
    <w:p>
      <w:pPr>
        <w:tabs>
          <w:tab w:val="left" w:pos="1701"/>
          <w:tab w:val="left" w:pos="2127"/>
          <w:tab w:val="left" w:pos="4111"/>
        </w:tabs>
        <w:ind w:firstLine="482" w:firstLineChars="200"/>
        <w:outlineLvl w:val="0"/>
        <w:rPr>
          <w:b/>
          <w:sz w:val="24"/>
        </w:rPr>
      </w:pPr>
      <w:r>
        <w:rPr>
          <w:rFonts w:hint="eastAsia"/>
          <w:b/>
          <w:sz w:val="24"/>
        </w:rPr>
        <w:t>三、保安管理委托内容</w:t>
      </w:r>
      <w:bookmarkEnd w:id="16"/>
    </w:p>
    <w:p>
      <w:pPr>
        <w:tabs>
          <w:tab w:val="left" w:pos="1701"/>
          <w:tab w:val="left" w:pos="2127"/>
          <w:tab w:val="left" w:pos="4111"/>
        </w:tabs>
        <w:ind w:firstLine="528" w:firstLineChars="200"/>
        <w:outlineLvl w:val="0"/>
        <w:rPr>
          <w:rFonts w:ascii="新宋体" w:hAnsi="新宋体" w:eastAsia="新宋体"/>
          <w:spacing w:val="12"/>
          <w:sz w:val="24"/>
        </w:rPr>
      </w:pPr>
      <w:r>
        <w:rPr>
          <w:rFonts w:hint="eastAsia" w:ascii="新宋体" w:hAnsi="新宋体" w:eastAsia="新宋体"/>
          <w:spacing w:val="12"/>
          <w:sz w:val="24"/>
        </w:rPr>
        <w:t>1、在招标方的指导下，负责管理区域内的消防安全管理工作；</w:t>
      </w:r>
    </w:p>
    <w:p>
      <w:pPr>
        <w:tabs>
          <w:tab w:val="left" w:pos="1701"/>
          <w:tab w:val="left" w:pos="2127"/>
          <w:tab w:val="left" w:pos="4111"/>
        </w:tabs>
        <w:ind w:firstLine="528" w:firstLineChars="200"/>
        <w:outlineLvl w:val="0"/>
        <w:rPr>
          <w:rFonts w:ascii="新宋体" w:hAnsi="新宋体" w:eastAsia="新宋体"/>
          <w:spacing w:val="12"/>
          <w:sz w:val="24"/>
        </w:rPr>
      </w:pPr>
      <w:r>
        <w:rPr>
          <w:rFonts w:hint="eastAsia" w:ascii="新宋体" w:hAnsi="新宋体" w:eastAsia="新宋体"/>
          <w:spacing w:val="12"/>
          <w:sz w:val="24"/>
        </w:rPr>
        <w:t>2、在招标方的指导下，负责管理区域交通疏导工作；指挥车辆按规定进出管理区域；指导车辆按规定停放在立体停车位；</w:t>
      </w:r>
    </w:p>
    <w:p>
      <w:pPr>
        <w:tabs>
          <w:tab w:val="left" w:pos="1701"/>
          <w:tab w:val="left" w:pos="2127"/>
          <w:tab w:val="left" w:pos="4111"/>
        </w:tabs>
        <w:ind w:firstLine="528" w:firstLineChars="200"/>
        <w:outlineLvl w:val="0"/>
        <w:rPr>
          <w:rFonts w:ascii="新宋体" w:hAnsi="新宋体" w:eastAsia="新宋体"/>
          <w:spacing w:val="12"/>
          <w:sz w:val="24"/>
        </w:rPr>
      </w:pPr>
      <w:r>
        <w:rPr>
          <w:rFonts w:hint="eastAsia" w:ascii="新宋体" w:hAnsi="新宋体" w:eastAsia="新宋体"/>
          <w:spacing w:val="12"/>
          <w:sz w:val="24"/>
        </w:rPr>
        <w:t>3、在招标方的指导下，对管理区域外围的治安状况、环境秩序负责；</w:t>
      </w:r>
    </w:p>
    <w:p>
      <w:pPr>
        <w:tabs>
          <w:tab w:val="left" w:pos="1701"/>
          <w:tab w:val="left" w:pos="2127"/>
          <w:tab w:val="left" w:pos="4111"/>
        </w:tabs>
        <w:ind w:firstLine="468" w:firstLineChars="200"/>
        <w:outlineLvl w:val="0"/>
        <w:rPr>
          <w:spacing w:val="12"/>
        </w:rPr>
      </w:pPr>
      <w:r>
        <w:rPr>
          <w:rFonts w:hint="eastAsia" w:ascii="新宋体" w:hAnsi="新宋体" w:eastAsia="新宋体"/>
          <w:spacing w:val="12"/>
        </w:rPr>
        <w:t>4、在招标方的指导下，</w:t>
      </w:r>
      <w:r>
        <w:rPr>
          <w:rFonts w:hint="eastAsia" w:ascii="新宋体" w:hAnsi="新宋体" w:eastAsia="新宋体"/>
          <w:spacing w:val="12"/>
          <w:sz w:val="24"/>
        </w:rPr>
        <w:t>保证各功能区域正常的秩序；预防抢劫、偷盗等刑事案件的发生；预防发生重大灾害伤亡事故；</w:t>
      </w:r>
    </w:p>
    <w:p>
      <w:pPr>
        <w:tabs>
          <w:tab w:val="left" w:pos="1701"/>
          <w:tab w:val="left" w:pos="2127"/>
          <w:tab w:val="left" w:pos="4111"/>
        </w:tabs>
        <w:ind w:firstLine="528" w:firstLineChars="200"/>
        <w:outlineLvl w:val="0"/>
        <w:rPr>
          <w:rFonts w:ascii="新宋体" w:hAnsi="新宋体" w:eastAsia="新宋体"/>
          <w:spacing w:val="12"/>
          <w:sz w:val="24"/>
        </w:rPr>
      </w:pPr>
      <w:r>
        <w:rPr>
          <w:rFonts w:hint="eastAsia" w:ascii="新宋体" w:hAnsi="新宋体" w:eastAsia="新宋体"/>
          <w:spacing w:val="12"/>
          <w:sz w:val="24"/>
        </w:rPr>
        <w:t>5、完成招标方指派的其他临时工作；</w:t>
      </w:r>
    </w:p>
    <w:p>
      <w:pPr>
        <w:pStyle w:val="10"/>
        <w:spacing w:before="0" w:beforeAutospacing="0" w:after="0" w:afterAutospacing="0" w:line="360" w:lineRule="auto"/>
        <w:ind w:firstLine="528" w:firstLineChars="200"/>
        <w:jc w:val="both"/>
        <w:rPr>
          <w:spacing w:val="12"/>
        </w:rPr>
      </w:pPr>
      <w:r>
        <w:rPr>
          <w:rFonts w:hint="eastAsia"/>
          <w:spacing w:val="12"/>
        </w:rPr>
        <w:t>6、投标单位另行承诺提供的服务。</w:t>
      </w:r>
    </w:p>
    <w:p>
      <w:pPr>
        <w:pStyle w:val="4"/>
        <w:spacing w:line="360" w:lineRule="auto"/>
        <w:ind w:firstLine="482"/>
        <w:outlineLvl w:val="0"/>
        <w:rPr>
          <w:rFonts w:ascii="宋体" w:hAnsi="宋体"/>
          <w:b/>
          <w:sz w:val="24"/>
        </w:rPr>
      </w:pPr>
      <w:bookmarkStart w:id="17" w:name="_Toc346202444"/>
      <w:r>
        <w:rPr>
          <w:rFonts w:hint="eastAsia" w:ascii="宋体" w:hAnsi="宋体"/>
          <w:b/>
          <w:sz w:val="24"/>
        </w:rPr>
        <w:t>四、保安服务等级标准及考核依据</w:t>
      </w:r>
      <w:bookmarkEnd w:id="17"/>
    </w:p>
    <w:p>
      <w:pPr>
        <w:ind w:firstLine="480" w:firstLineChars="200"/>
        <w:rPr>
          <w:rFonts w:ascii="宋体" w:hAnsi="宋体"/>
          <w:sz w:val="24"/>
        </w:rPr>
      </w:pPr>
      <w:r>
        <w:rPr>
          <w:rFonts w:hint="eastAsia" w:ascii="宋体" w:hAnsi="宋体"/>
          <w:sz w:val="24"/>
        </w:rPr>
        <w:t>1、保安服务人员标准</w:t>
      </w:r>
    </w:p>
    <w:p>
      <w:pPr>
        <w:widowControl/>
        <w:shd w:val="clear" w:color="auto" w:fill="FFFFFF"/>
        <w:spacing w:line="360" w:lineRule="auto"/>
        <w:ind w:firstLine="480" w:firstLineChars="200"/>
        <w:jc w:val="left"/>
        <w:rPr>
          <w:sz w:val="24"/>
          <w:szCs w:val="28"/>
        </w:rPr>
      </w:pPr>
      <w:r>
        <w:rPr>
          <w:rFonts w:hint="eastAsia"/>
          <w:sz w:val="24"/>
          <w:szCs w:val="28"/>
        </w:rPr>
        <w:t>⑴、</w:t>
      </w:r>
      <w:r>
        <w:rPr>
          <w:rFonts w:hint="eastAsia" w:ascii="宋体" w:hAnsi="宋体"/>
          <w:kern w:val="0"/>
          <w:sz w:val="24"/>
        </w:rPr>
        <w:t>保安、收费人员均具备法律规定的相应资质，人员</w:t>
      </w:r>
      <w:r>
        <w:rPr>
          <w:rFonts w:hint="eastAsia" w:ascii="宋体" w:hAnsi="宋体"/>
          <w:kern w:val="0"/>
          <w:sz w:val="24"/>
          <w:lang w:val="en-US" w:eastAsia="zh-CN"/>
        </w:rPr>
        <w:t>数量至少6人，</w:t>
      </w:r>
      <w:r>
        <w:rPr>
          <w:rFonts w:hint="eastAsia" w:ascii="宋体" w:hAnsi="宋体"/>
          <w:kern w:val="0"/>
          <w:sz w:val="24"/>
        </w:rPr>
        <w:t>年龄不超过55周岁；其中，需至少有2名持有驾驶证与特种设备作业人员证的经验丰富人员，并在工作中能严格遵守安全操作规程。</w:t>
      </w:r>
    </w:p>
    <w:p>
      <w:pPr>
        <w:spacing w:line="360" w:lineRule="auto"/>
        <w:ind w:firstLine="480" w:firstLineChars="200"/>
        <w:rPr>
          <w:sz w:val="24"/>
          <w:szCs w:val="28"/>
        </w:rPr>
      </w:pPr>
      <w:r>
        <w:rPr>
          <w:rFonts w:hint="eastAsia" w:hAnsi="宋体"/>
          <w:color w:val="000000"/>
          <w:sz w:val="24"/>
        </w:rPr>
        <w:t>⑵、具有初中以上的文化程度，</w:t>
      </w:r>
      <w:r>
        <w:rPr>
          <w:rFonts w:hint="eastAsia"/>
          <w:sz w:val="24"/>
          <w:szCs w:val="28"/>
        </w:rPr>
        <w:t>持保安员证上岗；消控室人员需持消防员证。</w:t>
      </w:r>
    </w:p>
    <w:p>
      <w:pPr>
        <w:spacing w:line="360" w:lineRule="auto"/>
        <w:ind w:firstLine="480" w:firstLineChars="200"/>
        <w:rPr>
          <w:sz w:val="24"/>
          <w:szCs w:val="28"/>
        </w:rPr>
      </w:pPr>
      <w:r>
        <w:rPr>
          <w:rFonts w:hint="eastAsia"/>
          <w:sz w:val="24"/>
          <w:szCs w:val="28"/>
        </w:rPr>
        <w:t>⑶、注重形象，吃苦耐劳，服从管理，有保安基础知识。</w:t>
      </w:r>
    </w:p>
    <w:p>
      <w:pPr>
        <w:spacing w:line="360" w:lineRule="auto"/>
        <w:ind w:firstLine="480" w:firstLineChars="200"/>
        <w:rPr>
          <w:rFonts w:hAnsi="宋体"/>
          <w:color w:val="000000"/>
          <w:sz w:val="24"/>
        </w:rPr>
      </w:pPr>
      <w:r>
        <w:rPr>
          <w:rFonts w:hint="eastAsia" w:hAnsi="宋体"/>
          <w:color w:val="000000"/>
          <w:sz w:val="24"/>
        </w:rPr>
        <w:t>⑷、政治历史清楚、品行端正、思想作风正派、无违法犯罪的经历。</w:t>
      </w:r>
    </w:p>
    <w:p>
      <w:pPr>
        <w:spacing w:line="360" w:lineRule="auto"/>
        <w:ind w:firstLine="480" w:firstLineChars="200"/>
        <w:rPr>
          <w:rFonts w:hAnsi="宋体"/>
          <w:color w:val="000000"/>
          <w:sz w:val="24"/>
        </w:rPr>
      </w:pPr>
      <w:r>
        <w:rPr>
          <w:rFonts w:hint="eastAsia"/>
          <w:sz w:val="24"/>
        </w:rPr>
        <w:t>⑸、遵纪守法观念强，能严格执行国家法律法规，自觉遵守双方单位制定的各项规章制度。</w:t>
      </w:r>
    </w:p>
    <w:p>
      <w:pPr>
        <w:spacing w:line="360" w:lineRule="auto"/>
        <w:ind w:firstLine="480" w:firstLineChars="200"/>
        <w:rPr>
          <w:rFonts w:ascii="宋体" w:hAnsi="宋体"/>
          <w:sz w:val="24"/>
        </w:rPr>
      </w:pPr>
      <w:r>
        <w:rPr>
          <w:rFonts w:hint="eastAsia" w:ascii="宋体" w:hAnsi="宋体"/>
          <w:sz w:val="24"/>
        </w:rPr>
        <w:t>2、保安服务要求</w:t>
      </w:r>
    </w:p>
    <w:p>
      <w:pPr>
        <w:pStyle w:val="10"/>
        <w:spacing w:before="0" w:beforeAutospacing="0" w:after="0" w:afterAutospacing="0" w:line="360" w:lineRule="auto"/>
        <w:ind w:firstLine="480" w:firstLineChars="200"/>
        <w:jc w:val="both"/>
        <w:rPr>
          <w:kern w:val="2"/>
        </w:rPr>
      </w:pPr>
      <w:r>
        <w:rPr>
          <w:rFonts w:hint="eastAsia"/>
          <w:kern w:val="2"/>
        </w:rPr>
        <w:t>（1）、收费人员需按照物价部门核定的收费标准收取停车费，并提供发票；保证帐、款相符，若出现款项短少、假币等情形，由</w:t>
      </w:r>
      <w:r>
        <w:rPr>
          <w:rFonts w:hint="eastAsia"/>
          <w:bCs/>
        </w:rPr>
        <w:t>中标方</w:t>
      </w:r>
      <w:r>
        <w:rPr>
          <w:rFonts w:hint="eastAsia"/>
          <w:kern w:val="2"/>
        </w:rPr>
        <w:t>承担相关损失；</w:t>
      </w:r>
      <w:r>
        <w:rPr>
          <w:rFonts w:hint="eastAsia"/>
          <w:bCs/>
        </w:rPr>
        <w:t>中标方</w:t>
      </w:r>
      <w:r>
        <w:rPr>
          <w:rFonts w:hint="eastAsia"/>
          <w:kern w:val="2"/>
        </w:rPr>
        <w:t>应及时将收取款项交存招标人银行账户，并按要求定期至招标人财务部门结清账目。</w:t>
      </w:r>
    </w:p>
    <w:p>
      <w:pPr>
        <w:pStyle w:val="10"/>
        <w:spacing w:before="0" w:beforeAutospacing="0" w:after="0" w:afterAutospacing="0" w:line="360" w:lineRule="auto"/>
        <w:ind w:firstLine="480" w:firstLineChars="200"/>
        <w:jc w:val="both"/>
        <w:rPr>
          <w:kern w:val="2"/>
        </w:rPr>
      </w:pPr>
      <w:r>
        <w:rPr>
          <w:rFonts w:hint="eastAsia"/>
          <w:kern w:val="2"/>
        </w:rPr>
        <w:t>（2）、</w:t>
      </w:r>
      <w:r>
        <w:rPr>
          <w:rFonts w:hint="eastAsia"/>
          <w:bCs/>
        </w:rPr>
        <w:t>中标方</w:t>
      </w:r>
      <w:r>
        <w:rPr>
          <w:rFonts w:hint="eastAsia"/>
          <w:kern w:val="2"/>
        </w:rPr>
        <w:t>负责停车场安全及卫生保洁，若出现车辆被盗、车辆划痕损失，因</w:t>
      </w:r>
      <w:r>
        <w:rPr>
          <w:rFonts w:hint="eastAsia"/>
          <w:bCs/>
        </w:rPr>
        <w:t>中标方</w:t>
      </w:r>
      <w:r>
        <w:rPr>
          <w:rFonts w:hint="eastAsia"/>
          <w:kern w:val="2"/>
        </w:rPr>
        <w:t>工作人员未按规范操作、操作失误造成车辆损失或人员伤亡，由</w:t>
      </w:r>
      <w:r>
        <w:rPr>
          <w:rFonts w:hint="eastAsia"/>
          <w:bCs/>
        </w:rPr>
        <w:t>中标方</w:t>
      </w:r>
      <w:r>
        <w:rPr>
          <w:rFonts w:hint="eastAsia"/>
          <w:kern w:val="2"/>
        </w:rPr>
        <w:t>承担赔偿责任。</w:t>
      </w:r>
    </w:p>
    <w:p>
      <w:pPr>
        <w:pStyle w:val="10"/>
        <w:spacing w:before="0" w:beforeAutospacing="0" w:after="0" w:afterAutospacing="0" w:line="360" w:lineRule="auto"/>
        <w:ind w:firstLine="480" w:firstLineChars="200"/>
        <w:jc w:val="both"/>
        <w:rPr>
          <w:kern w:val="2"/>
        </w:rPr>
      </w:pPr>
      <w:r>
        <w:rPr>
          <w:rFonts w:hint="eastAsia"/>
          <w:kern w:val="2"/>
        </w:rPr>
        <w:t>（3）、本服务项目的质量考核标准为优良级。服务过程中，</w:t>
      </w:r>
      <w:r>
        <w:rPr>
          <w:rFonts w:hint="eastAsia"/>
          <w:bCs/>
        </w:rPr>
        <w:t>中标方</w:t>
      </w:r>
      <w:r>
        <w:rPr>
          <w:rFonts w:hint="eastAsia"/>
          <w:kern w:val="2"/>
        </w:rPr>
        <w:t>除严格进行自检外，应接受招标人的质量抽查和监督。</w:t>
      </w:r>
      <w:r>
        <w:rPr>
          <w:rFonts w:hint="eastAsia"/>
          <w:bCs/>
        </w:rPr>
        <w:t>中标方</w:t>
      </w:r>
      <w:r>
        <w:rPr>
          <w:rFonts w:hint="eastAsia"/>
          <w:kern w:val="2"/>
        </w:rPr>
        <w:t>应严格按岗位职责、服务标准、管理制度的要求提供服务，对不符合上述标准的，招标人有权要求</w:t>
      </w:r>
      <w:r>
        <w:rPr>
          <w:rFonts w:hint="eastAsia"/>
          <w:bCs/>
        </w:rPr>
        <w:t>中标方</w:t>
      </w:r>
      <w:r>
        <w:rPr>
          <w:rFonts w:hint="eastAsia"/>
          <w:kern w:val="2"/>
        </w:rPr>
        <w:t>整改，</w:t>
      </w:r>
      <w:r>
        <w:rPr>
          <w:rFonts w:hint="eastAsia"/>
          <w:bCs/>
        </w:rPr>
        <w:t>中标方</w:t>
      </w:r>
      <w:r>
        <w:rPr>
          <w:rFonts w:hint="eastAsia"/>
          <w:kern w:val="2"/>
        </w:rPr>
        <w:t>应按招标人要求及时整改。</w:t>
      </w:r>
    </w:p>
    <w:p>
      <w:pPr>
        <w:pStyle w:val="10"/>
        <w:spacing w:before="0" w:beforeAutospacing="0" w:after="0" w:afterAutospacing="0" w:line="360" w:lineRule="auto"/>
        <w:ind w:firstLine="480" w:firstLineChars="200"/>
        <w:jc w:val="both"/>
        <w:rPr>
          <w:kern w:val="2"/>
        </w:rPr>
      </w:pPr>
      <w:r>
        <w:rPr>
          <w:rFonts w:hint="eastAsia"/>
          <w:kern w:val="2"/>
        </w:rPr>
        <w:t>（4）、有完善的车辆管理制度；按照委托合同的约定进行进出车辆管理等工作。维持交通秩序；按照合同特别约定履行车辆保管责任。</w:t>
      </w:r>
    </w:p>
    <w:p>
      <w:pPr>
        <w:pStyle w:val="10"/>
        <w:spacing w:before="0" w:beforeAutospacing="0" w:after="0" w:afterAutospacing="0" w:line="360" w:lineRule="auto"/>
        <w:ind w:firstLine="480" w:firstLineChars="200"/>
        <w:jc w:val="both"/>
        <w:rPr>
          <w:spacing w:val="12"/>
        </w:rPr>
      </w:pPr>
      <w:r>
        <w:rPr>
          <w:rFonts w:hint="eastAsia"/>
          <w:kern w:val="2"/>
        </w:rPr>
        <w:t>（5）、健全消防组织，建立消防责任制；保持消防通道畅通；发现火警有义务迅速向消防队报警。每月1次巡查消防栓、箱、烟感头、喷淋头、消防水阀、消防标志等消防设备是否完好、齐全，并及时报告，每日填写工作记录，建档备查。</w:t>
      </w:r>
    </w:p>
    <w:p>
      <w:pPr>
        <w:pStyle w:val="10"/>
        <w:spacing w:before="0" w:beforeAutospacing="0" w:after="0" w:afterAutospacing="0" w:line="360" w:lineRule="auto"/>
        <w:ind w:firstLine="600" w:firstLineChars="250"/>
        <w:jc w:val="both"/>
        <w:rPr>
          <w:kern w:val="2"/>
        </w:rPr>
      </w:pPr>
      <w:r>
        <w:rPr>
          <w:rFonts w:hint="eastAsia"/>
          <w:kern w:val="2"/>
        </w:rPr>
        <w:t>（6）、主出入口</w:t>
      </w:r>
      <w:r>
        <w:rPr>
          <w:rFonts w:hint="eastAsia"/>
          <w:kern w:val="0"/>
          <w:sz w:val="24"/>
          <w:lang w:val="en-US" w:eastAsia="zh-CN"/>
        </w:rPr>
        <w:t>至少</w:t>
      </w:r>
      <w:r>
        <w:rPr>
          <w:rFonts w:hint="eastAsia" w:ascii="宋体" w:hAnsi="宋体"/>
          <w:kern w:val="0"/>
          <w:sz w:val="24"/>
        </w:rPr>
        <w:t>派驻2.5个24小时保安及收费岗</w:t>
      </w:r>
      <w:r>
        <w:rPr>
          <w:rFonts w:hint="eastAsia"/>
          <w:kern w:val="0"/>
          <w:sz w:val="24"/>
          <w:lang w:val="en-US" w:eastAsia="zh-CN"/>
        </w:rPr>
        <w:t>位</w:t>
      </w:r>
      <w:r>
        <w:rPr>
          <w:rFonts w:hint="eastAsia"/>
          <w:kern w:val="2"/>
        </w:rPr>
        <w:t>值班看守。</w:t>
      </w:r>
    </w:p>
    <w:p>
      <w:pPr>
        <w:pStyle w:val="10"/>
        <w:spacing w:before="0" w:beforeAutospacing="0" w:after="0" w:afterAutospacing="0" w:line="360" w:lineRule="auto"/>
        <w:ind w:firstLine="480" w:firstLineChars="200"/>
      </w:pPr>
      <w:r>
        <w:rPr>
          <w:rFonts w:hint="eastAsia"/>
        </w:rPr>
        <w:t>3、考核及依据</w:t>
      </w:r>
    </w:p>
    <w:p>
      <w:pPr>
        <w:spacing w:line="360" w:lineRule="auto"/>
        <w:ind w:firstLine="480" w:firstLineChars="200"/>
        <w:rPr>
          <w:rFonts w:ascii="宋体" w:hAnsi="宋体"/>
          <w:bCs/>
          <w:sz w:val="24"/>
        </w:rPr>
      </w:pPr>
      <w:r>
        <w:rPr>
          <w:rFonts w:hint="eastAsia" w:ascii="宋体" w:hAnsi="宋体"/>
          <w:bCs/>
          <w:sz w:val="24"/>
        </w:rPr>
        <w:t>招标方有权利在保安服务合同履行期间，对中标方的服务质量、业主满意度进行定期或随机的考核，考核方式可由招标方自行组织或委托第三方进行。奖惩措施双方在合同中可商定。</w:t>
      </w:r>
    </w:p>
    <w:p>
      <w:pPr>
        <w:pStyle w:val="10"/>
        <w:spacing w:before="0" w:beforeAutospacing="0" w:after="0" w:afterAutospacing="0" w:line="360" w:lineRule="auto"/>
        <w:ind w:firstLine="480" w:firstLineChars="200"/>
      </w:pPr>
      <w:r>
        <w:rPr>
          <w:rFonts w:hint="eastAsia"/>
        </w:rPr>
        <w:t>4、其他事项</w:t>
      </w:r>
    </w:p>
    <w:p>
      <w:pPr>
        <w:tabs>
          <w:tab w:val="left" w:pos="1701"/>
          <w:tab w:val="left" w:pos="2127"/>
          <w:tab w:val="left" w:pos="4111"/>
        </w:tabs>
        <w:spacing w:line="360" w:lineRule="auto"/>
        <w:ind w:firstLine="480" w:firstLineChars="200"/>
        <w:rPr>
          <w:rFonts w:ascii="宋体" w:hAnsi="宋体"/>
          <w:sz w:val="24"/>
        </w:rPr>
      </w:pPr>
      <w:r>
        <w:rPr>
          <w:rFonts w:hint="eastAsia" w:ascii="宋体" w:hAnsi="宋体"/>
          <w:sz w:val="24"/>
        </w:rPr>
        <w:t>违反招标文件规定或投标过程中有违法、违纪、违规行为的，一经查实，一切后果由责任者自负。</w:t>
      </w:r>
      <w:bookmarkStart w:id="18" w:name="_Toc346202445"/>
    </w:p>
    <w:p>
      <w:pPr>
        <w:rPr>
          <w:rFonts w:hint="eastAsia"/>
        </w:rPr>
      </w:pPr>
    </w:p>
    <w:p>
      <w:pPr>
        <w:pStyle w:val="2"/>
        <w:spacing w:before="0" w:after="0" w:line="360" w:lineRule="auto"/>
        <w:jc w:val="center"/>
        <w:rPr>
          <w:rFonts w:hint="eastAsia"/>
        </w:rPr>
      </w:pPr>
    </w:p>
    <w:p>
      <w:pPr>
        <w:pStyle w:val="2"/>
        <w:spacing w:before="0" w:after="0" w:line="360" w:lineRule="auto"/>
        <w:jc w:val="center"/>
        <w:rPr>
          <w:rFonts w:ascii="宋体" w:hAnsi="宋体"/>
        </w:rPr>
      </w:pPr>
      <w:r>
        <w:rPr>
          <w:rFonts w:hint="eastAsia"/>
        </w:rPr>
        <w:t>第四部分  招投标工作计划与时间安排</w:t>
      </w:r>
      <w:bookmarkEnd w:id="18"/>
    </w:p>
    <w:p>
      <w:pPr>
        <w:tabs>
          <w:tab w:val="left" w:pos="1701"/>
          <w:tab w:val="left" w:pos="2127"/>
          <w:tab w:val="left" w:pos="4111"/>
        </w:tabs>
        <w:spacing w:line="360" w:lineRule="auto"/>
        <w:ind w:firstLine="480" w:firstLineChars="200"/>
        <w:rPr>
          <w:rFonts w:hint="eastAsia" w:ascii="宋体" w:hAnsi="宋体"/>
          <w:sz w:val="24"/>
        </w:rPr>
      </w:pPr>
      <w:r>
        <w:rPr>
          <w:rFonts w:hint="eastAsia" w:ascii="宋体" w:hAnsi="宋体"/>
          <w:sz w:val="24"/>
        </w:rPr>
        <w:t>1、2020年</w:t>
      </w:r>
      <w:r>
        <w:rPr>
          <w:rFonts w:hint="eastAsia" w:ascii="宋体" w:hAnsi="宋体"/>
          <w:sz w:val="24"/>
          <w:lang w:val="en-US" w:eastAsia="zh-CN"/>
        </w:rPr>
        <w:t>8</w:t>
      </w:r>
      <w:r>
        <w:rPr>
          <w:rFonts w:hint="eastAsia" w:ascii="宋体" w:hAnsi="宋体"/>
          <w:sz w:val="24"/>
        </w:rPr>
        <w:t xml:space="preserve">月 </w:t>
      </w:r>
      <w:r>
        <w:rPr>
          <w:rFonts w:hint="eastAsia" w:ascii="宋体" w:hAnsi="宋体"/>
          <w:sz w:val="24"/>
          <w:lang w:val="en-US" w:eastAsia="zh-CN"/>
        </w:rPr>
        <w:t>20</w:t>
      </w:r>
      <w:r>
        <w:rPr>
          <w:rFonts w:hint="eastAsia" w:ascii="宋体" w:hAnsi="宋体"/>
          <w:sz w:val="24"/>
        </w:rPr>
        <w:t xml:space="preserve"> 日18:00前，投标文件递交截止；</w:t>
      </w:r>
    </w:p>
    <w:p>
      <w:pPr>
        <w:tabs>
          <w:tab w:val="left" w:pos="1701"/>
          <w:tab w:val="left" w:pos="2127"/>
          <w:tab w:val="left" w:pos="4111"/>
        </w:tabs>
        <w:spacing w:line="360" w:lineRule="auto"/>
        <w:ind w:firstLine="480" w:firstLineChars="200"/>
        <w:rPr>
          <w:rFonts w:ascii="宋体" w:hAnsi="宋体"/>
          <w:sz w:val="24"/>
        </w:rPr>
      </w:pPr>
      <w:r>
        <w:rPr>
          <w:rFonts w:hint="eastAsia" w:ascii="宋体" w:hAnsi="宋体"/>
          <w:sz w:val="24"/>
        </w:rPr>
        <w:t>保安服务招标投标各事项的时间安排如有变更，以具体通知为准。</w:t>
      </w:r>
    </w:p>
    <w:p>
      <w:bookmarkStart w:id="19" w:name="_Toc346202446"/>
    </w:p>
    <w:p>
      <w:pPr>
        <w:pStyle w:val="2"/>
        <w:spacing w:before="0" w:after="0" w:line="360" w:lineRule="auto"/>
        <w:ind w:firstLine="2615" w:firstLineChars="592"/>
        <w:rPr>
          <w:rFonts w:hint="eastAsia" w:ascii="宋体" w:hAnsi="宋体"/>
        </w:rPr>
      </w:pPr>
    </w:p>
    <w:p>
      <w:pPr>
        <w:pStyle w:val="2"/>
        <w:spacing w:before="0" w:after="0" w:line="360" w:lineRule="auto"/>
        <w:rPr>
          <w:rFonts w:hint="eastAsia" w:ascii="宋体" w:hAnsi="宋体"/>
        </w:rPr>
      </w:pPr>
    </w:p>
    <w:p>
      <w:pPr>
        <w:pStyle w:val="2"/>
        <w:spacing w:before="0" w:after="0" w:line="360" w:lineRule="auto"/>
        <w:ind w:firstLine="2650" w:firstLineChars="600"/>
        <w:rPr>
          <w:rFonts w:ascii="宋体" w:hAnsi="宋体"/>
        </w:rPr>
      </w:pPr>
      <w:r>
        <w:rPr>
          <w:rFonts w:hint="eastAsia" w:ascii="宋体" w:hAnsi="宋体"/>
        </w:rPr>
        <w:t>第五部分  附  件</w:t>
      </w:r>
      <w:bookmarkEnd w:id="19"/>
    </w:p>
    <w:p>
      <w:pPr>
        <w:spacing w:line="360" w:lineRule="auto"/>
        <w:rPr>
          <w:rFonts w:ascii="宋体" w:hAnsi="宋体"/>
          <w:b/>
          <w:bCs/>
          <w:sz w:val="24"/>
        </w:rPr>
      </w:pPr>
      <w:r>
        <w:rPr>
          <w:rFonts w:hint="eastAsia" w:ascii="宋体" w:hAnsi="宋体"/>
          <w:b/>
          <w:bCs/>
          <w:sz w:val="24"/>
        </w:rPr>
        <w:t>附件1：</w:t>
      </w:r>
      <w:bookmarkStart w:id="20" w:name="_Toc77757150"/>
      <w:bookmarkStart w:id="21" w:name="_Ref467988698"/>
      <w:r>
        <w:rPr>
          <w:rFonts w:hint="eastAsia" w:ascii="宋体" w:hAnsi="宋体"/>
          <w:b/>
          <w:bCs/>
          <w:sz w:val="30"/>
          <w:szCs w:val="30"/>
        </w:rPr>
        <w:t>投 标 函</w:t>
      </w:r>
      <w:bookmarkEnd w:id="20"/>
      <w:bookmarkEnd w:id="21"/>
    </w:p>
    <w:p>
      <w:pPr>
        <w:spacing w:line="400" w:lineRule="exact"/>
        <w:rPr>
          <w:rFonts w:ascii="宋体" w:hAnsi="宋体"/>
          <w:sz w:val="24"/>
        </w:rPr>
      </w:pPr>
      <w:r>
        <w:rPr>
          <w:rFonts w:hint="eastAsia" w:ascii="宋体" w:hAnsi="宋体"/>
          <w:sz w:val="24"/>
        </w:rPr>
        <w:t>致：扬州市城建资产经营管理有限责任公司：</w:t>
      </w:r>
    </w:p>
    <w:p>
      <w:pPr>
        <w:spacing w:line="400" w:lineRule="exact"/>
        <w:ind w:firstLine="480" w:firstLineChars="200"/>
        <w:rPr>
          <w:rFonts w:ascii="宋体" w:hAnsi="宋体"/>
          <w:sz w:val="24"/>
          <w:u w:val="single"/>
        </w:rPr>
      </w:pPr>
      <w:r>
        <w:rPr>
          <w:rFonts w:hint="eastAsia" w:ascii="宋体" w:hAnsi="宋体"/>
          <w:sz w:val="24"/>
        </w:rPr>
        <w:t>(投标方全称)             法定代表人      /授予(委托)         全权代表我方参加贵方组织的“赞化巷立体停车场”保安（操作</w:t>
      </w:r>
      <w:r>
        <w:rPr>
          <w:rFonts w:hint="eastAsia" w:ascii="宋体" w:hAnsi="宋体" w:cs="宋体"/>
          <w:sz w:val="24"/>
        </w:rPr>
        <w:t>、</w:t>
      </w:r>
      <w:r>
        <w:rPr>
          <w:rFonts w:hint="eastAsia" w:ascii="宋体" w:hAnsi="宋体"/>
          <w:sz w:val="24"/>
        </w:rPr>
        <w:t>收费）外包项目招标的有关活动，全权处理本次项目投标的有关事宜。</w:t>
      </w:r>
    </w:p>
    <w:p>
      <w:pPr>
        <w:spacing w:line="400" w:lineRule="exact"/>
        <w:ind w:firstLine="480" w:firstLineChars="200"/>
        <w:rPr>
          <w:rFonts w:ascii="宋体" w:hAnsi="宋体"/>
          <w:sz w:val="24"/>
        </w:rPr>
      </w:pPr>
      <w:r>
        <w:rPr>
          <w:rFonts w:hint="eastAsia" w:ascii="宋体" w:hAnsi="宋体"/>
          <w:sz w:val="24"/>
        </w:rPr>
        <w:t>据此函，签字人兹宣布同意如下：</w:t>
      </w:r>
    </w:p>
    <w:p>
      <w:pPr>
        <w:numPr>
          <w:ilvl w:val="0"/>
          <w:numId w:val="8"/>
        </w:numPr>
        <w:tabs>
          <w:tab w:val="left" w:pos="900"/>
          <w:tab w:val="clear" w:pos="1275"/>
        </w:tabs>
        <w:spacing w:line="400" w:lineRule="exact"/>
        <w:ind w:left="900" w:hanging="420"/>
        <w:rPr>
          <w:rFonts w:ascii="宋体" w:hAnsi="宋体"/>
          <w:sz w:val="24"/>
        </w:rPr>
      </w:pPr>
      <w:r>
        <w:rPr>
          <w:rFonts w:hint="eastAsia" w:ascii="宋体" w:hAnsi="宋体"/>
          <w:sz w:val="24"/>
        </w:rPr>
        <w:t>按招标文件规定的各项要求，向招标方提供所需保安服务的费用投标报价，报价是我方真实意愿的反映。</w:t>
      </w:r>
    </w:p>
    <w:p>
      <w:pPr>
        <w:tabs>
          <w:tab w:val="left" w:pos="900"/>
          <w:tab w:val="left" w:pos="1275"/>
        </w:tabs>
        <w:spacing w:line="400" w:lineRule="exact"/>
        <w:ind w:left="900"/>
        <w:rPr>
          <w:rFonts w:ascii="宋体" w:hAnsi="宋体"/>
          <w:sz w:val="24"/>
        </w:rPr>
      </w:pPr>
      <w:r>
        <w:rPr>
          <w:rFonts w:hint="eastAsia" w:ascii="宋体" w:hAnsi="宋体"/>
          <w:sz w:val="24"/>
        </w:rPr>
        <w:t>本次报价总价为     万元。</w:t>
      </w:r>
    </w:p>
    <w:p>
      <w:pPr>
        <w:spacing w:line="400" w:lineRule="exact"/>
        <w:ind w:firstLine="480" w:firstLineChars="200"/>
        <w:rPr>
          <w:rFonts w:ascii="宋体" w:hAnsi="宋体"/>
          <w:sz w:val="24"/>
        </w:rPr>
      </w:pPr>
      <w:r>
        <w:rPr>
          <w:rFonts w:hint="eastAsia" w:ascii="宋体" w:hAnsi="宋体"/>
          <w:sz w:val="24"/>
        </w:rPr>
        <w:t>2、我公司完全理解贵方将合同授予各综合评分最高者的合格投标人。</w:t>
      </w:r>
    </w:p>
    <w:p>
      <w:pPr>
        <w:spacing w:line="400" w:lineRule="exact"/>
        <w:ind w:firstLine="480" w:firstLineChars="200"/>
        <w:rPr>
          <w:rFonts w:ascii="宋体" w:hAnsi="宋体"/>
          <w:sz w:val="24"/>
        </w:rPr>
      </w:pPr>
      <w:r>
        <w:rPr>
          <w:rFonts w:hint="eastAsia" w:ascii="宋体" w:hAnsi="宋体"/>
          <w:sz w:val="24"/>
        </w:rPr>
        <w:t>3、我们已详细审核全部招标文件及其有关补充文件，并履行相关约定。</w:t>
      </w:r>
    </w:p>
    <w:p>
      <w:pPr>
        <w:spacing w:line="400" w:lineRule="exact"/>
        <w:ind w:firstLine="480" w:firstLineChars="200"/>
        <w:rPr>
          <w:rFonts w:ascii="宋体" w:hAnsi="宋体"/>
          <w:sz w:val="24"/>
        </w:rPr>
      </w:pPr>
      <w:r>
        <w:rPr>
          <w:rFonts w:hint="eastAsia" w:ascii="宋体" w:hAnsi="宋体"/>
          <w:sz w:val="24"/>
        </w:rPr>
        <w:t>4、我们同意从规定的开标日期起遵循本投标文件，并在规定的投标有效期期满之前均具有约束力。</w:t>
      </w:r>
    </w:p>
    <w:p>
      <w:pPr>
        <w:spacing w:line="400" w:lineRule="exact"/>
        <w:ind w:firstLine="480" w:firstLineChars="200"/>
        <w:rPr>
          <w:rFonts w:ascii="宋体" w:hAnsi="宋体"/>
          <w:sz w:val="24"/>
        </w:rPr>
      </w:pPr>
      <w:r>
        <w:rPr>
          <w:rFonts w:hint="eastAsia" w:ascii="宋体" w:hAnsi="宋体"/>
          <w:sz w:val="24"/>
        </w:rPr>
        <w:t>5、同意向贵方提供贵方可能另外要求的与投标有关的任何证据或资料，并保证我方已提供和将要提供的文件是真实的、准确的。</w:t>
      </w:r>
    </w:p>
    <w:p>
      <w:pPr>
        <w:spacing w:line="400" w:lineRule="exact"/>
        <w:ind w:firstLine="480" w:firstLineChars="200"/>
        <w:rPr>
          <w:rFonts w:ascii="宋体" w:hAnsi="宋体"/>
          <w:sz w:val="24"/>
        </w:rPr>
      </w:pPr>
      <w:r>
        <w:rPr>
          <w:rFonts w:hint="eastAsia" w:ascii="宋体" w:hAnsi="宋体"/>
          <w:sz w:val="24"/>
        </w:rPr>
        <w:t>6、一旦我方中标，我方将根据招标文件及中标通知书的规定，与贵方签订合同，并严格履行合同的责任和义务，并保证按招标书中规定的时间履行保安服务工作。</w:t>
      </w:r>
    </w:p>
    <w:p>
      <w:pPr>
        <w:spacing w:line="400" w:lineRule="exact"/>
        <w:ind w:firstLine="480" w:firstLineChars="200"/>
        <w:rPr>
          <w:rFonts w:ascii="宋体" w:hAnsi="宋体"/>
          <w:sz w:val="24"/>
        </w:rPr>
      </w:pPr>
      <w:r>
        <w:rPr>
          <w:rFonts w:hint="eastAsia" w:ascii="宋体" w:hAnsi="宋体"/>
          <w:sz w:val="24"/>
        </w:rPr>
        <w:t>7、我方本次投标非恶意投标，否则贵方有权拒绝我方投标书。</w:t>
      </w:r>
    </w:p>
    <w:p>
      <w:pPr>
        <w:spacing w:line="400" w:lineRule="exact"/>
        <w:ind w:firstLine="480" w:firstLineChars="200"/>
        <w:rPr>
          <w:rFonts w:ascii="宋体" w:hAnsi="宋体"/>
          <w:sz w:val="24"/>
        </w:rPr>
      </w:pPr>
      <w:r>
        <w:rPr>
          <w:rFonts w:hint="eastAsia" w:ascii="宋体" w:hAnsi="宋体"/>
          <w:sz w:val="24"/>
        </w:rPr>
        <w:t>8、与本投标有关的正式通讯地址为：</w:t>
      </w:r>
    </w:p>
    <w:p>
      <w:pPr>
        <w:spacing w:line="400" w:lineRule="exact"/>
        <w:ind w:firstLine="480" w:firstLineChars="200"/>
        <w:rPr>
          <w:rFonts w:ascii="宋体" w:hAnsi="宋体"/>
          <w:sz w:val="24"/>
        </w:rPr>
      </w:pPr>
      <w:r>
        <w:rPr>
          <w:rFonts w:hint="eastAsia" w:ascii="宋体" w:hAnsi="宋体"/>
          <w:sz w:val="24"/>
        </w:rPr>
        <w:t xml:space="preserve">地址：                     </w:t>
      </w:r>
      <w:r>
        <w:rPr>
          <w:rFonts w:hint="eastAsia" w:ascii="宋体" w:hAnsi="宋体"/>
          <w:sz w:val="24"/>
          <w:lang w:val="en-US" w:eastAsia="zh-CN"/>
        </w:rPr>
        <w:t xml:space="preserve">        </w:t>
      </w:r>
      <w:r>
        <w:rPr>
          <w:rFonts w:hint="eastAsia" w:ascii="宋体" w:hAnsi="宋体"/>
          <w:sz w:val="24"/>
        </w:rPr>
        <w:t xml:space="preserve"> 邮编：           电话：</w:t>
      </w:r>
    </w:p>
    <w:p>
      <w:pPr>
        <w:spacing w:line="400" w:lineRule="exact"/>
        <w:ind w:firstLine="480" w:firstLineChars="200"/>
        <w:rPr>
          <w:rFonts w:hint="eastAsia" w:ascii="宋体" w:hAnsi="宋体"/>
          <w:sz w:val="24"/>
        </w:rPr>
      </w:pPr>
    </w:p>
    <w:p>
      <w:pPr>
        <w:spacing w:line="400" w:lineRule="exact"/>
        <w:ind w:firstLine="480" w:firstLineChars="200"/>
        <w:rPr>
          <w:rFonts w:ascii="宋体" w:hAnsi="宋体"/>
          <w:sz w:val="24"/>
        </w:rPr>
      </w:pPr>
      <w:r>
        <w:rPr>
          <w:rFonts w:hint="eastAsia" w:ascii="宋体" w:hAnsi="宋体"/>
          <w:sz w:val="24"/>
        </w:rPr>
        <w:t>投标单位授权代表姓名（签字）：</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b/>
          <w:bCs/>
          <w:sz w:val="24"/>
        </w:rPr>
      </w:pPr>
      <w:r>
        <w:rPr>
          <w:rFonts w:hint="eastAsia" w:ascii="宋体" w:hAnsi="宋体"/>
          <w:sz w:val="24"/>
        </w:rPr>
        <w:t xml:space="preserve">投标单位名称（公章）：                      日期：    年    月    </w:t>
      </w:r>
      <w:bookmarkStart w:id="22" w:name="_Toc77757155"/>
      <w:bookmarkStart w:id="23" w:name="_Ref467988471"/>
      <w:bookmarkStart w:id="24" w:name="_Ref467990100"/>
      <w:bookmarkStart w:id="25" w:name="_Ref467988479"/>
      <w:bookmarkStart w:id="26" w:name="_Toc484054600"/>
      <w:bookmarkStart w:id="27" w:name="_Ref467988485"/>
      <w:bookmarkStart w:id="28" w:name="_Ref467990058"/>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ascii="宋体" w:hAnsi="宋体"/>
          <w:b/>
          <w:bCs/>
          <w:sz w:val="24"/>
        </w:rPr>
      </w:pPr>
      <w:r>
        <w:rPr>
          <w:rFonts w:hint="eastAsia" w:ascii="宋体" w:hAnsi="宋体"/>
          <w:b/>
          <w:bCs/>
          <w:sz w:val="24"/>
        </w:rPr>
        <w:t>附件2：</w:t>
      </w:r>
    </w:p>
    <w:p>
      <w:pPr>
        <w:spacing w:line="440" w:lineRule="exact"/>
        <w:jc w:val="center"/>
        <w:rPr>
          <w:rFonts w:ascii="宋体" w:hAnsi="宋体"/>
          <w:b/>
          <w:sz w:val="36"/>
          <w:szCs w:val="36"/>
        </w:rPr>
      </w:pPr>
      <w:r>
        <w:rPr>
          <w:rFonts w:hint="eastAsia" w:ascii="宋体" w:hAnsi="宋体"/>
          <w:b/>
          <w:sz w:val="36"/>
          <w:szCs w:val="36"/>
        </w:rPr>
        <w:t>法定代表人授权书</w:t>
      </w:r>
      <w:bookmarkEnd w:id="22"/>
      <w:bookmarkEnd w:id="23"/>
      <w:bookmarkEnd w:id="24"/>
      <w:bookmarkEnd w:id="25"/>
      <w:bookmarkEnd w:id="26"/>
      <w:bookmarkEnd w:id="27"/>
      <w:bookmarkEnd w:id="28"/>
    </w:p>
    <w:p>
      <w:pPr>
        <w:spacing w:line="440" w:lineRule="exact"/>
        <w:jc w:val="center"/>
        <w:rPr>
          <w:rFonts w:ascii="宋体" w:hAnsi="宋体"/>
          <w:sz w:val="36"/>
          <w:szCs w:val="36"/>
        </w:rPr>
      </w:pPr>
    </w:p>
    <w:p>
      <w:pPr>
        <w:spacing w:before="120" w:line="480" w:lineRule="exact"/>
        <w:rPr>
          <w:rFonts w:ascii="宋体" w:hAnsi="宋体"/>
          <w:sz w:val="24"/>
        </w:rPr>
      </w:pPr>
      <w:r>
        <w:rPr>
          <w:rFonts w:hint="eastAsia" w:ascii="宋体" w:hAnsi="宋体"/>
          <w:sz w:val="24"/>
        </w:rPr>
        <w:t>扬州市城建资产经营管理有限责任公司：</w:t>
      </w:r>
    </w:p>
    <w:p>
      <w:pPr>
        <w:spacing w:before="120" w:line="480" w:lineRule="exact"/>
        <w:ind w:firstLine="480"/>
        <w:rPr>
          <w:rFonts w:ascii="宋体" w:hAnsi="宋体"/>
          <w:sz w:val="24"/>
        </w:rPr>
      </w:pPr>
      <w:r>
        <w:rPr>
          <w:rFonts w:hint="eastAsia" w:ascii="宋体" w:hAnsi="宋体"/>
          <w:sz w:val="24"/>
        </w:rPr>
        <w:t>(投标方全称)</w:t>
      </w:r>
      <w:r>
        <w:rPr>
          <w:rFonts w:hint="eastAsia" w:ascii="宋体" w:hAnsi="宋体"/>
          <w:sz w:val="24"/>
          <w:u w:val="single"/>
        </w:rPr>
        <w:t xml:space="preserve">             </w:t>
      </w:r>
      <w:r>
        <w:rPr>
          <w:rFonts w:hint="eastAsia" w:ascii="宋体" w:hAnsi="宋体"/>
          <w:sz w:val="24"/>
        </w:rPr>
        <w:t>法定代表人</w:t>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u w:val="single"/>
        </w:rPr>
        <w:t>（身份证号码：     ）</w:t>
      </w:r>
      <w:r>
        <w:rPr>
          <w:rFonts w:hint="eastAsia" w:ascii="宋体" w:hAnsi="宋体"/>
          <w:sz w:val="24"/>
        </w:rPr>
        <w:t>授权</w:t>
      </w:r>
      <w:r>
        <w:rPr>
          <w:rFonts w:ascii="宋体" w:hAnsi="宋体"/>
          <w:sz w:val="24"/>
          <w:u w:val="single"/>
        </w:rPr>
        <w:tab/>
      </w:r>
      <w:r>
        <w:rPr>
          <w:rFonts w:ascii="宋体" w:hAnsi="宋体"/>
          <w:sz w:val="24"/>
          <w:u w:val="single"/>
        </w:rPr>
        <w:tab/>
      </w:r>
      <w:r>
        <w:rPr>
          <w:rFonts w:ascii="宋体" w:hAnsi="宋体"/>
          <w:sz w:val="24"/>
          <w:u w:val="single"/>
        </w:rPr>
        <w:tab/>
      </w:r>
      <w:r>
        <w:rPr>
          <w:rFonts w:hint="eastAsia" w:ascii="宋体" w:hAnsi="宋体"/>
          <w:sz w:val="24"/>
        </w:rPr>
        <w:t>(全权代表姓名、身份证号码、职务)为全权代表，参加贵方组织的赞化巷</w:t>
      </w:r>
      <w:r>
        <w:rPr>
          <w:rFonts w:hint="eastAsia" w:ascii="宋体" w:hAnsi="宋体"/>
          <w:sz w:val="24"/>
          <w:u w:val="single"/>
        </w:rPr>
        <w:t>立体停车场</w:t>
      </w:r>
      <w:r>
        <w:rPr>
          <w:rFonts w:hint="eastAsia" w:ascii="宋体" w:hAnsi="宋体"/>
          <w:sz w:val="24"/>
        </w:rPr>
        <w:t>保安（操作</w:t>
      </w:r>
      <w:r>
        <w:rPr>
          <w:rFonts w:hint="eastAsia" w:ascii="宋体" w:hAnsi="宋体" w:cs="宋体"/>
          <w:sz w:val="24"/>
        </w:rPr>
        <w:t>、</w:t>
      </w:r>
      <w:r>
        <w:rPr>
          <w:rFonts w:hint="eastAsia" w:ascii="宋体" w:hAnsi="宋体"/>
          <w:sz w:val="24"/>
        </w:rPr>
        <w:t>收费）外包(招标项目名称)项目招标活动，全权处理我方在投标活动中的一切事宜。</w:t>
      </w:r>
    </w:p>
    <w:p>
      <w:pPr>
        <w:spacing w:before="120" w:line="22" w:lineRule="atLeast"/>
        <w:rPr>
          <w:rFonts w:ascii="宋体" w:hAnsi="宋体"/>
          <w:sz w:val="24"/>
        </w:rPr>
      </w:pPr>
    </w:p>
    <w:p>
      <w:pPr>
        <w:spacing w:line="520" w:lineRule="exact"/>
        <w:rPr>
          <w:rFonts w:ascii="宋体" w:hAnsi="宋体"/>
          <w:sz w:val="24"/>
          <w:u w:val="single"/>
        </w:rPr>
      </w:pPr>
      <w:r>
        <w:rPr>
          <w:rFonts w:hint="eastAsia" w:ascii="宋体" w:hAnsi="宋体"/>
          <w:sz w:val="24"/>
        </w:rPr>
        <w:t>　　　　　　　　　         法定代表人</w:t>
      </w:r>
      <w:r>
        <w:rPr>
          <w:rFonts w:ascii="宋体" w:hAnsi="宋体"/>
          <w:sz w:val="24"/>
        </w:rPr>
        <w:t>(</w:t>
      </w:r>
      <w:r>
        <w:rPr>
          <w:rFonts w:hint="eastAsia" w:ascii="宋体" w:hAnsi="宋体"/>
          <w:sz w:val="24"/>
        </w:rPr>
        <w:t>签章</w:t>
      </w:r>
      <w:r>
        <w:rPr>
          <w:rFonts w:ascii="宋体" w:hAnsi="宋体"/>
          <w:sz w:val="24"/>
        </w:rPr>
        <w:t>)</w:t>
      </w:r>
      <w:r>
        <w:rPr>
          <w:rFonts w:hint="eastAsia" w:ascii="宋体" w:hAnsi="宋体"/>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line="520" w:lineRule="exact"/>
        <w:rPr>
          <w:rFonts w:ascii="宋体" w:hAnsi="宋体"/>
          <w:sz w:val="24"/>
          <w:u w:val="single"/>
        </w:rPr>
      </w:pPr>
      <w:r>
        <w:rPr>
          <w:rFonts w:hint="eastAsia" w:ascii="宋体" w:hAnsi="宋体"/>
          <w:sz w:val="24"/>
        </w:rPr>
        <w:t>　　　　　　　　　　　     投标方全称</w:t>
      </w:r>
      <w:r>
        <w:rPr>
          <w:rFonts w:ascii="宋体" w:hAnsi="宋体"/>
          <w:sz w:val="24"/>
        </w:rPr>
        <w:t>(</w:t>
      </w:r>
      <w:r>
        <w:rPr>
          <w:rFonts w:hint="eastAsia" w:ascii="宋体" w:hAnsi="宋体"/>
          <w:sz w:val="24"/>
        </w:rPr>
        <w:t>公章</w:t>
      </w:r>
      <w:r>
        <w:rPr>
          <w:rFonts w:ascii="宋体" w:hAnsi="宋体"/>
          <w:sz w:val="24"/>
        </w:rPr>
        <w:t>)</w:t>
      </w:r>
      <w:r>
        <w:rPr>
          <w:rFonts w:hint="eastAsia" w:ascii="宋体" w:hAnsi="宋体"/>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line="520" w:lineRule="exact"/>
        <w:rPr>
          <w:rFonts w:ascii="宋体" w:hAnsi="宋体"/>
          <w:sz w:val="24"/>
          <w:u w:val="single"/>
        </w:rPr>
      </w:pPr>
      <w:r>
        <w:rPr>
          <w:rFonts w:hint="eastAsia" w:ascii="宋体" w:hAnsi="宋体"/>
          <w:sz w:val="24"/>
        </w:rPr>
        <w:t>　　　　　　　　　　       日　　      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line="520" w:lineRule="exact"/>
        <w:rPr>
          <w:rFonts w:ascii="宋体" w:hAnsi="宋体"/>
          <w:sz w:val="24"/>
          <w:u w:val="single"/>
        </w:rPr>
      </w:pPr>
      <w:r>
        <w:rPr>
          <w:rFonts w:hint="eastAsia" w:ascii="宋体" w:hAnsi="宋体"/>
          <w:sz w:val="24"/>
        </w:rPr>
        <w:t>　　　　　　　　           全权代表</w:t>
      </w:r>
      <w:r>
        <w:rPr>
          <w:rFonts w:ascii="宋体" w:hAnsi="宋体"/>
          <w:sz w:val="24"/>
        </w:rPr>
        <w:t>(</w:t>
      </w:r>
      <w:r>
        <w:rPr>
          <w:rFonts w:hint="eastAsia" w:ascii="宋体" w:hAnsi="宋体"/>
          <w:sz w:val="24"/>
        </w:rPr>
        <w:t>签字</w:t>
      </w:r>
      <w:r>
        <w:rPr>
          <w:rFonts w:ascii="宋体" w:hAnsi="宋体"/>
          <w:sz w:val="24"/>
        </w:rPr>
        <w:t>)</w:t>
      </w:r>
      <w:r>
        <w:rPr>
          <w:rFonts w:hint="eastAsia" w:ascii="宋体" w:hAnsi="宋体"/>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spacing w:line="520" w:lineRule="exact"/>
        <w:rPr>
          <w:rFonts w:ascii="宋体" w:hAnsi="宋体"/>
          <w:sz w:val="24"/>
        </w:rPr>
      </w:pPr>
      <w:r>
        <w:rPr>
          <w:rFonts w:hint="eastAsia" w:ascii="宋体" w:hAnsi="宋体"/>
          <w:sz w:val="24"/>
        </w:rPr>
        <w:t>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ascii="宋体" w:hAnsi="宋体"/>
          <w:b/>
          <w:bCs/>
          <w:sz w:val="24"/>
        </w:rPr>
      </w:pPr>
      <w:r>
        <w:rPr>
          <w:rFonts w:hint="eastAsia" w:ascii="宋体" w:hAnsi="宋体"/>
          <w:b/>
          <w:bCs/>
          <w:sz w:val="24"/>
        </w:rPr>
        <w:t>附件3：</w:t>
      </w:r>
    </w:p>
    <w:p>
      <w:pPr>
        <w:jc w:val="center"/>
        <w:rPr>
          <w:rFonts w:ascii="宋体" w:hAnsi="宋体"/>
          <w:b/>
          <w:sz w:val="36"/>
          <w:szCs w:val="36"/>
        </w:rPr>
      </w:pPr>
      <w:r>
        <w:rPr>
          <w:rFonts w:hint="eastAsia" w:ascii="宋体" w:hAnsi="宋体"/>
          <w:b/>
          <w:sz w:val="36"/>
          <w:szCs w:val="36"/>
        </w:rPr>
        <w:t>同类保安管理项目统计表</w:t>
      </w:r>
    </w:p>
    <w:p>
      <w:pPr>
        <w:rPr>
          <w:rFonts w:ascii="宋体" w:hAnsi="宋体"/>
          <w:sz w:val="24"/>
        </w:rPr>
      </w:pPr>
      <w:r>
        <w:rPr>
          <w:rFonts w:hint="eastAsia" w:ascii="宋体" w:hAnsi="宋体"/>
          <w:sz w:val="24"/>
        </w:rPr>
        <w:t>投标人承担的保安管理项目清单</w:t>
      </w:r>
    </w:p>
    <w:tbl>
      <w:tblPr>
        <w:tblStyle w:val="11"/>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207"/>
        <w:gridCol w:w="1302"/>
        <w:gridCol w:w="798"/>
        <w:gridCol w:w="699"/>
        <w:gridCol w:w="1022"/>
        <w:gridCol w:w="1219"/>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049" w:type="dxa"/>
            <w:vMerge w:val="restart"/>
            <w:vAlign w:val="center"/>
          </w:tcPr>
          <w:p>
            <w:pPr>
              <w:jc w:val="center"/>
              <w:rPr>
                <w:rFonts w:ascii="宋体" w:hAnsi="宋体"/>
                <w:sz w:val="24"/>
              </w:rPr>
            </w:pPr>
            <w:r>
              <w:rPr>
                <w:rFonts w:hint="eastAsia" w:ascii="宋体" w:hAnsi="宋体"/>
                <w:sz w:val="24"/>
              </w:rPr>
              <w:t>项目名称</w:t>
            </w:r>
          </w:p>
        </w:tc>
        <w:tc>
          <w:tcPr>
            <w:tcW w:w="1207" w:type="dxa"/>
            <w:vMerge w:val="restart"/>
            <w:vAlign w:val="center"/>
          </w:tcPr>
          <w:p>
            <w:pPr>
              <w:jc w:val="center"/>
              <w:rPr>
                <w:rFonts w:ascii="宋体" w:hAnsi="宋体"/>
                <w:sz w:val="24"/>
              </w:rPr>
            </w:pPr>
            <w:r>
              <w:rPr>
                <w:rFonts w:hint="eastAsia" w:ascii="宋体" w:hAnsi="宋体"/>
                <w:sz w:val="24"/>
              </w:rPr>
              <w:t>管理方式</w:t>
            </w:r>
          </w:p>
        </w:tc>
        <w:tc>
          <w:tcPr>
            <w:tcW w:w="1302" w:type="dxa"/>
            <w:vMerge w:val="restart"/>
            <w:vAlign w:val="center"/>
          </w:tcPr>
          <w:p>
            <w:pPr>
              <w:jc w:val="center"/>
              <w:rPr>
                <w:rFonts w:ascii="宋体" w:hAnsi="宋体"/>
                <w:sz w:val="24"/>
              </w:rPr>
            </w:pPr>
            <w:r>
              <w:rPr>
                <w:rFonts w:hint="eastAsia" w:ascii="宋体" w:hAnsi="宋体"/>
                <w:sz w:val="24"/>
              </w:rPr>
              <w:t>建筑面积（㎡）</w:t>
            </w:r>
          </w:p>
        </w:tc>
        <w:tc>
          <w:tcPr>
            <w:tcW w:w="1497" w:type="dxa"/>
            <w:gridSpan w:val="2"/>
            <w:vAlign w:val="center"/>
          </w:tcPr>
          <w:p>
            <w:pPr>
              <w:jc w:val="center"/>
              <w:rPr>
                <w:rFonts w:ascii="宋体" w:hAnsi="宋体"/>
                <w:sz w:val="24"/>
              </w:rPr>
            </w:pPr>
            <w:r>
              <w:rPr>
                <w:rFonts w:hint="eastAsia" w:ascii="宋体" w:hAnsi="宋体"/>
                <w:sz w:val="24"/>
              </w:rPr>
              <w:t>合同情况</w:t>
            </w:r>
          </w:p>
        </w:tc>
        <w:tc>
          <w:tcPr>
            <w:tcW w:w="1022" w:type="dxa"/>
            <w:vMerge w:val="restart"/>
            <w:vAlign w:val="center"/>
          </w:tcPr>
          <w:p>
            <w:pPr>
              <w:jc w:val="center"/>
              <w:rPr>
                <w:rFonts w:ascii="宋体" w:hAnsi="宋体"/>
                <w:sz w:val="24"/>
              </w:rPr>
            </w:pPr>
            <w:r>
              <w:rPr>
                <w:rFonts w:hint="eastAsia" w:ascii="宋体" w:hAnsi="宋体"/>
                <w:sz w:val="24"/>
              </w:rPr>
              <w:t>项目</w:t>
            </w:r>
          </w:p>
          <w:p>
            <w:pPr>
              <w:jc w:val="center"/>
              <w:rPr>
                <w:rFonts w:ascii="宋体" w:hAnsi="宋体"/>
                <w:sz w:val="24"/>
              </w:rPr>
            </w:pPr>
            <w:r>
              <w:rPr>
                <w:rFonts w:hint="eastAsia" w:ascii="宋体" w:hAnsi="宋体"/>
                <w:sz w:val="24"/>
              </w:rPr>
              <w:t>负责人</w:t>
            </w:r>
          </w:p>
        </w:tc>
        <w:tc>
          <w:tcPr>
            <w:tcW w:w="1219" w:type="dxa"/>
            <w:vMerge w:val="restart"/>
            <w:vAlign w:val="center"/>
          </w:tcPr>
          <w:p>
            <w:pPr>
              <w:jc w:val="center"/>
              <w:rPr>
                <w:rFonts w:ascii="宋体" w:hAnsi="宋体"/>
                <w:sz w:val="24"/>
              </w:rPr>
            </w:pPr>
            <w:r>
              <w:rPr>
                <w:rFonts w:hint="eastAsia" w:ascii="宋体" w:hAnsi="宋体"/>
                <w:sz w:val="24"/>
              </w:rPr>
              <w:t>员工人数</w:t>
            </w:r>
          </w:p>
        </w:tc>
        <w:tc>
          <w:tcPr>
            <w:tcW w:w="727" w:type="dxa"/>
            <w:vMerge w:val="restart"/>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2049" w:type="dxa"/>
            <w:vMerge w:val="continue"/>
            <w:vAlign w:val="center"/>
          </w:tcPr>
          <w:p>
            <w:pPr>
              <w:jc w:val="center"/>
              <w:rPr>
                <w:rFonts w:ascii="宋体" w:hAnsi="宋体"/>
                <w:sz w:val="24"/>
              </w:rPr>
            </w:pPr>
          </w:p>
        </w:tc>
        <w:tc>
          <w:tcPr>
            <w:tcW w:w="1207" w:type="dxa"/>
            <w:vMerge w:val="continue"/>
            <w:vAlign w:val="center"/>
          </w:tcPr>
          <w:p>
            <w:pPr>
              <w:jc w:val="center"/>
              <w:rPr>
                <w:rFonts w:ascii="宋体" w:hAnsi="宋体"/>
                <w:sz w:val="24"/>
              </w:rPr>
            </w:pPr>
          </w:p>
        </w:tc>
        <w:tc>
          <w:tcPr>
            <w:tcW w:w="1302" w:type="dxa"/>
            <w:vMerge w:val="continue"/>
            <w:vAlign w:val="center"/>
          </w:tcPr>
          <w:p>
            <w:pPr>
              <w:jc w:val="center"/>
              <w:rPr>
                <w:rFonts w:ascii="宋体" w:hAnsi="宋体"/>
                <w:sz w:val="24"/>
              </w:rPr>
            </w:pPr>
          </w:p>
        </w:tc>
        <w:tc>
          <w:tcPr>
            <w:tcW w:w="798" w:type="dxa"/>
            <w:vAlign w:val="center"/>
          </w:tcPr>
          <w:p>
            <w:pPr>
              <w:jc w:val="center"/>
              <w:rPr>
                <w:rFonts w:ascii="宋体" w:hAnsi="宋体"/>
                <w:sz w:val="24"/>
              </w:rPr>
            </w:pPr>
            <w:r>
              <w:rPr>
                <w:rFonts w:hint="eastAsia" w:ascii="宋体" w:hAnsi="宋体"/>
                <w:sz w:val="24"/>
              </w:rPr>
              <w:t>签约时间</w:t>
            </w:r>
          </w:p>
        </w:tc>
        <w:tc>
          <w:tcPr>
            <w:tcW w:w="699" w:type="dxa"/>
            <w:vAlign w:val="center"/>
          </w:tcPr>
          <w:p>
            <w:pPr>
              <w:jc w:val="center"/>
              <w:rPr>
                <w:rFonts w:ascii="宋体" w:hAnsi="宋体"/>
                <w:sz w:val="24"/>
              </w:rPr>
            </w:pPr>
            <w:r>
              <w:rPr>
                <w:rFonts w:hint="eastAsia" w:ascii="宋体" w:hAnsi="宋体"/>
                <w:sz w:val="24"/>
              </w:rPr>
              <w:t>管理年限</w:t>
            </w:r>
          </w:p>
        </w:tc>
        <w:tc>
          <w:tcPr>
            <w:tcW w:w="1022" w:type="dxa"/>
            <w:vMerge w:val="continue"/>
            <w:vAlign w:val="center"/>
          </w:tcPr>
          <w:p>
            <w:pPr>
              <w:jc w:val="center"/>
              <w:rPr>
                <w:rFonts w:ascii="宋体" w:hAnsi="宋体"/>
                <w:sz w:val="24"/>
              </w:rPr>
            </w:pPr>
          </w:p>
        </w:tc>
        <w:tc>
          <w:tcPr>
            <w:tcW w:w="1219" w:type="dxa"/>
            <w:vMerge w:val="continue"/>
            <w:vAlign w:val="center"/>
          </w:tcPr>
          <w:p>
            <w:pPr>
              <w:jc w:val="center"/>
              <w:rPr>
                <w:rFonts w:ascii="宋体" w:hAnsi="宋体"/>
                <w:sz w:val="24"/>
              </w:rPr>
            </w:pPr>
          </w:p>
        </w:tc>
        <w:tc>
          <w:tcPr>
            <w:tcW w:w="727"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9" w:type="dxa"/>
            <w:vAlign w:val="center"/>
          </w:tcPr>
          <w:p>
            <w:pPr>
              <w:jc w:val="center"/>
              <w:rPr>
                <w:rFonts w:ascii="宋体" w:hAnsi="宋体"/>
                <w:sz w:val="24"/>
              </w:rPr>
            </w:pPr>
          </w:p>
        </w:tc>
        <w:tc>
          <w:tcPr>
            <w:tcW w:w="1207" w:type="dxa"/>
            <w:vAlign w:val="center"/>
          </w:tcPr>
          <w:p>
            <w:pPr>
              <w:jc w:val="center"/>
              <w:rPr>
                <w:rFonts w:ascii="宋体" w:hAnsi="宋体"/>
                <w:sz w:val="24"/>
              </w:rPr>
            </w:pPr>
          </w:p>
        </w:tc>
        <w:tc>
          <w:tcPr>
            <w:tcW w:w="1302" w:type="dxa"/>
            <w:vAlign w:val="center"/>
          </w:tcPr>
          <w:p>
            <w:pPr>
              <w:jc w:val="center"/>
              <w:rPr>
                <w:rFonts w:ascii="宋体" w:hAnsi="宋体"/>
                <w:sz w:val="24"/>
              </w:rPr>
            </w:pPr>
          </w:p>
        </w:tc>
        <w:tc>
          <w:tcPr>
            <w:tcW w:w="798" w:type="dxa"/>
            <w:vAlign w:val="center"/>
          </w:tcPr>
          <w:p>
            <w:pPr>
              <w:jc w:val="center"/>
              <w:rPr>
                <w:rFonts w:ascii="宋体" w:hAnsi="宋体"/>
                <w:sz w:val="24"/>
              </w:rPr>
            </w:pPr>
          </w:p>
        </w:tc>
        <w:tc>
          <w:tcPr>
            <w:tcW w:w="699" w:type="dxa"/>
            <w:vAlign w:val="center"/>
          </w:tcPr>
          <w:p>
            <w:pPr>
              <w:jc w:val="center"/>
              <w:rPr>
                <w:rFonts w:ascii="宋体" w:hAnsi="宋体"/>
                <w:sz w:val="24"/>
              </w:rPr>
            </w:pPr>
          </w:p>
        </w:tc>
        <w:tc>
          <w:tcPr>
            <w:tcW w:w="1022" w:type="dxa"/>
            <w:vAlign w:val="center"/>
          </w:tcPr>
          <w:p>
            <w:pPr>
              <w:jc w:val="center"/>
              <w:rPr>
                <w:rFonts w:ascii="宋体" w:hAnsi="宋体"/>
                <w:sz w:val="24"/>
              </w:rPr>
            </w:pPr>
          </w:p>
        </w:tc>
        <w:tc>
          <w:tcPr>
            <w:tcW w:w="1219" w:type="dxa"/>
            <w:vAlign w:val="center"/>
          </w:tcPr>
          <w:p>
            <w:pPr>
              <w:jc w:val="center"/>
              <w:rPr>
                <w:rFonts w:ascii="宋体" w:hAnsi="宋体"/>
                <w:sz w:val="24"/>
              </w:rPr>
            </w:pPr>
          </w:p>
        </w:tc>
        <w:tc>
          <w:tcPr>
            <w:tcW w:w="7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9" w:type="dxa"/>
            <w:vAlign w:val="center"/>
          </w:tcPr>
          <w:p>
            <w:pPr>
              <w:jc w:val="center"/>
              <w:rPr>
                <w:rFonts w:ascii="宋体" w:hAnsi="宋体"/>
                <w:sz w:val="24"/>
              </w:rPr>
            </w:pPr>
          </w:p>
        </w:tc>
        <w:tc>
          <w:tcPr>
            <w:tcW w:w="1207" w:type="dxa"/>
            <w:vAlign w:val="center"/>
          </w:tcPr>
          <w:p>
            <w:pPr>
              <w:jc w:val="center"/>
              <w:rPr>
                <w:rFonts w:ascii="宋体" w:hAnsi="宋体"/>
                <w:sz w:val="24"/>
              </w:rPr>
            </w:pPr>
          </w:p>
        </w:tc>
        <w:tc>
          <w:tcPr>
            <w:tcW w:w="1302" w:type="dxa"/>
            <w:vAlign w:val="center"/>
          </w:tcPr>
          <w:p>
            <w:pPr>
              <w:jc w:val="center"/>
              <w:rPr>
                <w:rFonts w:ascii="宋体" w:hAnsi="宋体"/>
                <w:sz w:val="24"/>
              </w:rPr>
            </w:pPr>
          </w:p>
        </w:tc>
        <w:tc>
          <w:tcPr>
            <w:tcW w:w="798" w:type="dxa"/>
            <w:vAlign w:val="center"/>
          </w:tcPr>
          <w:p>
            <w:pPr>
              <w:jc w:val="center"/>
              <w:rPr>
                <w:rFonts w:ascii="宋体" w:hAnsi="宋体"/>
                <w:sz w:val="24"/>
              </w:rPr>
            </w:pPr>
          </w:p>
        </w:tc>
        <w:tc>
          <w:tcPr>
            <w:tcW w:w="699" w:type="dxa"/>
            <w:vAlign w:val="center"/>
          </w:tcPr>
          <w:p>
            <w:pPr>
              <w:jc w:val="center"/>
              <w:rPr>
                <w:rFonts w:ascii="宋体" w:hAnsi="宋体"/>
                <w:sz w:val="24"/>
              </w:rPr>
            </w:pPr>
          </w:p>
        </w:tc>
        <w:tc>
          <w:tcPr>
            <w:tcW w:w="1022" w:type="dxa"/>
            <w:vAlign w:val="center"/>
          </w:tcPr>
          <w:p>
            <w:pPr>
              <w:jc w:val="center"/>
              <w:rPr>
                <w:rFonts w:ascii="宋体" w:hAnsi="宋体"/>
                <w:sz w:val="24"/>
              </w:rPr>
            </w:pPr>
          </w:p>
        </w:tc>
        <w:tc>
          <w:tcPr>
            <w:tcW w:w="1219" w:type="dxa"/>
            <w:vAlign w:val="center"/>
          </w:tcPr>
          <w:p>
            <w:pPr>
              <w:jc w:val="center"/>
              <w:rPr>
                <w:rFonts w:ascii="宋体" w:hAnsi="宋体"/>
                <w:sz w:val="24"/>
              </w:rPr>
            </w:pPr>
          </w:p>
        </w:tc>
        <w:tc>
          <w:tcPr>
            <w:tcW w:w="7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9" w:type="dxa"/>
            <w:vAlign w:val="center"/>
          </w:tcPr>
          <w:p>
            <w:pPr>
              <w:jc w:val="center"/>
              <w:rPr>
                <w:rFonts w:ascii="宋体" w:hAnsi="宋体"/>
                <w:sz w:val="24"/>
              </w:rPr>
            </w:pPr>
          </w:p>
        </w:tc>
        <w:tc>
          <w:tcPr>
            <w:tcW w:w="1207" w:type="dxa"/>
            <w:vAlign w:val="center"/>
          </w:tcPr>
          <w:p>
            <w:pPr>
              <w:jc w:val="center"/>
              <w:rPr>
                <w:rFonts w:ascii="宋体" w:hAnsi="宋体"/>
                <w:sz w:val="24"/>
              </w:rPr>
            </w:pPr>
          </w:p>
        </w:tc>
        <w:tc>
          <w:tcPr>
            <w:tcW w:w="1302" w:type="dxa"/>
            <w:vAlign w:val="center"/>
          </w:tcPr>
          <w:p>
            <w:pPr>
              <w:jc w:val="center"/>
              <w:rPr>
                <w:rFonts w:ascii="宋体" w:hAnsi="宋体"/>
                <w:sz w:val="24"/>
              </w:rPr>
            </w:pPr>
          </w:p>
        </w:tc>
        <w:tc>
          <w:tcPr>
            <w:tcW w:w="798" w:type="dxa"/>
            <w:vAlign w:val="center"/>
          </w:tcPr>
          <w:p>
            <w:pPr>
              <w:jc w:val="center"/>
              <w:rPr>
                <w:rFonts w:ascii="宋体" w:hAnsi="宋体"/>
                <w:sz w:val="24"/>
              </w:rPr>
            </w:pPr>
          </w:p>
        </w:tc>
        <w:tc>
          <w:tcPr>
            <w:tcW w:w="699" w:type="dxa"/>
            <w:vAlign w:val="center"/>
          </w:tcPr>
          <w:p>
            <w:pPr>
              <w:jc w:val="center"/>
              <w:rPr>
                <w:rFonts w:ascii="宋体" w:hAnsi="宋体"/>
                <w:sz w:val="24"/>
              </w:rPr>
            </w:pPr>
          </w:p>
        </w:tc>
        <w:tc>
          <w:tcPr>
            <w:tcW w:w="1022" w:type="dxa"/>
            <w:vAlign w:val="center"/>
          </w:tcPr>
          <w:p>
            <w:pPr>
              <w:jc w:val="center"/>
              <w:rPr>
                <w:rFonts w:ascii="宋体" w:hAnsi="宋体"/>
                <w:sz w:val="24"/>
              </w:rPr>
            </w:pPr>
          </w:p>
        </w:tc>
        <w:tc>
          <w:tcPr>
            <w:tcW w:w="1219" w:type="dxa"/>
            <w:vAlign w:val="center"/>
          </w:tcPr>
          <w:p>
            <w:pPr>
              <w:jc w:val="center"/>
              <w:rPr>
                <w:rFonts w:ascii="宋体" w:hAnsi="宋体"/>
                <w:sz w:val="24"/>
              </w:rPr>
            </w:pPr>
          </w:p>
        </w:tc>
        <w:tc>
          <w:tcPr>
            <w:tcW w:w="7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9" w:type="dxa"/>
            <w:vAlign w:val="center"/>
          </w:tcPr>
          <w:p>
            <w:pPr>
              <w:jc w:val="center"/>
              <w:rPr>
                <w:rFonts w:ascii="宋体" w:hAnsi="宋体"/>
                <w:sz w:val="24"/>
              </w:rPr>
            </w:pPr>
          </w:p>
        </w:tc>
        <w:tc>
          <w:tcPr>
            <w:tcW w:w="1207" w:type="dxa"/>
            <w:vAlign w:val="center"/>
          </w:tcPr>
          <w:p>
            <w:pPr>
              <w:jc w:val="center"/>
              <w:rPr>
                <w:rFonts w:ascii="宋体" w:hAnsi="宋体"/>
                <w:sz w:val="24"/>
              </w:rPr>
            </w:pPr>
          </w:p>
        </w:tc>
        <w:tc>
          <w:tcPr>
            <w:tcW w:w="1302" w:type="dxa"/>
            <w:vAlign w:val="center"/>
          </w:tcPr>
          <w:p>
            <w:pPr>
              <w:jc w:val="center"/>
              <w:rPr>
                <w:rFonts w:ascii="宋体" w:hAnsi="宋体"/>
                <w:sz w:val="24"/>
              </w:rPr>
            </w:pPr>
          </w:p>
        </w:tc>
        <w:tc>
          <w:tcPr>
            <w:tcW w:w="798" w:type="dxa"/>
            <w:vAlign w:val="center"/>
          </w:tcPr>
          <w:p>
            <w:pPr>
              <w:jc w:val="center"/>
              <w:rPr>
                <w:rFonts w:ascii="宋体" w:hAnsi="宋体"/>
                <w:sz w:val="24"/>
              </w:rPr>
            </w:pPr>
          </w:p>
        </w:tc>
        <w:tc>
          <w:tcPr>
            <w:tcW w:w="699" w:type="dxa"/>
            <w:vAlign w:val="center"/>
          </w:tcPr>
          <w:p>
            <w:pPr>
              <w:jc w:val="center"/>
              <w:rPr>
                <w:rFonts w:ascii="宋体" w:hAnsi="宋体"/>
                <w:sz w:val="24"/>
              </w:rPr>
            </w:pPr>
          </w:p>
        </w:tc>
        <w:tc>
          <w:tcPr>
            <w:tcW w:w="1022" w:type="dxa"/>
            <w:vAlign w:val="center"/>
          </w:tcPr>
          <w:p>
            <w:pPr>
              <w:jc w:val="center"/>
              <w:rPr>
                <w:rFonts w:ascii="宋体" w:hAnsi="宋体"/>
                <w:sz w:val="24"/>
              </w:rPr>
            </w:pPr>
          </w:p>
        </w:tc>
        <w:tc>
          <w:tcPr>
            <w:tcW w:w="1219" w:type="dxa"/>
            <w:vAlign w:val="center"/>
          </w:tcPr>
          <w:p>
            <w:pPr>
              <w:jc w:val="center"/>
              <w:rPr>
                <w:rFonts w:ascii="宋体" w:hAnsi="宋体"/>
                <w:sz w:val="24"/>
              </w:rPr>
            </w:pPr>
          </w:p>
        </w:tc>
        <w:tc>
          <w:tcPr>
            <w:tcW w:w="7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9" w:type="dxa"/>
            <w:vAlign w:val="center"/>
          </w:tcPr>
          <w:p>
            <w:pPr>
              <w:jc w:val="center"/>
              <w:rPr>
                <w:rFonts w:ascii="宋体" w:hAnsi="宋体"/>
                <w:sz w:val="24"/>
              </w:rPr>
            </w:pPr>
          </w:p>
        </w:tc>
        <w:tc>
          <w:tcPr>
            <w:tcW w:w="1207" w:type="dxa"/>
            <w:vAlign w:val="center"/>
          </w:tcPr>
          <w:p>
            <w:pPr>
              <w:jc w:val="center"/>
              <w:rPr>
                <w:rFonts w:ascii="宋体" w:hAnsi="宋体"/>
                <w:sz w:val="24"/>
              </w:rPr>
            </w:pPr>
          </w:p>
        </w:tc>
        <w:tc>
          <w:tcPr>
            <w:tcW w:w="1302" w:type="dxa"/>
            <w:vAlign w:val="center"/>
          </w:tcPr>
          <w:p>
            <w:pPr>
              <w:jc w:val="center"/>
              <w:rPr>
                <w:rFonts w:ascii="宋体" w:hAnsi="宋体"/>
                <w:sz w:val="24"/>
              </w:rPr>
            </w:pPr>
          </w:p>
        </w:tc>
        <w:tc>
          <w:tcPr>
            <w:tcW w:w="798" w:type="dxa"/>
            <w:vAlign w:val="center"/>
          </w:tcPr>
          <w:p>
            <w:pPr>
              <w:jc w:val="center"/>
              <w:rPr>
                <w:rFonts w:ascii="宋体" w:hAnsi="宋体"/>
                <w:sz w:val="24"/>
              </w:rPr>
            </w:pPr>
          </w:p>
        </w:tc>
        <w:tc>
          <w:tcPr>
            <w:tcW w:w="699" w:type="dxa"/>
            <w:vAlign w:val="center"/>
          </w:tcPr>
          <w:p>
            <w:pPr>
              <w:jc w:val="center"/>
              <w:rPr>
                <w:rFonts w:ascii="宋体" w:hAnsi="宋体"/>
                <w:sz w:val="24"/>
              </w:rPr>
            </w:pPr>
          </w:p>
        </w:tc>
        <w:tc>
          <w:tcPr>
            <w:tcW w:w="1022" w:type="dxa"/>
            <w:vAlign w:val="center"/>
          </w:tcPr>
          <w:p>
            <w:pPr>
              <w:jc w:val="center"/>
              <w:rPr>
                <w:rFonts w:ascii="宋体" w:hAnsi="宋体"/>
                <w:sz w:val="24"/>
              </w:rPr>
            </w:pPr>
          </w:p>
        </w:tc>
        <w:tc>
          <w:tcPr>
            <w:tcW w:w="1219" w:type="dxa"/>
            <w:vAlign w:val="center"/>
          </w:tcPr>
          <w:p>
            <w:pPr>
              <w:jc w:val="center"/>
              <w:rPr>
                <w:rFonts w:ascii="宋体" w:hAnsi="宋体"/>
                <w:sz w:val="24"/>
              </w:rPr>
            </w:pPr>
          </w:p>
        </w:tc>
        <w:tc>
          <w:tcPr>
            <w:tcW w:w="7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9" w:type="dxa"/>
            <w:vAlign w:val="center"/>
          </w:tcPr>
          <w:p>
            <w:pPr>
              <w:jc w:val="center"/>
              <w:rPr>
                <w:rFonts w:ascii="宋体" w:hAnsi="宋体"/>
                <w:sz w:val="24"/>
              </w:rPr>
            </w:pPr>
          </w:p>
        </w:tc>
        <w:tc>
          <w:tcPr>
            <w:tcW w:w="1207" w:type="dxa"/>
            <w:vAlign w:val="center"/>
          </w:tcPr>
          <w:p>
            <w:pPr>
              <w:jc w:val="center"/>
              <w:rPr>
                <w:rFonts w:ascii="宋体" w:hAnsi="宋体"/>
                <w:sz w:val="24"/>
              </w:rPr>
            </w:pPr>
          </w:p>
        </w:tc>
        <w:tc>
          <w:tcPr>
            <w:tcW w:w="1302" w:type="dxa"/>
            <w:vAlign w:val="center"/>
          </w:tcPr>
          <w:p>
            <w:pPr>
              <w:jc w:val="center"/>
              <w:rPr>
                <w:rFonts w:ascii="宋体" w:hAnsi="宋体"/>
                <w:sz w:val="24"/>
              </w:rPr>
            </w:pPr>
          </w:p>
        </w:tc>
        <w:tc>
          <w:tcPr>
            <w:tcW w:w="798" w:type="dxa"/>
            <w:vAlign w:val="center"/>
          </w:tcPr>
          <w:p>
            <w:pPr>
              <w:jc w:val="center"/>
              <w:rPr>
                <w:rFonts w:ascii="宋体" w:hAnsi="宋体"/>
                <w:sz w:val="24"/>
              </w:rPr>
            </w:pPr>
          </w:p>
        </w:tc>
        <w:tc>
          <w:tcPr>
            <w:tcW w:w="699" w:type="dxa"/>
            <w:vAlign w:val="center"/>
          </w:tcPr>
          <w:p>
            <w:pPr>
              <w:jc w:val="center"/>
              <w:rPr>
                <w:rFonts w:ascii="宋体" w:hAnsi="宋体"/>
                <w:sz w:val="24"/>
              </w:rPr>
            </w:pPr>
          </w:p>
        </w:tc>
        <w:tc>
          <w:tcPr>
            <w:tcW w:w="1022" w:type="dxa"/>
            <w:vAlign w:val="center"/>
          </w:tcPr>
          <w:p>
            <w:pPr>
              <w:jc w:val="center"/>
              <w:rPr>
                <w:rFonts w:ascii="宋体" w:hAnsi="宋体"/>
                <w:sz w:val="24"/>
              </w:rPr>
            </w:pPr>
          </w:p>
        </w:tc>
        <w:tc>
          <w:tcPr>
            <w:tcW w:w="1219" w:type="dxa"/>
            <w:vAlign w:val="center"/>
          </w:tcPr>
          <w:p>
            <w:pPr>
              <w:jc w:val="center"/>
              <w:rPr>
                <w:rFonts w:ascii="宋体" w:hAnsi="宋体"/>
                <w:sz w:val="24"/>
              </w:rPr>
            </w:pPr>
          </w:p>
        </w:tc>
        <w:tc>
          <w:tcPr>
            <w:tcW w:w="7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9" w:type="dxa"/>
            <w:vAlign w:val="center"/>
          </w:tcPr>
          <w:p>
            <w:pPr>
              <w:jc w:val="center"/>
              <w:rPr>
                <w:rFonts w:ascii="宋体" w:hAnsi="宋体"/>
                <w:sz w:val="24"/>
              </w:rPr>
            </w:pPr>
          </w:p>
        </w:tc>
        <w:tc>
          <w:tcPr>
            <w:tcW w:w="1207" w:type="dxa"/>
            <w:vAlign w:val="center"/>
          </w:tcPr>
          <w:p>
            <w:pPr>
              <w:jc w:val="center"/>
              <w:rPr>
                <w:rFonts w:ascii="宋体" w:hAnsi="宋体"/>
                <w:sz w:val="24"/>
              </w:rPr>
            </w:pPr>
          </w:p>
        </w:tc>
        <w:tc>
          <w:tcPr>
            <w:tcW w:w="1302" w:type="dxa"/>
            <w:vAlign w:val="center"/>
          </w:tcPr>
          <w:p>
            <w:pPr>
              <w:jc w:val="center"/>
              <w:rPr>
                <w:rFonts w:ascii="宋体" w:hAnsi="宋体"/>
                <w:sz w:val="24"/>
              </w:rPr>
            </w:pPr>
          </w:p>
        </w:tc>
        <w:tc>
          <w:tcPr>
            <w:tcW w:w="798" w:type="dxa"/>
            <w:vAlign w:val="center"/>
          </w:tcPr>
          <w:p>
            <w:pPr>
              <w:jc w:val="center"/>
              <w:rPr>
                <w:rFonts w:ascii="宋体" w:hAnsi="宋体"/>
                <w:sz w:val="24"/>
              </w:rPr>
            </w:pPr>
          </w:p>
        </w:tc>
        <w:tc>
          <w:tcPr>
            <w:tcW w:w="699" w:type="dxa"/>
            <w:vAlign w:val="center"/>
          </w:tcPr>
          <w:p>
            <w:pPr>
              <w:jc w:val="center"/>
              <w:rPr>
                <w:rFonts w:ascii="宋体" w:hAnsi="宋体"/>
                <w:sz w:val="24"/>
              </w:rPr>
            </w:pPr>
          </w:p>
        </w:tc>
        <w:tc>
          <w:tcPr>
            <w:tcW w:w="1022" w:type="dxa"/>
            <w:vAlign w:val="center"/>
          </w:tcPr>
          <w:p>
            <w:pPr>
              <w:jc w:val="center"/>
              <w:rPr>
                <w:rFonts w:ascii="宋体" w:hAnsi="宋体"/>
                <w:sz w:val="24"/>
              </w:rPr>
            </w:pPr>
          </w:p>
        </w:tc>
        <w:tc>
          <w:tcPr>
            <w:tcW w:w="1219" w:type="dxa"/>
            <w:vAlign w:val="center"/>
          </w:tcPr>
          <w:p>
            <w:pPr>
              <w:jc w:val="center"/>
              <w:rPr>
                <w:rFonts w:ascii="宋体" w:hAnsi="宋体"/>
                <w:sz w:val="24"/>
              </w:rPr>
            </w:pPr>
          </w:p>
        </w:tc>
        <w:tc>
          <w:tcPr>
            <w:tcW w:w="7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9" w:type="dxa"/>
            <w:vAlign w:val="center"/>
          </w:tcPr>
          <w:p>
            <w:pPr>
              <w:jc w:val="center"/>
              <w:rPr>
                <w:rFonts w:ascii="宋体" w:hAnsi="宋体"/>
                <w:sz w:val="24"/>
              </w:rPr>
            </w:pPr>
          </w:p>
        </w:tc>
        <w:tc>
          <w:tcPr>
            <w:tcW w:w="1207" w:type="dxa"/>
            <w:vAlign w:val="center"/>
          </w:tcPr>
          <w:p>
            <w:pPr>
              <w:jc w:val="center"/>
              <w:rPr>
                <w:rFonts w:ascii="宋体" w:hAnsi="宋体"/>
                <w:sz w:val="24"/>
              </w:rPr>
            </w:pPr>
          </w:p>
        </w:tc>
        <w:tc>
          <w:tcPr>
            <w:tcW w:w="1302" w:type="dxa"/>
            <w:vAlign w:val="center"/>
          </w:tcPr>
          <w:p>
            <w:pPr>
              <w:jc w:val="center"/>
              <w:rPr>
                <w:rFonts w:ascii="宋体" w:hAnsi="宋体"/>
                <w:sz w:val="24"/>
              </w:rPr>
            </w:pPr>
          </w:p>
        </w:tc>
        <w:tc>
          <w:tcPr>
            <w:tcW w:w="798" w:type="dxa"/>
            <w:vAlign w:val="center"/>
          </w:tcPr>
          <w:p>
            <w:pPr>
              <w:jc w:val="center"/>
              <w:rPr>
                <w:rFonts w:ascii="宋体" w:hAnsi="宋体"/>
                <w:sz w:val="24"/>
              </w:rPr>
            </w:pPr>
          </w:p>
        </w:tc>
        <w:tc>
          <w:tcPr>
            <w:tcW w:w="699" w:type="dxa"/>
            <w:vAlign w:val="center"/>
          </w:tcPr>
          <w:p>
            <w:pPr>
              <w:jc w:val="center"/>
              <w:rPr>
                <w:rFonts w:ascii="宋体" w:hAnsi="宋体"/>
                <w:sz w:val="24"/>
              </w:rPr>
            </w:pPr>
          </w:p>
        </w:tc>
        <w:tc>
          <w:tcPr>
            <w:tcW w:w="1022" w:type="dxa"/>
            <w:vAlign w:val="center"/>
          </w:tcPr>
          <w:p>
            <w:pPr>
              <w:jc w:val="center"/>
              <w:rPr>
                <w:rFonts w:ascii="宋体" w:hAnsi="宋体"/>
                <w:sz w:val="24"/>
              </w:rPr>
            </w:pPr>
          </w:p>
        </w:tc>
        <w:tc>
          <w:tcPr>
            <w:tcW w:w="1219" w:type="dxa"/>
            <w:vAlign w:val="center"/>
          </w:tcPr>
          <w:p>
            <w:pPr>
              <w:jc w:val="center"/>
              <w:rPr>
                <w:rFonts w:ascii="宋体" w:hAnsi="宋体"/>
                <w:sz w:val="24"/>
              </w:rPr>
            </w:pPr>
          </w:p>
        </w:tc>
        <w:tc>
          <w:tcPr>
            <w:tcW w:w="7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9" w:type="dxa"/>
            <w:vAlign w:val="center"/>
          </w:tcPr>
          <w:p>
            <w:pPr>
              <w:jc w:val="center"/>
              <w:rPr>
                <w:rFonts w:ascii="宋体" w:hAnsi="宋体"/>
                <w:sz w:val="24"/>
              </w:rPr>
            </w:pPr>
          </w:p>
        </w:tc>
        <w:tc>
          <w:tcPr>
            <w:tcW w:w="1207" w:type="dxa"/>
            <w:vAlign w:val="center"/>
          </w:tcPr>
          <w:p>
            <w:pPr>
              <w:jc w:val="center"/>
              <w:rPr>
                <w:rFonts w:ascii="宋体" w:hAnsi="宋体"/>
                <w:sz w:val="24"/>
              </w:rPr>
            </w:pPr>
          </w:p>
        </w:tc>
        <w:tc>
          <w:tcPr>
            <w:tcW w:w="1302" w:type="dxa"/>
            <w:vAlign w:val="center"/>
          </w:tcPr>
          <w:p>
            <w:pPr>
              <w:jc w:val="center"/>
              <w:rPr>
                <w:rFonts w:ascii="宋体" w:hAnsi="宋体"/>
                <w:sz w:val="24"/>
              </w:rPr>
            </w:pPr>
          </w:p>
        </w:tc>
        <w:tc>
          <w:tcPr>
            <w:tcW w:w="798" w:type="dxa"/>
            <w:vAlign w:val="center"/>
          </w:tcPr>
          <w:p>
            <w:pPr>
              <w:jc w:val="center"/>
              <w:rPr>
                <w:rFonts w:ascii="宋体" w:hAnsi="宋体"/>
                <w:sz w:val="24"/>
              </w:rPr>
            </w:pPr>
          </w:p>
        </w:tc>
        <w:tc>
          <w:tcPr>
            <w:tcW w:w="699" w:type="dxa"/>
            <w:vAlign w:val="center"/>
          </w:tcPr>
          <w:p>
            <w:pPr>
              <w:jc w:val="center"/>
              <w:rPr>
                <w:rFonts w:ascii="宋体" w:hAnsi="宋体"/>
                <w:sz w:val="24"/>
              </w:rPr>
            </w:pPr>
          </w:p>
        </w:tc>
        <w:tc>
          <w:tcPr>
            <w:tcW w:w="1022" w:type="dxa"/>
            <w:vAlign w:val="center"/>
          </w:tcPr>
          <w:p>
            <w:pPr>
              <w:jc w:val="center"/>
              <w:rPr>
                <w:rFonts w:ascii="宋体" w:hAnsi="宋体"/>
                <w:sz w:val="24"/>
              </w:rPr>
            </w:pPr>
          </w:p>
        </w:tc>
        <w:tc>
          <w:tcPr>
            <w:tcW w:w="1219" w:type="dxa"/>
            <w:vAlign w:val="center"/>
          </w:tcPr>
          <w:p>
            <w:pPr>
              <w:jc w:val="center"/>
              <w:rPr>
                <w:rFonts w:ascii="宋体" w:hAnsi="宋体"/>
                <w:sz w:val="24"/>
              </w:rPr>
            </w:pPr>
          </w:p>
        </w:tc>
        <w:tc>
          <w:tcPr>
            <w:tcW w:w="727" w:type="dxa"/>
            <w:vAlign w:val="center"/>
          </w:tcPr>
          <w:p>
            <w:pPr>
              <w:jc w:val="center"/>
              <w:rPr>
                <w:rFonts w:ascii="宋体" w:hAnsi="宋体"/>
                <w:sz w:val="24"/>
              </w:rPr>
            </w:pPr>
          </w:p>
        </w:tc>
      </w:tr>
    </w:tbl>
    <w:p>
      <w:pPr>
        <w:ind w:firstLine="3840" w:firstLineChars="1600"/>
        <w:rPr>
          <w:rFonts w:ascii="宋体" w:hAnsi="宋体"/>
          <w:sz w:val="24"/>
        </w:rPr>
      </w:pPr>
    </w:p>
    <w:p>
      <w:pPr>
        <w:ind w:firstLine="3840" w:firstLineChars="1600"/>
        <w:rPr>
          <w:rFonts w:hint="eastAsia" w:ascii="宋体" w:hAnsi="宋体"/>
          <w:sz w:val="24"/>
        </w:rPr>
      </w:pPr>
    </w:p>
    <w:p>
      <w:pPr>
        <w:ind w:firstLine="3840" w:firstLineChars="1600"/>
        <w:rPr>
          <w:rFonts w:hint="eastAsia" w:ascii="宋体" w:hAnsi="宋体"/>
          <w:sz w:val="24"/>
        </w:rPr>
      </w:pPr>
      <w:r>
        <w:rPr>
          <w:rFonts w:hint="eastAsia" w:ascii="宋体" w:hAnsi="宋体"/>
          <w:sz w:val="24"/>
        </w:rPr>
        <w:t>法定代表人或授权代表签字：</w:t>
      </w:r>
    </w:p>
    <w:p>
      <w:pPr>
        <w:ind w:firstLine="3840" w:firstLineChars="1600"/>
        <w:rPr>
          <w:rFonts w:hint="eastAsia" w:ascii="宋体" w:hAnsi="宋体"/>
          <w:sz w:val="24"/>
        </w:rPr>
      </w:pPr>
    </w:p>
    <w:p>
      <w:pPr>
        <w:ind w:firstLine="3840" w:firstLineChars="1600"/>
        <w:rPr>
          <w:rFonts w:hint="eastAsia" w:ascii="宋体" w:hAnsi="宋体"/>
          <w:sz w:val="24"/>
        </w:rPr>
      </w:pPr>
    </w:p>
    <w:p>
      <w:pPr>
        <w:ind w:firstLine="480" w:firstLineChars="200"/>
        <w:rPr>
          <w:rFonts w:hint="eastAsia" w:ascii="宋体" w:hAnsi="宋体"/>
          <w:sz w:val="24"/>
        </w:rPr>
      </w:pPr>
      <w:r>
        <w:rPr>
          <w:rFonts w:hint="eastAsia" w:ascii="宋体" w:hAnsi="宋体"/>
          <w:sz w:val="24"/>
        </w:rPr>
        <w:t>注：1、业绩中应指明所承担项目的管理方式、建筑面积等必要的数据，例：项目属居住类物业、写字楼类物业及是否与本标的物业形态类似等，本次招标人可能会对其中项目进行现场考察。</w:t>
      </w:r>
    </w:p>
    <w:p>
      <w:pPr>
        <w:ind w:firstLine="960" w:firstLineChars="400"/>
        <w:rPr>
          <w:rFonts w:ascii="宋体" w:hAnsi="宋体"/>
          <w:sz w:val="24"/>
        </w:rPr>
      </w:pPr>
      <w:r>
        <w:rPr>
          <w:rFonts w:hint="eastAsia" w:ascii="宋体" w:hAnsi="宋体"/>
          <w:sz w:val="24"/>
          <w:lang w:val="en-US" w:eastAsia="zh-CN"/>
        </w:rPr>
        <w:t>2</w:t>
      </w:r>
      <w:r>
        <w:rPr>
          <w:rFonts w:hint="eastAsia" w:ascii="宋体" w:hAnsi="宋体" w:eastAsia="宋体" w:cs="宋体"/>
          <w:sz w:val="24"/>
        </w:rPr>
        <w:t>、</w:t>
      </w:r>
      <w:r>
        <w:rPr>
          <w:rFonts w:hint="eastAsia" w:ascii="宋体" w:hAnsi="宋体"/>
          <w:sz w:val="24"/>
        </w:rPr>
        <w:t>若所服务的项目与本项目物业类似，请在备注栏内注明。</w:t>
      </w:r>
    </w:p>
    <w:p>
      <w:pPr>
        <w:rPr>
          <w:rFonts w:hint="eastAsia" w:ascii="宋体" w:hAnsi="宋体"/>
          <w:b/>
          <w:sz w:val="24"/>
        </w:rPr>
      </w:pPr>
    </w:p>
    <w:p>
      <w:pPr>
        <w:rPr>
          <w:rFonts w:ascii="宋体" w:hAnsi="宋体"/>
          <w:b/>
          <w:sz w:val="24"/>
        </w:rPr>
      </w:pPr>
      <w:r>
        <w:rPr>
          <w:rFonts w:hint="eastAsia" w:ascii="宋体" w:hAnsi="宋体"/>
          <w:b/>
          <w:sz w:val="24"/>
        </w:rPr>
        <w:t>3、该表格请单独报送。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ascii="宋体" w:hAnsi="宋体"/>
          <w:b/>
          <w:bCs/>
          <w:sz w:val="24"/>
        </w:rPr>
      </w:pPr>
      <w:r>
        <w:rPr>
          <w:rFonts w:hint="eastAsia" w:ascii="宋体" w:hAnsi="宋体"/>
          <w:b/>
          <w:bCs/>
          <w:sz w:val="24"/>
        </w:rPr>
        <w:t>附件4：</w:t>
      </w:r>
    </w:p>
    <w:p>
      <w:pPr>
        <w:jc w:val="center"/>
        <w:rPr>
          <w:rFonts w:hint="eastAsia" w:ascii="宋体" w:hAnsi="宋体"/>
          <w:b/>
          <w:sz w:val="36"/>
          <w:szCs w:val="36"/>
        </w:rPr>
      </w:pPr>
      <w:r>
        <w:rPr>
          <w:rFonts w:hint="eastAsia" w:ascii="宋体" w:hAnsi="宋体"/>
          <w:b/>
          <w:sz w:val="36"/>
          <w:szCs w:val="36"/>
        </w:rPr>
        <w:t>保安管理优秀或示范项目业绩表</w:t>
      </w:r>
    </w:p>
    <w:p>
      <w:pPr>
        <w:jc w:val="center"/>
        <w:rPr>
          <w:rFonts w:hint="eastAsia" w:ascii="宋体" w:hAnsi="宋体"/>
          <w:b/>
          <w:sz w:val="36"/>
          <w:szCs w:val="36"/>
        </w:rPr>
      </w:pPr>
    </w:p>
    <w:p>
      <w:pPr>
        <w:rPr>
          <w:rFonts w:hint="eastAsia" w:ascii="宋体" w:hAnsi="宋体"/>
          <w:sz w:val="24"/>
        </w:rPr>
      </w:pPr>
      <w:r>
        <w:rPr>
          <w:rFonts w:hint="eastAsia" w:ascii="宋体" w:hAnsi="宋体"/>
          <w:sz w:val="24"/>
        </w:rPr>
        <w:t>所承接物业管理项目获得称号（获奖）情况</w:t>
      </w:r>
    </w:p>
    <w:p>
      <w:pPr>
        <w:rPr>
          <w:rFonts w:hint="eastAsia" w:ascii="宋体" w:hAnsi="宋体"/>
          <w:sz w:val="24"/>
        </w:rPr>
      </w:pPr>
    </w:p>
    <w:tbl>
      <w:tblPr>
        <w:tblStyle w:val="11"/>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445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2491" w:type="dxa"/>
            <w:tcBorders>
              <w:bottom w:val="single" w:color="auto" w:sz="4" w:space="0"/>
            </w:tcBorders>
            <w:vAlign w:val="center"/>
          </w:tcPr>
          <w:p>
            <w:pPr>
              <w:jc w:val="center"/>
              <w:rPr>
                <w:rFonts w:ascii="宋体" w:hAnsi="宋体"/>
                <w:sz w:val="24"/>
              </w:rPr>
            </w:pPr>
            <w:r>
              <w:rPr>
                <w:rFonts w:hint="eastAsia" w:ascii="宋体" w:hAnsi="宋体"/>
                <w:sz w:val="24"/>
              </w:rPr>
              <w:t>项目名称</w:t>
            </w:r>
          </w:p>
        </w:tc>
        <w:tc>
          <w:tcPr>
            <w:tcW w:w="4454" w:type="dxa"/>
            <w:tcBorders>
              <w:bottom w:val="single" w:color="auto" w:sz="4" w:space="0"/>
            </w:tcBorders>
            <w:vAlign w:val="center"/>
          </w:tcPr>
          <w:p>
            <w:pPr>
              <w:jc w:val="center"/>
              <w:rPr>
                <w:rFonts w:ascii="宋体" w:hAnsi="宋体"/>
                <w:sz w:val="24"/>
              </w:rPr>
            </w:pPr>
            <w:r>
              <w:rPr>
                <w:rFonts w:hint="eastAsia" w:ascii="宋体" w:hAnsi="宋体"/>
                <w:sz w:val="24"/>
              </w:rPr>
              <w:t>称号名称</w:t>
            </w:r>
          </w:p>
          <w:p>
            <w:pPr>
              <w:jc w:val="center"/>
              <w:rPr>
                <w:rFonts w:ascii="宋体" w:hAnsi="宋体"/>
                <w:sz w:val="24"/>
              </w:rPr>
            </w:pPr>
            <w:r>
              <w:rPr>
                <w:rFonts w:hint="eastAsia" w:ascii="宋体" w:hAnsi="宋体"/>
                <w:sz w:val="24"/>
              </w:rPr>
              <w:t>(国家级、省级、市级)</w:t>
            </w:r>
          </w:p>
        </w:tc>
        <w:tc>
          <w:tcPr>
            <w:tcW w:w="2040" w:type="dxa"/>
            <w:tcBorders>
              <w:bottom w:val="single" w:color="auto" w:sz="4" w:space="0"/>
            </w:tcBorders>
            <w:vAlign w:val="center"/>
          </w:tcPr>
          <w:p>
            <w:pPr>
              <w:jc w:val="center"/>
              <w:rPr>
                <w:rFonts w:ascii="宋体" w:hAnsi="宋体"/>
                <w:sz w:val="24"/>
              </w:rPr>
            </w:pPr>
            <w:r>
              <w:rPr>
                <w:rFonts w:hint="eastAsia" w:ascii="宋体" w:hAnsi="宋体"/>
                <w:sz w:val="24"/>
              </w:rPr>
              <w:t>获奖日期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491" w:type="dxa"/>
            <w:vAlign w:val="center"/>
          </w:tcPr>
          <w:p>
            <w:pPr>
              <w:jc w:val="center"/>
              <w:rPr>
                <w:rFonts w:ascii="宋体" w:hAnsi="宋体"/>
                <w:sz w:val="24"/>
              </w:rPr>
            </w:pPr>
          </w:p>
        </w:tc>
        <w:tc>
          <w:tcPr>
            <w:tcW w:w="4454" w:type="dxa"/>
            <w:vAlign w:val="center"/>
          </w:tcPr>
          <w:p>
            <w:pPr>
              <w:jc w:val="center"/>
              <w:rPr>
                <w:rFonts w:ascii="宋体" w:hAnsi="宋体"/>
                <w:sz w:val="24"/>
              </w:rPr>
            </w:pPr>
          </w:p>
        </w:tc>
        <w:tc>
          <w:tcPr>
            <w:tcW w:w="20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491" w:type="dxa"/>
            <w:vAlign w:val="center"/>
          </w:tcPr>
          <w:p>
            <w:pPr>
              <w:jc w:val="center"/>
              <w:rPr>
                <w:rFonts w:ascii="宋体" w:hAnsi="宋体"/>
                <w:sz w:val="24"/>
              </w:rPr>
            </w:pPr>
          </w:p>
        </w:tc>
        <w:tc>
          <w:tcPr>
            <w:tcW w:w="4454" w:type="dxa"/>
            <w:vAlign w:val="center"/>
          </w:tcPr>
          <w:p>
            <w:pPr>
              <w:jc w:val="center"/>
              <w:rPr>
                <w:rFonts w:ascii="宋体" w:hAnsi="宋体"/>
                <w:sz w:val="24"/>
              </w:rPr>
            </w:pPr>
          </w:p>
        </w:tc>
        <w:tc>
          <w:tcPr>
            <w:tcW w:w="20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491" w:type="dxa"/>
            <w:vAlign w:val="center"/>
          </w:tcPr>
          <w:p>
            <w:pPr>
              <w:jc w:val="center"/>
              <w:rPr>
                <w:rFonts w:ascii="宋体" w:hAnsi="宋体"/>
                <w:sz w:val="24"/>
              </w:rPr>
            </w:pPr>
          </w:p>
        </w:tc>
        <w:tc>
          <w:tcPr>
            <w:tcW w:w="4454" w:type="dxa"/>
            <w:vAlign w:val="center"/>
          </w:tcPr>
          <w:p>
            <w:pPr>
              <w:jc w:val="center"/>
              <w:rPr>
                <w:rFonts w:ascii="宋体" w:hAnsi="宋体"/>
                <w:sz w:val="24"/>
              </w:rPr>
            </w:pPr>
          </w:p>
        </w:tc>
        <w:tc>
          <w:tcPr>
            <w:tcW w:w="2040" w:type="dxa"/>
            <w:vAlign w:val="center"/>
          </w:tcPr>
          <w:p>
            <w:pPr>
              <w:jc w:val="center"/>
              <w:rPr>
                <w:rFonts w:ascii="宋体" w:hAnsi="宋体"/>
                <w:sz w:val="24"/>
              </w:rPr>
            </w:pPr>
          </w:p>
        </w:tc>
      </w:tr>
    </w:tbl>
    <w:p>
      <w:pPr>
        <w:rPr>
          <w:rFonts w:hint="eastAsia" w:ascii="宋体" w:hAnsi="宋体"/>
          <w:sz w:val="24"/>
        </w:rPr>
      </w:pPr>
    </w:p>
    <w:p>
      <w:pPr>
        <w:rPr>
          <w:rFonts w:ascii="宋体" w:hAnsi="宋体"/>
          <w:sz w:val="24"/>
        </w:rPr>
      </w:pPr>
      <w:r>
        <w:rPr>
          <w:rFonts w:hint="eastAsia" w:ascii="宋体" w:hAnsi="宋体"/>
          <w:sz w:val="24"/>
        </w:rPr>
        <w:t>注：应附上称号（奖励）证书或文件的复印件（加盖企业公章），方予认可。</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hint="eastAsia" w:ascii="宋体" w:hAnsi="宋体"/>
          <w:b/>
          <w:bCs/>
          <w:sz w:val="24"/>
        </w:rPr>
      </w:pPr>
    </w:p>
    <w:p>
      <w:pPr>
        <w:rPr>
          <w:rFonts w:ascii="宋体" w:hAnsi="宋体"/>
          <w:b/>
          <w:bCs/>
          <w:sz w:val="24"/>
        </w:rPr>
      </w:pPr>
      <w:r>
        <w:rPr>
          <w:rFonts w:hint="eastAsia" w:ascii="宋体" w:hAnsi="宋体"/>
          <w:b/>
          <w:bCs/>
          <w:sz w:val="24"/>
        </w:rPr>
        <w:t>附件5：</w:t>
      </w:r>
    </w:p>
    <w:p>
      <w:pPr>
        <w:ind w:firstLine="2891" w:firstLineChars="800"/>
        <w:jc w:val="both"/>
        <w:rPr>
          <w:rFonts w:ascii="宋体" w:hAnsi="宋体"/>
          <w:b/>
          <w:sz w:val="36"/>
          <w:szCs w:val="36"/>
        </w:rPr>
      </w:pPr>
      <w:bookmarkStart w:id="29" w:name="_GoBack"/>
      <w:bookmarkEnd w:id="29"/>
      <w:r>
        <w:rPr>
          <w:rFonts w:hint="eastAsia" w:ascii="宋体" w:hAnsi="宋体"/>
          <w:b/>
          <w:sz w:val="36"/>
          <w:szCs w:val="36"/>
        </w:rPr>
        <w:t>拟 定 项 目 负 责 人</w:t>
      </w:r>
    </w:p>
    <w:tbl>
      <w:tblPr>
        <w:tblStyle w:val="11"/>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38"/>
        <w:gridCol w:w="730"/>
        <w:gridCol w:w="642"/>
        <w:gridCol w:w="1232"/>
        <w:gridCol w:w="952"/>
        <w:gridCol w:w="439"/>
        <w:gridCol w:w="737"/>
        <w:gridCol w:w="1105"/>
        <w:gridCol w:w="1227"/>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8" w:type="dxa"/>
            <w:vAlign w:val="center"/>
          </w:tcPr>
          <w:p>
            <w:pPr>
              <w:spacing w:line="360" w:lineRule="auto"/>
              <w:jc w:val="center"/>
              <w:rPr>
                <w:rFonts w:ascii="宋体" w:hAnsi="宋体"/>
                <w:sz w:val="24"/>
              </w:rPr>
            </w:pPr>
            <w:r>
              <w:rPr>
                <w:rFonts w:hint="eastAsia" w:ascii="宋体" w:hAnsi="宋体"/>
                <w:sz w:val="24"/>
              </w:rPr>
              <w:t>姓名</w:t>
            </w:r>
          </w:p>
        </w:tc>
        <w:tc>
          <w:tcPr>
            <w:tcW w:w="1610" w:type="dxa"/>
            <w:gridSpan w:val="3"/>
            <w:vAlign w:val="center"/>
          </w:tcPr>
          <w:p>
            <w:pPr>
              <w:spacing w:line="360" w:lineRule="auto"/>
              <w:jc w:val="center"/>
              <w:rPr>
                <w:rFonts w:ascii="宋体" w:hAnsi="宋体"/>
                <w:sz w:val="24"/>
              </w:rPr>
            </w:pPr>
          </w:p>
        </w:tc>
        <w:tc>
          <w:tcPr>
            <w:tcW w:w="1232" w:type="dxa"/>
            <w:vAlign w:val="center"/>
          </w:tcPr>
          <w:p>
            <w:pPr>
              <w:spacing w:line="360" w:lineRule="auto"/>
              <w:jc w:val="center"/>
              <w:rPr>
                <w:rFonts w:ascii="宋体" w:hAnsi="宋体"/>
                <w:sz w:val="24"/>
              </w:rPr>
            </w:pPr>
            <w:r>
              <w:rPr>
                <w:rFonts w:hint="eastAsia" w:ascii="宋体" w:hAnsi="宋体"/>
                <w:sz w:val="24"/>
              </w:rPr>
              <w:t>出生年月</w:t>
            </w:r>
          </w:p>
        </w:tc>
        <w:tc>
          <w:tcPr>
            <w:tcW w:w="1391" w:type="dxa"/>
            <w:gridSpan w:val="2"/>
            <w:vAlign w:val="center"/>
          </w:tcPr>
          <w:p>
            <w:pPr>
              <w:spacing w:line="360" w:lineRule="auto"/>
              <w:jc w:val="center"/>
              <w:rPr>
                <w:rFonts w:ascii="宋体" w:hAnsi="宋体"/>
                <w:sz w:val="24"/>
              </w:rPr>
            </w:pPr>
          </w:p>
        </w:tc>
        <w:tc>
          <w:tcPr>
            <w:tcW w:w="737" w:type="dxa"/>
            <w:vAlign w:val="center"/>
          </w:tcPr>
          <w:p>
            <w:pPr>
              <w:spacing w:line="360" w:lineRule="auto"/>
              <w:jc w:val="center"/>
              <w:rPr>
                <w:rFonts w:ascii="宋体" w:hAnsi="宋体"/>
                <w:sz w:val="24"/>
              </w:rPr>
            </w:pPr>
            <w:r>
              <w:rPr>
                <w:rFonts w:hint="eastAsia" w:ascii="宋体" w:hAnsi="宋体"/>
                <w:sz w:val="24"/>
              </w:rPr>
              <w:t>性别</w:t>
            </w:r>
          </w:p>
        </w:tc>
        <w:tc>
          <w:tcPr>
            <w:tcW w:w="1105" w:type="dxa"/>
            <w:vAlign w:val="center"/>
          </w:tcPr>
          <w:p>
            <w:pPr>
              <w:spacing w:line="360" w:lineRule="auto"/>
              <w:jc w:val="center"/>
              <w:rPr>
                <w:rFonts w:ascii="宋体" w:hAnsi="宋体"/>
                <w:sz w:val="24"/>
              </w:rPr>
            </w:pPr>
          </w:p>
        </w:tc>
        <w:tc>
          <w:tcPr>
            <w:tcW w:w="1227" w:type="dxa"/>
            <w:vAlign w:val="center"/>
          </w:tcPr>
          <w:p>
            <w:pPr>
              <w:spacing w:line="360" w:lineRule="auto"/>
              <w:jc w:val="center"/>
              <w:rPr>
                <w:rFonts w:ascii="宋体" w:hAnsi="宋体"/>
                <w:sz w:val="24"/>
              </w:rPr>
            </w:pPr>
            <w:r>
              <w:rPr>
                <w:rFonts w:hint="eastAsia" w:ascii="宋体" w:hAnsi="宋体"/>
                <w:sz w:val="24"/>
              </w:rPr>
              <w:t>联系电话</w:t>
            </w:r>
          </w:p>
        </w:tc>
        <w:tc>
          <w:tcPr>
            <w:tcW w:w="146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676" w:type="dxa"/>
            <w:gridSpan w:val="3"/>
            <w:vAlign w:val="center"/>
          </w:tcPr>
          <w:p>
            <w:pPr>
              <w:spacing w:line="360" w:lineRule="auto"/>
              <w:jc w:val="center"/>
              <w:rPr>
                <w:rFonts w:ascii="宋体" w:hAnsi="宋体"/>
                <w:sz w:val="24"/>
              </w:rPr>
            </w:pPr>
            <w:r>
              <w:rPr>
                <w:rFonts w:hint="eastAsia" w:ascii="宋体" w:hAnsi="宋体"/>
                <w:sz w:val="24"/>
              </w:rPr>
              <w:t>岗位证书编号</w:t>
            </w:r>
          </w:p>
        </w:tc>
        <w:tc>
          <w:tcPr>
            <w:tcW w:w="2826" w:type="dxa"/>
            <w:gridSpan w:val="3"/>
            <w:vAlign w:val="center"/>
          </w:tcPr>
          <w:p>
            <w:pPr>
              <w:spacing w:line="360" w:lineRule="auto"/>
              <w:jc w:val="center"/>
              <w:rPr>
                <w:rFonts w:ascii="宋体" w:hAnsi="宋体"/>
                <w:sz w:val="24"/>
              </w:rPr>
            </w:pPr>
          </w:p>
        </w:tc>
        <w:tc>
          <w:tcPr>
            <w:tcW w:w="1176" w:type="dxa"/>
            <w:gridSpan w:val="2"/>
            <w:vAlign w:val="center"/>
          </w:tcPr>
          <w:p>
            <w:pPr>
              <w:spacing w:line="360" w:lineRule="auto"/>
              <w:jc w:val="center"/>
              <w:rPr>
                <w:rFonts w:ascii="宋体" w:hAnsi="宋体"/>
                <w:sz w:val="24"/>
              </w:rPr>
            </w:pPr>
            <w:r>
              <w:rPr>
                <w:rFonts w:hint="eastAsia" w:ascii="宋体" w:hAnsi="宋体"/>
                <w:sz w:val="24"/>
              </w:rPr>
              <w:t>文化程度</w:t>
            </w:r>
          </w:p>
        </w:tc>
        <w:tc>
          <w:tcPr>
            <w:tcW w:w="1105" w:type="dxa"/>
            <w:vAlign w:val="center"/>
          </w:tcPr>
          <w:p>
            <w:pPr>
              <w:spacing w:line="360" w:lineRule="auto"/>
              <w:jc w:val="center"/>
              <w:rPr>
                <w:rFonts w:ascii="宋体" w:hAnsi="宋体"/>
                <w:sz w:val="24"/>
              </w:rPr>
            </w:pPr>
          </w:p>
        </w:tc>
        <w:tc>
          <w:tcPr>
            <w:tcW w:w="1227" w:type="dxa"/>
            <w:vAlign w:val="center"/>
          </w:tcPr>
          <w:p>
            <w:pPr>
              <w:spacing w:line="360" w:lineRule="auto"/>
              <w:jc w:val="center"/>
              <w:rPr>
                <w:rFonts w:ascii="宋体" w:hAnsi="宋体"/>
                <w:sz w:val="24"/>
              </w:rPr>
            </w:pPr>
            <w:r>
              <w:rPr>
                <w:rFonts w:hint="eastAsia" w:ascii="宋体" w:hAnsi="宋体"/>
                <w:sz w:val="24"/>
              </w:rPr>
              <w:t>专业</w:t>
            </w:r>
          </w:p>
        </w:tc>
        <w:tc>
          <w:tcPr>
            <w:tcW w:w="146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9" w:hRule="atLeast"/>
          <w:jc w:val="center"/>
        </w:trPr>
        <w:tc>
          <w:tcPr>
            <w:tcW w:w="946" w:type="dxa"/>
            <w:gridSpan w:val="2"/>
            <w:vAlign w:val="center"/>
          </w:tcPr>
          <w:p>
            <w:pPr>
              <w:spacing w:line="360" w:lineRule="auto"/>
              <w:jc w:val="center"/>
              <w:rPr>
                <w:rFonts w:ascii="宋体" w:hAnsi="宋体"/>
                <w:sz w:val="24"/>
              </w:rPr>
            </w:pPr>
            <w:r>
              <w:rPr>
                <w:rFonts w:hint="eastAsia" w:ascii="宋体" w:hAnsi="宋体"/>
                <w:sz w:val="24"/>
              </w:rPr>
              <w:t>主</w:t>
            </w:r>
          </w:p>
          <w:p>
            <w:pPr>
              <w:spacing w:line="360" w:lineRule="auto"/>
              <w:jc w:val="center"/>
              <w:rPr>
                <w:rFonts w:ascii="宋体" w:hAnsi="宋体"/>
                <w:sz w:val="24"/>
              </w:rPr>
            </w:pPr>
            <w:r>
              <w:rPr>
                <w:rFonts w:hint="eastAsia" w:ascii="宋体" w:hAnsi="宋体"/>
                <w:sz w:val="24"/>
              </w:rPr>
              <w:t>要</w:t>
            </w:r>
          </w:p>
          <w:p>
            <w:pPr>
              <w:spacing w:line="360" w:lineRule="auto"/>
              <w:jc w:val="center"/>
              <w:rPr>
                <w:rFonts w:ascii="宋体" w:hAnsi="宋体"/>
                <w:sz w:val="24"/>
              </w:rPr>
            </w:pPr>
            <w:r>
              <w:rPr>
                <w:rFonts w:hint="eastAsia" w:ascii="宋体" w:hAnsi="宋体"/>
                <w:sz w:val="24"/>
              </w:rPr>
              <w:t>工</w:t>
            </w:r>
          </w:p>
          <w:p>
            <w:pPr>
              <w:spacing w:line="360" w:lineRule="auto"/>
              <w:jc w:val="center"/>
              <w:rPr>
                <w:rFonts w:ascii="宋体" w:hAnsi="宋体"/>
                <w:sz w:val="24"/>
              </w:rPr>
            </w:pPr>
            <w:r>
              <w:rPr>
                <w:rFonts w:hint="eastAsia" w:ascii="宋体" w:hAnsi="宋体"/>
                <w:sz w:val="24"/>
              </w:rPr>
              <w:t>作</w:t>
            </w:r>
          </w:p>
          <w:p>
            <w:pPr>
              <w:spacing w:line="360" w:lineRule="auto"/>
              <w:jc w:val="center"/>
              <w:rPr>
                <w:rFonts w:ascii="宋体" w:hAnsi="宋体"/>
                <w:sz w:val="24"/>
              </w:rPr>
            </w:pPr>
            <w:r>
              <w:rPr>
                <w:rFonts w:hint="eastAsia" w:ascii="宋体" w:hAnsi="宋体"/>
                <w:sz w:val="24"/>
              </w:rPr>
              <w:t>经</w:t>
            </w:r>
          </w:p>
          <w:p>
            <w:pPr>
              <w:spacing w:line="360" w:lineRule="auto"/>
              <w:jc w:val="center"/>
              <w:rPr>
                <w:rFonts w:ascii="宋体" w:hAnsi="宋体"/>
                <w:sz w:val="24"/>
              </w:rPr>
            </w:pPr>
            <w:r>
              <w:rPr>
                <w:rFonts w:hint="eastAsia" w:ascii="宋体" w:hAnsi="宋体"/>
                <w:sz w:val="24"/>
              </w:rPr>
              <w:t>历</w:t>
            </w:r>
          </w:p>
        </w:tc>
        <w:tc>
          <w:tcPr>
            <w:tcW w:w="8531" w:type="dxa"/>
            <w:gridSpan w:val="9"/>
            <w:vAlign w:val="center"/>
          </w:tcPr>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946" w:type="dxa"/>
            <w:gridSpan w:val="2"/>
            <w:vAlign w:val="center"/>
          </w:tcPr>
          <w:p>
            <w:pPr>
              <w:spacing w:line="360" w:lineRule="auto"/>
              <w:jc w:val="center"/>
              <w:rPr>
                <w:rFonts w:ascii="宋体" w:hAnsi="宋体"/>
                <w:sz w:val="24"/>
              </w:rPr>
            </w:pPr>
            <w:r>
              <w:rPr>
                <w:rFonts w:hint="eastAsia" w:ascii="宋体" w:hAnsi="宋体"/>
                <w:sz w:val="24"/>
              </w:rPr>
              <w:t>获</w:t>
            </w:r>
          </w:p>
          <w:p>
            <w:pPr>
              <w:spacing w:line="360" w:lineRule="auto"/>
              <w:jc w:val="center"/>
              <w:rPr>
                <w:rFonts w:ascii="宋体" w:hAnsi="宋体"/>
                <w:sz w:val="24"/>
              </w:rPr>
            </w:pPr>
            <w:r>
              <w:rPr>
                <w:rFonts w:hint="eastAsia" w:ascii="宋体" w:hAnsi="宋体"/>
                <w:sz w:val="24"/>
              </w:rPr>
              <w:t>奖</w:t>
            </w:r>
          </w:p>
          <w:p>
            <w:pPr>
              <w:spacing w:line="360" w:lineRule="auto"/>
              <w:jc w:val="center"/>
              <w:rPr>
                <w:rFonts w:ascii="宋体" w:hAnsi="宋体"/>
                <w:sz w:val="24"/>
              </w:rPr>
            </w:pPr>
            <w:r>
              <w:rPr>
                <w:rFonts w:hint="eastAsia" w:ascii="宋体" w:hAnsi="宋体"/>
                <w:sz w:val="24"/>
              </w:rPr>
              <w:t>情</w:t>
            </w:r>
          </w:p>
          <w:p>
            <w:pPr>
              <w:spacing w:line="360" w:lineRule="auto"/>
              <w:jc w:val="center"/>
              <w:rPr>
                <w:rFonts w:ascii="宋体" w:hAnsi="宋体"/>
                <w:sz w:val="24"/>
              </w:rPr>
            </w:pPr>
            <w:r>
              <w:rPr>
                <w:rFonts w:hint="eastAsia" w:ascii="宋体" w:hAnsi="宋体"/>
                <w:sz w:val="24"/>
              </w:rPr>
              <w:t>况</w:t>
            </w:r>
          </w:p>
        </w:tc>
        <w:tc>
          <w:tcPr>
            <w:tcW w:w="8531" w:type="dxa"/>
            <w:gridSpan w:val="9"/>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jc w:val="center"/>
        </w:trPr>
        <w:tc>
          <w:tcPr>
            <w:tcW w:w="946" w:type="dxa"/>
            <w:gridSpan w:val="2"/>
            <w:vAlign w:val="center"/>
          </w:tcPr>
          <w:p>
            <w:pPr>
              <w:spacing w:line="360" w:lineRule="auto"/>
              <w:jc w:val="center"/>
              <w:rPr>
                <w:rFonts w:ascii="宋体" w:hAnsi="宋体"/>
                <w:sz w:val="24"/>
              </w:rPr>
            </w:pPr>
            <w:r>
              <w:rPr>
                <w:rFonts w:hint="eastAsia" w:ascii="宋体" w:hAnsi="宋体"/>
                <w:sz w:val="24"/>
              </w:rPr>
              <w:t>备</w:t>
            </w:r>
          </w:p>
          <w:p>
            <w:pPr>
              <w:spacing w:line="360" w:lineRule="auto"/>
              <w:jc w:val="center"/>
              <w:rPr>
                <w:rFonts w:ascii="宋体" w:hAnsi="宋体"/>
                <w:sz w:val="24"/>
              </w:rPr>
            </w:pPr>
            <w:r>
              <w:rPr>
                <w:rFonts w:hint="eastAsia" w:ascii="宋体" w:hAnsi="宋体"/>
                <w:sz w:val="24"/>
              </w:rPr>
              <w:t>注</w:t>
            </w:r>
          </w:p>
        </w:tc>
        <w:tc>
          <w:tcPr>
            <w:tcW w:w="8531" w:type="dxa"/>
            <w:gridSpan w:val="9"/>
            <w:vAlign w:val="center"/>
          </w:tcPr>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tc>
      </w:tr>
    </w:tbl>
    <w:p>
      <w:pPr>
        <w:rPr>
          <w:rFonts w:hint="eastAsia" w:ascii="宋体" w:hAnsi="宋体"/>
          <w:sz w:val="24"/>
        </w:rPr>
      </w:pPr>
    </w:p>
    <w:p>
      <w:pPr>
        <w:rPr>
          <w:rFonts w:ascii="宋体" w:hAnsi="宋体"/>
          <w:sz w:val="24"/>
        </w:rPr>
      </w:pPr>
      <w:r>
        <w:rPr>
          <w:rFonts w:hint="eastAsia" w:ascii="宋体" w:hAnsi="宋体"/>
          <w:sz w:val="24"/>
        </w:rPr>
        <w:t>附获奖证书及相关资料复印有效，请附后。</w:t>
      </w:r>
    </w:p>
    <w:p>
      <w:pPr>
        <w:pStyle w:val="3"/>
        <w:spacing w:line="360" w:lineRule="auto"/>
        <w:ind w:firstLine="0"/>
        <w:rPr>
          <w:rFonts w:ascii="宋体" w:hAnsi="宋体"/>
          <w:sz w:val="24"/>
        </w:rPr>
      </w:pPr>
    </w:p>
    <w:p>
      <w:pPr>
        <w:pStyle w:val="3"/>
        <w:spacing w:line="360" w:lineRule="auto"/>
        <w:ind w:firstLine="0"/>
        <w:rPr>
          <w:rFonts w:ascii="宋体" w:hAnsi="宋体"/>
          <w:sz w:val="24"/>
        </w:rPr>
      </w:pPr>
    </w:p>
    <w:p>
      <w:pPr>
        <w:pStyle w:val="3"/>
        <w:spacing w:line="360" w:lineRule="auto"/>
        <w:ind w:firstLine="0"/>
        <w:rPr>
          <w:rFonts w:ascii="宋体" w:hAnsi="宋体"/>
          <w:sz w:val="24"/>
        </w:rPr>
      </w:pPr>
    </w:p>
    <w:p>
      <w:pPr>
        <w:pStyle w:val="3"/>
        <w:spacing w:line="360" w:lineRule="auto"/>
        <w:ind w:firstLine="0"/>
        <w:rPr>
          <w:rFonts w:ascii="宋体" w:hAnsi="宋体"/>
          <w:b/>
          <w:bCs/>
          <w:sz w:val="24"/>
          <w:szCs w:val="24"/>
        </w:rPr>
      </w:pPr>
      <w:r>
        <w:rPr>
          <w:rFonts w:hint="eastAsia" w:ascii="宋体" w:hAnsi="宋体"/>
          <w:b/>
          <w:bCs/>
          <w:sz w:val="24"/>
          <w:szCs w:val="24"/>
        </w:rPr>
        <w:t>附件6：廉洁投标承诺书</w:t>
      </w:r>
    </w:p>
    <w:p>
      <w:pPr>
        <w:spacing w:line="360" w:lineRule="auto"/>
        <w:jc w:val="center"/>
        <w:rPr>
          <w:rFonts w:ascii="宋体" w:hAnsi="宋体"/>
          <w:b/>
          <w:kern w:val="44"/>
          <w:sz w:val="24"/>
          <w:szCs w:val="24"/>
        </w:rPr>
      </w:pPr>
      <w:r>
        <w:rPr>
          <w:rFonts w:hint="eastAsia" w:ascii="宋体" w:hAnsi="宋体"/>
          <w:b/>
          <w:kern w:val="44"/>
          <w:sz w:val="24"/>
          <w:szCs w:val="24"/>
        </w:rPr>
        <w:t>廉洁投标承诺书</w:t>
      </w:r>
    </w:p>
    <w:p>
      <w:pPr>
        <w:pStyle w:val="5"/>
        <w:adjustRightInd w:val="0"/>
        <w:spacing w:line="360" w:lineRule="auto"/>
        <w:ind w:firstLine="420"/>
        <w:rPr>
          <w:sz w:val="24"/>
          <w:szCs w:val="24"/>
        </w:rPr>
      </w:pPr>
      <w:r>
        <w:rPr>
          <w:rFonts w:hint="eastAsia"/>
          <w:sz w:val="24"/>
          <w:szCs w:val="24"/>
        </w:rPr>
        <w:t>作为参与此次投标的服务单位,我公司现郑重作以下承诺：</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一、遵守《中华人民共和国政府采购法》及省、市有关政府采购的各项法律、法规和制度。</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二、客观真实反映自身情况，按规定接受招标单位的资格审查, 不提供虚假材料，不夸大自身技术和提供服务的能力。</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三、以合法正当的手段参与此次招标的公平竞争。不与招标单位、其他投标单位恶意串通，不以不正当手段诋毁、排挤其他投标单位，不向招标单位、评审机构行贿或者提供其他不正当利益。</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四、在此次投标活动中，认真履行规定义务,包括:遵守招投标程序，按要求编写投标、响应文件，并保证投标、响应文件内容的真实可靠；按时递交投标、响应文件，缴纳相关保证金；在评标、谈判现场遵守相关纪律，不影响正常的招标秩序；按规定的时间和程序与招标单位签订服务合同；按时缴纳履约保证金，并严格履行合同。</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五、自觉接受相关监督管理部门的监督检查。</w:t>
      </w:r>
    </w:p>
    <w:p>
      <w:pPr>
        <w:pStyle w:val="5"/>
        <w:adjustRightInd w:val="0"/>
        <w:spacing w:line="360" w:lineRule="auto"/>
        <w:ind w:firstLine="420"/>
        <w:rPr>
          <w:sz w:val="24"/>
          <w:szCs w:val="24"/>
        </w:rPr>
      </w:pPr>
      <w:r>
        <w:rPr>
          <w:rFonts w:hint="eastAsia"/>
          <w:sz w:val="24"/>
          <w:szCs w:val="24"/>
        </w:rPr>
        <w:t xml:space="preserve">如违反以上承诺，我公司愿承担一切法律责任，并接受监督管理部门及其他相关部门依法作出的处罚。 </w:t>
      </w:r>
    </w:p>
    <w:p>
      <w:pPr>
        <w:adjustRightInd w:val="0"/>
        <w:snapToGrid w:val="0"/>
        <w:spacing w:line="380" w:lineRule="exact"/>
        <w:rPr>
          <w:rFonts w:ascii="宋体" w:hAnsi="宋体"/>
          <w:sz w:val="24"/>
          <w:szCs w:val="24"/>
        </w:rPr>
      </w:pPr>
    </w:p>
    <w:p>
      <w:pPr>
        <w:spacing w:line="360" w:lineRule="auto"/>
        <w:ind w:right="1260" w:rightChars="600" w:firstLine="480" w:firstLineChars="200"/>
        <w:jc w:val="right"/>
        <w:rPr>
          <w:rFonts w:ascii="宋体" w:hAnsi="宋体"/>
          <w:sz w:val="24"/>
          <w:szCs w:val="24"/>
        </w:rPr>
      </w:pPr>
      <w:r>
        <w:rPr>
          <w:rFonts w:hint="eastAsia" w:ascii="宋体" w:hAnsi="宋体"/>
          <w:sz w:val="24"/>
          <w:szCs w:val="24"/>
        </w:rPr>
        <w:t>承诺单位（盖章）</w:t>
      </w:r>
    </w:p>
    <w:p>
      <w:pPr>
        <w:spacing w:line="360" w:lineRule="auto"/>
        <w:ind w:left="561" w:leftChars="267" w:right="1260" w:rightChars="600" w:firstLine="480" w:firstLineChars="200"/>
        <w:jc w:val="right"/>
        <w:rPr>
          <w:rFonts w:ascii="宋体" w:hAnsi="宋体"/>
          <w:sz w:val="24"/>
          <w:szCs w:val="24"/>
        </w:rPr>
      </w:pPr>
      <w:r>
        <w:rPr>
          <w:rFonts w:hint="eastAsia" w:ascii="宋体" w:hAnsi="宋体"/>
          <w:sz w:val="24"/>
          <w:szCs w:val="24"/>
        </w:rPr>
        <w:t>法定代表人（授权代表）签字</w:t>
      </w:r>
    </w:p>
    <w:p>
      <w:pPr>
        <w:spacing w:line="360" w:lineRule="auto"/>
        <w:ind w:left="561" w:leftChars="267" w:right="1260" w:rightChars="600" w:firstLine="480" w:firstLineChars="200"/>
        <w:jc w:val="right"/>
        <w:rPr>
          <w:rFonts w:ascii="宋体"/>
          <w:sz w:val="24"/>
          <w:szCs w:val="24"/>
        </w:rPr>
      </w:pPr>
      <w:r>
        <w:rPr>
          <w:rFonts w:hint="eastAsia" w:ascii="宋体"/>
          <w:sz w:val="24"/>
          <w:szCs w:val="24"/>
        </w:rPr>
        <w:t>年  月  日</w:t>
      </w:r>
    </w:p>
    <w:p>
      <w:pPr>
        <w:spacing w:line="360" w:lineRule="auto"/>
        <w:ind w:left="561" w:leftChars="267" w:right="1260" w:rightChars="600" w:firstLine="480" w:firstLineChars="200"/>
        <w:jc w:val="right"/>
        <w:rPr>
          <w:rFonts w:ascii="宋体"/>
          <w:sz w:val="24"/>
          <w:szCs w:val="24"/>
        </w:rPr>
      </w:pPr>
    </w:p>
    <w:p>
      <w:pPr>
        <w:spacing w:line="360" w:lineRule="auto"/>
        <w:ind w:left="561" w:leftChars="267" w:right="1260" w:rightChars="600" w:firstLine="420" w:firstLineChars="200"/>
        <w:jc w:val="right"/>
        <w:rPr>
          <w:rFonts w:ascii="宋体"/>
          <w:szCs w:val="21"/>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b/>
          <w:bCs/>
          <w:sz w:val="24"/>
        </w:rPr>
      </w:pPr>
      <w:r>
        <w:rPr>
          <w:rFonts w:hint="eastAsia" w:ascii="宋体" w:hAnsi="宋体"/>
          <w:b/>
          <w:bCs/>
          <w:sz w:val="24"/>
        </w:rPr>
        <w:t>附件7：声明参考格式</w:t>
      </w:r>
    </w:p>
    <w:p>
      <w:pPr>
        <w:spacing w:line="460" w:lineRule="exact"/>
        <w:ind w:firstLine="3441" w:firstLineChars="1434"/>
        <w:rPr>
          <w:rFonts w:ascii="宋体" w:hAnsi="宋体"/>
          <w:sz w:val="24"/>
        </w:rPr>
      </w:pPr>
    </w:p>
    <w:p>
      <w:pPr>
        <w:spacing w:line="460" w:lineRule="exact"/>
        <w:jc w:val="center"/>
        <w:rPr>
          <w:rFonts w:ascii="宋体" w:hAnsi="宋体"/>
          <w:b/>
          <w:bCs/>
          <w:sz w:val="44"/>
          <w:szCs w:val="44"/>
        </w:rPr>
      </w:pPr>
      <w:r>
        <w:rPr>
          <w:rFonts w:hint="eastAsia" w:ascii="宋体" w:hAnsi="宋体"/>
          <w:b/>
          <w:bCs/>
          <w:sz w:val="44"/>
          <w:szCs w:val="44"/>
        </w:rPr>
        <w:t>声  明</w:t>
      </w:r>
    </w:p>
    <w:p>
      <w:pPr>
        <w:spacing w:line="460" w:lineRule="exact"/>
        <w:ind w:firstLine="480" w:firstLineChars="200"/>
        <w:rPr>
          <w:rFonts w:ascii="宋体" w:hAnsi="宋体"/>
          <w:bCs/>
          <w:sz w:val="24"/>
        </w:rPr>
      </w:pPr>
      <w:r>
        <w:rPr>
          <w:rFonts w:hint="eastAsia" w:ascii="宋体" w:hAnsi="宋体"/>
          <w:bCs/>
          <w:sz w:val="24"/>
        </w:rPr>
        <w:t>我公司郑重声明：参加本次投标活动前 3 年内，我公司在经营活动中没有因违法经营受到刑事处罚或者责令停产停业、吊销许可证或者执照、较大数额罚款等行政处罚。</w:t>
      </w:r>
    </w:p>
    <w:p>
      <w:pPr>
        <w:spacing w:line="460" w:lineRule="exact"/>
        <w:rPr>
          <w:rFonts w:ascii="宋体" w:hAnsi="宋体"/>
          <w:bCs/>
          <w:sz w:val="24"/>
        </w:rPr>
      </w:pPr>
    </w:p>
    <w:p>
      <w:pPr>
        <w:spacing w:line="460" w:lineRule="exact"/>
        <w:rPr>
          <w:rFonts w:ascii="宋体" w:hAnsi="宋体"/>
          <w:bCs/>
          <w:sz w:val="24"/>
        </w:rPr>
      </w:pPr>
    </w:p>
    <w:p>
      <w:pPr>
        <w:spacing w:line="460" w:lineRule="exact"/>
        <w:ind w:firstLine="4440" w:firstLineChars="1850"/>
        <w:rPr>
          <w:rFonts w:ascii="宋体" w:hAnsi="宋体"/>
          <w:bCs/>
          <w:sz w:val="24"/>
        </w:rPr>
      </w:pPr>
      <w:r>
        <w:rPr>
          <w:rFonts w:hint="eastAsia" w:ascii="宋体" w:hAnsi="宋体"/>
          <w:bCs/>
          <w:sz w:val="24"/>
        </w:rPr>
        <w:t>投标人名称（公章）：</w:t>
      </w:r>
    </w:p>
    <w:p>
      <w:pPr>
        <w:spacing w:line="460" w:lineRule="exact"/>
        <w:rPr>
          <w:rFonts w:ascii="宋体" w:hAnsi="宋体"/>
          <w:bCs/>
          <w:sz w:val="24"/>
        </w:rPr>
      </w:pPr>
      <w:r>
        <w:rPr>
          <w:rFonts w:hint="eastAsia" w:ascii="宋体" w:hAnsi="宋体"/>
          <w:bCs/>
          <w:sz w:val="24"/>
        </w:rPr>
        <w:t xml:space="preserve">                                     授权代表签字：</w:t>
      </w:r>
      <w:r>
        <w:rPr>
          <w:rFonts w:hint="eastAsia" w:ascii="宋体" w:hAnsi="宋体"/>
          <w:bCs/>
          <w:sz w:val="24"/>
          <w:u w:val="single"/>
        </w:rPr>
        <w:t>________________</w:t>
      </w:r>
    </w:p>
    <w:p>
      <w:pPr>
        <w:spacing w:line="460" w:lineRule="exact"/>
      </w:pPr>
      <w:r>
        <w:rPr>
          <w:rFonts w:hint="eastAsia" w:ascii="宋体" w:hAnsi="宋体"/>
          <w:bCs/>
          <w:sz w:val="24"/>
        </w:rPr>
        <w:t xml:space="preserve">                                     日期：   年   月   日</w:t>
      </w:r>
    </w:p>
    <w:p>
      <w:pPr>
        <w:rPr>
          <w:rFonts w:ascii="宋体" w:hAnsi="宋体" w:cs="Arial"/>
          <w:color w:val="000000"/>
          <w:spacing w:val="8"/>
          <w:szCs w:val="21"/>
        </w:rPr>
      </w:pPr>
    </w:p>
    <w:p/>
    <w:sectPr>
      <w:headerReference r:id="rId3" w:type="default"/>
      <w:footerReference r:id="rId4" w:type="default"/>
      <w:pgSz w:w="11906" w:h="16838"/>
      <w:pgMar w:top="1090" w:right="1286" w:bottom="144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3"/>
      </w:rPr>
      <w:instrText xml:space="preserve"> PAGE </w:instrText>
    </w:r>
    <w:r>
      <w:fldChar w:fldCharType="separate"/>
    </w:r>
    <w:r>
      <w:rPr>
        <w:rStyle w:val="13"/>
      </w:rPr>
      <w:t>14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numPicBullet w:numPicBulletId="2">
    <w:pict>
      <v:shape id="2" type="#_x0000_t75" style="width:15px;height:15px" o:bullet="t">
        <v:imagedata r:id="rId3" o:title=""/>
      </v:shape>
    </w:pict>
  </w:numPicBullet>
  <w:numPicBullet w:numPicBulletId="3">
    <w:pict>
      <v:shape id="3" type="#_x0000_t75" style="width:15px;height:15px" o:bullet="t">
        <v:imagedata r:id="rId4" o:title=""/>
      </v:shape>
    </w:pict>
  </w:numPicBullet>
  <w:abstractNum w:abstractNumId="0">
    <w:nsid w:val="0000000D"/>
    <w:multiLevelType w:val="multilevel"/>
    <w:tmpl w:val="0000000D"/>
    <w:lvl w:ilvl="0" w:tentative="0">
      <w:start w:val="1"/>
      <w:numFmt w:val="decimal"/>
      <w:lvlText w:val="%1、"/>
      <w:lvlJc w:val="left"/>
      <w:pPr>
        <w:tabs>
          <w:tab w:val="left" w:pos="1275"/>
        </w:tabs>
        <w:ind w:left="1275" w:hanging="795"/>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26565E58"/>
    <w:multiLevelType w:val="multilevel"/>
    <w:tmpl w:val="26565E58"/>
    <w:lvl w:ilvl="0" w:tentative="0">
      <w:start w:val="1"/>
      <w:numFmt w:val="bullet"/>
      <w:lvlText w:val=""/>
      <w:lvlPicBulletId w:val="2"/>
      <w:lvlJc w:val="left"/>
      <w:pPr>
        <w:tabs>
          <w:tab w:val="left" w:pos="948"/>
        </w:tabs>
        <w:ind w:left="948" w:hanging="420"/>
      </w:pPr>
      <w:rPr>
        <w:rFonts w:hint="default" w:ascii="Wingdings" w:hAnsi="Wingdings"/>
      </w:rPr>
    </w:lvl>
    <w:lvl w:ilvl="1" w:tentative="0">
      <w:start w:val="1"/>
      <w:numFmt w:val="bullet"/>
      <w:lvlText w:val=""/>
      <w:lvlJc w:val="left"/>
      <w:pPr>
        <w:tabs>
          <w:tab w:val="left" w:pos="1368"/>
        </w:tabs>
        <w:ind w:left="1368" w:hanging="420"/>
      </w:pPr>
      <w:rPr>
        <w:rFonts w:hint="default" w:ascii="Wingdings" w:hAnsi="Wingdings"/>
      </w:rPr>
    </w:lvl>
    <w:lvl w:ilvl="2" w:tentative="0">
      <w:start w:val="1"/>
      <w:numFmt w:val="bullet"/>
      <w:lvlText w:val=""/>
      <w:lvlJc w:val="left"/>
      <w:pPr>
        <w:tabs>
          <w:tab w:val="left" w:pos="1788"/>
        </w:tabs>
        <w:ind w:left="1788" w:hanging="420"/>
      </w:pPr>
      <w:rPr>
        <w:rFonts w:hint="default" w:ascii="Wingdings" w:hAnsi="Wingdings"/>
      </w:rPr>
    </w:lvl>
    <w:lvl w:ilvl="3" w:tentative="0">
      <w:start w:val="1"/>
      <w:numFmt w:val="bullet"/>
      <w:lvlText w:val=""/>
      <w:lvlJc w:val="left"/>
      <w:pPr>
        <w:tabs>
          <w:tab w:val="left" w:pos="2208"/>
        </w:tabs>
        <w:ind w:left="2208" w:hanging="420"/>
      </w:pPr>
      <w:rPr>
        <w:rFonts w:hint="default" w:ascii="Wingdings" w:hAnsi="Wingdings"/>
      </w:rPr>
    </w:lvl>
    <w:lvl w:ilvl="4" w:tentative="0">
      <w:start w:val="1"/>
      <w:numFmt w:val="bullet"/>
      <w:lvlText w:val=""/>
      <w:lvlJc w:val="left"/>
      <w:pPr>
        <w:tabs>
          <w:tab w:val="left" w:pos="2628"/>
        </w:tabs>
        <w:ind w:left="2628" w:hanging="420"/>
      </w:pPr>
      <w:rPr>
        <w:rFonts w:hint="default" w:ascii="Wingdings" w:hAnsi="Wingdings"/>
      </w:rPr>
    </w:lvl>
    <w:lvl w:ilvl="5" w:tentative="0">
      <w:start w:val="1"/>
      <w:numFmt w:val="bullet"/>
      <w:lvlText w:val=""/>
      <w:lvlJc w:val="left"/>
      <w:pPr>
        <w:tabs>
          <w:tab w:val="left" w:pos="3048"/>
        </w:tabs>
        <w:ind w:left="3048" w:hanging="420"/>
      </w:pPr>
      <w:rPr>
        <w:rFonts w:hint="default" w:ascii="Wingdings" w:hAnsi="Wingdings"/>
      </w:rPr>
    </w:lvl>
    <w:lvl w:ilvl="6" w:tentative="0">
      <w:start w:val="1"/>
      <w:numFmt w:val="bullet"/>
      <w:lvlText w:val=""/>
      <w:lvlJc w:val="left"/>
      <w:pPr>
        <w:tabs>
          <w:tab w:val="left" w:pos="3468"/>
        </w:tabs>
        <w:ind w:left="3468" w:hanging="420"/>
      </w:pPr>
      <w:rPr>
        <w:rFonts w:hint="default" w:ascii="Wingdings" w:hAnsi="Wingdings"/>
      </w:rPr>
    </w:lvl>
    <w:lvl w:ilvl="7" w:tentative="0">
      <w:start w:val="1"/>
      <w:numFmt w:val="bullet"/>
      <w:lvlText w:val=""/>
      <w:lvlJc w:val="left"/>
      <w:pPr>
        <w:tabs>
          <w:tab w:val="left" w:pos="3888"/>
        </w:tabs>
        <w:ind w:left="3888" w:hanging="420"/>
      </w:pPr>
      <w:rPr>
        <w:rFonts w:hint="default" w:ascii="Wingdings" w:hAnsi="Wingdings"/>
      </w:rPr>
    </w:lvl>
    <w:lvl w:ilvl="8" w:tentative="0">
      <w:start w:val="1"/>
      <w:numFmt w:val="bullet"/>
      <w:lvlText w:val=""/>
      <w:lvlJc w:val="left"/>
      <w:pPr>
        <w:tabs>
          <w:tab w:val="left" w:pos="4308"/>
        </w:tabs>
        <w:ind w:left="4308" w:hanging="420"/>
      </w:pPr>
      <w:rPr>
        <w:rFonts w:hint="default" w:ascii="Wingdings" w:hAnsi="Wingdings"/>
      </w:rPr>
    </w:lvl>
  </w:abstractNum>
  <w:abstractNum w:abstractNumId="2">
    <w:nsid w:val="290A2887"/>
    <w:multiLevelType w:val="multilevel"/>
    <w:tmpl w:val="290A2887"/>
    <w:lvl w:ilvl="0" w:tentative="0">
      <w:start w:val="1"/>
      <w:numFmt w:val="bullet"/>
      <w:lvlText w:val=""/>
      <w:lvlPicBulletId w:val="0"/>
      <w:lvlJc w:val="left"/>
      <w:pPr>
        <w:tabs>
          <w:tab w:val="left" w:pos="948"/>
        </w:tabs>
        <w:ind w:left="948" w:hanging="420"/>
      </w:pPr>
      <w:rPr>
        <w:rFonts w:hint="default" w:ascii="Wingdings" w:hAnsi="Wingdings"/>
      </w:rPr>
    </w:lvl>
    <w:lvl w:ilvl="1" w:tentative="0">
      <w:start w:val="1"/>
      <w:numFmt w:val="bullet"/>
      <w:lvlText w:val=""/>
      <w:lvlJc w:val="left"/>
      <w:pPr>
        <w:tabs>
          <w:tab w:val="left" w:pos="1368"/>
        </w:tabs>
        <w:ind w:left="1368" w:hanging="420"/>
      </w:pPr>
      <w:rPr>
        <w:rFonts w:hint="default" w:ascii="Wingdings" w:hAnsi="Wingdings"/>
      </w:rPr>
    </w:lvl>
    <w:lvl w:ilvl="2" w:tentative="0">
      <w:start w:val="1"/>
      <w:numFmt w:val="bullet"/>
      <w:lvlText w:val=""/>
      <w:lvlJc w:val="left"/>
      <w:pPr>
        <w:tabs>
          <w:tab w:val="left" w:pos="1788"/>
        </w:tabs>
        <w:ind w:left="1788" w:hanging="420"/>
      </w:pPr>
      <w:rPr>
        <w:rFonts w:hint="default" w:ascii="Wingdings" w:hAnsi="Wingdings"/>
      </w:rPr>
    </w:lvl>
    <w:lvl w:ilvl="3" w:tentative="0">
      <w:start w:val="1"/>
      <w:numFmt w:val="bullet"/>
      <w:lvlText w:val=""/>
      <w:lvlJc w:val="left"/>
      <w:pPr>
        <w:tabs>
          <w:tab w:val="left" w:pos="2208"/>
        </w:tabs>
        <w:ind w:left="2208" w:hanging="420"/>
      </w:pPr>
      <w:rPr>
        <w:rFonts w:hint="default" w:ascii="Wingdings" w:hAnsi="Wingdings"/>
      </w:rPr>
    </w:lvl>
    <w:lvl w:ilvl="4" w:tentative="0">
      <w:start w:val="1"/>
      <w:numFmt w:val="bullet"/>
      <w:lvlText w:val=""/>
      <w:lvlJc w:val="left"/>
      <w:pPr>
        <w:tabs>
          <w:tab w:val="left" w:pos="2628"/>
        </w:tabs>
        <w:ind w:left="2628" w:hanging="420"/>
      </w:pPr>
      <w:rPr>
        <w:rFonts w:hint="default" w:ascii="Wingdings" w:hAnsi="Wingdings"/>
      </w:rPr>
    </w:lvl>
    <w:lvl w:ilvl="5" w:tentative="0">
      <w:start w:val="1"/>
      <w:numFmt w:val="bullet"/>
      <w:lvlText w:val=""/>
      <w:lvlJc w:val="left"/>
      <w:pPr>
        <w:tabs>
          <w:tab w:val="left" w:pos="3048"/>
        </w:tabs>
        <w:ind w:left="3048" w:hanging="420"/>
      </w:pPr>
      <w:rPr>
        <w:rFonts w:hint="default" w:ascii="Wingdings" w:hAnsi="Wingdings"/>
      </w:rPr>
    </w:lvl>
    <w:lvl w:ilvl="6" w:tentative="0">
      <w:start w:val="1"/>
      <w:numFmt w:val="bullet"/>
      <w:lvlText w:val=""/>
      <w:lvlJc w:val="left"/>
      <w:pPr>
        <w:tabs>
          <w:tab w:val="left" w:pos="3468"/>
        </w:tabs>
        <w:ind w:left="3468" w:hanging="420"/>
      </w:pPr>
      <w:rPr>
        <w:rFonts w:hint="default" w:ascii="Wingdings" w:hAnsi="Wingdings"/>
      </w:rPr>
    </w:lvl>
    <w:lvl w:ilvl="7" w:tentative="0">
      <w:start w:val="1"/>
      <w:numFmt w:val="bullet"/>
      <w:lvlText w:val=""/>
      <w:lvlJc w:val="left"/>
      <w:pPr>
        <w:tabs>
          <w:tab w:val="left" w:pos="3888"/>
        </w:tabs>
        <w:ind w:left="3888" w:hanging="420"/>
      </w:pPr>
      <w:rPr>
        <w:rFonts w:hint="default" w:ascii="Wingdings" w:hAnsi="Wingdings"/>
      </w:rPr>
    </w:lvl>
    <w:lvl w:ilvl="8" w:tentative="0">
      <w:start w:val="1"/>
      <w:numFmt w:val="bullet"/>
      <w:lvlText w:val=""/>
      <w:lvlJc w:val="left"/>
      <w:pPr>
        <w:tabs>
          <w:tab w:val="left" w:pos="4308"/>
        </w:tabs>
        <w:ind w:left="4308" w:hanging="420"/>
      </w:pPr>
      <w:rPr>
        <w:rFonts w:hint="default" w:ascii="Wingdings" w:hAnsi="Wingdings"/>
      </w:rPr>
    </w:lvl>
  </w:abstractNum>
  <w:abstractNum w:abstractNumId="3">
    <w:nsid w:val="2D721CEA"/>
    <w:multiLevelType w:val="multilevel"/>
    <w:tmpl w:val="2D721CEA"/>
    <w:lvl w:ilvl="0" w:tentative="0">
      <w:start w:val="1"/>
      <w:numFmt w:val="bullet"/>
      <w:lvlText w:val=""/>
      <w:lvlPicBulletId w:val="3"/>
      <w:lvlJc w:val="left"/>
      <w:pPr>
        <w:ind w:left="990" w:hanging="420"/>
      </w:pPr>
      <w:rPr>
        <w:rFonts w:hint="default" w:ascii="Wingdings" w:hAnsi="Wingdings"/>
      </w:rPr>
    </w:lvl>
    <w:lvl w:ilvl="1" w:tentative="0">
      <w:start w:val="1"/>
      <w:numFmt w:val="bullet"/>
      <w:lvlText w:val=""/>
      <w:lvlJc w:val="left"/>
      <w:pPr>
        <w:ind w:left="1410" w:hanging="420"/>
      </w:pPr>
      <w:rPr>
        <w:rFonts w:hint="default" w:ascii="Wingdings" w:hAnsi="Wingdings"/>
      </w:rPr>
    </w:lvl>
    <w:lvl w:ilvl="2" w:tentative="0">
      <w:start w:val="1"/>
      <w:numFmt w:val="bullet"/>
      <w:lvlText w:val=""/>
      <w:lvlJc w:val="left"/>
      <w:pPr>
        <w:ind w:left="1830" w:hanging="420"/>
      </w:pPr>
      <w:rPr>
        <w:rFonts w:hint="default" w:ascii="Wingdings" w:hAnsi="Wingdings"/>
      </w:rPr>
    </w:lvl>
    <w:lvl w:ilvl="3" w:tentative="0">
      <w:start w:val="1"/>
      <w:numFmt w:val="bullet"/>
      <w:lvlText w:val=""/>
      <w:lvlJc w:val="left"/>
      <w:pPr>
        <w:ind w:left="2250" w:hanging="420"/>
      </w:pPr>
      <w:rPr>
        <w:rFonts w:hint="default" w:ascii="Wingdings" w:hAnsi="Wingdings"/>
      </w:rPr>
    </w:lvl>
    <w:lvl w:ilvl="4" w:tentative="0">
      <w:start w:val="1"/>
      <w:numFmt w:val="bullet"/>
      <w:lvlText w:val=""/>
      <w:lvlJc w:val="left"/>
      <w:pPr>
        <w:ind w:left="2670" w:hanging="420"/>
      </w:pPr>
      <w:rPr>
        <w:rFonts w:hint="default" w:ascii="Wingdings" w:hAnsi="Wingdings"/>
      </w:rPr>
    </w:lvl>
    <w:lvl w:ilvl="5" w:tentative="0">
      <w:start w:val="1"/>
      <w:numFmt w:val="bullet"/>
      <w:lvlText w:val=""/>
      <w:lvlJc w:val="left"/>
      <w:pPr>
        <w:ind w:left="3090" w:hanging="420"/>
      </w:pPr>
      <w:rPr>
        <w:rFonts w:hint="default" w:ascii="Wingdings" w:hAnsi="Wingdings"/>
      </w:rPr>
    </w:lvl>
    <w:lvl w:ilvl="6" w:tentative="0">
      <w:start w:val="1"/>
      <w:numFmt w:val="bullet"/>
      <w:lvlText w:val=""/>
      <w:lvlJc w:val="left"/>
      <w:pPr>
        <w:ind w:left="3510" w:hanging="420"/>
      </w:pPr>
      <w:rPr>
        <w:rFonts w:hint="default" w:ascii="Wingdings" w:hAnsi="Wingdings"/>
      </w:rPr>
    </w:lvl>
    <w:lvl w:ilvl="7" w:tentative="0">
      <w:start w:val="1"/>
      <w:numFmt w:val="bullet"/>
      <w:lvlText w:val=""/>
      <w:lvlJc w:val="left"/>
      <w:pPr>
        <w:ind w:left="3930" w:hanging="420"/>
      </w:pPr>
      <w:rPr>
        <w:rFonts w:hint="default" w:ascii="Wingdings" w:hAnsi="Wingdings"/>
      </w:rPr>
    </w:lvl>
    <w:lvl w:ilvl="8" w:tentative="0">
      <w:start w:val="1"/>
      <w:numFmt w:val="bullet"/>
      <w:lvlText w:val=""/>
      <w:lvlJc w:val="left"/>
      <w:pPr>
        <w:ind w:left="4350" w:hanging="420"/>
      </w:pPr>
      <w:rPr>
        <w:rFonts w:hint="default" w:ascii="Wingdings" w:hAnsi="Wingdings"/>
      </w:rPr>
    </w:lvl>
  </w:abstractNum>
  <w:abstractNum w:abstractNumId="4">
    <w:nsid w:val="3319122C"/>
    <w:multiLevelType w:val="multilevel"/>
    <w:tmpl w:val="3319122C"/>
    <w:lvl w:ilvl="0" w:tentative="0">
      <w:start w:val="1"/>
      <w:numFmt w:val="bullet"/>
      <w:lvlText w:val=""/>
      <w:lvlPicBulletId w:val="1"/>
      <w:lvlJc w:val="left"/>
      <w:pPr>
        <w:tabs>
          <w:tab w:val="left" w:pos="948"/>
        </w:tabs>
        <w:ind w:left="948" w:hanging="420"/>
      </w:pPr>
      <w:rPr>
        <w:rFonts w:hint="default" w:ascii="Wingdings" w:hAnsi="Wingdings"/>
      </w:rPr>
    </w:lvl>
    <w:lvl w:ilvl="1" w:tentative="0">
      <w:start w:val="1"/>
      <w:numFmt w:val="bullet"/>
      <w:lvlText w:val=""/>
      <w:lvlJc w:val="left"/>
      <w:pPr>
        <w:tabs>
          <w:tab w:val="left" w:pos="1368"/>
        </w:tabs>
        <w:ind w:left="1368" w:hanging="420"/>
      </w:pPr>
      <w:rPr>
        <w:rFonts w:hint="default" w:ascii="Wingdings" w:hAnsi="Wingdings"/>
      </w:rPr>
    </w:lvl>
    <w:lvl w:ilvl="2" w:tentative="0">
      <w:start w:val="1"/>
      <w:numFmt w:val="bullet"/>
      <w:lvlText w:val=""/>
      <w:lvlJc w:val="left"/>
      <w:pPr>
        <w:tabs>
          <w:tab w:val="left" w:pos="1788"/>
        </w:tabs>
        <w:ind w:left="1788" w:hanging="420"/>
      </w:pPr>
      <w:rPr>
        <w:rFonts w:hint="default" w:ascii="Wingdings" w:hAnsi="Wingdings"/>
      </w:rPr>
    </w:lvl>
    <w:lvl w:ilvl="3" w:tentative="0">
      <w:start w:val="1"/>
      <w:numFmt w:val="bullet"/>
      <w:lvlText w:val=""/>
      <w:lvlJc w:val="left"/>
      <w:pPr>
        <w:tabs>
          <w:tab w:val="left" w:pos="2208"/>
        </w:tabs>
        <w:ind w:left="2208" w:hanging="420"/>
      </w:pPr>
      <w:rPr>
        <w:rFonts w:hint="default" w:ascii="Wingdings" w:hAnsi="Wingdings"/>
      </w:rPr>
    </w:lvl>
    <w:lvl w:ilvl="4" w:tentative="0">
      <w:start w:val="1"/>
      <w:numFmt w:val="bullet"/>
      <w:lvlText w:val=""/>
      <w:lvlJc w:val="left"/>
      <w:pPr>
        <w:tabs>
          <w:tab w:val="left" w:pos="2628"/>
        </w:tabs>
        <w:ind w:left="2628" w:hanging="420"/>
      </w:pPr>
      <w:rPr>
        <w:rFonts w:hint="default" w:ascii="Wingdings" w:hAnsi="Wingdings"/>
      </w:rPr>
    </w:lvl>
    <w:lvl w:ilvl="5" w:tentative="0">
      <w:start w:val="1"/>
      <w:numFmt w:val="bullet"/>
      <w:lvlText w:val=""/>
      <w:lvlJc w:val="left"/>
      <w:pPr>
        <w:tabs>
          <w:tab w:val="left" w:pos="3048"/>
        </w:tabs>
        <w:ind w:left="3048" w:hanging="420"/>
      </w:pPr>
      <w:rPr>
        <w:rFonts w:hint="default" w:ascii="Wingdings" w:hAnsi="Wingdings"/>
      </w:rPr>
    </w:lvl>
    <w:lvl w:ilvl="6" w:tentative="0">
      <w:start w:val="1"/>
      <w:numFmt w:val="bullet"/>
      <w:lvlText w:val=""/>
      <w:lvlJc w:val="left"/>
      <w:pPr>
        <w:tabs>
          <w:tab w:val="left" w:pos="3468"/>
        </w:tabs>
        <w:ind w:left="3468" w:hanging="420"/>
      </w:pPr>
      <w:rPr>
        <w:rFonts w:hint="default" w:ascii="Wingdings" w:hAnsi="Wingdings"/>
      </w:rPr>
    </w:lvl>
    <w:lvl w:ilvl="7" w:tentative="0">
      <w:start w:val="1"/>
      <w:numFmt w:val="bullet"/>
      <w:lvlText w:val=""/>
      <w:lvlJc w:val="left"/>
      <w:pPr>
        <w:tabs>
          <w:tab w:val="left" w:pos="3888"/>
        </w:tabs>
        <w:ind w:left="3888" w:hanging="420"/>
      </w:pPr>
      <w:rPr>
        <w:rFonts w:hint="default" w:ascii="Wingdings" w:hAnsi="Wingdings"/>
      </w:rPr>
    </w:lvl>
    <w:lvl w:ilvl="8" w:tentative="0">
      <w:start w:val="1"/>
      <w:numFmt w:val="bullet"/>
      <w:lvlText w:val=""/>
      <w:lvlJc w:val="left"/>
      <w:pPr>
        <w:tabs>
          <w:tab w:val="left" w:pos="4308"/>
        </w:tabs>
        <w:ind w:left="4308" w:hanging="420"/>
      </w:pPr>
      <w:rPr>
        <w:rFonts w:hint="default" w:ascii="Wingdings" w:hAnsi="Wingdings"/>
      </w:rPr>
    </w:lvl>
  </w:abstractNum>
  <w:abstractNum w:abstractNumId="5">
    <w:nsid w:val="57087027"/>
    <w:multiLevelType w:val="singleLevel"/>
    <w:tmpl w:val="57087027"/>
    <w:lvl w:ilvl="0" w:tentative="0">
      <w:start w:val="1"/>
      <w:numFmt w:val="decimal"/>
      <w:suff w:val="nothing"/>
      <w:lvlText w:val="%1、"/>
      <w:lvlJc w:val="left"/>
    </w:lvl>
  </w:abstractNum>
  <w:abstractNum w:abstractNumId="6">
    <w:nsid w:val="570DBF58"/>
    <w:multiLevelType w:val="singleLevel"/>
    <w:tmpl w:val="570DBF58"/>
    <w:lvl w:ilvl="0" w:tentative="0">
      <w:start w:val="1"/>
      <w:numFmt w:val="decimal"/>
      <w:suff w:val="nothing"/>
      <w:lvlText w:val="%1、"/>
      <w:lvlJc w:val="left"/>
    </w:lvl>
  </w:abstractNum>
  <w:abstractNum w:abstractNumId="7">
    <w:nsid w:val="58975F82"/>
    <w:multiLevelType w:val="multilevel"/>
    <w:tmpl w:val="58975F82"/>
    <w:lvl w:ilvl="0" w:tentative="0">
      <w:start w:val="1"/>
      <w:numFmt w:val="japaneseCounting"/>
      <w:lvlText w:val="%1、"/>
      <w:lvlJc w:val="left"/>
      <w:pPr>
        <w:ind w:left="992" w:hanging="510"/>
      </w:pPr>
      <w:rPr>
        <w:rFonts w:hint="default" w:ascii="宋体"/>
        <w:sz w:val="24"/>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2"/>
  </w:num>
  <w:num w:numId="2">
    <w:abstractNumId w:val="4"/>
  </w:num>
  <w:num w:numId="3">
    <w:abstractNumId w:val="1"/>
  </w:num>
  <w:num w:numId="4">
    <w:abstractNumId w:val="3"/>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4353"/>
    <w:rsid w:val="0001100A"/>
    <w:rsid w:val="000205B9"/>
    <w:rsid w:val="000275F0"/>
    <w:rsid w:val="0004554A"/>
    <w:rsid w:val="00045821"/>
    <w:rsid w:val="0005215A"/>
    <w:rsid w:val="00063CC7"/>
    <w:rsid w:val="000745C1"/>
    <w:rsid w:val="000836AB"/>
    <w:rsid w:val="00084353"/>
    <w:rsid w:val="00091CBC"/>
    <w:rsid w:val="000C64AB"/>
    <w:rsid w:val="00106490"/>
    <w:rsid w:val="00106DDA"/>
    <w:rsid w:val="001112CA"/>
    <w:rsid w:val="00121303"/>
    <w:rsid w:val="00124E3C"/>
    <w:rsid w:val="001312CF"/>
    <w:rsid w:val="001419B9"/>
    <w:rsid w:val="00146D91"/>
    <w:rsid w:val="00151ACA"/>
    <w:rsid w:val="00161FB7"/>
    <w:rsid w:val="00172845"/>
    <w:rsid w:val="0018226E"/>
    <w:rsid w:val="001850A4"/>
    <w:rsid w:val="0019294D"/>
    <w:rsid w:val="00194AA8"/>
    <w:rsid w:val="001A0959"/>
    <w:rsid w:val="001A11EB"/>
    <w:rsid w:val="001B2E6D"/>
    <w:rsid w:val="001B5E94"/>
    <w:rsid w:val="001C5274"/>
    <w:rsid w:val="00204926"/>
    <w:rsid w:val="00241F11"/>
    <w:rsid w:val="0026781E"/>
    <w:rsid w:val="002962DE"/>
    <w:rsid w:val="002A2ECD"/>
    <w:rsid w:val="003015B1"/>
    <w:rsid w:val="003113AD"/>
    <w:rsid w:val="00323900"/>
    <w:rsid w:val="00344DB4"/>
    <w:rsid w:val="003450BD"/>
    <w:rsid w:val="00352AEF"/>
    <w:rsid w:val="00370831"/>
    <w:rsid w:val="00372B6F"/>
    <w:rsid w:val="00375C73"/>
    <w:rsid w:val="00377E3D"/>
    <w:rsid w:val="0038467A"/>
    <w:rsid w:val="003A73A0"/>
    <w:rsid w:val="003C6C9D"/>
    <w:rsid w:val="003D38BB"/>
    <w:rsid w:val="003D769B"/>
    <w:rsid w:val="003E594E"/>
    <w:rsid w:val="003F3403"/>
    <w:rsid w:val="00404781"/>
    <w:rsid w:val="00405A2B"/>
    <w:rsid w:val="004257D2"/>
    <w:rsid w:val="00425926"/>
    <w:rsid w:val="00430F13"/>
    <w:rsid w:val="00432003"/>
    <w:rsid w:val="00446538"/>
    <w:rsid w:val="00452811"/>
    <w:rsid w:val="00491A46"/>
    <w:rsid w:val="004A38D3"/>
    <w:rsid w:val="004E2CDF"/>
    <w:rsid w:val="004E3366"/>
    <w:rsid w:val="0051040B"/>
    <w:rsid w:val="00511A97"/>
    <w:rsid w:val="0053752E"/>
    <w:rsid w:val="0054391E"/>
    <w:rsid w:val="005742FA"/>
    <w:rsid w:val="00593F46"/>
    <w:rsid w:val="005A0AE8"/>
    <w:rsid w:val="005D466A"/>
    <w:rsid w:val="005D554B"/>
    <w:rsid w:val="005E0CC6"/>
    <w:rsid w:val="0060209E"/>
    <w:rsid w:val="00606DAE"/>
    <w:rsid w:val="0061163D"/>
    <w:rsid w:val="00615A6E"/>
    <w:rsid w:val="00617B30"/>
    <w:rsid w:val="00623AB9"/>
    <w:rsid w:val="00627218"/>
    <w:rsid w:val="00656CF1"/>
    <w:rsid w:val="00697A2F"/>
    <w:rsid w:val="006A410F"/>
    <w:rsid w:val="006A62E0"/>
    <w:rsid w:val="006B14D0"/>
    <w:rsid w:val="006B1DC1"/>
    <w:rsid w:val="006C08A3"/>
    <w:rsid w:val="006C5D0A"/>
    <w:rsid w:val="006D0F4A"/>
    <w:rsid w:val="006E3CE9"/>
    <w:rsid w:val="00701CC9"/>
    <w:rsid w:val="0070444E"/>
    <w:rsid w:val="00724C5A"/>
    <w:rsid w:val="00732370"/>
    <w:rsid w:val="0073702A"/>
    <w:rsid w:val="00760560"/>
    <w:rsid w:val="0076374B"/>
    <w:rsid w:val="00764F77"/>
    <w:rsid w:val="0077483C"/>
    <w:rsid w:val="007940B0"/>
    <w:rsid w:val="00795C8C"/>
    <w:rsid w:val="00797AD3"/>
    <w:rsid w:val="007B1489"/>
    <w:rsid w:val="007B2981"/>
    <w:rsid w:val="007C5B02"/>
    <w:rsid w:val="007C68ED"/>
    <w:rsid w:val="007D5177"/>
    <w:rsid w:val="007D6A2E"/>
    <w:rsid w:val="007E7210"/>
    <w:rsid w:val="007F0227"/>
    <w:rsid w:val="00805C79"/>
    <w:rsid w:val="00805C88"/>
    <w:rsid w:val="008161B4"/>
    <w:rsid w:val="00820780"/>
    <w:rsid w:val="008314D9"/>
    <w:rsid w:val="00837EFF"/>
    <w:rsid w:val="00843F36"/>
    <w:rsid w:val="00846AD2"/>
    <w:rsid w:val="00856A40"/>
    <w:rsid w:val="00865FF9"/>
    <w:rsid w:val="008664ED"/>
    <w:rsid w:val="00872626"/>
    <w:rsid w:val="008814F5"/>
    <w:rsid w:val="008A77B0"/>
    <w:rsid w:val="008C089D"/>
    <w:rsid w:val="008D12F2"/>
    <w:rsid w:val="00907AB6"/>
    <w:rsid w:val="00925EA3"/>
    <w:rsid w:val="00933D23"/>
    <w:rsid w:val="00934005"/>
    <w:rsid w:val="00935907"/>
    <w:rsid w:val="009362F9"/>
    <w:rsid w:val="00937389"/>
    <w:rsid w:val="009430E7"/>
    <w:rsid w:val="00951706"/>
    <w:rsid w:val="009673B6"/>
    <w:rsid w:val="00967A4A"/>
    <w:rsid w:val="009920C3"/>
    <w:rsid w:val="0099744F"/>
    <w:rsid w:val="009A04B7"/>
    <w:rsid w:val="009A7B26"/>
    <w:rsid w:val="009B7EAB"/>
    <w:rsid w:val="009C5A8E"/>
    <w:rsid w:val="009C651E"/>
    <w:rsid w:val="009D151A"/>
    <w:rsid w:val="009D26F7"/>
    <w:rsid w:val="009E3C7B"/>
    <w:rsid w:val="009E63DC"/>
    <w:rsid w:val="00A1583D"/>
    <w:rsid w:val="00A2243C"/>
    <w:rsid w:val="00A27886"/>
    <w:rsid w:val="00A33909"/>
    <w:rsid w:val="00A51D18"/>
    <w:rsid w:val="00A604B3"/>
    <w:rsid w:val="00A73FBE"/>
    <w:rsid w:val="00A80872"/>
    <w:rsid w:val="00A861FB"/>
    <w:rsid w:val="00AD20D1"/>
    <w:rsid w:val="00AE7A1D"/>
    <w:rsid w:val="00B07858"/>
    <w:rsid w:val="00B41987"/>
    <w:rsid w:val="00B623D7"/>
    <w:rsid w:val="00B6761F"/>
    <w:rsid w:val="00BA0C53"/>
    <w:rsid w:val="00BB1422"/>
    <w:rsid w:val="00BB50D4"/>
    <w:rsid w:val="00BC665F"/>
    <w:rsid w:val="00BD5382"/>
    <w:rsid w:val="00BE4F76"/>
    <w:rsid w:val="00BF300F"/>
    <w:rsid w:val="00BF5BAC"/>
    <w:rsid w:val="00C01E36"/>
    <w:rsid w:val="00C15163"/>
    <w:rsid w:val="00C41B7D"/>
    <w:rsid w:val="00C46578"/>
    <w:rsid w:val="00C57B85"/>
    <w:rsid w:val="00C63514"/>
    <w:rsid w:val="00C64C20"/>
    <w:rsid w:val="00C774E6"/>
    <w:rsid w:val="00C81CA7"/>
    <w:rsid w:val="00C9193A"/>
    <w:rsid w:val="00C94209"/>
    <w:rsid w:val="00C949F5"/>
    <w:rsid w:val="00CA3AF6"/>
    <w:rsid w:val="00CA5E6A"/>
    <w:rsid w:val="00CD344F"/>
    <w:rsid w:val="00CE28AC"/>
    <w:rsid w:val="00CF7617"/>
    <w:rsid w:val="00D00585"/>
    <w:rsid w:val="00D04534"/>
    <w:rsid w:val="00D14FFC"/>
    <w:rsid w:val="00D20D15"/>
    <w:rsid w:val="00D30132"/>
    <w:rsid w:val="00D32797"/>
    <w:rsid w:val="00D32A52"/>
    <w:rsid w:val="00D33712"/>
    <w:rsid w:val="00D40099"/>
    <w:rsid w:val="00D627B7"/>
    <w:rsid w:val="00D718A9"/>
    <w:rsid w:val="00D91C58"/>
    <w:rsid w:val="00D93312"/>
    <w:rsid w:val="00D970BA"/>
    <w:rsid w:val="00DC42E5"/>
    <w:rsid w:val="00DF5ACF"/>
    <w:rsid w:val="00E43BEF"/>
    <w:rsid w:val="00E50285"/>
    <w:rsid w:val="00E53975"/>
    <w:rsid w:val="00E6375B"/>
    <w:rsid w:val="00E640C5"/>
    <w:rsid w:val="00E70115"/>
    <w:rsid w:val="00E7672C"/>
    <w:rsid w:val="00E871AA"/>
    <w:rsid w:val="00E92C4D"/>
    <w:rsid w:val="00E94F50"/>
    <w:rsid w:val="00EC2C46"/>
    <w:rsid w:val="00ED54E1"/>
    <w:rsid w:val="00ED5575"/>
    <w:rsid w:val="00EE77B3"/>
    <w:rsid w:val="00EF5599"/>
    <w:rsid w:val="00F10A6B"/>
    <w:rsid w:val="00F11DE1"/>
    <w:rsid w:val="00F47FAB"/>
    <w:rsid w:val="00F53CB2"/>
    <w:rsid w:val="00F600BD"/>
    <w:rsid w:val="00F7334F"/>
    <w:rsid w:val="00F87625"/>
    <w:rsid w:val="00F9558D"/>
    <w:rsid w:val="00F96281"/>
    <w:rsid w:val="00F972D1"/>
    <w:rsid w:val="00FA6C39"/>
    <w:rsid w:val="00FB3D33"/>
    <w:rsid w:val="00FC4F04"/>
    <w:rsid w:val="00FD15B0"/>
    <w:rsid w:val="00FE080C"/>
    <w:rsid w:val="00FE3AC3"/>
    <w:rsid w:val="013831CE"/>
    <w:rsid w:val="02A11C55"/>
    <w:rsid w:val="05CD1727"/>
    <w:rsid w:val="06C85C93"/>
    <w:rsid w:val="0CCA3A6F"/>
    <w:rsid w:val="0F692571"/>
    <w:rsid w:val="1B0A0B5D"/>
    <w:rsid w:val="1CC872A9"/>
    <w:rsid w:val="1D1B7629"/>
    <w:rsid w:val="23326EB7"/>
    <w:rsid w:val="26325D1D"/>
    <w:rsid w:val="27280019"/>
    <w:rsid w:val="2F5E4EAA"/>
    <w:rsid w:val="34F269E0"/>
    <w:rsid w:val="35B7183F"/>
    <w:rsid w:val="383D3B44"/>
    <w:rsid w:val="3A05100E"/>
    <w:rsid w:val="3AC91326"/>
    <w:rsid w:val="3BDB164A"/>
    <w:rsid w:val="3EC718FC"/>
    <w:rsid w:val="41255E99"/>
    <w:rsid w:val="47856F8E"/>
    <w:rsid w:val="4C6678C8"/>
    <w:rsid w:val="53465BC6"/>
    <w:rsid w:val="53CE6194"/>
    <w:rsid w:val="57594AA4"/>
    <w:rsid w:val="5A8726CE"/>
    <w:rsid w:val="5C5B7078"/>
    <w:rsid w:val="5D3C56DB"/>
    <w:rsid w:val="603C4E7B"/>
    <w:rsid w:val="625A391E"/>
    <w:rsid w:val="65E03729"/>
    <w:rsid w:val="664D0823"/>
    <w:rsid w:val="70257364"/>
    <w:rsid w:val="73FF3424"/>
    <w:rsid w:val="77B35C4B"/>
    <w:rsid w:val="782551A7"/>
    <w:rsid w:val="7B9009DA"/>
    <w:rsid w:val="7E19725B"/>
    <w:rsid w:val="7E377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bCs/>
      <w:kern w:val="44"/>
      <w:sz w:val="44"/>
      <w:szCs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2"/>
    <w:unhideWhenUsed/>
    <w:qFormat/>
    <w:uiPriority w:val="0"/>
    <w:pPr>
      <w:ind w:firstLine="420"/>
    </w:pPr>
    <w:rPr>
      <w:rFonts w:eastAsiaTheme="minorEastAsia"/>
      <w:kern w:val="0"/>
      <w:sz w:val="20"/>
      <w:szCs w:val="20"/>
    </w:rPr>
  </w:style>
  <w:style w:type="paragraph" w:styleId="4">
    <w:name w:val="Body Text Indent"/>
    <w:basedOn w:val="1"/>
    <w:link w:val="19"/>
    <w:qFormat/>
    <w:uiPriority w:val="0"/>
    <w:pPr>
      <w:tabs>
        <w:tab w:val="left" w:pos="1701"/>
        <w:tab w:val="left" w:pos="2127"/>
        <w:tab w:val="left" w:pos="4111"/>
      </w:tabs>
      <w:spacing w:line="560" w:lineRule="exact"/>
      <w:ind w:firstLine="560" w:firstLineChars="200"/>
    </w:pPr>
    <w:rPr>
      <w:sz w:val="28"/>
    </w:rPr>
  </w:style>
  <w:style w:type="paragraph" w:styleId="5">
    <w:name w:val="Body Text Indent 2"/>
    <w:basedOn w:val="1"/>
    <w:link w:val="18"/>
    <w:qFormat/>
    <w:uiPriority w:val="0"/>
    <w:pPr>
      <w:tabs>
        <w:tab w:val="left" w:pos="1701"/>
        <w:tab w:val="left" w:pos="2127"/>
        <w:tab w:val="left" w:pos="4111"/>
      </w:tabs>
      <w:spacing w:line="520" w:lineRule="exact"/>
      <w:ind w:firstLine="480" w:firstLineChars="200"/>
    </w:pPr>
    <w:rPr>
      <w:rFonts w:ascii="宋体" w:hAnsi="宋体"/>
      <w:sz w:val="24"/>
      <w:szCs w:val="28"/>
    </w:rPr>
  </w:style>
  <w:style w:type="paragraph" w:styleId="6">
    <w:name w:val="Balloon Text"/>
    <w:basedOn w:val="1"/>
    <w:link w:val="23"/>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page number"/>
    <w:basedOn w:val="12"/>
    <w:qFormat/>
    <w:uiPriority w:val="0"/>
  </w:style>
  <w:style w:type="character" w:styleId="14">
    <w:name w:val="Hyperlink"/>
    <w:basedOn w:val="12"/>
    <w:qFormat/>
    <w:uiPriority w:val="0"/>
    <w:rPr>
      <w:color w:val="000000"/>
      <w:u w:val="none"/>
    </w:rPr>
  </w:style>
  <w:style w:type="character" w:customStyle="1" w:styleId="15">
    <w:name w:val="页眉 Char"/>
    <w:basedOn w:val="12"/>
    <w:link w:val="8"/>
    <w:semiHidden/>
    <w:qFormat/>
    <w:uiPriority w:val="99"/>
    <w:rPr>
      <w:sz w:val="18"/>
      <w:szCs w:val="18"/>
    </w:rPr>
  </w:style>
  <w:style w:type="character" w:customStyle="1" w:styleId="16">
    <w:name w:val="页脚 Char"/>
    <w:basedOn w:val="12"/>
    <w:link w:val="7"/>
    <w:semiHidden/>
    <w:qFormat/>
    <w:uiPriority w:val="99"/>
    <w:rPr>
      <w:sz w:val="18"/>
      <w:szCs w:val="18"/>
    </w:rPr>
  </w:style>
  <w:style w:type="character" w:customStyle="1" w:styleId="17">
    <w:name w:val="标题 1 Char"/>
    <w:basedOn w:val="12"/>
    <w:link w:val="2"/>
    <w:qFormat/>
    <w:uiPriority w:val="0"/>
    <w:rPr>
      <w:rFonts w:ascii="Times New Roman" w:hAnsi="Times New Roman" w:eastAsia="宋体" w:cs="Times New Roman"/>
      <w:b/>
      <w:bCs/>
      <w:kern w:val="44"/>
      <w:sz w:val="44"/>
      <w:szCs w:val="44"/>
    </w:rPr>
  </w:style>
  <w:style w:type="character" w:customStyle="1" w:styleId="18">
    <w:name w:val="正文文本缩进 2 Char"/>
    <w:basedOn w:val="12"/>
    <w:link w:val="5"/>
    <w:qFormat/>
    <w:uiPriority w:val="0"/>
    <w:rPr>
      <w:rFonts w:ascii="宋体" w:hAnsi="宋体" w:eastAsia="宋体" w:cs="Times New Roman"/>
      <w:sz w:val="24"/>
      <w:szCs w:val="28"/>
    </w:rPr>
  </w:style>
  <w:style w:type="character" w:customStyle="1" w:styleId="19">
    <w:name w:val="正文文本缩进 Char"/>
    <w:basedOn w:val="12"/>
    <w:link w:val="4"/>
    <w:qFormat/>
    <w:uiPriority w:val="0"/>
    <w:rPr>
      <w:rFonts w:ascii="Times New Roman" w:hAnsi="Times New Roman" w:eastAsia="宋体" w:cs="Times New Roman"/>
      <w:sz w:val="28"/>
      <w:szCs w:val="24"/>
    </w:rPr>
  </w:style>
  <w:style w:type="paragraph" w:styleId="20">
    <w:name w:val="List Paragraph"/>
    <w:basedOn w:val="1"/>
    <w:qFormat/>
    <w:uiPriority w:val="34"/>
    <w:pPr>
      <w:ind w:firstLine="420" w:firstLineChars="200"/>
    </w:pPr>
  </w:style>
  <w:style w:type="paragraph" w:customStyle="1" w:styleId="21">
    <w:name w:val="正文空2格  1."/>
    <w:basedOn w:val="1"/>
    <w:qFormat/>
    <w:uiPriority w:val="0"/>
    <w:pPr>
      <w:ind w:firstLine="480" w:firstLineChars="200"/>
    </w:pPr>
    <w:rPr>
      <w:rFonts w:cs="宋体"/>
      <w:sz w:val="28"/>
      <w:szCs w:val="20"/>
    </w:rPr>
  </w:style>
  <w:style w:type="character" w:customStyle="1" w:styleId="22">
    <w:name w:val="正文缩进 Char"/>
    <w:link w:val="3"/>
    <w:qFormat/>
    <w:locked/>
    <w:uiPriority w:val="0"/>
    <w:rPr>
      <w:rFonts w:ascii="Times New Roman" w:hAnsi="Times New Roman" w:cs="Times New Roman"/>
    </w:rPr>
  </w:style>
  <w:style w:type="character" w:customStyle="1" w:styleId="23">
    <w:name w:val="批注框文本 Char"/>
    <w:basedOn w:val="12"/>
    <w:link w:val="6"/>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378C2-F4C8-4775-9BDC-20BE587E9C20}">
  <ds:schemaRefs/>
</ds:datastoreItem>
</file>

<file path=docProps/app.xml><?xml version="1.0" encoding="utf-8"?>
<Properties xmlns="http://schemas.openxmlformats.org/officeDocument/2006/extended-properties" xmlns:vt="http://schemas.openxmlformats.org/officeDocument/2006/docPropsVTypes">
  <Template>Normal</Template>
  <Pages>1</Pages>
  <Words>1534</Words>
  <Characters>8747</Characters>
  <Lines>72</Lines>
  <Paragraphs>20</Paragraphs>
  <TotalTime>7</TotalTime>
  <ScaleCrop>false</ScaleCrop>
  <LinksUpToDate>false</LinksUpToDate>
  <CharactersWithSpaces>10261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2018-10-19T07:43:00Z</dcterms:created>
  <dc:creator>Windows 用户</dc:creator>
  <cp:lastModifiedBy>车车</cp:lastModifiedBy>
  <cp:lastPrinted>2020-07-14T08:13:00Z</cp:lastPrinted>
  <dcterms:modified xsi:type="dcterms:W3CDTF">2020-08-11T03:18:57Z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