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highlight w:val="none"/>
        </w:rPr>
      </w:pPr>
    </w:p>
    <w:p>
      <w:pPr>
        <w:pStyle w:val="2"/>
        <w:ind w:firstLine="0" w:firstLineChars="0"/>
        <w:rPr>
          <w:b/>
          <w:bCs/>
          <w:highlight w:val="none"/>
        </w:rPr>
      </w:pPr>
    </w:p>
    <w:p>
      <w:pPr>
        <w:snapToGrid w:val="0"/>
        <w:spacing w:line="360" w:lineRule="auto"/>
        <w:ind w:firstLine="0" w:firstLineChars="0"/>
        <w:jc w:val="center"/>
        <w:rPr>
          <w:rFonts w:ascii="宋体" w:hAnsi="宋体" w:cs="宋体"/>
          <w:b/>
          <w:bCs/>
          <w:kern w:val="0"/>
          <w:sz w:val="36"/>
          <w:szCs w:val="36"/>
          <w:highlight w:val="none"/>
        </w:rPr>
      </w:pPr>
      <w:r>
        <w:rPr>
          <w:rFonts w:hint="eastAsia" w:ascii="宋体" w:hAnsi="宋体" w:cs="宋体"/>
          <w:b/>
          <w:bCs/>
          <w:kern w:val="0"/>
          <w:sz w:val="36"/>
          <w:szCs w:val="36"/>
          <w:highlight w:val="none"/>
        </w:rPr>
        <w:t>江苏长江水务股份有限公司</w:t>
      </w:r>
      <w:r>
        <w:rPr>
          <w:rFonts w:ascii="宋体" w:hAnsi="宋体" w:cs="宋体"/>
          <w:b/>
          <w:bCs/>
          <w:kern w:val="0"/>
          <w:sz w:val="36"/>
          <w:szCs w:val="36"/>
          <w:highlight w:val="none"/>
        </w:rPr>
        <w:t>2021年电气技改项目</w:t>
      </w:r>
    </w:p>
    <w:p>
      <w:pPr>
        <w:snapToGrid w:val="0"/>
        <w:spacing w:line="360" w:lineRule="auto"/>
        <w:ind w:firstLine="0" w:firstLineChars="0"/>
        <w:jc w:val="center"/>
        <w:rPr>
          <w:rFonts w:ascii="宋体" w:hAnsi="宋体" w:cs="宋体"/>
          <w:b/>
          <w:bCs/>
          <w:kern w:val="0"/>
          <w:sz w:val="36"/>
          <w:szCs w:val="36"/>
          <w:highlight w:val="none"/>
        </w:rPr>
      </w:pPr>
      <w:r>
        <w:rPr>
          <w:rFonts w:hint="eastAsia" w:ascii="宋体" w:hAnsi="宋体" w:cs="宋体"/>
          <w:b/>
          <w:bCs/>
          <w:kern w:val="0"/>
          <w:sz w:val="36"/>
          <w:szCs w:val="36"/>
          <w:highlight w:val="none"/>
        </w:rPr>
        <w:t>（西湖增压站、瓜州原水厂）</w:t>
      </w:r>
    </w:p>
    <w:p>
      <w:pPr>
        <w:pStyle w:val="11"/>
        <w:rPr>
          <w:rFonts w:ascii="宋体" w:hAnsi="宋体" w:cs="宋体"/>
          <w:b/>
          <w:bCs/>
          <w:sz w:val="36"/>
          <w:szCs w:val="36"/>
          <w:highlight w:val="none"/>
        </w:rPr>
      </w:pPr>
    </w:p>
    <w:p>
      <w:pPr>
        <w:pStyle w:val="11"/>
        <w:rPr>
          <w:rFonts w:ascii="宋体" w:hAnsi="宋体" w:cs="宋体"/>
          <w:b/>
          <w:bCs/>
          <w:sz w:val="36"/>
          <w:szCs w:val="36"/>
          <w:highlight w:val="none"/>
        </w:rPr>
      </w:pPr>
    </w:p>
    <w:p>
      <w:pPr>
        <w:pStyle w:val="11"/>
        <w:rPr>
          <w:rFonts w:ascii="宋体" w:hAnsi="宋体" w:cs="宋体"/>
          <w:b/>
          <w:bCs/>
          <w:sz w:val="36"/>
          <w:szCs w:val="36"/>
          <w:highlight w:val="none"/>
        </w:rPr>
      </w:pPr>
    </w:p>
    <w:p>
      <w:pPr>
        <w:snapToGrid w:val="0"/>
        <w:spacing w:line="312" w:lineRule="auto"/>
        <w:rPr>
          <w:rFonts w:ascii="宋体" w:hAnsi="宋体" w:cs="宋体"/>
          <w:kern w:val="0"/>
          <w:highlight w:val="none"/>
        </w:rPr>
      </w:pPr>
    </w:p>
    <w:p>
      <w:pPr>
        <w:snapToGrid w:val="0"/>
        <w:spacing w:line="312" w:lineRule="auto"/>
        <w:ind w:left="560" w:firstLine="0" w:firstLineChars="0"/>
        <w:jc w:val="center"/>
        <w:rPr>
          <w:rFonts w:ascii="宋体" w:hAnsi="宋体" w:cs="宋体"/>
          <w:b/>
          <w:kern w:val="0"/>
          <w:sz w:val="56"/>
          <w:szCs w:val="56"/>
          <w:highlight w:val="none"/>
        </w:rPr>
      </w:pPr>
      <w:r>
        <w:rPr>
          <w:rFonts w:hint="eastAsia" w:ascii="宋体" w:hAnsi="宋体" w:cs="宋体"/>
          <w:b/>
          <w:kern w:val="0"/>
          <w:sz w:val="56"/>
          <w:szCs w:val="56"/>
          <w:highlight w:val="none"/>
        </w:rPr>
        <w:t>公开招标文件</w:t>
      </w:r>
    </w:p>
    <w:p>
      <w:pPr>
        <w:snapToGrid w:val="0"/>
        <w:spacing w:line="312" w:lineRule="auto"/>
        <w:rPr>
          <w:rFonts w:ascii="宋体" w:hAnsi="宋体" w:cs="宋体"/>
          <w:kern w:val="0"/>
          <w:highlight w:val="none"/>
        </w:rPr>
      </w:pPr>
    </w:p>
    <w:p>
      <w:pPr>
        <w:snapToGrid w:val="0"/>
        <w:spacing w:line="312" w:lineRule="auto"/>
        <w:rPr>
          <w:rFonts w:ascii="宋体" w:hAnsi="宋体" w:cs="宋体"/>
          <w:kern w:val="0"/>
          <w:highlight w:val="none"/>
        </w:rPr>
      </w:pPr>
    </w:p>
    <w:p>
      <w:pPr>
        <w:pStyle w:val="59"/>
        <w:snapToGrid w:val="0"/>
        <w:spacing w:line="312" w:lineRule="auto"/>
        <w:rPr>
          <w:rFonts w:hAnsi="宋体" w:cs="宋体"/>
          <w:color w:val="auto"/>
          <w:highlight w:val="none"/>
          <w:lang w:eastAsia="zh-CN"/>
        </w:rPr>
      </w:pPr>
    </w:p>
    <w:p>
      <w:pPr>
        <w:pStyle w:val="59"/>
        <w:snapToGrid w:val="0"/>
        <w:spacing w:line="312" w:lineRule="auto"/>
        <w:rPr>
          <w:rFonts w:hAnsi="宋体" w:cs="宋体"/>
          <w:color w:val="auto"/>
          <w:highlight w:val="none"/>
          <w:lang w:eastAsia="zh-CN"/>
        </w:rPr>
      </w:pPr>
    </w:p>
    <w:p>
      <w:pPr>
        <w:pStyle w:val="59"/>
        <w:snapToGrid w:val="0"/>
        <w:spacing w:line="312" w:lineRule="auto"/>
        <w:rPr>
          <w:rFonts w:hAnsi="宋体" w:cs="宋体"/>
          <w:color w:val="auto"/>
          <w:highlight w:val="none"/>
          <w:lang w:eastAsia="zh-CN"/>
        </w:rPr>
      </w:pPr>
    </w:p>
    <w:p>
      <w:pPr>
        <w:pStyle w:val="59"/>
        <w:snapToGrid w:val="0"/>
        <w:spacing w:line="312" w:lineRule="auto"/>
        <w:rPr>
          <w:rFonts w:hAnsi="宋体" w:cs="宋体"/>
          <w:color w:val="auto"/>
          <w:highlight w:val="none"/>
          <w:lang w:eastAsia="zh-CN"/>
        </w:rPr>
      </w:pPr>
    </w:p>
    <w:p>
      <w:pPr>
        <w:pStyle w:val="59"/>
        <w:snapToGrid w:val="0"/>
        <w:spacing w:line="312" w:lineRule="auto"/>
        <w:rPr>
          <w:rFonts w:hAnsi="宋体" w:cs="宋体"/>
          <w:color w:val="auto"/>
          <w:highlight w:val="none"/>
          <w:lang w:eastAsia="zh-CN"/>
        </w:rPr>
      </w:pPr>
    </w:p>
    <w:p>
      <w:pPr>
        <w:pStyle w:val="59"/>
        <w:snapToGrid w:val="0"/>
        <w:spacing w:line="312" w:lineRule="auto"/>
        <w:rPr>
          <w:rFonts w:hAnsi="宋体" w:cs="宋体"/>
          <w:color w:val="auto"/>
          <w:highlight w:val="none"/>
          <w:lang w:eastAsia="zh-CN"/>
        </w:rPr>
      </w:pPr>
    </w:p>
    <w:p>
      <w:pPr>
        <w:pStyle w:val="59"/>
        <w:snapToGrid w:val="0"/>
        <w:spacing w:line="312" w:lineRule="auto"/>
        <w:rPr>
          <w:rFonts w:hAnsi="宋体" w:cs="宋体"/>
          <w:color w:val="auto"/>
          <w:highlight w:val="none"/>
          <w:lang w:eastAsia="zh-CN"/>
        </w:rPr>
      </w:pPr>
    </w:p>
    <w:p>
      <w:pPr>
        <w:snapToGrid w:val="0"/>
        <w:spacing w:line="312" w:lineRule="auto"/>
        <w:rPr>
          <w:rFonts w:ascii="宋体" w:hAnsi="宋体" w:cs="宋体"/>
          <w:kern w:val="0"/>
          <w:highlight w:val="none"/>
        </w:rPr>
      </w:pPr>
    </w:p>
    <w:p>
      <w:pPr>
        <w:snapToGrid w:val="0"/>
        <w:ind w:firstLine="640"/>
        <w:rPr>
          <w:rFonts w:ascii="宋体" w:hAnsi="宋体" w:cs="宋体"/>
          <w:kern w:val="0"/>
          <w:sz w:val="32"/>
          <w:szCs w:val="32"/>
          <w:highlight w:val="none"/>
        </w:rPr>
      </w:pPr>
    </w:p>
    <w:p>
      <w:pPr>
        <w:ind w:firstLine="1157" w:firstLineChars="400"/>
        <w:rPr>
          <w:rFonts w:ascii="宋体" w:hAnsi="宋体"/>
          <w:b/>
          <w:bCs/>
          <w:w w:val="90"/>
          <w:kern w:val="0"/>
          <w:sz w:val="32"/>
          <w:szCs w:val="32"/>
          <w:highlight w:val="none"/>
        </w:rPr>
      </w:pPr>
      <w:r>
        <w:rPr>
          <w:rFonts w:hint="eastAsia" w:ascii="宋体" w:hAnsi="宋体"/>
          <w:b/>
          <w:bCs/>
          <w:w w:val="90"/>
          <w:kern w:val="0"/>
          <w:sz w:val="32"/>
          <w:szCs w:val="32"/>
          <w:highlight w:val="none"/>
        </w:rPr>
        <w:t>采</w:t>
      </w:r>
      <w:r>
        <w:rPr>
          <w:rFonts w:ascii="宋体" w:hAnsi="宋体"/>
          <w:b/>
          <w:bCs/>
          <w:w w:val="90"/>
          <w:kern w:val="0"/>
          <w:sz w:val="32"/>
          <w:szCs w:val="32"/>
          <w:highlight w:val="none"/>
        </w:rPr>
        <w:t xml:space="preserve">   购  人：江苏长江水务股份有限公司</w:t>
      </w:r>
    </w:p>
    <w:p>
      <w:pPr>
        <w:ind w:firstLine="1157" w:firstLineChars="400"/>
        <w:rPr>
          <w:rFonts w:ascii="宋体" w:hAnsi="宋体"/>
          <w:b/>
          <w:bCs/>
          <w:w w:val="90"/>
          <w:kern w:val="0"/>
          <w:sz w:val="32"/>
          <w:szCs w:val="32"/>
          <w:highlight w:val="none"/>
        </w:rPr>
      </w:pPr>
      <w:r>
        <w:rPr>
          <w:rFonts w:hint="eastAsia" w:ascii="宋体" w:hAnsi="宋体"/>
          <w:b/>
          <w:bCs/>
          <w:w w:val="90"/>
          <w:kern w:val="0"/>
          <w:sz w:val="32"/>
          <w:szCs w:val="32"/>
          <w:highlight w:val="none"/>
        </w:rPr>
        <w:t>采购代理机构</w:t>
      </w:r>
      <w:r>
        <w:rPr>
          <w:rFonts w:ascii="宋体" w:hAnsi="宋体"/>
          <w:b/>
          <w:bCs/>
          <w:w w:val="90"/>
          <w:kern w:val="0"/>
          <w:sz w:val="32"/>
          <w:szCs w:val="32"/>
          <w:highlight w:val="none"/>
        </w:rPr>
        <w:t>(</w:t>
      </w:r>
      <w:r>
        <w:rPr>
          <w:rFonts w:hint="eastAsia" w:ascii="宋体" w:hAnsi="宋体"/>
          <w:b/>
          <w:bCs/>
          <w:w w:val="90"/>
          <w:kern w:val="0"/>
          <w:sz w:val="32"/>
          <w:szCs w:val="32"/>
          <w:highlight w:val="none"/>
        </w:rPr>
        <w:t>章</w:t>
      </w:r>
      <w:r>
        <w:rPr>
          <w:rFonts w:ascii="宋体" w:hAnsi="宋体"/>
          <w:b/>
          <w:bCs/>
          <w:w w:val="90"/>
          <w:kern w:val="0"/>
          <w:sz w:val="32"/>
          <w:szCs w:val="32"/>
          <w:highlight w:val="none"/>
        </w:rPr>
        <w:t>)</w:t>
      </w:r>
      <w:r>
        <w:rPr>
          <w:rFonts w:hint="eastAsia" w:ascii="宋体" w:hAnsi="宋体"/>
          <w:b/>
          <w:bCs/>
          <w:w w:val="90"/>
          <w:kern w:val="0"/>
          <w:sz w:val="32"/>
          <w:szCs w:val="32"/>
          <w:highlight w:val="none"/>
        </w:rPr>
        <w:t>：扬州筑苑工程招标咨询有限公司</w:t>
      </w:r>
    </w:p>
    <w:p>
      <w:pPr>
        <w:ind w:firstLine="1157" w:firstLineChars="400"/>
        <w:rPr>
          <w:rFonts w:ascii="宋体" w:hAnsi="宋体"/>
          <w:b/>
          <w:bCs/>
          <w:w w:val="90"/>
          <w:kern w:val="0"/>
          <w:sz w:val="32"/>
          <w:szCs w:val="32"/>
          <w:highlight w:val="none"/>
        </w:rPr>
      </w:pPr>
      <w:r>
        <w:rPr>
          <w:rFonts w:hint="eastAsia" w:ascii="宋体" w:hAnsi="宋体"/>
          <w:b/>
          <w:bCs/>
          <w:w w:val="90"/>
          <w:kern w:val="0"/>
          <w:sz w:val="32"/>
          <w:szCs w:val="32"/>
          <w:highlight w:val="none"/>
        </w:rPr>
        <w:t>发</w:t>
      </w:r>
      <w:r>
        <w:rPr>
          <w:rFonts w:ascii="宋体" w:hAnsi="宋体"/>
          <w:b/>
          <w:bCs/>
          <w:w w:val="90"/>
          <w:kern w:val="0"/>
          <w:sz w:val="32"/>
          <w:szCs w:val="32"/>
          <w:highlight w:val="none"/>
        </w:rPr>
        <w:t xml:space="preserve"> </w:t>
      </w:r>
      <w:r>
        <w:rPr>
          <w:rFonts w:hint="eastAsia" w:ascii="宋体" w:hAnsi="宋体"/>
          <w:b/>
          <w:bCs/>
          <w:w w:val="90"/>
          <w:kern w:val="0"/>
          <w:sz w:val="32"/>
          <w:szCs w:val="32"/>
          <w:highlight w:val="none"/>
        </w:rPr>
        <w:t>放</w:t>
      </w:r>
      <w:r>
        <w:rPr>
          <w:rFonts w:ascii="宋体" w:hAnsi="宋体"/>
          <w:b/>
          <w:bCs/>
          <w:w w:val="90"/>
          <w:kern w:val="0"/>
          <w:sz w:val="32"/>
          <w:szCs w:val="32"/>
          <w:highlight w:val="none"/>
        </w:rPr>
        <w:t xml:space="preserve"> </w:t>
      </w:r>
      <w:r>
        <w:rPr>
          <w:rFonts w:hint="eastAsia" w:ascii="宋体" w:hAnsi="宋体"/>
          <w:b/>
          <w:bCs/>
          <w:w w:val="90"/>
          <w:kern w:val="0"/>
          <w:sz w:val="32"/>
          <w:szCs w:val="32"/>
          <w:highlight w:val="none"/>
        </w:rPr>
        <w:t>日</w:t>
      </w:r>
      <w:r>
        <w:rPr>
          <w:rFonts w:ascii="宋体" w:hAnsi="宋体"/>
          <w:b/>
          <w:bCs/>
          <w:w w:val="90"/>
          <w:kern w:val="0"/>
          <w:sz w:val="32"/>
          <w:szCs w:val="32"/>
          <w:highlight w:val="none"/>
        </w:rPr>
        <w:t xml:space="preserve"> </w:t>
      </w:r>
      <w:r>
        <w:rPr>
          <w:rFonts w:hint="eastAsia" w:ascii="宋体" w:hAnsi="宋体"/>
          <w:b/>
          <w:bCs/>
          <w:w w:val="90"/>
          <w:kern w:val="0"/>
          <w:sz w:val="32"/>
          <w:szCs w:val="32"/>
          <w:highlight w:val="none"/>
        </w:rPr>
        <w:t>期：</w:t>
      </w:r>
      <w:bookmarkStart w:id="0" w:name="EB59c3faf64f2a4bd092a206fb1d0c3c03"/>
      <w:r>
        <w:rPr>
          <w:rFonts w:ascii="宋体" w:hAnsi="宋体"/>
          <w:b/>
          <w:bCs/>
          <w:w w:val="90"/>
          <w:kern w:val="0"/>
          <w:sz w:val="32"/>
          <w:szCs w:val="32"/>
          <w:highlight w:val="none"/>
        </w:rPr>
        <w:t xml:space="preserve"> </w:t>
      </w:r>
      <w:bookmarkEnd w:id="0"/>
      <w:r>
        <w:rPr>
          <w:rFonts w:ascii="宋体" w:hAnsi="宋体"/>
          <w:b/>
          <w:bCs/>
          <w:w w:val="90"/>
          <w:kern w:val="0"/>
          <w:sz w:val="32"/>
          <w:szCs w:val="32"/>
          <w:highlight w:val="none"/>
        </w:rPr>
        <w:t>2021年</w:t>
      </w:r>
      <w:r>
        <w:rPr>
          <w:rFonts w:hint="eastAsia" w:ascii="宋体" w:hAnsi="宋体"/>
          <w:b/>
          <w:bCs/>
          <w:w w:val="90"/>
          <w:kern w:val="0"/>
          <w:sz w:val="32"/>
          <w:szCs w:val="32"/>
          <w:highlight w:val="none"/>
          <w:lang w:val="en-US" w:eastAsia="zh-CN"/>
        </w:rPr>
        <w:t>7</w:t>
      </w:r>
      <w:r>
        <w:rPr>
          <w:rFonts w:ascii="宋体" w:hAnsi="宋体"/>
          <w:b/>
          <w:bCs/>
          <w:w w:val="90"/>
          <w:kern w:val="0"/>
          <w:sz w:val="32"/>
          <w:szCs w:val="32"/>
          <w:highlight w:val="none"/>
        </w:rPr>
        <w:t>月</w:t>
      </w:r>
      <w:r>
        <w:rPr>
          <w:rFonts w:hint="eastAsia" w:ascii="宋体" w:hAnsi="宋体"/>
          <w:b/>
          <w:bCs/>
          <w:w w:val="90"/>
          <w:kern w:val="0"/>
          <w:sz w:val="32"/>
          <w:szCs w:val="32"/>
          <w:highlight w:val="none"/>
          <w:lang w:val="en-US" w:eastAsia="zh-CN"/>
        </w:rPr>
        <w:t>15</w:t>
      </w:r>
      <w:r>
        <w:rPr>
          <w:rFonts w:hint="eastAsia" w:ascii="宋体" w:hAnsi="宋体"/>
          <w:b/>
          <w:bCs/>
          <w:w w:val="90"/>
          <w:kern w:val="0"/>
          <w:sz w:val="32"/>
          <w:szCs w:val="32"/>
          <w:highlight w:val="none"/>
        </w:rPr>
        <w:t>日</w:t>
      </w:r>
    </w:p>
    <w:p>
      <w:pPr>
        <w:snapToGrid w:val="0"/>
        <w:ind w:firstLine="0" w:firstLineChars="0"/>
        <w:jc w:val="center"/>
        <w:rPr>
          <w:rFonts w:ascii="宋体" w:hAnsi="宋体" w:cs="宋体"/>
          <w:kern w:val="0"/>
          <w:sz w:val="44"/>
          <w:szCs w:val="44"/>
          <w:highlight w:val="none"/>
        </w:rPr>
      </w:pPr>
      <w:r>
        <w:rPr>
          <w:rFonts w:ascii="宋体" w:hAnsi="宋体" w:cs="宋体"/>
          <w:kern w:val="0"/>
          <w:sz w:val="44"/>
          <w:szCs w:val="44"/>
          <w:highlight w:val="none"/>
        </w:rPr>
        <w:br w:type="column"/>
      </w:r>
      <w:r>
        <w:rPr>
          <w:rFonts w:hint="eastAsia" w:ascii="宋体" w:hAnsi="宋体" w:cs="宋体"/>
          <w:kern w:val="0"/>
          <w:sz w:val="44"/>
          <w:szCs w:val="44"/>
          <w:highlight w:val="none"/>
        </w:rPr>
        <w:t>目录</w:t>
      </w:r>
    </w:p>
    <w:p>
      <w:pPr>
        <w:snapToGrid w:val="0"/>
        <w:spacing w:line="360" w:lineRule="auto"/>
        <w:rPr>
          <w:rFonts w:ascii="宋体" w:hAnsi="宋体" w:cs="宋体"/>
          <w:kern w:val="0"/>
          <w:highlight w:val="none"/>
        </w:rPr>
      </w:pPr>
    </w:p>
    <w:p>
      <w:pPr>
        <w:pStyle w:val="22"/>
        <w:tabs>
          <w:tab w:val="right" w:leader="dot" w:pos="8296"/>
        </w:tabs>
        <w:rPr>
          <w:b/>
          <w:bCs/>
          <w:highlight w:val="none"/>
        </w:rPr>
      </w:pPr>
      <w:r>
        <w:rPr>
          <w:rFonts w:hint="eastAsia" w:ascii="宋体" w:hAnsi="宋体" w:cs="宋体"/>
          <w:kern w:val="0"/>
          <w:highlight w:val="none"/>
        </w:rPr>
        <w:fldChar w:fldCharType="begin"/>
      </w:r>
      <w:r>
        <w:rPr>
          <w:rFonts w:ascii="宋体" w:hAnsi="宋体" w:cs="宋体"/>
          <w:kern w:val="0"/>
          <w:highlight w:val="none"/>
        </w:rPr>
        <w:instrText xml:space="preserve">TOC \o "1-2" \h \u </w:instrText>
      </w:r>
      <w:r>
        <w:rPr>
          <w:rFonts w:hint="eastAsia" w:ascii="宋体" w:hAnsi="宋体" w:cs="宋体"/>
          <w:kern w:val="0"/>
          <w:highlight w:val="none"/>
        </w:rPr>
        <w:fldChar w:fldCharType="separate"/>
      </w: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"_Toc40699908" </w:instrText>
      </w:r>
      <w:r>
        <w:rPr>
          <w:highlight w:val="none"/>
        </w:rPr>
        <w:fldChar w:fldCharType="separate"/>
      </w:r>
      <w:r>
        <w:rPr>
          <w:rStyle w:val="37"/>
          <w:rFonts w:hint="eastAsia" w:cs="宋体"/>
          <w:b/>
          <w:bCs/>
          <w:color w:val="auto"/>
          <w:kern w:val="0"/>
          <w:highlight w:val="none"/>
        </w:rPr>
        <w:t>第一章招标公告</w:t>
      </w:r>
      <w:r>
        <w:rPr>
          <w:rStyle w:val="37"/>
          <w:b/>
          <w:bCs/>
          <w:color w:val="auto"/>
          <w:highlight w:val="none"/>
        </w:rPr>
        <w:tab/>
      </w:r>
      <w:r>
        <w:rPr>
          <w:rStyle w:val="37"/>
          <w:b/>
          <w:bCs/>
          <w:color w:val="auto"/>
          <w:highlight w:val="none"/>
        </w:rPr>
        <w:t>3</w:t>
      </w:r>
      <w:r>
        <w:rPr>
          <w:rStyle w:val="37"/>
          <w:b/>
          <w:bCs/>
          <w:color w:val="auto"/>
          <w:highlight w:val="none"/>
        </w:rPr>
        <w:fldChar w:fldCharType="end"/>
      </w:r>
    </w:p>
    <w:p>
      <w:pPr>
        <w:pStyle w:val="22"/>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"_Toc40699918" </w:instrText>
      </w:r>
      <w:r>
        <w:rPr>
          <w:highlight w:val="none"/>
        </w:rPr>
        <w:fldChar w:fldCharType="separate"/>
      </w:r>
      <w:r>
        <w:rPr>
          <w:rStyle w:val="37"/>
          <w:rFonts w:hint="eastAsia" w:cs="宋体"/>
          <w:b/>
          <w:bCs/>
          <w:color w:val="auto"/>
          <w:kern w:val="0"/>
          <w:highlight w:val="none"/>
        </w:rPr>
        <w:t>第二章投标人须知</w:t>
      </w:r>
      <w:r>
        <w:rPr>
          <w:rStyle w:val="37"/>
          <w:b/>
          <w:bCs/>
          <w:color w:val="auto"/>
          <w:highlight w:val="none"/>
        </w:rPr>
        <w:tab/>
      </w:r>
      <w:r>
        <w:rPr>
          <w:rStyle w:val="37"/>
          <w:rFonts w:hint="eastAsia"/>
          <w:b/>
          <w:bCs/>
          <w:color w:val="auto"/>
          <w:highlight w:val="none"/>
          <w:lang w:val="en-US" w:eastAsia="zh-CN"/>
        </w:rPr>
        <w:t>6</w:t>
      </w:r>
      <w:r>
        <w:rPr>
          <w:rStyle w:val="37"/>
          <w:b/>
          <w:bCs/>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"_Toc40699919" </w:instrText>
      </w:r>
      <w:r>
        <w:rPr>
          <w:highlight w:val="none"/>
        </w:rPr>
        <w:fldChar w:fldCharType="separate"/>
      </w:r>
      <w:r>
        <w:rPr>
          <w:rStyle w:val="37"/>
          <w:rFonts w:hint="eastAsia" w:ascii="宋体" w:hAnsi="宋体" w:cs="宋体"/>
          <w:color w:val="auto"/>
          <w:kern w:val="0"/>
          <w:highlight w:val="none"/>
        </w:rPr>
        <w:t>投标人须知前附表</w:t>
      </w:r>
      <w:r>
        <w:rPr>
          <w:rStyle w:val="37"/>
          <w:color w:val="auto"/>
          <w:highlight w:val="none"/>
        </w:rPr>
        <w:tab/>
      </w:r>
      <w:r>
        <w:rPr>
          <w:rStyle w:val="37"/>
          <w:rFonts w:hint="eastAsia"/>
          <w:color w:val="auto"/>
          <w:highlight w:val="none"/>
          <w:lang w:val="en-US" w:eastAsia="zh-CN"/>
        </w:rPr>
        <w:t>6</w:t>
      </w:r>
      <w:r>
        <w:rPr>
          <w:rStyle w:val="37"/>
          <w:color w:val="auto"/>
          <w:highlight w:val="none"/>
        </w:rPr>
        <w:fldChar w:fldCharType="end"/>
      </w:r>
    </w:p>
    <w:p>
      <w:pPr>
        <w:pStyle w:val="25"/>
        <w:tabs>
          <w:tab w:val="right" w:leader="dot" w:pos="8296"/>
        </w:tabs>
        <w:rPr>
          <w:rFonts w:hint="eastAsia" w:eastAsia="宋体"/>
          <w:highlight w:val="none"/>
          <w:lang w:val="en-US" w:eastAsia="zh-CN"/>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"_Toc40699920" </w:instrText>
      </w:r>
      <w:r>
        <w:rPr>
          <w:highlight w:val="none"/>
        </w:rPr>
        <w:fldChar w:fldCharType="separate"/>
      </w:r>
      <w:r>
        <w:rPr>
          <w:rStyle w:val="37"/>
          <w:rFonts w:ascii="宋体" w:hAnsi="宋体" w:cs="宋体"/>
          <w:color w:val="auto"/>
          <w:kern w:val="0"/>
          <w:highlight w:val="none"/>
        </w:rPr>
        <w:t>1.总则</w:t>
      </w:r>
      <w:r>
        <w:rPr>
          <w:rStyle w:val="37"/>
          <w:color w:val="auto"/>
          <w:highlight w:val="none"/>
        </w:rPr>
        <w:tab/>
      </w:r>
      <w:r>
        <w:rPr>
          <w:rStyle w:val="37"/>
          <w:rFonts w:hint="eastAsia"/>
          <w:color w:val="auto"/>
          <w:highlight w:val="none"/>
          <w:lang w:val="en-US" w:eastAsia="zh-CN"/>
        </w:rPr>
        <w:t>1</w:t>
      </w:r>
      <w:r>
        <w:rPr>
          <w:rStyle w:val="37"/>
          <w:color w:val="auto"/>
          <w:highlight w:val="none"/>
        </w:rPr>
        <w:fldChar w:fldCharType="end"/>
      </w:r>
      <w:r>
        <w:rPr>
          <w:rStyle w:val="37"/>
          <w:rFonts w:hint="eastAsia"/>
          <w:color w:val="auto"/>
          <w:highlight w:val="none"/>
          <w:lang w:val="en-US" w:eastAsia="zh-CN"/>
        </w:rPr>
        <w:t>0</w:t>
      </w:r>
    </w:p>
    <w:p>
      <w:pPr>
        <w:pStyle w:val="25"/>
        <w:tabs>
          <w:tab w:val="right" w:leader="dot" w:pos="8296"/>
        </w:tabs>
        <w:rPr>
          <w:rFonts w:hint="eastAsia" w:eastAsia="宋体"/>
          <w:highlight w:val="none"/>
          <w:lang w:val="en-US" w:eastAsia="zh-CN"/>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"_Toc40699921" </w:instrText>
      </w:r>
      <w:r>
        <w:rPr>
          <w:highlight w:val="none"/>
        </w:rPr>
        <w:fldChar w:fldCharType="separate"/>
      </w:r>
      <w:r>
        <w:rPr>
          <w:rStyle w:val="37"/>
          <w:rFonts w:ascii="宋体" w:hAnsi="宋体" w:cs="宋体"/>
          <w:color w:val="auto"/>
          <w:kern w:val="0"/>
          <w:highlight w:val="none"/>
        </w:rPr>
        <w:t>2.招标文件</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_Toc40699921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2</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"_Toc40699922" </w:instrText>
      </w:r>
      <w:r>
        <w:rPr>
          <w:highlight w:val="none"/>
        </w:rPr>
        <w:fldChar w:fldCharType="separate"/>
      </w:r>
      <w:r>
        <w:rPr>
          <w:rStyle w:val="37"/>
          <w:rFonts w:ascii="宋体" w:hAnsi="宋体" w:cs="宋体"/>
          <w:color w:val="auto"/>
          <w:kern w:val="0"/>
          <w:highlight w:val="none"/>
        </w:rPr>
        <w:t>3.投标文件</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_Toc40699922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3</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"_Toc40699923" </w:instrText>
      </w:r>
      <w:r>
        <w:rPr>
          <w:highlight w:val="none"/>
        </w:rPr>
        <w:fldChar w:fldCharType="separate"/>
      </w:r>
      <w:r>
        <w:rPr>
          <w:rStyle w:val="37"/>
          <w:rFonts w:ascii="宋体" w:hAnsi="宋体" w:cs="宋体"/>
          <w:color w:val="auto"/>
          <w:kern w:val="0"/>
          <w:highlight w:val="none"/>
        </w:rPr>
        <w:t>4.投标</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_Toc40699923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5</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"_Toc40699924" </w:instrText>
      </w:r>
      <w:r>
        <w:rPr>
          <w:highlight w:val="none"/>
        </w:rPr>
        <w:fldChar w:fldCharType="separate"/>
      </w:r>
      <w:r>
        <w:rPr>
          <w:rStyle w:val="37"/>
          <w:rFonts w:ascii="宋体" w:hAnsi="宋体" w:cs="宋体"/>
          <w:color w:val="auto"/>
          <w:kern w:val="0"/>
          <w:highlight w:val="none"/>
        </w:rPr>
        <w:t>5.开标</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_Toc40699924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7</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"_Toc40699925" </w:instrText>
      </w:r>
      <w:r>
        <w:rPr>
          <w:highlight w:val="none"/>
        </w:rPr>
        <w:fldChar w:fldCharType="separate"/>
      </w:r>
      <w:r>
        <w:rPr>
          <w:rStyle w:val="37"/>
          <w:rFonts w:ascii="宋体" w:hAnsi="宋体" w:cs="宋体"/>
          <w:color w:val="auto"/>
          <w:kern w:val="0"/>
          <w:highlight w:val="none"/>
        </w:rPr>
        <w:t>6.评标</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_Toc40699925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7</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"_Toc40699926" </w:instrText>
      </w:r>
      <w:r>
        <w:rPr>
          <w:highlight w:val="none"/>
        </w:rPr>
        <w:fldChar w:fldCharType="separate"/>
      </w:r>
      <w:r>
        <w:rPr>
          <w:rStyle w:val="37"/>
          <w:rFonts w:ascii="宋体" w:hAnsi="宋体" w:cs="宋体"/>
          <w:color w:val="auto"/>
          <w:kern w:val="0"/>
          <w:highlight w:val="none"/>
        </w:rPr>
        <w:t>7.定标及合同授予</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_Toc40699926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8</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"_Toc40699927" </w:instrText>
      </w:r>
      <w:r>
        <w:rPr>
          <w:highlight w:val="none"/>
        </w:rPr>
        <w:fldChar w:fldCharType="separate"/>
      </w:r>
      <w:r>
        <w:rPr>
          <w:rStyle w:val="37"/>
          <w:rFonts w:ascii="宋体" w:hAnsi="宋体" w:cs="宋体"/>
          <w:color w:val="auto"/>
          <w:kern w:val="0"/>
          <w:highlight w:val="none"/>
        </w:rPr>
        <w:t>8.纪律和监督</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_Toc40699927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8</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"_Toc40699928" </w:instrText>
      </w:r>
      <w:r>
        <w:rPr>
          <w:highlight w:val="none"/>
        </w:rPr>
        <w:fldChar w:fldCharType="separate"/>
      </w:r>
      <w:r>
        <w:rPr>
          <w:rStyle w:val="37"/>
          <w:rFonts w:ascii="宋体" w:hAnsi="宋体" w:cs="宋体"/>
          <w:color w:val="auto"/>
          <w:kern w:val="0"/>
          <w:highlight w:val="none"/>
        </w:rPr>
        <w:t>9.是否采用电子招标投标</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_Toc40699928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9</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"_Toc40699929" </w:instrText>
      </w:r>
      <w:r>
        <w:rPr>
          <w:highlight w:val="none"/>
        </w:rPr>
        <w:fldChar w:fldCharType="separate"/>
      </w:r>
      <w:r>
        <w:rPr>
          <w:rStyle w:val="37"/>
          <w:rFonts w:ascii="宋体" w:hAnsi="宋体" w:cs="宋体"/>
          <w:color w:val="auto"/>
          <w:kern w:val="0"/>
          <w:highlight w:val="none"/>
        </w:rPr>
        <w:t>10.需要补充的其他内容</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_Toc40699929 \h </w:instrText>
      </w:r>
      <w:r>
        <w:rPr>
          <w:rStyle w:val="37"/>
          <w:color w:val="auto"/>
          <w:highlight w:val="none"/>
        </w:rPr>
        <w:fldChar w:fldCharType="separate"/>
      </w:r>
      <w:r>
        <w:rPr>
          <w:rStyle w:val="37"/>
          <w:color w:val="auto"/>
          <w:highlight w:val="none"/>
        </w:rPr>
        <w:t>1</w:t>
      </w:r>
      <w:r>
        <w:rPr>
          <w:rStyle w:val="37"/>
          <w:rFonts w:hint="eastAsia"/>
          <w:color w:val="auto"/>
          <w:highlight w:val="none"/>
          <w:lang w:val="en-US" w:eastAsia="zh-CN"/>
        </w:rPr>
        <w:t>9</w:t>
      </w:r>
      <w:r>
        <w:rPr>
          <w:rStyle w:val="37"/>
          <w:color w:val="auto"/>
          <w:highlight w:val="none"/>
        </w:rPr>
        <w:fldChar w:fldCharType="end"/>
      </w:r>
      <w:r>
        <w:rPr>
          <w:rStyle w:val="37"/>
          <w:color w:val="auto"/>
          <w:highlight w:val="none"/>
        </w:rPr>
        <w:fldChar w:fldCharType="end"/>
      </w:r>
    </w:p>
    <w:p>
      <w:pPr>
        <w:pStyle w:val="22"/>
        <w:tabs>
          <w:tab w:val="right" w:leader="dot" w:pos="8296"/>
        </w:tabs>
        <w:rPr>
          <w:rFonts w:hint="eastAsia" w:eastAsia="宋体"/>
          <w:highlight w:val="none"/>
          <w:lang w:val="en-US" w:eastAsia="zh-CN"/>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"_Toc40699930" </w:instrText>
      </w:r>
      <w:r>
        <w:rPr>
          <w:highlight w:val="none"/>
        </w:rPr>
        <w:fldChar w:fldCharType="separate"/>
      </w:r>
      <w:r>
        <w:rPr>
          <w:rStyle w:val="37"/>
          <w:rFonts w:hint="eastAsia" w:cs="宋体"/>
          <w:b/>
          <w:bCs/>
          <w:color w:val="auto"/>
          <w:kern w:val="0"/>
          <w:highlight w:val="none"/>
        </w:rPr>
        <w:t>第三章评标办法（综合评估法）</w:t>
      </w:r>
      <w:r>
        <w:rPr>
          <w:rStyle w:val="37"/>
          <w:b/>
          <w:bCs/>
          <w:color w:val="auto"/>
          <w:highlight w:val="none"/>
        </w:rPr>
        <w:tab/>
      </w:r>
      <w:r>
        <w:rPr>
          <w:rStyle w:val="37"/>
          <w:rFonts w:hint="eastAsia"/>
          <w:b/>
          <w:bCs/>
          <w:color w:val="auto"/>
          <w:highlight w:val="none"/>
          <w:lang w:val="en-US" w:eastAsia="zh-CN"/>
        </w:rPr>
        <w:t>2</w:t>
      </w:r>
      <w:r>
        <w:rPr>
          <w:rStyle w:val="37"/>
          <w:b/>
          <w:bCs/>
          <w:color w:val="auto"/>
          <w:highlight w:val="none"/>
        </w:rPr>
        <w:fldChar w:fldCharType="end"/>
      </w:r>
      <w:r>
        <w:rPr>
          <w:rStyle w:val="37"/>
          <w:rFonts w:hint="eastAsia"/>
          <w:b/>
          <w:bCs/>
          <w:color w:val="auto"/>
          <w:highlight w:val="none"/>
          <w:lang w:val="en-US" w:eastAsia="zh-CN"/>
        </w:rPr>
        <w:t>0</w:t>
      </w:r>
    </w:p>
    <w:p>
      <w:pPr>
        <w:pStyle w:val="22"/>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"_Toc40699935" </w:instrText>
      </w:r>
      <w:r>
        <w:rPr>
          <w:highlight w:val="none"/>
        </w:rPr>
        <w:fldChar w:fldCharType="separate"/>
      </w:r>
      <w:r>
        <w:rPr>
          <w:rStyle w:val="37"/>
          <w:rFonts w:hint="eastAsia" w:ascii="宋体" w:hAnsi="宋体" w:cs="宋体"/>
          <w:b/>
          <w:bCs/>
          <w:color w:val="auto"/>
          <w:kern w:val="0"/>
          <w:highlight w:val="none"/>
        </w:rPr>
        <w:t>第四章</w:t>
      </w:r>
      <w:r>
        <w:rPr>
          <w:rStyle w:val="37"/>
          <w:rFonts w:ascii="宋体" w:hAnsi="宋体" w:cs="宋体"/>
          <w:b/>
          <w:bCs/>
          <w:color w:val="auto"/>
          <w:kern w:val="0"/>
          <w:highlight w:val="none"/>
        </w:rPr>
        <w:t xml:space="preserve"> </w:t>
      </w:r>
      <w:r>
        <w:rPr>
          <w:rStyle w:val="37"/>
          <w:rFonts w:hint="eastAsia" w:ascii="宋体" w:hAnsi="宋体" w:cs="宋体"/>
          <w:b/>
          <w:bCs/>
          <w:color w:val="auto"/>
          <w:kern w:val="0"/>
          <w:highlight w:val="none"/>
        </w:rPr>
        <w:t>合同条款及格式</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_Toc40699935 \h </w:instrText>
      </w:r>
      <w:r>
        <w:rPr>
          <w:rStyle w:val="37"/>
          <w:color w:val="auto"/>
          <w:highlight w:val="none"/>
        </w:rPr>
        <w:fldChar w:fldCharType="separate"/>
      </w:r>
      <w:r>
        <w:rPr>
          <w:rStyle w:val="37"/>
          <w:color w:val="auto"/>
          <w:highlight w:val="none"/>
        </w:rPr>
        <w:t>2</w:t>
      </w:r>
      <w:r>
        <w:rPr>
          <w:rStyle w:val="37"/>
          <w:rFonts w:hint="eastAsia"/>
          <w:color w:val="auto"/>
          <w:highlight w:val="none"/>
          <w:lang w:val="en-US" w:eastAsia="zh-CN"/>
        </w:rPr>
        <w:t>3</w:t>
      </w:r>
      <w:r>
        <w:rPr>
          <w:rStyle w:val="37"/>
          <w:color w:val="auto"/>
          <w:highlight w:val="none"/>
        </w:rPr>
        <w:fldChar w:fldCharType="end"/>
      </w:r>
      <w:r>
        <w:rPr>
          <w:rStyle w:val="37"/>
          <w:color w:val="auto"/>
          <w:highlight w:val="none"/>
        </w:rPr>
        <w:fldChar w:fldCharType="end"/>
      </w:r>
    </w:p>
    <w:p>
      <w:pPr>
        <w:pStyle w:val="25"/>
        <w:tabs>
          <w:tab w:val="right" w:leader="dot" w:pos="8296"/>
        </w:tabs>
        <w:rPr>
          <w:highlight w:val="none"/>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"_Toc40699936" </w:instrText>
      </w:r>
      <w:r>
        <w:rPr>
          <w:highlight w:val="none"/>
        </w:rPr>
        <w:fldChar w:fldCharType="separate"/>
      </w:r>
      <w:r>
        <w:rPr>
          <w:rStyle w:val="37"/>
          <w:rFonts w:hint="eastAsia"/>
          <w:color w:val="auto"/>
          <w:highlight w:val="none"/>
        </w:rPr>
        <w:t>（仅供参考最终以双方协定版本为准）</w:t>
      </w:r>
      <w:r>
        <w:rPr>
          <w:rStyle w:val="37"/>
          <w:color w:val="auto"/>
          <w:highlight w:val="none"/>
        </w:rPr>
        <w:tab/>
      </w:r>
      <w:r>
        <w:rPr>
          <w:rStyle w:val="37"/>
          <w:color w:val="auto"/>
          <w:highlight w:val="none"/>
        </w:rPr>
        <w:fldChar w:fldCharType="begin"/>
      </w:r>
      <w:r>
        <w:rPr>
          <w:rStyle w:val="37"/>
          <w:color w:val="auto"/>
          <w:highlight w:val="none"/>
        </w:rPr>
        <w:instrText xml:space="preserve"> PAGEREF _Toc40699936 \h </w:instrText>
      </w:r>
      <w:r>
        <w:rPr>
          <w:rStyle w:val="37"/>
          <w:color w:val="auto"/>
          <w:highlight w:val="none"/>
        </w:rPr>
        <w:fldChar w:fldCharType="separate"/>
      </w:r>
      <w:r>
        <w:rPr>
          <w:rStyle w:val="37"/>
          <w:color w:val="auto"/>
          <w:highlight w:val="none"/>
        </w:rPr>
        <w:t>2</w:t>
      </w:r>
      <w:r>
        <w:rPr>
          <w:rStyle w:val="37"/>
          <w:rFonts w:hint="eastAsia"/>
          <w:color w:val="auto"/>
          <w:highlight w:val="none"/>
          <w:lang w:val="en-US" w:eastAsia="zh-CN"/>
        </w:rPr>
        <w:t>3</w:t>
      </w:r>
      <w:r>
        <w:rPr>
          <w:rStyle w:val="37"/>
          <w:color w:val="auto"/>
          <w:highlight w:val="none"/>
        </w:rPr>
        <w:fldChar w:fldCharType="end"/>
      </w:r>
      <w:r>
        <w:rPr>
          <w:rStyle w:val="37"/>
          <w:color w:val="auto"/>
          <w:highlight w:val="none"/>
        </w:rPr>
        <w:fldChar w:fldCharType="end"/>
      </w:r>
    </w:p>
    <w:p>
      <w:pPr>
        <w:pStyle w:val="22"/>
        <w:tabs>
          <w:tab w:val="right" w:leader="dot" w:pos="8296"/>
        </w:tabs>
        <w:rPr>
          <w:rFonts w:hint="eastAsia" w:eastAsia="宋体"/>
          <w:highlight w:val="none"/>
          <w:lang w:val="en-US" w:eastAsia="zh-CN"/>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"_Toc40699937" </w:instrText>
      </w:r>
      <w:r>
        <w:rPr>
          <w:highlight w:val="none"/>
        </w:rPr>
        <w:fldChar w:fldCharType="separate"/>
      </w:r>
      <w:r>
        <w:rPr>
          <w:rStyle w:val="37"/>
          <w:rFonts w:hint="eastAsia" w:ascii="宋体" w:hAnsi="宋体" w:cs="宋体"/>
          <w:b/>
          <w:bCs/>
          <w:color w:val="auto"/>
          <w:kern w:val="0"/>
          <w:highlight w:val="none"/>
        </w:rPr>
        <w:t>第五章</w:t>
      </w:r>
      <w:r>
        <w:rPr>
          <w:rStyle w:val="37"/>
          <w:rFonts w:ascii="宋体" w:hAnsi="宋体" w:cs="宋体"/>
          <w:b/>
          <w:bCs/>
          <w:color w:val="auto"/>
          <w:kern w:val="0"/>
          <w:highlight w:val="none"/>
        </w:rPr>
        <w:t xml:space="preserve"> </w:t>
      </w:r>
      <w:r>
        <w:rPr>
          <w:rStyle w:val="37"/>
          <w:rFonts w:hint="eastAsia" w:ascii="宋体" w:hAnsi="宋体" w:cs="宋体"/>
          <w:b/>
          <w:bCs/>
          <w:color w:val="auto"/>
          <w:kern w:val="0"/>
          <w:highlight w:val="none"/>
        </w:rPr>
        <w:t>项目需求</w:t>
      </w:r>
      <w:r>
        <w:rPr>
          <w:rStyle w:val="37"/>
          <w:color w:val="auto"/>
          <w:highlight w:val="none"/>
        </w:rPr>
        <w:tab/>
      </w:r>
      <w:r>
        <w:rPr>
          <w:rStyle w:val="37"/>
          <w:rFonts w:hint="eastAsia"/>
          <w:color w:val="auto"/>
          <w:highlight w:val="none"/>
          <w:lang w:val="en-US" w:eastAsia="zh-CN"/>
        </w:rPr>
        <w:t>4</w:t>
      </w:r>
      <w:r>
        <w:rPr>
          <w:rStyle w:val="37"/>
          <w:color w:val="auto"/>
          <w:highlight w:val="none"/>
        </w:rPr>
        <w:fldChar w:fldCharType="end"/>
      </w:r>
      <w:r>
        <w:rPr>
          <w:rStyle w:val="37"/>
          <w:rFonts w:hint="eastAsia"/>
          <w:color w:val="auto"/>
          <w:highlight w:val="none"/>
          <w:lang w:val="en-US" w:eastAsia="zh-CN"/>
        </w:rPr>
        <w:t>2</w:t>
      </w:r>
    </w:p>
    <w:p>
      <w:pPr>
        <w:pStyle w:val="22"/>
        <w:tabs>
          <w:tab w:val="right" w:leader="dot" w:pos="8296"/>
        </w:tabs>
        <w:rPr>
          <w:rFonts w:hint="eastAsia" w:eastAsia="宋体"/>
          <w:b/>
          <w:bCs/>
          <w:highlight w:val="none"/>
          <w:lang w:eastAsia="zh-CN"/>
        </w:rPr>
      </w:pPr>
      <w:r>
        <w:rPr>
          <w:highlight w:val="none"/>
        </w:rPr>
        <w:fldChar w:fldCharType="begin"/>
      </w:r>
      <w:r>
        <w:rPr>
          <w:highlight w:val="none"/>
        </w:rPr>
        <w:instrText xml:space="preserve"> HYPERLINK "file:///I:\\2020年项目\\扬州市洁源排水有限公司\\次氯酸钠、阴离子\\扬州市洁源排水有限公司2020—2021所需聚丙烯酰胺阴离子供应商入围项目200609发布稿.doc" \l "_Toc40699938" </w:instrText>
      </w:r>
      <w:r>
        <w:rPr>
          <w:highlight w:val="none"/>
        </w:rPr>
        <w:fldChar w:fldCharType="separate"/>
      </w:r>
      <w:r>
        <w:rPr>
          <w:rStyle w:val="37"/>
          <w:rFonts w:hint="eastAsia" w:cs="宋体"/>
          <w:b/>
          <w:bCs/>
          <w:color w:val="auto"/>
          <w:kern w:val="0"/>
          <w:highlight w:val="none"/>
        </w:rPr>
        <w:t>第六章投标文件格式</w:t>
      </w:r>
      <w:r>
        <w:rPr>
          <w:rStyle w:val="37"/>
          <w:b/>
          <w:bCs/>
          <w:color w:val="auto"/>
          <w:highlight w:val="none"/>
        </w:rPr>
        <w:tab/>
      </w:r>
      <w:r>
        <w:rPr>
          <w:rStyle w:val="37"/>
          <w:b/>
          <w:bCs/>
          <w:color w:val="auto"/>
          <w:highlight w:val="none"/>
        </w:rPr>
        <w:t>5</w:t>
      </w:r>
      <w:r>
        <w:rPr>
          <w:rStyle w:val="37"/>
          <w:b/>
          <w:bCs/>
          <w:color w:val="auto"/>
          <w:highlight w:val="none"/>
        </w:rPr>
        <w:fldChar w:fldCharType="end"/>
      </w:r>
      <w:r>
        <w:rPr>
          <w:rStyle w:val="37"/>
          <w:rFonts w:hint="eastAsia"/>
          <w:b/>
          <w:bCs/>
          <w:color w:val="auto"/>
          <w:highlight w:val="none"/>
          <w:lang w:val="en-US" w:eastAsia="zh-CN"/>
        </w:rPr>
        <w:t>9</w:t>
      </w:r>
    </w:p>
    <w:p>
      <w:pPr>
        <w:pStyle w:val="25"/>
        <w:tabs>
          <w:tab w:val="right" w:leader="dot" w:pos="8296"/>
        </w:tabs>
        <w:ind w:firstLine="422"/>
        <w:rPr>
          <w:b/>
          <w:bCs/>
          <w:highlight w:val="none"/>
        </w:rPr>
      </w:pPr>
    </w:p>
    <w:p>
      <w:pPr>
        <w:snapToGrid w:val="0"/>
        <w:spacing w:line="336" w:lineRule="auto"/>
        <w:rPr>
          <w:rFonts w:ascii="宋体" w:hAnsi="宋体" w:cs="宋体"/>
          <w:kern w:val="0"/>
          <w:highlight w:val="none"/>
        </w:rPr>
      </w:pPr>
      <w:r>
        <w:rPr>
          <w:rFonts w:hint="eastAsia" w:ascii="宋体" w:hAnsi="宋体" w:cs="宋体"/>
          <w:kern w:val="0"/>
          <w:highlight w:val="none"/>
        </w:rPr>
        <w:fldChar w:fldCharType="end"/>
      </w:r>
    </w:p>
    <w:p>
      <w:pPr>
        <w:widowControl/>
        <w:spacing w:beforeAutospacing="1" w:afterAutospacing="1" w:line="336" w:lineRule="auto"/>
        <w:ind w:firstLine="0" w:firstLineChars="0"/>
        <w:jc w:val="left"/>
        <w:rPr>
          <w:rFonts w:ascii="宋体" w:hAnsi="宋体" w:cs="宋体"/>
          <w:kern w:val="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lowerRoman"/>
          <w:cols w:space="720" w:num="1"/>
          <w:docGrid w:type="lines" w:linePitch="312" w:charSpace="0"/>
        </w:sectPr>
      </w:pPr>
    </w:p>
    <w:p>
      <w:pPr>
        <w:pStyle w:val="3"/>
        <w:numPr>
          <w:ilvl w:val="0"/>
          <w:numId w:val="2"/>
        </w:numPr>
        <w:snapToGrid w:val="0"/>
        <w:spacing w:before="0" w:after="0" w:line="360" w:lineRule="auto"/>
        <w:rPr>
          <w:kern w:val="0"/>
          <w:highlight w:val="none"/>
        </w:rPr>
      </w:pPr>
      <w:bookmarkStart w:id="1" w:name="_bookmark17"/>
      <w:bookmarkEnd w:id="1"/>
      <w:bookmarkStart w:id="2" w:name="_Toc4316"/>
      <w:bookmarkStart w:id="3" w:name="_Toc4957"/>
      <w:bookmarkStart w:id="4" w:name="_Toc24380"/>
      <w:r>
        <w:rPr>
          <w:rFonts w:hint="eastAsia"/>
          <w:kern w:val="0"/>
          <w:highlight w:val="none"/>
        </w:rPr>
        <w:t>招标公告</w:t>
      </w:r>
    </w:p>
    <w:p>
      <w:pPr>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受江苏长江水务股份有限公司（以下简称“采购人”）的委托，扬州筑苑工程招标咨询有限公司（以下简称“代理机构”）就其2021年电气技改项目（西湖增压站、瓜州原水厂）进行公开招标，现欢迎符合相关条件的供应商投标。</w:t>
      </w:r>
    </w:p>
    <w:p>
      <w:pPr>
        <w:numPr>
          <w:ilvl w:val="0"/>
          <w:numId w:val="3"/>
        </w:numPr>
        <w:tabs>
          <w:tab w:val="left" w:pos="900"/>
        </w:tabs>
        <w:spacing w:line="360" w:lineRule="auto"/>
        <w:rPr>
          <w:rFonts w:ascii="宋体"/>
          <w:color w:val="auto"/>
          <w:lang w:val="zh-CN"/>
        </w:rPr>
      </w:pPr>
      <w:r>
        <w:rPr>
          <w:rFonts w:hint="eastAsia" w:ascii="宋体" w:hAnsi="宋体" w:cs="宋体"/>
          <w:b/>
          <w:bCs/>
          <w:color w:val="auto"/>
          <w:szCs w:val="21"/>
        </w:rPr>
        <w:t>项目基本情况</w:t>
      </w:r>
    </w:p>
    <w:p>
      <w:pPr>
        <w:spacing w:line="360" w:lineRule="auto"/>
        <w:ind w:firstLine="420" w:firstLineChars="200"/>
        <w:outlineLvl w:val="0"/>
        <w:rPr>
          <w:rFonts w:hint="eastAsia" w:ascii="宋体" w:hAnsi="宋体" w:cs="Times New Roman"/>
          <w:color w:val="auto"/>
          <w:szCs w:val="21"/>
        </w:rPr>
      </w:pPr>
      <w:r>
        <w:rPr>
          <w:rFonts w:hint="eastAsia" w:ascii="宋体" w:hAnsi="宋体" w:cs="Times New Roman"/>
          <w:color w:val="auto"/>
          <w:szCs w:val="21"/>
          <w:lang w:val="en-US" w:eastAsia="zh-CN"/>
        </w:rPr>
        <w:t>1</w:t>
      </w:r>
      <w:r>
        <w:rPr>
          <w:rFonts w:hint="eastAsia" w:ascii="宋体" w:hAnsi="宋体" w:cs="Times New Roman"/>
          <w:color w:val="auto"/>
          <w:szCs w:val="21"/>
        </w:rPr>
        <w:t>、项目名称：江苏长江水务股份有限公司2021年电气技改项目（西湖增压站、瓜州原水厂），具体内容详见招标文件。</w:t>
      </w:r>
    </w:p>
    <w:p>
      <w:pPr>
        <w:spacing w:line="360" w:lineRule="auto"/>
        <w:ind w:firstLine="420" w:firstLineChars="200"/>
        <w:outlineLvl w:val="0"/>
        <w:rPr>
          <w:rFonts w:hint="eastAsia" w:ascii="宋体" w:hAnsi="宋体" w:cs="Times New Roman"/>
          <w:color w:val="auto"/>
          <w:szCs w:val="21"/>
        </w:rPr>
      </w:pPr>
      <w:r>
        <w:rPr>
          <w:rFonts w:hint="eastAsia" w:ascii="宋体" w:hAnsi="宋体" w:cs="Times New Roman"/>
          <w:color w:val="auto"/>
          <w:szCs w:val="21"/>
          <w:lang w:val="en-US" w:eastAsia="zh-CN"/>
        </w:rPr>
        <w:t>2</w:t>
      </w:r>
      <w:r>
        <w:rPr>
          <w:rFonts w:hint="eastAsia" w:ascii="宋体" w:hAnsi="宋体" w:cs="Times New Roman"/>
          <w:color w:val="auto"/>
          <w:szCs w:val="21"/>
        </w:rPr>
        <w:t>、本项目</w:t>
      </w:r>
      <w:r>
        <w:rPr>
          <w:rFonts w:hint="eastAsia" w:ascii="宋体" w:hAnsi="宋体" w:cs="Times New Roman"/>
          <w:color w:val="auto"/>
          <w:szCs w:val="21"/>
          <w:lang w:val="en-US" w:eastAsia="zh-CN"/>
        </w:rPr>
        <w:t>预算金额235万元，最高限价同预算价，</w:t>
      </w:r>
      <w:r>
        <w:rPr>
          <w:rFonts w:hint="eastAsia" w:ascii="宋体" w:hAnsi="宋体" w:cs="Times New Roman"/>
          <w:color w:val="auto"/>
          <w:szCs w:val="21"/>
        </w:rPr>
        <w:t>如投标价格超过公布的最高限价为无效报价，按照无效响应处理。</w:t>
      </w:r>
    </w:p>
    <w:p>
      <w:pPr>
        <w:spacing w:line="360" w:lineRule="auto"/>
        <w:ind w:firstLine="420" w:firstLineChars="200"/>
        <w:outlineLvl w:val="0"/>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 xml:space="preserve">3、招标范围：更换西湖增压站10KV共9台高压配电柜、0.4KV共9台低压配电柜；更换瓜州原水厂取水泵房2台低压配电柜、变电所6台低压配电柜（其中变电所更换后配5台低压配电柜）。 </w:t>
      </w:r>
    </w:p>
    <w:p>
      <w:pPr>
        <w:spacing w:line="360" w:lineRule="auto"/>
        <w:ind w:firstLine="420" w:firstLineChars="200"/>
        <w:outlineLvl w:val="0"/>
        <w:rPr>
          <w:rFonts w:hint="eastAsia" w:ascii="宋体" w:hAnsi="宋体" w:cs="Times New Roman"/>
          <w:color w:val="auto"/>
          <w:szCs w:val="21"/>
        </w:rPr>
      </w:pPr>
      <w:r>
        <w:rPr>
          <w:rFonts w:hint="eastAsia" w:ascii="宋体" w:hAnsi="宋体" w:cs="Times New Roman"/>
          <w:color w:val="auto"/>
          <w:szCs w:val="21"/>
          <w:lang w:val="en-US" w:eastAsia="zh-CN"/>
        </w:rPr>
        <w:t>4、</w:t>
      </w:r>
      <w:r>
        <w:rPr>
          <w:rFonts w:hint="eastAsia" w:ascii="宋体" w:hAnsi="宋体" w:cs="Times New Roman"/>
          <w:color w:val="auto"/>
          <w:szCs w:val="21"/>
        </w:rPr>
        <w:t>标包划分：1个标包。</w:t>
      </w:r>
    </w:p>
    <w:p>
      <w:pPr>
        <w:spacing w:line="360" w:lineRule="auto"/>
        <w:ind w:firstLine="420" w:firstLineChars="200"/>
        <w:outlineLvl w:val="0"/>
        <w:rPr>
          <w:rFonts w:hint="eastAsia" w:ascii="宋体" w:hAnsi="宋体" w:cs="Times New Roman"/>
          <w:color w:val="auto"/>
          <w:szCs w:val="21"/>
        </w:rPr>
      </w:pPr>
      <w:r>
        <w:rPr>
          <w:rFonts w:hint="eastAsia" w:ascii="宋体" w:hAnsi="宋体" w:cs="Times New Roman"/>
          <w:color w:val="auto"/>
          <w:szCs w:val="21"/>
          <w:lang w:val="en-US" w:eastAsia="zh-CN"/>
        </w:rPr>
        <w:t>5、</w:t>
      </w:r>
      <w:r>
        <w:rPr>
          <w:rFonts w:hint="eastAsia" w:ascii="宋体" w:hAnsi="宋体" w:cs="Times New Roman"/>
          <w:color w:val="auto"/>
          <w:szCs w:val="21"/>
        </w:rPr>
        <w:t>交货期：中标签订合同后的45天之内。</w:t>
      </w:r>
    </w:p>
    <w:p>
      <w:pPr>
        <w:spacing w:line="360" w:lineRule="auto"/>
        <w:ind w:firstLine="420" w:firstLineChars="200"/>
        <w:outlineLvl w:val="0"/>
        <w:rPr>
          <w:rFonts w:hint="eastAsia" w:ascii="宋体" w:hAnsi="宋体" w:cs="Times New Roman"/>
          <w:color w:val="auto"/>
          <w:szCs w:val="21"/>
        </w:rPr>
      </w:pPr>
      <w:r>
        <w:rPr>
          <w:rFonts w:hint="eastAsia" w:ascii="宋体" w:hAnsi="宋体" w:cs="Times New Roman"/>
          <w:color w:val="auto"/>
          <w:szCs w:val="21"/>
          <w:lang w:val="en-US" w:eastAsia="zh-CN"/>
        </w:rPr>
        <w:t>6、</w:t>
      </w:r>
      <w:r>
        <w:rPr>
          <w:rFonts w:hint="eastAsia" w:ascii="宋体" w:hAnsi="宋体" w:cs="Times New Roman"/>
          <w:color w:val="auto"/>
          <w:szCs w:val="21"/>
        </w:rPr>
        <w:t>交货地点：西湖增压站、瓜州原水厂。</w:t>
      </w:r>
    </w:p>
    <w:p>
      <w:pPr>
        <w:spacing w:line="360" w:lineRule="auto"/>
        <w:ind w:firstLine="420" w:firstLineChars="200"/>
        <w:outlineLvl w:val="0"/>
        <w:rPr>
          <w:rFonts w:hint="eastAsia" w:ascii="宋体" w:hAnsi="宋体" w:cs="Times New Roman"/>
          <w:color w:val="auto"/>
          <w:szCs w:val="21"/>
        </w:rPr>
      </w:pPr>
      <w:r>
        <w:rPr>
          <w:rFonts w:hint="eastAsia" w:ascii="宋体" w:hAnsi="宋体" w:cs="Times New Roman"/>
          <w:color w:val="auto"/>
          <w:szCs w:val="21"/>
        </w:rPr>
        <w:t>7、</w:t>
      </w:r>
      <w:r>
        <w:rPr>
          <w:rFonts w:hint="eastAsia" w:ascii="宋体" w:hAnsi="宋体" w:cs="Times New Roman"/>
          <w:color w:val="auto"/>
          <w:szCs w:val="21"/>
          <w:lang w:val="en-US" w:eastAsia="zh-CN"/>
        </w:rPr>
        <w:t>项目</w:t>
      </w:r>
      <w:r>
        <w:rPr>
          <w:rFonts w:hint="eastAsia" w:ascii="宋体" w:hAnsi="宋体" w:cs="Times New Roman"/>
          <w:color w:val="auto"/>
          <w:szCs w:val="21"/>
        </w:rPr>
        <w:t>需求：具体详见招标文件第</w:t>
      </w:r>
      <w:r>
        <w:rPr>
          <w:rFonts w:hint="eastAsia" w:ascii="宋体" w:hAnsi="宋体" w:cs="Times New Roman"/>
          <w:color w:val="auto"/>
          <w:szCs w:val="21"/>
          <w:lang w:val="en-US" w:eastAsia="zh-CN"/>
        </w:rPr>
        <w:t>五</w:t>
      </w:r>
      <w:r>
        <w:rPr>
          <w:rFonts w:hint="eastAsia" w:ascii="宋体" w:hAnsi="宋体" w:cs="Times New Roman"/>
          <w:color w:val="auto"/>
          <w:szCs w:val="21"/>
        </w:rPr>
        <w:t>章。</w:t>
      </w:r>
    </w:p>
    <w:p>
      <w:pPr>
        <w:spacing w:line="360" w:lineRule="auto"/>
        <w:ind w:firstLine="420" w:firstLineChars="200"/>
        <w:outlineLvl w:val="0"/>
        <w:rPr>
          <w:rFonts w:hint="eastAsia" w:ascii="宋体" w:hAnsi="宋体" w:cs="Times New Roman"/>
          <w:color w:val="auto"/>
          <w:szCs w:val="21"/>
        </w:rPr>
      </w:pPr>
      <w:bookmarkStart w:id="5" w:name="_Toc35393622"/>
      <w:bookmarkStart w:id="6" w:name="_Toc28359080"/>
      <w:bookmarkStart w:id="7" w:name="_Toc38985264"/>
      <w:bookmarkStart w:id="8" w:name="_Toc28359003"/>
      <w:r>
        <w:rPr>
          <w:rFonts w:hint="eastAsia" w:ascii="宋体" w:hAnsi="宋体" w:cs="Times New Roman"/>
          <w:color w:val="auto"/>
          <w:szCs w:val="21"/>
          <w:lang w:val="en-US" w:eastAsia="zh-CN"/>
        </w:rPr>
        <w:t>8、</w:t>
      </w:r>
      <w:r>
        <w:rPr>
          <w:rFonts w:hint="eastAsia" w:ascii="宋体" w:hAnsi="宋体" w:cs="Times New Roman"/>
          <w:color w:val="auto"/>
          <w:szCs w:val="21"/>
        </w:rPr>
        <w:t>本项目不接受联合体投标。</w:t>
      </w:r>
    </w:p>
    <w:bookmarkEnd w:id="5"/>
    <w:bookmarkEnd w:id="6"/>
    <w:bookmarkEnd w:id="7"/>
    <w:bookmarkEnd w:id="8"/>
    <w:p>
      <w:pPr>
        <w:tabs>
          <w:tab w:val="left" w:pos="900"/>
        </w:tabs>
        <w:spacing w:line="360" w:lineRule="auto"/>
        <w:rPr>
          <w:rFonts w:ascii="宋体" w:hAnsi="宋体" w:cs="宋体"/>
          <w:b/>
          <w:bCs/>
          <w:color w:val="auto"/>
          <w:szCs w:val="21"/>
        </w:rPr>
      </w:pPr>
      <w:r>
        <w:rPr>
          <w:rFonts w:hint="eastAsia" w:ascii="宋体" w:hAnsi="宋体" w:cs="宋体"/>
          <w:b/>
          <w:bCs/>
          <w:color w:val="auto"/>
          <w:szCs w:val="21"/>
        </w:rPr>
        <w:t>二、申请人的资格要求</w:t>
      </w:r>
    </w:p>
    <w:p>
      <w:pPr>
        <w:spacing w:line="360" w:lineRule="auto"/>
        <w:ind w:firstLine="420" w:firstLineChars="200"/>
        <w:outlineLvl w:val="0"/>
        <w:rPr>
          <w:rFonts w:hint="eastAsia" w:ascii="宋体" w:hAnsi="宋体" w:cs="Times New Roman"/>
          <w:color w:val="auto"/>
          <w:szCs w:val="21"/>
          <w:lang w:val="en-US" w:eastAsia="zh-CN"/>
        </w:rPr>
      </w:pPr>
      <w:bookmarkStart w:id="9" w:name="_Toc28359017"/>
      <w:bookmarkStart w:id="10" w:name="_Toc35393634"/>
      <w:bookmarkStart w:id="11" w:name="_Toc28359094"/>
      <w:bookmarkStart w:id="12" w:name="_Toc35393803"/>
      <w:bookmarkStart w:id="13" w:name="_Toc35393800"/>
      <w:bookmarkStart w:id="14" w:name="_Toc35393631"/>
      <w:r>
        <w:rPr>
          <w:rFonts w:hint="eastAsia" w:ascii="宋体" w:hAnsi="宋体" w:cs="Times New Roman"/>
          <w:color w:val="auto"/>
          <w:szCs w:val="21"/>
          <w:lang w:val="en-US" w:eastAsia="zh-CN"/>
        </w:rPr>
        <w:t>本项目的投标人资格要求，并提供下列材料：</w:t>
      </w:r>
    </w:p>
    <w:p>
      <w:pPr>
        <w:spacing w:line="360" w:lineRule="auto"/>
        <w:ind w:firstLine="420" w:firstLineChars="200"/>
        <w:outlineLvl w:val="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1、投标函（原件）</w:t>
      </w:r>
    </w:p>
    <w:p>
      <w:pPr>
        <w:spacing w:line="360" w:lineRule="auto"/>
        <w:ind w:firstLine="420" w:firstLineChars="200"/>
        <w:outlineLvl w:val="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 xml:space="preserve">2、若法定代表人参加磋商的，须提供本人身份证复印件(原件备查)；若授权代表参加的，须提供《法人授权书》原件和授权代表身份证复印件（原件备查） </w:t>
      </w:r>
    </w:p>
    <w:p>
      <w:pPr>
        <w:spacing w:line="360" w:lineRule="auto"/>
        <w:ind w:firstLine="420" w:firstLineChars="200"/>
        <w:outlineLvl w:val="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 投标人必须是中华人民共和国境内注册的企业法人,具有独立法人资格。提供营业执照副本。（复印件加盖投标人公章）</w:t>
      </w:r>
    </w:p>
    <w:p>
      <w:pPr>
        <w:spacing w:line="360" w:lineRule="auto"/>
        <w:ind w:firstLine="420" w:firstLineChars="200"/>
        <w:outlineLvl w:val="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投标单位必须是高低压成套设备制造商，具有国家权威部门高压柜的型式试验报告同时必须是扬州广源实业投资有限公司（供电部门）2021年度承接工程-10kV及以下开关柜入围单位。（提供高压柜的型式试验报告复印件加盖投标人公章、入围单位名单复印件）</w:t>
      </w:r>
    </w:p>
    <w:p>
      <w:pPr>
        <w:spacing w:line="360" w:lineRule="auto"/>
        <w:ind w:firstLine="420" w:firstLineChars="200"/>
        <w:outlineLvl w:val="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5、投标单位近三年内（2018年1月1日至今）（以合同签订时间为准）应具备同类货物供货业绩,单份合同总价金额≥100万元人民币。（提供合同复印件，原件备查）</w:t>
      </w:r>
    </w:p>
    <w:p>
      <w:pPr>
        <w:spacing w:line="360" w:lineRule="auto"/>
        <w:ind w:firstLine="420" w:firstLineChars="200"/>
        <w:outlineLvl w:val="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6、如国家有相关强制性规定的，投标人须满足所有相关强制性规定。（提供国家强制性产品认证试验报告）</w:t>
      </w:r>
    </w:p>
    <w:p>
      <w:pPr>
        <w:spacing w:line="360" w:lineRule="auto"/>
        <w:ind w:firstLine="420" w:firstLineChars="200"/>
        <w:outlineLvl w:val="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7、投标人企业财务和经营状况良好，具备履行合同能力，近三年内无不良经营行为。（提供承诺书，格式自拟）</w:t>
      </w:r>
    </w:p>
    <w:p>
      <w:pPr>
        <w:pStyle w:val="4"/>
        <w:spacing w:before="0" w:after="0" w:line="360" w:lineRule="auto"/>
        <w:jc w:val="both"/>
        <w:rPr>
          <w:rFonts w:ascii="宋体" w:hAnsi="宋体" w:cs="宋体"/>
          <w:color w:val="auto"/>
          <w:sz w:val="21"/>
          <w:szCs w:val="21"/>
        </w:rPr>
      </w:pPr>
      <w:r>
        <w:rPr>
          <w:rFonts w:hint="eastAsia" w:ascii="宋体" w:hAnsi="宋体" w:cs="宋体"/>
          <w:color w:val="auto"/>
          <w:sz w:val="21"/>
          <w:szCs w:val="21"/>
        </w:rPr>
        <w:t>三、公告期限</w:t>
      </w:r>
      <w:bookmarkEnd w:id="9"/>
      <w:bookmarkEnd w:id="10"/>
      <w:bookmarkEnd w:id="11"/>
      <w:bookmarkEnd w:id="12"/>
    </w:p>
    <w:p>
      <w:pPr>
        <w:spacing w:line="440" w:lineRule="exact"/>
        <w:ind w:firstLine="525" w:firstLineChars="250"/>
        <w:rPr>
          <w:rFonts w:ascii="宋体"/>
          <w:color w:val="auto"/>
          <w:szCs w:val="21"/>
        </w:rPr>
      </w:pPr>
      <w:r>
        <w:rPr>
          <w:rFonts w:hint="eastAsia" w:ascii="宋体" w:hAnsi="宋体"/>
          <w:color w:val="auto"/>
          <w:szCs w:val="21"/>
        </w:rPr>
        <w:t>自招标公告在江苏省招标投标公共服务平台、扬州市公共资源交易服务平台、扬州市城建国有资产控股（集团）有限责任公司网站</w:t>
      </w:r>
      <w:r>
        <w:rPr>
          <w:rFonts w:hint="eastAsia" w:ascii="宋体" w:hAnsi="宋体"/>
          <w:color w:val="auto"/>
          <w:szCs w:val="21"/>
          <w:lang w:eastAsia="zh-CN"/>
        </w:rPr>
        <w:t>、</w:t>
      </w:r>
      <w:r>
        <w:rPr>
          <w:rFonts w:hint="eastAsia" w:ascii="宋体" w:hAnsi="宋体"/>
          <w:kern w:val="0"/>
          <w:szCs w:val="21"/>
          <w:highlight w:val="none"/>
          <w:lang w:val="en-US" w:eastAsia="zh-CN"/>
        </w:rPr>
        <w:t>江苏长江水务股份有限公司网站</w:t>
      </w:r>
      <w:r>
        <w:rPr>
          <w:rFonts w:hint="eastAsia" w:ascii="宋体" w:hAnsi="宋体"/>
          <w:color w:val="auto"/>
          <w:szCs w:val="21"/>
        </w:rPr>
        <w:t>发布之日起</w:t>
      </w:r>
      <w:r>
        <w:rPr>
          <w:rFonts w:ascii="宋体" w:hAnsi="宋体"/>
          <w:color w:val="auto"/>
          <w:szCs w:val="21"/>
        </w:rPr>
        <w:t xml:space="preserve"> 5</w:t>
      </w:r>
      <w:r>
        <w:rPr>
          <w:rFonts w:hint="eastAsia" w:ascii="宋体" w:hAnsi="宋体"/>
          <w:color w:val="auto"/>
          <w:szCs w:val="21"/>
        </w:rPr>
        <w:t>个工作日。有关本次招标的事项若存在变动或修改，敬请及时关注江苏省招标投标公共服务平台、扬州市公共资源交易服务平台、扬州市城建国有资产控股（集团）有限责任公司网站</w:t>
      </w:r>
      <w:r>
        <w:rPr>
          <w:rFonts w:hint="eastAsia" w:ascii="宋体" w:hAnsi="宋体"/>
          <w:color w:val="auto"/>
          <w:szCs w:val="21"/>
          <w:lang w:eastAsia="zh-CN"/>
        </w:rPr>
        <w:t>、</w:t>
      </w:r>
      <w:r>
        <w:rPr>
          <w:rFonts w:hint="eastAsia" w:ascii="宋体" w:hAnsi="宋体"/>
          <w:kern w:val="0"/>
          <w:szCs w:val="21"/>
          <w:highlight w:val="none"/>
          <w:lang w:val="en-US" w:eastAsia="zh-CN"/>
        </w:rPr>
        <w:t>江苏长江水务股份有限公司网站</w:t>
      </w:r>
      <w:r>
        <w:rPr>
          <w:rFonts w:hint="eastAsia" w:ascii="宋体" w:hAnsi="宋体"/>
          <w:color w:val="auto"/>
          <w:szCs w:val="21"/>
        </w:rPr>
        <w:t>发布的信息或更正公告。</w:t>
      </w:r>
    </w:p>
    <w:p>
      <w:pPr>
        <w:tabs>
          <w:tab w:val="left" w:pos="900"/>
        </w:tabs>
        <w:spacing w:line="360" w:lineRule="auto"/>
        <w:ind w:left="0" w:leftChars="0" w:firstLine="0" w:firstLineChars="0"/>
        <w:rPr>
          <w:rFonts w:ascii="宋体" w:hAnsi="宋体" w:cs="宋体"/>
          <w:b/>
          <w:bCs/>
          <w:color w:val="auto"/>
          <w:szCs w:val="21"/>
        </w:rPr>
      </w:pPr>
      <w:r>
        <w:rPr>
          <w:rFonts w:hint="eastAsia" w:ascii="宋体" w:hAnsi="宋体" w:cs="宋体"/>
          <w:b/>
          <w:bCs/>
          <w:color w:val="auto"/>
          <w:szCs w:val="21"/>
        </w:rPr>
        <w:t>四、</w:t>
      </w:r>
      <w:bookmarkEnd w:id="13"/>
      <w:bookmarkEnd w:id="14"/>
      <w:r>
        <w:rPr>
          <w:rFonts w:hint="eastAsia" w:ascii="宋体" w:hAnsi="宋体" w:cs="宋体"/>
          <w:b/>
          <w:bCs/>
          <w:color w:val="auto"/>
          <w:szCs w:val="21"/>
        </w:rPr>
        <w:t>报名及获取采购文件</w:t>
      </w:r>
    </w:p>
    <w:p>
      <w:pPr>
        <w:spacing w:line="440" w:lineRule="exact"/>
        <w:ind w:firstLine="525" w:firstLineChars="250"/>
        <w:rPr>
          <w:rFonts w:hint="eastAsia" w:ascii="宋体" w:hAnsi="宋体" w:cs="Times New Roman"/>
          <w:color w:val="auto"/>
          <w:szCs w:val="21"/>
        </w:rPr>
      </w:pPr>
      <w:r>
        <w:rPr>
          <w:rFonts w:hint="eastAsia" w:ascii="宋体" w:hAnsi="宋体" w:cs="Times New Roman"/>
          <w:color w:val="auto"/>
          <w:szCs w:val="21"/>
        </w:rPr>
        <w:t>1、时间：招标文件获取时间：从2021年</w:t>
      </w:r>
      <w:r>
        <w:rPr>
          <w:rFonts w:hint="eastAsia" w:ascii="宋体" w:hAnsi="宋体" w:cs="Times New Roman"/>
          <w:color w:val="auto"/>
          <w:szCs w:val="21"/>
          <w:lang w:val="en-US" w:eastAsia="zh-CN"/>
        </w:rPr>
        <w:t>7</w:t>
      </w:r>
      <w:r>
        <w:rPr>
          <w:rFonts w:hint="eastAsia" w:ascii="宋体" w:hAnsi="宋体" w:cs="Times New Roman"/>
          <w:color w:val="auto"/>
          <w:szCs w:val="21"/>
        </w:rPr>
        <w:t>月</w:t>
      </w:r>
      <w:r>
        <w:rPr>
          <w:rFonts w:hint="eastAsia" w:ascii="宋体" w:hAnsi="宋体" w:cs="Times New Roman"/>
          <w:color w:val="auto"/>
          <w:szCs w:val="21"/>
          <w:lang w:val="en-US" w:eastAsia="zh-CN"/>
        </w:rPr>
        <w:t>15</w:t>
      </w:r>
      <w:r>
        <w:rPr>
          <w:rFonts w:hint="eastAsia" w:ascii="宋体" w:hAnsi="宋体" w:cs="Times New Roman"/>
          <w:color w:val="auto"/>
          <w:szCs w:val="21"/>
        </w:rPr>
        <w:t>日09：00到2021年</w:t>
      </w:r>
      <w:r>
        <w:rPr>
          <w:rFonts w:hint="eastAsia" w:ascii="宋体" w:hAnsi="宋体" w:cs="Times New Roman"/>
          <w:color w:val="auto"/>
          <w:szCs w:val="21"/>
          <w:lang w:val="en-US" w:eastAsia="zh-CN"/>
        </w:rPr>
        <w:t>7</w:t>
      </w:r>
      <w:r>
        <w:rPr>
          <w:rFonts w:hint="eastAsia" w:ascii="宋体" w:hAnsi="宋体" w:cs="Times New Roman"/>
          <w:color w:val="auto"/>
          <w:szCs w:val="21"/>
        </w:rPr>
        <w:t>月</w:t>
      </w:r>
      <w:r>
        <w:rPr>
          <w:rFonts w:hint="eastAsia" w:ascii="宋体" w:hAnsi="宋体" w:cs="Times New Roman"/>
          <w:color w:val="auto"/>
          <w:szCs w:val="21"/>
          <w:lang w:val="en-US" w:eastAsia="zh-CN"/>
        </w:rPr>
        <w:t>21</w:t>
      </w:r>
      <w:r>
        <w:rPr>
          <w:rFonts w:hint="eastAsia" w:ascii="宋体" w:hAnsi="宋体" w:cs="Times New Roman"/>
          <w:color w:val="auto"/>
          <w:szCs w:val="21"/>
        </w:rPr>
        <w:t>日1</w:t>
      </w:r>
      <w:r>
        <w:rPr>
          <w:rFonts w:hint="eastAsia" w:ascii="宋体" w:hAnsi="宋体" w:cs="Times New Roman"/>
          <w:color w:val="auto"/>
          <w:szCs w:val="21"/>
          <w:lang w:val="en-US" w:eastAsia="zh-CN"/>
        </w:rPr>
        <w:t>8</w:t>
      </w:r>
      <w:r>
        <w:rPr>
          <w:rFonts w:hint="eastAsia" w:ascii="宋体" w:hAnsi="宋体" w:cs="Times New Roman"/>
          <w:color w:val="auto"/>
          <w:szCs w:val="21"/>
        </w:rPr>
        <w:t xml:space="preserve">：00（北京时间，法定节假日除外） </w:t>
      </w:r>
    </w:p>
    <w:p>
      <w:pPr>
        <w:spacing w:line="440" w:lineRule="exact"/>
        <w:ind w:firstLine="525" w:firstLineChars="250"/>
        <w:rPr>
          <w:rFonts w:hint="eastAsia" w:ascii="宋体" w:hAnsi="宋体" w:cs="Times New Roman"/>
          <w:color w:val="auto"/>
          <w:szCs w:val="21"/>
        </w:rPr>
      </w:pPr>
      <w:r>
        <w:rPr>
          <w:rFonts w:hint="eastAsia" w:ascii="宋体" w:hAnsi="宋体" w:cs="Times New Roman"/>
          <w:color w:val="auto"/>
          <w:szCs w:val="21"/>
        </w:rPr>
        <w:t>2、地点：扬州筑苑工程招标咨询有限公司</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免费获取</w:t>
      </w:r>
      <w:r>
        <w:rPr>
          <w:rFonts w:hint="eastAsia" w:ascii="宋体" w:hAnsi="宋体" w:cs="Times New Roman"/>
          <w:color w:val="auto"/>
          <w:szCs w:val="21"/>
          <w:lang w:eastAsia="zh-CN"/>
        </w:rPr>
        <w:t>）</w:t>
      </w:r>
    </w:p>
    <w:p>
      <w:pPr>
        <w:spacing w:line="440" w:lineRule="exact"/>
        <w:ind w:firstLine="525" w:firstLineChars="250"/>
        <w:rPr>
          <w:rFonts w:hint="eastAsia" w:ascii="宋体" w:hAnsi="宋体" w:cs="Times New Roman"/>
          <w:color w:val="auto"/>
          <w:szCs w:val="21"/>
        </w:rPr>
      </w:pPr>
      <w:r>
        <w:rPr>
          <w:rFonts w:hint="eastAsia" w:ascii="宋体" w:hAnsi="宋体" w:cs="Times New Roman"/>
          <w:color w:val="auto"/>
          <w:szCs w:val="21"/>
        </w:rPr>
        <w:t>3、方式：获取招标文件时需携带投标人单位营业执照复印件加盖公章，授权委托书原件，授权委托人身份证原件及复印件加盖公章、扬州广源实业投资有限公司（供电部门）2021年度承接工程-10kV及以下开关柜入围单位名单。</w:t>
      </w:r>
    </w:p>
    <w:p>
      <w:pPr>
        <w:pStyle w:val="4"/>
        <w:spacing w:before="0" w:after="0" w:line="360" w:lineRule="auto"/>
        <w:jc w:val="both"/>
        <w:rPr>
          <w:rFonts w:ascii="宋体" w:hAnsi="宋体" w:cs="宋体"/>
          <w:color w:val="auto"/>
          <w:sz w:val="21"/>
          <w:szCs w:val="21"/>
        </w:rPr>
      </w:pPr>
      <w:bookmarkStart w:id="15" w:name="_Toc35393801"/>
      <w:bookmarkStart w:id="16" w:name="_Toc28359092"/>
      <w:bookmarkStart w:id="17" w:name="_Toc35393632"/>
      <w:bookmarkStart w:id="18" w:name="_Toc28359015"/>
      <w:r>
        <w:rPr>
          <w:rFonts w:hint="eastAsia" w:ascii="宋体" w:hAnsi="宋体" w:cs="宋体"/>
          <w:color w:val="auto"/>
          <w:sz w:val="21"/>
          <w:szCs w:val="21"/>
        </w:rPr>
        <w:t>五、</w:t>
      </w:r>
      <w:bookmarkEnd w:id="15"/>
      <w:bookmarkEnd w:id="16"/>
      <w:bookmarkEnd w:id="17"/>
      <w:bookmarkEnd w:id="18"/>
      <w:r>
        <w:rPr>
          <w:rFonts w:hint="eastAsia" w:ascii="宋体" w:hAnsi="宋体" w:cs="宋体"/>
          <w:color w:val="auto"/>
          <w:sz w:val="21"/>
          <w:szCs w:val="21"/>
        </w:rPr>
        <w:t>提交投标文件截止时间、开标时间和地点</w:t>
      </w:r>
    </w:p>
    <w:p>
      <w:pPr>
        <w:spacing w:line="440" w:lineRule="exact"/>
        <w:ind w:firstLine="525" w:firstLineChars="250"/>
        <w:rPr>
          <w:rFonts w:hint="eastAsia" w:ascii="宋体" w:hAnsi="宋体" w:cs="Times New Roman"/>
          <w:color w:val="auto"/>
          <w:szCs w:val="21"/>
        </w:rPr>
      </w:pPr>
      <w:r>
        <w:rPr>
          <w:rFonts w:hint="eastAsia" w:ascii="宋体" w:hAnsi="宋体" w:cs="Times New Roman"/>
          <w:color w:val="auto"/>
          <w:szCs w:val="21"/>
        </w:rPr>
        <w:t xml:space="preserve">1、提交投标文件截止时间、开标时间：2021年 </w:t>
      </w:r>
      <w:r>
        <w:rPr>
          <w:rFonts w:hint="eastAsia" w:ascii="宋体" w:hAnsi="宋体" w:cs="Times New Roman"/>
          <w:color w:val="auto"/>
          <w:szCs w:val="21"/>
          <w:lang w:val="en-US" w:eastAsia="zh-CN"/>
        </w:rPr>
        <w:t>8</w:t>
      </w:r>
      <w:r>
        <w:rPr>
          <w:rFonts w:hint="eastAsia" w:ascii="宋体" w:hAnsi="宋体" w:cs="Times New Roman"/>
          <w:color w:val="auto"/>
          <w:szCs w:val="21"/>
        </w:rPr>
        <w:t>月</w:t>
      </w:r>
      <w:r>
        <w:rPr>
          <w:rFonts w:hint="eastAsia" w:ascii="宋体" w:hAnsi="宋体" w:cs="Times New Roman"/>
          <w:color w:val="auto"/>
          <w:szCs w:val="21"/>
          <w:lang w:val="en-US" w:eastAsia="zh-CN"/>
        </w:rPr>
        <w:t>4</w:t>
      </w:r>
      <w:r>
        <w:rPr>
          <w:rFonts w:hint="eastAsia" w:ascii="宋体" w:hAnsi="宋体" w:cs="Times New Roman"/>
          <w:color w:val="auto"/>
          <w:szCs w:val="21"/>
        </w:rPr>
        <w:t>日15：</w:t>
      </w:r>
      <w:r>
        <w:rPr>
          <w:rFonts w:hint="eastAsia" w:ascii="宋体" w:hAnsi="宋体" w:cs="Times New Roman"/>
          <w:color w:val="auto"/>
          <w:szCs w:val="21"/>
          <w:lang w:val="en-US" w:eastAsia="zh-CN"/>
        </w:rPr>
        <w:t>3</w:t>
      </w:r>
      <w:r>
        <w:rPr>
          <w:rFonts w:hint="eastAsia" w:ascii="宋体" w:hAnsi="宋体" w:cs="Times New Roman"/>
          <w:color w:val="auto"/>
          <w:szCs w:val="21"/>
        </w:rPr>
        <w:t xml:space="preserve">0 </w:t>
      </w:r>
    </w:p>
    <w:p>
      <w:pPr>
        <w:spacing w:line="360" w:lineRule="auto"/>
        <w:ind w:firstLine="525" w:firstLineChars="250"/>
        <w:rPr>
          <w:rFonts w:ascii="宋体" w:hAnsi="宋体" w:cs="宋体"/>
          <w:bCs/>
          <w:color w:val="auto"/>
          <w:szCs w:val="21"/>
          <w:u w:val="single"/>
        </w:rPr>
      </w:pPr>
      <w:r>
        <w:rPr>
          <w:rFonts w:hint="eastAsia" w:ascii="宋体" w:hAnsi="宋体" w:cs="宋体"/>
          <w:color w:val="auto"/>
          <w:szCs w:val="21"/>
        </w:rPr>
        <w:t>2、地点：</w:t>
      </w:r>
      <w:r>
        <w:rPr>
          <w:rFonts w:hint="eastAsia" w:ascii="宋体" w:hAnsi="宋体" w:cs="宋体"/>
          <w:szCs w:val="21"/>
          <w:highlight w:val="none"/>
        </w:rPr>
        <w:t>扬州筑苑工程招标咨询有限公司</w:t>
      </w:r>
      <w:r>
        <w:rPr>
          <w:rFonts w:hint="eastAsia" w:ascii="宋体" w:hAnsi="宋体"/>
          <w:kern w:val="0"/>
          <w:szCs w:val="21"/>
          <w:highlight w:val="none"/>
        </w:rPr>
        <w:t>（地址：扬州市瘦西湖路</w:t>
      </w:r>
      <w:r>
        <w:rPr>
          <w:rFonts w:ascii="宋体" w:hAnsi="宋体"/>
          <w:kern w:val="0"/>
          <w:szCs w:val="21"/>
          <w:highlight w:val="none"/>
        </w:rPr>
        <w:t>65号4楼）</w:t>
      </w:r>
    </w:p>
    <w:p>
      <w:pPr>
        <w:pStyle w:val="4"/>
        <w:spacing w:before="0" w:after="0" w:line="360" w:lineRule="auto"/>
        <w:jc w:val="both"/>
        <w:rPr>
          <w:rFonts w:ascii="宋体" w:hAnsi="宋体" w:cs="宋体"/>
          <w:color w:val="auto"/>
          <w:sz w:val="21"/>
          <w:szCs w:val="21"/>
        </w:rPr>
      </w:pPr>
      <w:r>
        <w:rPr>
          <w:rFonts w:hint="eastAsia" w:ascii="宋体" w:hAnsi="宋体" w:cs="宋体"/>
          <w:color w:val="auto"/>
          <w:sz w:val="21"/>
          <w:szCs w:val="21"/>
        </w:rPr>
        <w:t>六、其他补充事宜</w:t>
      </w:r>
    </w:p>
    <w:p>
      <w:pPr>
        <w:spacing w:line="360" w:lineRule="auto"/>
        <w:ind w:firstLine="408"/>
        <w:rPr>
          <w:rFonts w:hint="eastAsia" w:ascii="宋体" w:hAnsi="宋体" w:eastAsia="宋体" w:cs="宋体"/>
          <w:color w:val="auto"/>
          <w:szCs w:val="21"/>
          <w:lang w:eastAsia="zh-CN"/>
        </w:rPr>
      </w:pPr>
      <w:r>
        <w:rPr>
          <w:rFonts w:hint="eastAsia" w:ascii="宋体" w:hAnsi="宋体" w:cs="宋体"/>
          <w:color w:val="auto"/>
          <w:szCs w:val="21"/>
        </w:rPr>
        <w:t>1、集中现场考察或召开答疑会：</w:t>
      </w:r>
      <w:r>
        <w:rPr>
          <w:rFonts w:hint="eastAsia" w:ascii="宋体" w:hAnsi="宋体" w:cs="宋体"/>
          <w:color w:val="auto"/>
          <w:szCs w:val="21"/>
          <w:lang w:val="en-US" w:eastAsia="zh-CN"/>
        </w:rPr>
        <w:t>有（</w:t>
      </w:r>
      <w:r>
        <w:rPr>
          <w:rFonts w:hint="eastAsia" w:ascii="宋体" w:hAnsi="宋体" w:cs="Times New Roman"/>
          <w:color w:val="auto"/>
          <w:szCs w:val="21"/>
        </w:rPr>
        <w:t>具体详见招标文件</w:t>
      </w:r>
      <w:r>
        <w:rPr>
          <w:rFonts w:hint="eastAsia" w:ascii="宋体" w:hAnsi="宋体" w:cs="宋体"/>
          <w:color w:val="auto"/>
          <w:szCs w:val="21"/>
          <w:lang w:val="en-US" w:eastAsia="zh-CN"/>
        </w:rPr>
        <w:t>）</w:t>
      </w:r>
    </w:p>
    <w:p>
      <w:pPr>
        <w:spacing w:line="360" w:lineRule="auto"/>
        <w:ind w:firstLine="396" w:firstLineChars="200"/>
        <w:rPr>
          <w:rFonts w:ascii="宋体" w:hAnsi="宋体" w:cs="宋体"/>
          <w:bCs/>
          <w:color w:val="auto"/>
          <w:spacing w:val="-6"/>
          <w:szCs w:val="21"/>
        </w:rPr>
      </w:pPr>
      <w:r>
        <w:rPr>
          <w:rFonts w:hint="eastAsia" w:ascii="宋体" w:hAnsi="宋体" w:cs="宋体"/>
          <w:color w:val="auto"/>
          <w:spacing w:val="-6"/>
          <w:kern w:val="0"/>
          <w:szCs w:val="21"/>
        </w:rPr>
        <w:t>2、</w:t>
      </w:r>
      <w:r>
        <w:rPr>
          <w:rFonts w:hint="eastAsia" w:ascii="宋体" w:hAnsi="宋体" w:cs="宋体"/>
          <w:bCs/>
          <w:color w:val="auto"/>
          <w:spacing w:val="-6"/>
          <w:szCs w:val="21"/>
        </w:rPr>
        <w:t>投标文件制作份数要求：</w:t>
      </w:r>
    </w:p>
    <w:p>
      <w:pPr>
        <w:snapToGrid w:val="0"/>
        <w:ind w:firstLine="420" w:firstLineChars="200"/>
        <w:rPr>
          <w:rFonts w:hint="eastAsia" w:ascii="宋体" w:hAnsi="宋体" w:eastAsia="宋体" w:cs="宋体"/>
          <w:kern w:val="0"/>
          <w:highlight w:val="none"/>
          <w:lang w:val="en-US" w:eastAsia="zh-CN"/>
        </w:rPr>
      </w:pPr>
      <w:bookmarkStart w:id="215" w:name="_GoBack"/>
      <w:bookmarkEnd w:id="215"/>
      <w:r>
        <w:rPr>
          <w:rFonts w:hint="eastAsia" w:ascii="宋体" w:hAnsi="宋体" w:cs="宋体"/>
          <w:kern w:val="0"/>
          <w:highlight w:val="none"/>
        </w:rPr>
        <w:t>正本一份，副本四份</w:t>
      </w:r>
      <w:r>
        <w:rPr>
          <w:rFonts w:hint="eastAsia" w:ascii="宋体" w:hAnsi="宋体" w:cs="宋体"/>
          <w:kern w:val="0"/>
          <w:highlight w:val="none"/>
          <w:lang w:eastAsia="zh-CN"/>
        </w:rPr>
        <w:t>，</w:t>
      </w:r>
      <w:r>
        <w:rPr>
          <w:rFonts w:hint="eastAsia" w:ascii="宋体" w:hAnsi="宋体" w:cs="宋体"/>
          <w:kern w:val="0"/>
          <w:highlight w:val="none"/>
        </w:rPr>
        <w:t>电子版文件</w:t>
      </w:r>
      <w:r>
        <w:rPr>
          <w:rFonts w:hint="eastAsia" w:ascii="宋体" w:hAnsi="宋体" w:cs="宋体"/>
          <w:kern w:val="0"/>
          <w:highlight w:val="none"/>
          <w:lang w:val="en-US" w:eastAsia="zh-CN"/>
        </w:rPr>
        <w:t>一份，</w:t>
      </w:r>
      <w:r>
        <w:rPr>
          <w:rFonts w:hint="eastAsia" w:ascii="宋体" w:hAnsi="宋体" w:cs="宋体"/>
          <w:kern w:val="0"/>
          <w:highlight w:val="none"/>
        </w:rPr>
        <w:t>电子版文件一般应为</w:t>
      </w:r>
      <w:r>
        <w:rPr>
          <w:rFonts w:ascii="宋体" w:hAnsi="宋体" w:cs="宋体"/>
          <w:kern w:val="0"/>
          <w:highlight w:val="none"/>
        </w:rPr>
        <w:t>PDF格式、U盘形式，随纸质投标文件一并提交。电子版文件用于辅助评标和平台存档，投标人需承担电子版文件和纸质正本文件不一致造成的不利后果。</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3</w:t>
      </w:r>
      <w:r>
        <w:rPr>
          <w:rFonts w:hint="eastAsia" w:ascii="宋体" w:hAnsi="宋体" w:cs="宋体"/>
          <w:bCs/>
          <w:color w:val="auto"/>
          <w:spacing w:val="-6"/>
          <w:szCs w:val="21"/>
        </w:rPr>
        <w:t>、潜在投标人对招标文件项目需求部分的询问、质疑请向采购人提出，由采购人负责答复。</w:t>
      </w:r>
    </w:p>
    <w:p>
      <w:pPr>
        <w:spacing w:line="360" w:lineRule="auto"/>
        <w:ind w:firstLine="420" w:firstLineChars="200"/>
        <w:rPr>
          <w:rFonts w:ascii="宋体" w:hAnsi="宋体" w:cs="宋体"/>
          <w:b/>
          <w:bCs/>
          <w:color w:val="auto"/>
          <w:szCs w:val="21"/>
        </w:rPr>
      </w:pPr>
      <w:r>
        <w:rPr>
          <w:rFonts w:hint="eastAsia" w:ascii="宋体" w:hAnsi="宋体" w:cs="宋体"/>
          <w:color w:val="auto"/>
          <w:kern w:val="0"/>
          <w:szCs w:val="21"/>
        </w:rPr>
        <w:t>4、</w:t>
      </w:r>
      <w:r>
        <w:rPr>
          <w:rFonts w:hint="eastAsia" w:ascii="宋体" w:hAnsi="宋体" w:cs="宋体"/>
          <w:b/>
          <w:bCs/>
          <w:color w:val="auto"/>
          <w:szCs w:val="21"/>
        </w:rPr>
        <w:t>本次招标投标保证金</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本次招标收取投标保证金</w:t>
      </w:r>
    </w:p>
    <w:p>
      <w:pPr>
        <w:spacing w:line="360" w:lineRule="auto"/>
        <w:ind w:firstLine="420" w:firstLineChars="200"/>
        <w:rPr>
          <w:rFonts w:hint="eastAsia" w:ascii="宋体" w:hAnsi="宋体" w:cs="宋体"/>
          <w:b/>
          <w:color w:val="auto"/>
          <w:szCs w:val="21"/>
          <w:u w:val="single"/>
        </w:rPr>
      </w:pPr>
      <w:r>
        <w:rPr>
          <w:rFonts w:hint="eastAsia" w:ascii="宋体" w:hAnsi="宋体" w:cs="宋体"/>
          <w:color w:val="auto"/>
          <w:szCs w:val="21"/>
        </w:rPr>
        <w:t>投标保证金金额为：</w:t>
      </w:r>
      <w:r>
        <w:rPr>
          <w:rFonts w:hint="eastAsia" w:ascii="宋体" w:hAnsi="宋体" w:cs="宋体"/>
          <w:b/>
          <w:color w:val="auto"/>
          <w:szCs w:val="21"/>
          <w:u w:val="single"/>
        </w:rPr>
        <w:t>人民币</w:t>
      </w:r>
      <w:r>
        <w:rPr>
          <w:rFonts w:hint="eastAsia" w:ascii="宋体" w:hAnsi="宋体" w:cs="宋体"/>
          <w:b/>
          <w:color w:val="auto"/>
          <w:szCs w:val="21"/>
          <w:u w:val="single"/>
          <w:lang w:val="en-US" w:eastAsia="zh-CN"/>
        </w:rPr>
        <w:t>叁万</w:t>
      </w:r>
      <w:r>
        <w:rPr>
          <w:rFonts w:hint="eastAsia" w:ascii="宋体" w:hAnsi="宋体" w:cs="宋体"/>
          <w:b/>
          <w:color w:val="auto"/>
          <w:szCs w:val="21"/>
          <w:u w:val="single"/>
        </w:rPr>
        <w:t>元整</w:t>
      </w:r>
    </w:p>
    <w:p>
      <w:pPr>
        <w:spacing w:line="360" w:lineRule="auto"/>
        <w:ind w:firstLine="420" w:firstLineChars="200"/>
        <w:rPr>
          <w:rFonts w:hint="eastAsia" w:ascii="宋体" w:hAnsi="宋体" w:cs="Arial"/>
          <w:color w:val="auto"/>
          <w:szCs w:val="21"/>
        </w:rPr>
      </w:pPr>
      <w:bookmarkStart w:id="19" w:name="_Toc28359095"/>
      <w:bookmarkStart w:id="20" w:name="_Toc28359018"/>
      <w:bookmarkStart w:id="21" w:name="_Toc35393636"/>
      <w:bookmarkStart w:id="22" w:name="_Toc35393805"/>
      <w:r>
        <w:rPr>
          <w:rFonts w:hint="eastAsia" w:ascii="宋体" w:hAnsi="宋体" w:cs="Arial"/>
          <w:color w:val="auto"/>
          <w:szCs w:val="21"/>
        </w:rPr>
        <w:t>投标保证金缴纳账户信息：</w:t>
      </w:r>
    </w:p>
    <w:p>
      <w:pPr>
        <w:widowControl/>
        <w:spacing w:line="360" w:lineRule="auto"/>
        <w:ind w:firstLine="420" w:firstLineChars="200"/>
        <w:rPr>
          <w:rFonts w:hint="eastAsia" w:ascii="宋体" w:hAnsi="宋体" w:cs="宋体"/>
          <w:kern w:val="0"/>
          <w:highlight w:val="none"/>
        </w:rPr>
      </w:pPr>
      <w:r>
        <w:rPr>
          <w:rFonts w:hint="eastAsia" w:ascii="宋体" w:hAnsi="宋体" w:cs="宋体"/>
          <w:color w:val="auto"/>
          <w:kern w:val="0"/>
          <w:szCs w:val="21"/>
        </w:rPr>
        <w:t>户名：</w:t>
      </w:r>
      <w:r>
        <w:rPr>
          <w:rFonts w:hint="eastAsia" w:ascii="宋体" w:hAnsi="宋体" w:cs="宋体"/>
          <w:kern w:val="0"/>
          <w:highlight w:val="none"/>
        </w:rPr>
        <w:t>扬州筑苑工程招标咨询有限公司</w:t>
      </w:r>
    </w:p>
    <w:p>
      <w:pPr>
        <w:widowControl/>
        <w:spacing w:line="360" w:lineRule="auto"/>
        <w:ind w:firstLine="420" w:firstLineChars="200"/>
        <w:rPr>
          <w:rFonts w:hint="eastAsia" w:ascii="宋体" w:hAnsi="宋体" w:cs="宋体"/>
          <w:kern w:val="0"/>
          <w:highlight w:val="none"/>
        </w:rPr>
      </w:pPr>
      <w:r>
        <w:rPr>
          <w:rFonts w:hint="eastAsia" w:ascii="宋体" w:hAnsi="宋体" w:cs="宋体"/>
          <w:color w:val="auto"/>
          <w:kern w:val="0"/>
          <w:szCs w:val="21"/>
        </w:rPr>
        <w:t>开户银行：</w:t>
      </w:r>
      <w:r>
        <w:rPr>
          <w:rFonts w:hint="eastAsia" w:ascii="宋体" w:hAnsi="宋体" w:cs="宋体"/>
          <w:kern w:val="0"/>
          <w:highlight w:val="none"/>
        </w:rPr>
        <w:t>江苏银行广陵支行</w:t>
      </w:r>
    </w:p>
    <w:p>
      <w:pPr>
        <w:snapToGrid w:val="0"/>
        <w:ind w:firstLine="420" w:firstLineChars="200"/>
        <w:rPr>
          <w:rFonts w:hint="eastAsia"/>
        </w:rPr>
      </w:pPr>
      <w:r>
        <w:rPr>
          <w:rFonts w:hint="eastAsia" w:ascii="宋体" w:hAnsi="宋体" w:cs="宋体"/>
          <w:kern w:val="0"/>
          <w:highlight w:val="none"/>
        </w:rPr>
        <w:t>银行账号：</w:t>
      </w:r>
      <w:r>
        <w:rPr>
          <w:rFonts w:ascii="宋体" w:hAnsi="宋体" w:cs="宋体"/>
          <w:kern w:val="0"/>
          <w:highlight w:val="none"/>
        </w:rPr>
        <w:t>90060188000070311</w:t>
      </w:r>
    </w:p>
    <w:p>
      <w:pPr>
        <w:widowControl/>
        <w:spacing w:line="360" w:lineRule="auto"/>
        <w:ind w:firstLine="420" w:firstLineChars="200"/>
        <w:rPr>
          <w:color w:val="auto"/>
        </w:rPr>
      </w:pPr>
      <w:r>
        <w:rPr>
          <w:rFonts w:hint="eastAsia" w:ascii="宋体" w:hAnsi="宋体"/>
          <w:color w:val="auto"/>
          <w:kern w:val="0"/>
          <w:szCs w:val="21"/>
        </w:rPr>
        <w:t>请备注：投标保证金、项目名称</w:t>
      </w:r>
    </w:p>
    <w:p>
      <w:pPr>
        <w:spacing w:line="360" w:lineRule="auto"/>
        <w:ind w:firstLine="420" w:firstLineChars="200"/>
        <w:rPr>
          <w:rFonts w:hint="eastAsia" w:ascii="宋体" w:hAnsi="宋体" w:cs="Arial"/>
          <w:color w:val="auto"/>
          <w:szCs w:val="21"/>
        </w:rPr>
      </w:pPr>
      <w:r>
        <w:rPr>
          <w:rFonts w:hint="eastAsia" w:ascii="宋体" w:hAnsi="宋体" w:cs="宋体"/>
          <w:color w:val="auto"/>
          <w:szCs w:val="21"/>
        </w:rPr>
        <w:t>投标保证金必须在响应文件接收截止时间之前(</w:t>
      </w:r>
      <w:r>
        <w:rPr>
          <w:rFonts w:hint="eastAsia" w:ascii="宋体" w:hAnsi="宋体" w:cs="宋体"/>
          <w:color w:val="auto"/>
          <w:szCs w:val="21"/>
          <w:lang w:eastAsia="zh-CN"/>
        </w:rPr>
        <w:t>2021年</w:t>
      </w:r>
      <w:r>
        <w:rPr>
          <w:rFonts w:hint="eastAsia" w:ascii="宋体" w:hAnsi="宋体" w:cs="宋体"/>
          <w:color w:val="auto"/>
          <w:szCs w:val="21"/>
          <w:lang w:val="en-US" w:eastAsia="zh-CN"/>
        </w:rPr>
        <w:t>8</w:t>
      </w:r>
      <w:r>
        <w:rPr>
          <w:rFonts w:hint="eastAsia" w:ascii="宋体" w:hAnsi="宋体" w:cs="宋体"/>
          <w:color w:val="auto"/>
          <w:szCs w:val="21"/>
          <w:lang w:eastAsia="zh-CN"/>
        </w:rPr>
        <w:t>月</w:t>
      </w:r>
      <w:r>
        <w:rPr>
          <w:rFonts w:hint="eastAsia" w:ascii="宋体" w:hAnsi="宋体" w:cs="宋体"/>
          <w:color w:val="auto"/>
          <w:szCs w:val="21"/>
          <w:lang w:val="en-US" w:eastAsia="zh-CN"/>
        </w:rPr>
        <w:t>4</w:t>
      </w:r>
      <w:r>
        <w:rPr>
          <w:rFonts w:hint="eastAsia" w:ascii="宋体" w:hAnsi="宋体" w:cs="宋体"/>
          <w:color w:val="auto"/>
          <w:szCs w:val="21"/>
        </w:rPr>
        <w:t>日15:</w:t>
      </w:r>
      <w:r>
        <w:rPr>
          <w:rFonts w:hint="eastAsia" w:ascii="宋体" w:hAnsi="宋体" w:cs="宋体"/>
          <w:color w:val="auto"/>
          <w:szCs w:val="21"/>
          <w:lang w:val="en-US" w:eastAsia="zh-CN"/>
        </w:rPr>
        <w:t>3</w:t>
      </w:r>
      <w:r>
        <w:rPr>
          <w:rFonts w:hint="eastAsia" w:ascii="宋体" w:hAnsi="宋体" w:cs="宋体"/>
          <w:color w:val="auto"/>
          <w:szCs w:val="21"/>
        </w:rPr>
        <w:t>0)以银行汇票、本票的形式送达</w:t>
      </w:r>
      <w:r>
        <w:rPr>
          <w:rFonts w:hint="eastAsia" w:ascii="宋体" w:hAnsi="宋体" w:cs="宋体"/>
          <w:color w:val="auto"/>
          <w:szCs w:val="21"/>
          <w:lang w:eastAsia="zh-CN"/>
        </w:rPr>
        <w:t>扬州筑苑工程招标咨询有限公司</w:t>
      </w:r>
      <w:r>
        <w:rPr>
          <w:rFonts w:hint="eastAsia" w:ascii="宋体" w:hAnsi="宋体" w:cs="宋体"/>
          <w:color w:val="auto"/>
          <w:szCs w:val="21"/>
        </w:rPr>
        <w:t>。（注：以其他形式或个人名义缴纳的保证金无效。请各供应商务必确认保证金在上述规定时间送达我单位，并备注项目编号，否则磋商响应文件将被拒绝。）</w:t>
      </w:r>
    </w:p>
    <w:p>
      <w:pPr>
        <w:pStyle w:val="4"/>
        <w:spacing w:before="0" w:after="0" w:line="360" w:lineRule="auto"/>
        <w:jc w:val="both"/>
        <w:rPr>
          <w:rFonts w:ascii="宋体" w:hAnsi="宋体" w:cs="宋体"/>
          <w:color w:val="auto"/>
          <w:sz w:val="21"/>
          <w:szCs w:val="21"/>
        </w:rPr>
      </w:pPr>
      <w:r>
        <w:rPr>
          <w:rFonts w:hint="eastAsia" w:ascii="宋体" w:hAnsi="宋体" w:cs="宋体"/>
          <w:color w:val="auto"/>
          <w:sz w:val="21"/>
          <w:szCs w:val="21"/>
        </w:rPr>
        <w:t>七、凡对本次采购提出询问，请按以下方式联系。</w:t>
      </w:r>
      <w:bookmarkEnd w:id="19"/>
      <w:bookmarkEnd w:id="20"/>
      <w:bookmarkEnd w:id="21"/>
      <w:bookmarkEnd w:id="22"/>
    </w:p>
    <w:p>
      <w:pPr>
        <w:pStyle w:val="4"/>
        <w:spacing w:before="0" w:after="0" w:line="440" w:lineRule="exact"/>
        <w:ind w:firstLine="420" w:firstLineChars="200"/>
        <w:jc w:val="both"/>
        <w:rPr>
          <w:rFonts w:ascii="宋体" w:hAnsi="宋体" w:cs="宋体"/>
          <w:b w:val="0"/>
          <w:color w:val="auto"/>
          <w:sz w:val="21"/>
          <w:szCs w:val="21"/>
        </w:rPr>
      </w:pPr>
      <w:bookmarkStart w:id="23" w:name="_Toc28359019"/>
      <w:bookmarkStart w:id="24" w:name="_Toc35393806"/>
      <w:bookmarkStart w:id="25" w:name="_Toc35393637"/>
      <w:bookmarkStart w:id="26" w:name="_Toc28359096"/>
      <w:r>
        <w:rPr>
          <w:rFonts w:hint="eastAsia" w:ascii="宋体" w:hAnsi="宋体" w:cs="宋体"/>
          <w:b w:val="0"/>
          <w:color w:val="auto"/>
          <w:sz w:val="21"/>
          <w:szCs w:val="21"/>
        </w:rPr>
        <w:t>1、采购人信息</w:t>
      </w:r>
      <w:bookmarkEnd w:id="23"/>
      <w:bookmarkEnd w:id="24"/>
      <w:bookmarkEnd w:id="25"/>
      <w:bookmarkEnd w:id="26"/>
    </w:p>
    <w:p>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名    称：江苏长江水务股份有限公司</w:t>
      </w:r>
      <w:bookmarkStart w:id="27" w:name="_Toc28359020"/>
      <w:bookmarkStart w:id="28" w:name="_Toc35393638"/>
      <w:bookmarkStart w:id="29" w:name="_Toc35393807"/>
      <w:bookmarkStart w:id="30" w:name="_Toc28359097"/>
      <w:r>
        <w:rPr>
          <w:rFonts w:hint="eastAsia" w:ascii="宋体" w:hAnsi="宋体" w:cs="宋体"/>
          <w:color w:val="auto"/>
          <w:szCs w:val="21"/>
        </w:rPr>
        <w:t xml:space="preserve">  </w:t>
      </w:r>
    </w:p>
    <w:p>
      <w:pPr>
        <w:spacing w:line="440" w:lineRule="exact"/>
        <w:ind w:firstLine="420" w:firstLineChars="200"/>
        <w:rPr>
          <w:rFonts w:hint="eastAsia" w:ascii="宋体" w:hAnsi="宋体"/>
          <w:color w:val="auto"/>
          <w:szCs w:val="21"/>
        </w:rPr>
      </w:pPr>
      <w:r>
        <w:rPr>
          <w:rFonts w:hint="eastAsia" w:ascii="宋体" w:hAnsi="宋体"/>
          <w:color w:val="auto"/>
          <w:szCs w:val="21"/>
        </w:rPr>
        <w:t>地址：扬州文汇东路249号</w:t>
      </w:r>
    </w:p>
    <w:p>
      <w:pPr>
        <w:spacing w:line="440" w:lineRule="exact"/>
        <w:ind w:firstLine="420" w:firstLineChars="200"/>
        <w:rPr>
          <w:rFonts w:ascii="宋体" w:hAnsi="宋体" w:cs="宋体"/>
          <w:b/>
          <w:color w:val="auto"/>
          <w:szCs w:val="21"/>
        </w:rPr>
      </w:pPr>
      <w:r>
        <w:rPr>
          <w:rFonts w:hint="eastAsia" w:ascii="宋体" w:hAnsi="宋体" w:cs="宋体"/>
          <w:color w:val="auto"/>
          <w:szCs w:val="21"/>
        </w:rPr>
        <w:t>2、采购代理机构信息</w:t>
      </w:r>
      <w:bookmarkEnd w:id="27"/>
      <w:bookmarkEnd w:id="28"/>
      <w:bookmarkEnd w:id="29"/>
      <w:bookmarkEnd w:id="30"/>
    </w:p>
    <w:p>
      <w:pPr>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名    称：扬州筑苑工程招标咨询有限公司</w:t>
      </w:r>
    </w:p>
    <w:p>
      <w:pPr>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地　　址：扬州市</w:t>
      </w:r>
      <w:r>
        <w:rPr>
          <w:rFonts w:hint="eastAsia" w:ascii="宋体" w:hAnsi="宋体" w:cs="宋体"/>
          <w:color w:val="auto"/>
          <w:szCs w:val="21"/>
          <w:lang w:eastAsia="zh-CN"/>
        </w:rPr>
        <w:t>瘦西湖路</w:t>
      </w:r>
      <w:r>
        <w:rPr>
          <w:rFonts w:hint="eastAsia" w:ascii="宋体" w:hAnsi="宋体" w:cs="宋体"/>
          <w:color w:val="auto"/>
          <w:szCs w:val="21"/>
          <w:lang w:val="en-US" w:eastAsia="zh-CN"/>
        </w:rPr>
        <w:t>65号</w:t>
      </w:r>
      <w:r>
        <w:rPr>
          <w:rFonts w:hint="eastAsia" w:ascii="宋体" w:hAnsi="宋体" w:cs="宋体"/>
          <w:color w:val="auto"/>
          <w:szCs w:val="21"/>
        </w:rPr>
        <w:t xml:space="preserve">  </w:t>
      </w:r>
    </w:p>
    <w:p>
      <w:pPr>
        <w:widowControl/>
        <w:spacing w:line="301" w:lineRule="atLeast"/>
        <w:ind w:firstLine="420" w:firstLineChars="200"/>
        <w:rPr>
          <w:rFonts w:ascii="宋体" w:hAnsi="宋体" w:cs="宋体"/>
          <w:color w:val="auto"/>
          <w:szCs w:val="21"/>
        </w:rPr>
      </w:pPr>
      <w:r>
        <w:rPr>
          <w:rFonts w:hint="eastAsia" w:ascii="宋体" w:hAnsi="宋体" w:cs="宋体"/>
          <w:color w:val="auto"/>
          <w:szCs w:val="21"/>
        </w:rPr>
        <w:t>联系电</w:t>
      </w:r>
      <w:r>
        <w:rPr>
          <w:rFonts w:hint="eastAsia" w:ascii="宋体" w:hAnsi="宋体" w:cs="宋体"/>
          <w:color w:val="auto"/>
          <w:szCs w:val="21"/>
          <w:lang w:eastAsia="zh-CN"/>
        </w:rPr>
        <w:t>话：0514-87116778</w:t>
      </w:r>
    </w:p>
    <w:p>
      <w:pPr>
        <w:pStyle w:val="4"/>
        <w:spacing w:before="0" w:after="0" w:line="440" w:lineRule="exact"/>
        <w:ind w:firstLine="420" w:firstLineChars="200"/>
        <w:jc w:val="both"/>
        <w:rPr>
          <w:rFonts w:ascii="宋体" w:hAnsi="宋体" w:cs="宋体"/>
          <w:b w:val="0"/>
          <w:color w:val="auto"/>
          <w:sz w:val="21"/>
          <w:szCs w:val="21"/>
        </w:rPr>
      </w:pPr>
      <w:bookmarkStart w:id="31" w:name="_Toc35393639"/>
      <w:bookmarkStart w:id="32" w:name="_Toc35393808"/>
      <w:bookmarkStart w:id="33" w:name="_Toc28359021"/>
      <w:bookmarkStart w:id="34" w:name="_Toc28359098"/>
      <w:r>
        <w:rPr>
          <w:rFonts w:hint="eastAsia" w:ascii="宋体" w:hAnsi="宋体" w:cs="宋体"/>
          <w:b w:val="0"/>
          <w:color w:val="auto"/>
          <w:sz w:val="21"/>
          <w:szCs w:val="21"/>
        </w:rPr>
        <w:t>3、项目联系方式</w:t>
      </w:r>
      <w:bookmarkEnd w:id="31"/>
      <w:bookmarkEnd w:id="32"/>
      <w:bookmarkEnd w:id="33"/>
      <w:bookmarkEnd w:id="34"/>
    </w:p>
    <w:p>
      <w:pPr>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项目联系人：薛梦宇</w:t>
      </w:r>
    </w:p>
    <w:p>
      <w:pPr>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eastAsia="zh-CN"/>
        </w:rPr>
        <w:t>0514-87116778</w:t>
      </w:r>
    </w:p>
    <w:p>
      <w:pPr>
        <w:widowControl/>
        <w:shd w:val="clear" w:color="auto" w:fill="FFFFFF"/>
        <w:spacing w:line="360" w:lineRule="auto"/>
        <w:ind w:firstLine="422" w:firstLineChars="200"/>
        <w:jc w:val="left"/>
        <w:rPr>
          <w:rFonts w:ascii="宋体" w:hAnsi="宋体" w:cs="宋体"/>
          <w:b/>
          <w:bCs/>
          <w:color w:val="auto"/>
          <w:szCs w:val="21"/>
        </w:rPr>
      </w:pPr>
      <w:r>
        <w:rPr>
          <w:rFonts w:hint="eastAsia" w:ascii="宋体" w:hAnsi="宋体" w:cs="宋体"/>
          <w:b/>
          <w:bCs/>
          <w:color w:val="auto"/>
          <w:szCs w:val="21"/>
        </w:rPr>
        <w:t>八、疫情防控期间，供应商注意事项：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授权代表须无条件服从采购代理机构的疫情防控措施，入场前进行实名登记、接受体温测量、自行戴好口罩、做好手部卫生消毒和投标文件等消毒防护，主动向采购代理机构说明近一周的个人身体情况、发热病人接触史以及近14天内的旅行史特别是较重疫区的旅行史。</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2、各供应商须明确项目授权代表，且出席活动的人数限1人。进场后的供应商应在指定开标室等候并参加开标活动，自觉配合场内秩序管理，不得擅自至非相关场所活动。</w:t>
      </w:r>
    </w:p>
    <w:p>
      <w:pPr>
        <w:spacing w:line="360" w:lineRule="auto"/>
        <w:ind w:firstLine="422" w:firstLineChars="200"/>
        <w:rPr>
          <w:rFonts w:ascii="宋体" w:hAnsi="宋体"/>
          <w:color w:val="auto"/>
          <w:szCs w:val="21"/>
        </w:rPr>
      </w:pPr>
      <w:r>
        <w:rPr>
          <w:rFonts w:hint="eastAsia" w:ascii="宋体" w:hAnsi="宋体" w:cs="宋体"/>
          <w:b/>
          <w:bCs/>
          <w:color w:val="auto"/>
          <w:szCs w:val="21"/>
        </w:rPr>
        <w:t>3、除上述情况以外，供应商需进行其他活动的，一律采用电话预约的方式与采购代理机构工作人员联系。</w:t>
      </w:r>
    </w:p>
    <w:p>
      <w:pPr>
        <w:pStyle w:val="59"/>
        <w:rPr>
          <w:rFonts w:ascii="宋体" w:hAnsi="宋体"/>
          <w:color w:val="auto"/>
          <w:szCs w:val="21"/>
        </w:rPr>
      </w:pPr>
    </w:p>
    <w:p>
      <w:pPr>
        <w:widowControl/>
        <w:spacing w:line="301" w:lineRule="atLeast"/>
        <w:ind w:firstLine="420" w:firstLineChars="200"/>
        <w:jc w:val="right"/>
        <w:rPr>
          <w:rFonts w:ascii="宋体" w:hAnsi="宋体" w:cs="宋体"/>
          <w:color w:val="auto"/>
          <w:szCs w:val="21"/>
        </w:rPr>
      </w:pPr>
      <w:r>
        <w:rPr>
          <w:rFonts w:hint="eastAsia" w:ascii="宋体" w:hAnsi="宋体" w:cs="宋体"/>
          <w:color w:val="auto"/>
          <w:szCs w:val="21"/>
        </w:rPr>
        <w:t>扬州筑苑工程招标咨询有限公司</w:t>
      </w:r>
    </w:p>
    <w:p>
      <w:pPr>
        <w:widowControl/>
        <w:spacing w:line="301" w:lineRule="atLeast"/>
        <w:ind w:firstLine="420" w:firstLineChars="200"/>
        <w:jc w:val="right"/>
        <w:rPr>
          <w:rFonts w:ascii="宋体" w:hAnsi="宋体" w:cs="宋体"/>
          <w:color w:val="auto"/>
          <w:szCs w:val="21"/>
        </w:rPr>
      </w:pPr>
      <w:r>
        <w:rPr>
          <w:rFonts w:hint="eastAsia" w:ascii="宋体" w:hAnsi="宋体" w:cs="宋体"/>
          <w:color w:val="auto"/>
          <w:szCs w:val="21"/>
          <w:lang w:eastAsia="zh-CN"/>
        </w:rPr>
        <w:t>2021年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15</w:t>
      </w:r>
      <w:r>
        <w:rPr>
          <w:rFonts w:hint="eastAsia" w:ascii="宋体" w:hAnsi="宋体" w:cs="宋体"/>
          <w:color w:val="auto"/>
          <w:szCs w:val="21"/>
        </w:rPr>
        <w:t>日</w:t>
      </w:r>
    </w:p>
    <w:p>
      <w:pPr>
        <w:pStyle w:val="39"/>
        <w:ind w:firstLine="0" w:firstLineChars="0"/>
        <w:rPr>
          <w:highlight w:val="none"/>
        </w:rPr>
      </w:pPr>
    </w:p>
    <w:p>
      <w:pPr>
        <w:pStyle w:val="39"/>
        <w:ind w:firstLine="0" w:firstLineChars="0"/>
        <w:rPr>
          <w:highlight w:val="none"/>
        </w:rPr>
      </w:pPr>
    </w:p>
    <w:p>
      <w:pPr>
        <w:pStyle w:val="39"/>
        <w:ind w:firstLine="0" w:firstLineChars="0"/>
        <w:rPr>
          <w:highlight w:val="none"/>
        </w:rPr>
      </w:pPr>
    </w:p>
    <w:p>
      <w:pPr>
        <w:pStyle w:val="39"/>
        <w:ind w:firstLine="0" w:firstLineChars="0"/>
        <w:rPr>
          <w:highlight w:val="none"/>
        </w:rPr>
      </w:pPr>
    </w:p>
    <w:p>
      <w:pPr>
        <w:pStyle w:val="39"/>
        <w:ind w:firstLine="0" w:firstLineChars="0"/>
        <w:rPr>
          <w:highlight w:val="none"/>
        </w:rPr>
      </w:pPr>
    </w:p>
    <w:p>
      <w:pPr>
        <w:pStyle w:val="39"/>
        <w:ind w:firstLine="0" w:firstLineChars="0"/>
        <w:rPr>
          <w:highlight w:val="none"/>
        </w:rPr>
      </w:pPr>
    </w:p>
    <w:p>
      <w:pPr>
        <w:pStyle w:val="39"/>
        <w:ind w:firstLine="0" w:firstLineChars="0"/>
        <w:rPr>
          <w:highlight w:val="none"/>
        </w:rPr>
      </w:pPr>
    </w:p>
    <w:p>
      <w:pPr>
        <w:pStyle w:val="39"/>
        <w:ind w:firstLine="0" w:firstLineChars="0"/>
        <w:rPr>
          <w:highlight w:val="none"/>
        </w:rPr>
      </w:pPr>
    </w:p>
    <w:p>
      <w:pPr>
        <w:pStyle w:val="3"/>
        <w:snapToGrid w:val="0"/>
        <w:spacing w:before="0" w:after="0" w:line="360" w:lineRule="auto"/>
        <w:rPr>
          <w:kern w:val="0"/>
          <w:highlight w:val="none"/>
        </w:rPr>
      </w:pPr>
      <w:bookmarkStart w:id="35" w:name="_Toc40699918"/>
      <w:r>
        <w:rPr>
          <w:rFonts w:hint="eastAsia"/>
          <w:kern w:val="0"/>
          <w:highlight w:val="none"/>
        </w:rPr>
        <w:t>第二章</w:t>
      </w:r>
      <w:r>
        <w:rPr>
          <w:kern w:val="0"/>
          <w:highlight w:val="none"/>
        </w:rPr>
        <w:t xml:space="preserve"> </w:t>
      </w:r>
      <w:r>
        <w:rPr>
          <w:rFonts w:hint="eastAsia"/>
          <w:kern w:val="0"/>
          <w:highlight w:val="none"/>
        </w:rPr>
        <w:t>投标人须知</w:t>
      </w:r>
      <w:bookmarkEnd w:id="2"/>
      <w:bookmarkEnd w:id="3"/>
      <w:bookmarkEnd w:id="4"/>
      <w:bookmarkEnd w:id="35"/>
    </w:p>
    <w:p>
      <w:pPr>
        <w:pStyle w:val="4"/>
        <w:snapToGrid w:val="0"/>
        <w:spacing w:before="0" w:after="0" w:line="360" w:lineRule="auto"/>
        <w:rPr>
          <w:rFonts w:ascii="宋体" w:hAnsi="宋体"/>
          <w:highlight w:val="none"/>
        </w:rPr>
      </w:pPr>
      <w:bookmarkStart w:id="36" w:name="_Toc40699919"/>
      <w:bookmarkStart w:id="37" w:name="_Toc3287"/>
      <w:bookmarkStart w:id="38" w:name="_Toc9542"/>
      <w:bookmarkStart w:id="39" w:name="_Toc6245"/>
      <w:r>
        <w:rPr>
          <w:rFonts w:hint="eastAsia" w:ascii="宋体" w:hAnsi="宋体"/>
          <w:highlight w:val="none"/>
        </w:rPr>
        <w:t>投标人须知前附表</w:t>
      </w:r>
      <w:bookmarkEnd w:id="36"/>
      <w:bookmarkEnd w:id="37"/>
      <w:bookmarkEnd w:id="38"/>
      <w:bookmarkEnd w:id="39"/>
    </w:p>
    <w:tbl>
      <w:tblPr>
        <w:tblStyle w:val="33"/>
        <w:tblpPr w:leftFromText="180" w:rightFromText="180" w:vertAnchor="text" w:horzAnchor="page" w:tblpX="1768" w:tblpY="519"/>
        <w:tblOverlap w:val="never"/>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highlight w:val="none"/>
              </w:rPr>
            </w:pPr>
            <w:r>
              <w:rPr>
                <w:rFonts w:hint="eastAsia" w:ascii="宋体" w:hAnsi="宋体" w:cs="宋体"/>
                <w:b/>
                <w:kern w:val="0"/>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highlight w:val="none"/>
              </w:rPr>
            </w:pPr>
            <w:r>
              <w:rPr>
                <w:rFonts w:hint="eastAsia" w:ascii="宋体" w:hAnsi="宋体" w:cs="宋体"/>
                <w:b/>
                <w:kern w:val="0"/>
                <w:highlight w:val="none"/>
              </w:rPr>
              <w:t>条款名称</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highlight w:val="none"/>
              </w:rPr>
            </w:pPr>
            <w:r>
              <w:rPr>
                <w:rFonts w:hint="eastAsia" w:ascii="宋体" w:hAnsi="宋体" w:cs="宋体"/>
                <w:b/>
                <w:kern w:val="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宋体" w:hAnsi="宋体" w:eastAsia="宋体" w:cs="宋体"/>
                <w:kern w:val="0"/>
                <w:highlight w:val="none"/>
                <w:lang w:eastAsia="zh-CN"/>
              </w:rPr>
            </w:pPr>
            <w:r>
              <w:rPr>
                <w:rFonts w:ascii="宋体" w:hAnsi="宋体" w:cs="宋体"/>
                <w:kern w:val="0"/>
                <w:highlight w:val="none"/>
              </w:rPr>
              <w:t>1.1.</w:t>
            </w:r>
            <w:r>
              <w:rPr>
                <w:rFonts w:hint="eastAsia" w:ascii="宋体" w:hAnsi="宋体" w:cs="宋体"/>
                <w:kern w:val="0"/>
                <w:highlight w:val="none"/>
                <w:lang w:val="en-US" w:eastAsia="zh-CN"/>
              </w:rPr>
              <w:t>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招标人</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名称：</w:t>
            </w:r>
            <w:r>
              <w:rPr>
                <w:rFonts w:hint="eastAsia" w:ascii="宋体" w:hAnsi="宋体"/>
                <w:bCs/>
                <w:kern w:val="0"/>
                <w:szCs w:val="21"/>
                <w:highlight w:val="none"/>
              </w:rPr>
              <w:t>江苏长江水务股份有限公司</w:t>
            </w:r>
            <w:r>
              <w:rPr>
                <w:rFonts w:ascii="宋体" w:hAnsi="宋体" w:cs="宋体"/>
                <w:kern w:val="0"/>
                <w:highlight w:val="none"/>
              </w:rPr>
              <w:t xml:space="preserve"> </w:t>
            </w:r>
          </w:p>
          <w:p>
            <w:pPr>
              <w:snapToGrid w:val="0"/>
              <w:ind w:firstLine="0" w:firstLineChars="0"/>
              <w:rPr>
                <w:rFonts w:ascii="宋体" w:hAnsi="宋体" w:cs="宋体"/>
                <w:kern w:val="0"/>
                <w:highlight w:val="none"/>
              </w:rPr>
            </w:pPr>
            <w:r>
              <w:rPr>
                <w:rFonts w:hint="eastAsia" w:ascii="宋体" w:hAnsi="宋体" w:cs="宋体"/>
                <w:kern w:val="0"/>
                <w:highlight w:val="none"/>
              </w:rPr>
              <w:t>地址：</w:t>
            </w:r>
            <w:r>
              <w:rPr>
                <w:rFonts w:hint="eastAsia" w:ascii="宋体" w:hAnsi="宋体"/>
                <w:color w:val="000000"/>
                <w:szCs w:val="21"/>
                <w:lang w:val="en-US" w:eastAsia="zh-CN"/>
              </w:rPr>
              <w:t>扬州市文汇东路249号</w:t>
            </w:r>
            <w:r>
              <w:rPr>
                <w:rFonts w:ascii="宋体" w:hAnsi="宋体" w:cs="宋体"/>
                <w:kern w:val="0"/>
                <w:highlight w:val="none"/>
              </w:rPr>
              <w:t xml:space="preserve">  </w:t>
            </w:r>
          </w:p>
          <w:p>
            <w:pPr>
              <w:snapToGrid w:val="0"/>
              <w:ind w:firstLine="0" w:firstLineChars="0"/>
              <w:rPr>
                <w:rFonts w:ascii="宋体" w:hAnsi="宋体" w:cs="宋体"/>
                <w:kern w:val="0"/>
                <w:highlight w:val="none"/>
              </w:rPr>
            </w:pPr>
            <w:r>
              <w:rPr>
                <w:rFonts w:hint="eastAsia" w:ascii="宋体" w:hAnsi="宋体" w:cs="宋体"/>
                <w:kern w:val="0"/>
                <w:highlight w:val="none"/>
              </w:rPr>
              <w:t>联系人：</w:t>
            </w:r>
            <w:r>
              <w:rPr>
                <w:rFonts w:hint="eastAsia" w:ascii="宋体" w:hAnsi="宋体" w:cs="宋体"/>
                <w:kern w:val="0"/>
                <w:highlight w:val="none"/>
                <w:lang w:val="en-US" w:eastAsia="zh-CN"/>
              </w:rPr>
              <w:t>邵煜明</w:t>
            </w:r>
            <w:r>
              <w:rPr>
                <w:rFonts w:ascii="宋体" w:hAnsi="宋体" w:cs="宋体"/>
                <w:kern w:val="0"/>
                <w:highlight w:val="none"/>
              </w:rPr>
              <w:t xml:space="preserve"> </w:t>
            </w:r>
          </w:p>
          <w:p>
            <w:pPr>
              <w:spacing w:line="360" w:lineRule="auto"/>
              <w:ind w:left="0" w:leftChars="0" w:firstLine="0" w:firstLineChars="0"/>
              <w:rPr>
                <w:rFonts w:ascii="宋体" w:hAnsi="宋体" w:cs="宋体"/>
                <w:kern w:val="0"/>
                <w:highlight w:val="none"/>
              </w:rPr>
            </w:pPr>
            <w:r>
              <w:rPr>
                <w:rFonts w:hint="eastAsia" w:ascii="宋体" w:hAnsi="宋体" w:cs="宋体"/>
                <w:kern w:val="0"/>
                <w:highlight w:val="none"/>
              </w:rPr>
              <w:t>电话：</w:t>
            </w:r>
            <w:r>
              <w:rPr>
                <w:rFonts w:ascii="宋体" w:hAnsi="宋体"/>
                <w:color w:val="000000"/>
                <w:szCs w:val="21"/>
              </w:rPr>
              <w:t>0514-8</w:t>
            </w:r>
            <w:r>
              <w:rPr>
                <w:rFonts w:hint="eastAsia" w:ascii="宋体" w:hAnsi="宋体"/>
                <w:color w:val="000000"/>
                <w:szCs w:val="21"/>
              </w:rPr>
              <w:t>2980069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宋体" w:hAnsi="宋体" w:eastAsia="宋体" w:cs="宋体"/>
                <w:kern w:val="0"/>
                <w:highlight w:val="none"/>
                <w:lang w:eastAsia="zh-CN"/>
              </w:rPr>
            </w:pPr>
            <w:r>
              <w:rPr>
                <w:rFonts w:ascii="宋体" w:hAnsi="宋体" w:cs="宋体"/>
                <w:kern w:val="0"/>
                <w:highlight w:val="none"/>
              </w:rPr>
              <w:t>1.1.</w:t>
            </w:r>
            <w:r>
              <w:rPr>
                <w:rFonts w:hint="eastAsia" w:ascii="宋体" w:hAnsi="宋体" w:cs="宋体"/>
                <w:kern w:val="0"/>
                <w:highlight w:val="none"/>
                <w:lang w:val="en-US" w:eastAsia="zh-CN"/>
              </w:rPr>
              <w:t>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招标代理机构</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名称：扬州筑苑工程招标咨询有限公司</w:t>
            </w:r>
          </w:p>
          <w:p>
            <w:pPr>
              <w:snapToGrid w:val="0"/>
              <w:ind w:firstLine="0" w:firstLineChars="0"/>
              <w:rPr>
                <w:rFonts w:ascii="宋体" w:hAnsi="宋体" w:cs="宋体"/>
                <w:kern w:val="0"/>
                <w:highlight w:val="none"/>
              </w:rPr>
            </w:pPr>
            <w:r>
              <w:rPr>
                <w:rFonts w:hint="eastAsia" w:ascii="宋体" w:hAnsi="宋体" w:cs="宋体"/>
                <w:kern w:val="0"/>
                <w:highlight w:val="none"/>
              </w:rPr>
              <w:t>地址：</w:t>
            </w:r>
            <w:r>
              <w:rPr>
                <w:rFonts w:hint="eastAsia" w:ascii="宋体" w:hAnsi="宋体" w:cs="宋体"/>
                <w:bCs/>
                <w:kern w:val="0"/>
                <w:szCs w:val="21"/>
                <w:highlight w:val="none"/>
              </w:rPr>
              <w:t>扬州市邗江区瘦西湖路</w:t>
            </w:r>
            <w:r>
              <w:rPr>
                <w:rFonts w:ascii="宋体" w:hAnsi="宋体" w:cs="宋体"/>
                <w:bCs/>
                <w:kern w:val="0"/>
                <w:szCs w:val="21"/>
                <w:highlight w:val="none"/>
              </w:rPr>
              <w:t>65号</w:t>
            </w:r>
            <w:r>
              <w:rPr>
                <w:rFonts w:ascii="宋体" w:hAnsi="宋体" w:cs="宋体"/>
                <w:kern w:val="0"/>
                <w:highlight w:val="none"/>
              </w:rPr>
              <w:t xml:space="preserve"> </w:t>
            </w:r>
          </w:p>
          <w:p>
            <w:pPr>
              <w:snapToGrid w:val="0"/>
              <w:ind w:firstLine="0" w:firstLineChars="0"/>
              <w:rPr>
                <w:rFonts w:ascii="宋体" w:hAnsi="宋体" w:cs="宋体"/>
                <w:kern w:val="0"/>
                <w:highlight w:val="none"/>
              </w:rPr>
            </w:pPr>
            <w:r>
              <w:rPr>
                <w:rFonts w:hint="eastAsia" w:ascii="宋体" w:hAnsi="宋体" w:cs="宋体"/>
                <w:kern w:val="0"/>
                <w:highlight w:val="none"/>
              </w:rPr>
              <w:t>联系人：薛梦宇</w:t>
            </w:r>
          </w:p>
          <w:p>
            <w:pPr>
              <w:snapToGrid w:val="0"/>
              <w:ind w:firstLine="0" w:firstLineChars="0"/>
              <w:rPr>
                <w:rFonts w:ascii="宋体" w:hAnsi="宋体" w:cs="宋体"/>
                <w:kern w:val="0"/>
                <w:highlight w:val="none"/>
              </w:rPr>
            </w:pPr>
            <w:r>
              <w:rPr>
                <w:rFonts w:hint="eastAsia" w:ascii="宋体" w:hAnsi="宋体" w:cs="宋体"/>
                <w:kern w:val="0"/>
                <w:highlight w:val="none"/>
              </w:rPr>
              <w:t>电话：</w:t>
            </w:r>
            <w:r>
              <w:rPr>
                <w:rFonts w:ascii="宋体" w:hAnsi="宋体" w:cs="宋体"/>
                <w:kern w:val="0"/>
                <w:highlight w:val="none"/>
              </w:rPr>
              <w:t>0514-87116778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宋体" w:hAnsi="宋体" w:eastAsia="宋体" w:cs="宋体"/>
                <w:kern w:val="0"/>
                <w:highlight w:val="none"/>
                <w:lang w:eastAsia="zh-CN"/>
              </w:rPr>
            </w:pPr>
            <w:r>
              <w:rPr>
                <w:rFonts w:ascii="宋体" w:hAnsi="宋体" w:cs="宋体"/>
                <w:kern w:val="0"/>
                <w:highlight w:val="none"/>
              </w:rPr>
              <w:t>1.1.</w:t>
            </w:r>
            <w:r>
              <w:rPr>
                <w:rFonts w:hint="eastAsia" w:ascii="宋体" w:hAnsi="宋体" w:cs="宋体"/>
                <w:kern w:val="0"/>
                <w:highlight w:val="none"/>
                <w:lang w:val="en-US" w:eastAsia="zh-CN"/>
              </w:rPr>
              <w:t>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招标项目名称</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bCs/>
                <w:kern w:val="0"/>
                <w:szCs w:val="21"/>
                <w:highlight w:val="none"/>
              </w:rPr>
              <w:t>江苏长江水务股份有限公司</w:t>
            </w:r>
            <w:r>
              <w:rPr>
                <w:rFonts w:ascii="宋体" w:hAnsi="宋体"/>
                <w:bCs/>
                <w:kern w:val="0"/>
                <w:szCs w:val="21"/>
                <w:highlight w:val="none"/>
              </w:rPr>
              <w:t>2021年电气技改项目（西湖增压站、瓜州原水厂）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宋体" w:hAnsi="宋体" w:eastAsia="宋体" w:cs="宋体"/>
                <w:kern w:val="0"/>
                <w:highlight w:val="none"/>
                <w:lang w:eastAsia="zh-CN"/>
              </w:rPr>
            </w:pPr>
            <w:r>
              <w:rPr>
                <w:rFonts w:ascii="宋体" w:hAnsi="宋体" w:cs="宋体"/>
                <w:kern w:val="0"/>
                <w:highlight w:val="none"/>
              </w:rPr>
              <w:t>1.1.</w:t>
            </w:r>
            <w:r>
              <w:rPr>
                <w:rFonts w:hint="eastAsia" w:ascii="宋体" w:hAnsi="宋体" w:cs="宋体"/>
                <w:kern w:val="0"/>
                <w:highlight w:val="none"/>
                <w:lang w:val="en-US" w:eastAsia="zh-CN"/>
              </w:rPr>
              <w:t>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工程项目名称</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cs="宋体"/>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1.2.1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资金来源及比例</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1.2.2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资金落实情况</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1.3.1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招标范围</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kern w:val="0"/>
                <w:szCs w:val="21"/>
                <w:highlight w:val="none"/>
              </w:rPr>
              <w:t>更换西湖增压站</w:t>
            </w:r>
            <w:r>
              <w:rPr>
                <w:rFonts w:ascii="宋体" w:hAnsi="宋体"/>
                <w:kern w:val="0"/>
                <w:szCs w:val="21"/>
                <w:highlight w:val="none"/>
              </w:rPr>
              <w:t>10KV共9台高压配电柜、0.4KV共9台低压配电柜；更换瓜州原水厂取水泵房2台低压配电柜、变电所6台</w:t>
            </w:r>
            <w:r>
              <w:rPr>
                <w:rFonts w:ascii="宋体" w:hAnsi="宋体"/>
                <w:kern w:val="0"/>
                <w:sz w:val="21"/>
                <w:szCs w:val="21"/>
                <w:highlight w:val="none"/>
              </w:rPr>
              <w:t>低压配电柜（</w:t>
            </w:r>
            <w:r>
              <w:rPr>
                <w:rFonts w:hint="eastAsia" w:ascii="宋体" w:hAnsi="宋体"/>
                <w:kern w:val="0"/>
                <w:sz w:val="21"/>
                <w:szCs w:val="21"/>
                <w:highlight w:val="none"/>
                <w:lang w:val="en-US" w:eastAsia="zh-CN"/>
              </w:rPr>
              <w:t>其中变电所更换后配</w:t>
            </w:r>
            <w:r>
              <w:rPr>
                <w:rFonts w:ascii="宋体" w:hAnsi="宋体"/>
                <w:kern w:val="0"/>
                <w:sz w:val="21"/>
                <w:szCs w:val="21"/>
                <w:highlight w:val="none"/>
              </w:rPr>
              <w:t>5台</w:t>
            </w:r>
            <w:r>
              <w:rPr>
                <w:rFonts w:hint="eastAsia" w:ascii="宋体" w:hAnsi="宋体"/>
                <w:kern w:val="0"/>
                <w:sz w:val="21"/>
                <w:szCs w:val="21"/>
                <w:highlight w:val="none"/>
                <w:lang w:val="en-US" w:eastAsia="zh-CN"/>
              </w:rPr>
              <w:t>低压配电柜</w:t>
            </w:r>
            <w:r>
              <w:rPr>
                <w:rFonts w:ascii="宋体" w:hAnsi="宋体"/>
                <w:kern w:val="0"/>
                <w:sz w:val="21"/>
                <w:szCs w:val="21"/>
                <w:highlight w:val="none"/>
              </w:rPr>
              <w:t>）。</w:t>
            </w:r>
            <w:r>
              <w:rPr>
                <w:rFonts w:ascii="宋体" w:hAnsi="宋体" w:cs="宋体"/>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1.3.2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bCs/>
                <w:kern w:val="0"/>
                <w:szCs w:val="21"/>
                <w:highlight w:val="none"/>
              </w:rPr>
            </w:pPr>
            <w:r>
              <w:rPr>
                <w:rFonts w:hint="eastAsia" w:ascii="宋体" w:hAnsi="宋体"/>
                <w:bCs/>
                <w:kern w:val="0"/>
                <w:szCs w:val="21"/>
                <w:highlight w:val="none"/>
              </w:rPr>
              <w:t>交货期和质保期</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bCs/>
                <w:kern w:val="0"/>
                <w:szCs w:val="21"/>
                <w:highlight w:val="none"/>
              </w:rPr>
            </w:pPr>
            <w:r>
              <w:rPr>
                <w:rFonts w:hint="eastAsia" w:ascii="宋体" w:hAnsi="宋体"/>
                <w:bCs/>
                <w:kern w:val="0"/>
                <w:szCs w:val="21"/>
                <w:highlight w:val="none"/>
              </w:rPr>
              <w:t>交货期为中标签订合同后的</w:t>
            </w:r>
            <w:r>
              <w:rPr>
                <w:rFonts w:ascii="宋体" w:hAnsi="宋体"/>
                <w:bCs/>
                <w:kern w:val="0"/>
                <w:szCs w:val="21"/>
                <w:highlight w:val="none"/>
              </w:rPr>
              <w:t>45天之内；质保期为18个月。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1.3.3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bCs/>
                <w:kern w:val="0"/>
                <w:szCs w:val="21"/>
                <w:highlight w:val="none"/>
              </w:rPr>
            </w:pPr>
            <w:r>
              <w:rPr>
                <w:rFonts w:hint="eastAsia" w:ascii="宋体" w:hAnsi="宋体"/>
                <w:bCs/>
                <w:kern w:val="0"/>
                <w:szCs w:val="21"/>
                <w:highlight w:val="none"/>
              </w:rPr>
              <w:t>交货地点</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bCs/>
                <w:kern w:val="0"/>
                <w:szCs w:val="21"/>
                <w:highlight w:val="none"/>
              </w:rPr>
            </w:pPr>
            <w:r>
              <w:rPr>
                <w:rFonts w:hint="eastAsia" w:ascii="宋体" w:hAnsi="宋体"/>
                <w:bCs/>
                <w:kern w:val="0"/>
                <w:szCs w:val="21"/>
                <w:highlight w:val="none"/>
              </w:rPr>
              <w:t>招标方指定的地点。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1.3.4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技术性能指标</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详见第五章</w:t>
            </w:r>
            <w:r>
              <w:rPr>
                <w:rFonts w:ascii="宋体" w:hAnsi="宋体" w:cs="宋体"/>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1.4.1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投标人资质条件、能力、信誉</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本项目的投标人资格要求，并提供下列材料：</w:t>
            </w:r>
          </w:p>
          <w:p>
            <w:pPr>
              <w:numPr>
                <w:ilvl w:val="0"/>
                <w:numId w:val="4"/>
              </w:numPr>
              <w:snapToGrid w:val="0"/>
              <w:ind w:firstLine="0" w:firstLineChars="0"/>
              <w:rPr>
                <w:rFonts w:ascii="宋体" w:hAnsi="宋体" w:cs="宋体"/>
                <w:kern w:val="0"/>
                <w:highlight w:val="none"/>
              </w:rPr>
            </w:pPr>
            <w:r>
              <w:rPr>
                <w:rFonts w:hint="eastAsia" w:ascii="宋体" w:hAnsi="宋体" w:cs="宋体"/>
                <w:kern w:val="0"/>
                <w:highlight w:val="none"/>
              </w:rPr>
              <w:t>投标函（原件）</w:t>
            </w:r>
          </w:p>
          <w:p>
            <w:pPr>
              <w:snapToGrid w:val="0"/>
              <w:ind w:firstLine="0" w:firstLineChars="0"/>
              <w:rPr>
                <w:rFonts w:ascii="宋体" w:hAnsi="宋体" w:cs="宋体"/>
                <w:kern w:val="0"/>
                <w:highlight w:val="none"/>
              </w:rPr>
            </w:pPr>
            <w:r>
              <w:rPr>
                <w:rFonts w:ascii="宋体" w:hAnsi="宋体" w:cs="宋体"/>
                <w:kern w:val="0"/>
                <w:highlight w:val="none"/>
              </w:rPr>
              <w:t xml:space="preserve">2、若法定代表人参加磋商的，须提供本人身份证复印件(原件备查)；若授权代表参加的，须提供《法人授权书》原件和授权代表身份证复印件（原件备查） </w:t>
            </w:r>
          </w:p>
          <w:p>
            <w:pPr>
              <w:snapToGrid w:val="0"/>
              <w:ind w:firstLine="0" w:firstLineChars="0"/>
              <w:rPr>
                <w:rFonts w:ascii="宋体" w:hAnsi="宋体" w:cs="宋体"/>
                <w:kern w:val="0"/>
                <w:highlight w:val="none"/>
              </w:rPr>
            </w:pPr>
            <w:r>
              <w:rPr>
                <w:rFonts w:ascii="宋体" w:hAnsi="宋体" w:cs="宋体"/>
                <w:kern w:val="0"/>
                <w:highlight w:val="none"/>
              </w:rPr>
              <w:t xml:space="preserve">3、 </w:t>
            </w:r>
            <w:r>
              <w:rPr>
                <w:rFonts w:hint="eastAsia" w:ascii="宋体" w:hAnsi="宋体" w:cs="宋体"/>
                <w:kern w:val="0"/>
                <w:highlight w:val="none"/>
              </w:rPr>
              <w:t>投标人必须是中华人民共和国境内注册的企业法人</w:t>
            </w:r>
            <w:r>
              <w:rPr>
                <w:rFonts w:ascii="宋体" w:hAnsi="宋体" w:cs="宋体"/>
                <w:kern w:val="0"/>
                <w:highlight w:val="none"/>
              </w:rPr>
              <w:t>,具有独立法人资格。提供营业执照副本。（复印件加盖投标人公章）</w:t>
            </w:r>
          </w:p>
          <w:p>
            <w:pPr>
              <w:snapToGrid w:val="0"/>
              <w:ind w:firstLine="0" w:firstLineChars="0"/>
              <w:rPr>
                <w:rFonts w:ascii="宋体" w:hAnsi="宋体" w:cs="宋体"/>
                <w:kern w:val="0"/>
                <w:highlight w:val="none"/>
              </w:rPr>
            </w:pPr>
            <w:r>
              <w:rPr>
                <w:rFonts w:ascii="宋体" w:hAnsi="宋体" w:cs="宋体"/>
                <w:kern w:val="0"/>
                <w:highlight w:val="none"/>
              </w:rPr>
              <w:t>4、投标单位必须是高低压成套设备制造商，具有国家权威部门高压柜的型式试验报告同时必须是扬州广源实业投资有限公司（供电部门）2021年度承接工程-10kV及以下开关柜入围单位。（提供高压柜的型式试验报告复印件加盖投标人公章、入围单位名单复印件）</w:t>
            </w:r>
          </w:p>
          <w:p>
            <w:pPr>
              <w:snapToGrid w:val="0"/>
              <w:ind w:firstLine="0" w:firstLineChars="0"/>
              <w:rPr>
                <w:rFonts w:ascii="宋体" w:hAnsi="宋体" w:cs="宋体"/>
                <w:kern w:val="0"/>
                <w:highlight w:val="none"/>
              </w:rPr>
            </w:pPr>
            <w:r>
              <w:rPr>
                <w:rFonts w:ascii="宋体" w:hAnsi="宋体" w:cs="宋体"/>
                <w:kern w:val="0"/>
                <w:highlight w:val="none"/>
              </w:rPr>
              <w:t>5、投标单位近三年内（2018年1月1日至今）（以合同签订时间为准）应具备同类货物供货业绩,单份合同总价金额≥100万元人民币。（提供合同复印件，原件备查）</w:t>
            </w:r>
          </w:p>
          <w:p>
            <w:pPr>
              <w:snapToGrid w:val="0"/>
              <w:ind w:firstLine="0" w:firstLineChars="0"/>
              <w:rPr>
                <w:rFonts w:ascii="宋体" w:hAnsi="宋体" w:cs="宋体"/>
                <w:kern w:val="0"/>
                <w:highlight w:val="none"/>
              </w:rPr>
            </w:pPr>
            <w:r>
              <w:rPr>
                <w:rFonts w:ascii="宋体" w:hAnsi="宋体" w:cs="宋体"/>
                <w:kern w:val="0"/>
                <w:highlight w:val="none"/>
              </w:rPr>
              <w:t>6、如国家有相关强制性规定的，投标人须满足所有相关强制性规定。（提供国家强制性产品认证试验报告）</w:t>
            </w:r>
          </w:p>
          <w:p>
            <w:pPr>
              <w:snapToGrid w:val="0"/>
              <w:ind w:firstLine="0" w:firstLineChars="0"/>
              <w:rPr>
                <w:rFonts w:ascii="宋体" w:hAnsi="宋体" w:cs="宋体"/>
                <w:kern w:val="0"/>
                <w:highlight w:val="none"/>
              </w:rPr>
            </w:pPr>
            <w:r>
              <w:rPr>
                <w:rFonts w:ascii="宋体" w:hAnsi="宋体" w:cs="宋体"/>
                <w:kern w:val="0"/>
                <w:highlight w:val="none"/>
              </w:rPr>
              <w:t>7、投标人企业财务和经营状况良好，具备履行合同能力，近三年内无不良经营行为（提供承诺书，格式自拟）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1.4.2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是否接受联合体投标</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1.4.3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投标人不得存在的其他情形</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cs="宋体"/>
                <w:kern w:val="0"/>
                <w:highlight w:val="none"/>
              </w:rPr>
              <w:t>1.有违反法律、法规行为，依法被取消投标资格且期限未满的；</w:t>
            </w:r>
          </w:p>
          <w:p>
            <w:pPr>
              <w:snapToGrid w:val="0"/>
              <w:ind w:firstLine="0" w:firstLineChars="0"/>
              <w:rPr>
                <w:rFonts w:ascii="宋体" w:hAnsi="宋体" w:cs="宋体"/>
                <w:kern w:val="0"/>
                <w:highlight w:val="none"/>
              </w:rPr>
            </w:pPr>
            <w:r>
              <w:rPr>
                <w:rFonts w:ascii="宋体" w:hAnsi="宋体" w:cs="宋体"/>
                <w:kern w:val="0"/>
                <w:highlight w:val="none"/>
              </w:rPr>
              <w:t>2.招投标活动中有违法违规和不良行为，被有关招投标行政监督部门公示且期限未满的；</w:t>
            </w:r>
          </w:p>
          <w:p>
            <w:pPr>
              <w:snapToGrid w:val="0"/>
              <w:ind w:firstLine="0" w:firstLineChars="0"/>
              <w:rPr>
                <w:rFonts w:ascii="宋体" w:hAnsi="宋体" w:cs="宋体"/>
                <w:kern w:val="0"/>
                <w:highlight w:val="none"/>
              </w:rPr>
            </w:pPr>
            <w:r>
              <w:rPr>
                <w:rFonts w:ascii="宋体" w:hAnsi="宋体" w:cs="宋体"/>
                <w:kern w:val="0"/>
                <w:highlight w:val="none"/>
              </w:rPr>
              <w:t>3.2019年1月1日以来存在出让或者出租资格、资质证书供他人投标的，使用通过受让或者租借等方式获取的资格、资质证书投标的行为的。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1.9.1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szCs w:val="21"/>
                <w:highlight w:val="none"/>
              </w:rPr>
              <w:t>集中考察或召开答疑会</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cs="宋体"/>
                <w:kern w:val="0"/>
                <w:highlight w:val="none"/>
              </w:rPr>
              <w:sym w:font="Wingdings 2" w:char="00A3"/>
            </w:r>
            <w:r>
              <w:rPr>
                <w:rFonts w:hint="eastAsia" w:ascii="宋体" w:hAnsi="宋体" w:cs="宋体"/>
                <w:kern w:val="0"/>
                <w:highlight w:val="none"/>
              </w:rPr>
              <w:t>无</w:t>
            </w:r>
          </w:p>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有，勘察集合时间为：</w:t>
            </w:r>
            <w:r>
              <w:rPr>
                <w:rFonts w:ascii="宋体" w:hAnsi="宋体" w:cs="宋体"/>
                <w:kern w:val="0"/>
                <w:highlight w:val="none"/>
              </w:rPr>
              <w:t>2021年</w:t>
            </w:r>
            <w:r>
              <w:rPr>
                <w:rFonts w:hint="eastAsia" w:ascii="宋体" w:hAnsi="宋体" w:cs="宋体"/>
                <w:kern w:val="0"/>
                <w:highlight w:val="none"/>
                <w:lang w:val="en-US" w:eastAsia="zh-CN"/>
              </w:rPr>
              <w:t>7</w:t>
            </w:r>
            <w:r>
              <w:rPr>
                <w:rFonts w:hint="eastAsia" w:ascii="宋体" w:hAnsi="宋体" w:cs="宋体"/>
                <w:kern w:val="0"/>
                <w:highlight w:val="none"/>
              </w:rPr>
              <w:t>月</w:t>
            </w:r>
            <w:r>
              <w:rPr>
                <w:rFonts w:hint="eastAsia" w:ascii="宋体" w:hAnsi="宋体" w:cs="宋体"/>
                <w:kern w:val="0"/>
                <w:highlight w:val="none"/>
                <w:lang w:val="en-US" w:eastAsia="zh-CN"/>
              </w:rPr>
              <w:t>23</w:t>
            </w:r>
            <w:r>
              <w:rPr>
                <w:rFonts w:hint="eastAsia" w:ascii="宋体" w:hAnsi="宋体" w:cs="宋体"/>
                <w:kern w:val="0"/>
                <w:highlight w:val="none"/>
              </w:rPr>
              <w:t>日下午</w:t>
            </w:r>
            <w:r>
              <w:rPr>
                <w:rFonts w:ascii="宋体" w:hAnsi="宋体" w:cs="宋体"/>
                <w:kern w:val="0"/>
                <w:highlight w:val="none"/>
              </w:rPr>
              <w:t>14:40-15：00，过时不候</w:t>
            </w:r>
          </w:p>
          <w:p>
            <w:pPr>
              <w:snapToGrid w:val="0"/>
              <w:ind w:firstLine="0" w:firstLineChars="0"/>
              <w:rPr>
                <w:rFonts w:ascii="宋体" w:hAnsi="宋体" w:cs="宋体"/>
                <w:kern w:val="0"/>
                <w:highlight w:val="none"/>
              </w:rPr>
            </w:pPr>
            <w:r>
              <w:rPr>
                <w:rFonts w:hint="eastAsia" w:ascii="宋体" w:hAnsi="宋体" w:cs="宋体"/>
                <w:kern w:val="0"/>
                <w:highlight w:val="none"/>
              </w:rPr>
              <w:t>集中勘察时间为：</w:t>
            </w:r>
            <w:r>
              <w:rPr>
                <w:rFonts w:ascii="宋体" w:hAnsi="宋体" w:cs="宋体"/>
                <w:kern w:val="0"/>
                <w:highlight w:val="none"/>
              </w:rPr>
              <w:t>2021年</w:t>
            </w:r>
            <w:r>
              <w:rPr>
                <w:rFonts w:hint="eastAsia" w:ascii="宋体" w:hAnsi="宋体" w:cs="宋体"/>
                <w:kern w:val="0"/>
                <w:highlight w:val="none"/>
                <w:lang w:val="en-US" w:eastAsia="zh-CN"/>
              </w:rPr>
              <w:t>7</w:t>
            </w:r>
            <w:r>
              <w:rPr>
                <w:rFonts w:hint="eastAsia" w:ascii="宋体" w:hAnsi="宋体" w:cs="宋体"/>
                <w:kern w:val="0"/>
                <w:highlight w:val="none"/>
              </w:rPr>
              <w:t>月</w:t>
            </w:r>
            <w:r>
              <w:rPr>
                <w:rFonts w:hint="eastAsia" w:ascii="宋体" w:hAnsi="宋体" w:cs="宋体"/>
                <w:kern w:val="0"/>
                <w:highlight w:val="none"/>
                <w:lang w:val="en-US" w:eastAsia="zh-CN"/>
              </w:rPr>
              <w:t>23</w:t>
            </w:r>
            <w:r>
              <w:rPr>
                <w:rFonts w:hint="eastAsia" w:ascii="宋体" w:hAnsi="宋体" w:cs="宋体"/>
                <w:kern w:val="0"/>
                <w:highlight w:val="none"/>
              </w:rPr>
              <w:t>日下午</w:t>
            </w:r>
            <w:r>
              <w:rPr>
                <w:rFonts w:ascii="宋体" w:hAnsi="宋体" w:cs="宋体"/>
                <w:kern w:val="0"/>
                <w:highlight w:val="none"/>
              </w:rPr>
              <w:t>15:00</w:t>
            </w:r>
          </w:p>
          <w:p>
            <w:pPr>
              <w:snapToGrid w:val="0"/>
              <w:ind w:firstLine="0" w:firstLineChars="0"/>
              <w:rPr>
                <w:rFonts w:ascii="宋体" w:hAnsi="宋体" w:cs="宋体"/>
                <w:kern w:val="0"/>
                <w:highlight w:val="none"/>
              </w:rPr>
            </w:pPr>
            <w:r>
              <w:rPr>
                <w:rFonts w:hint="eastAsia" w:ascii="宋体" w:hAnsi="宋体" w:cs="宋体"/>
                <w:kern w:val="0"/>
                <w:highlight w:val="none"/>
              </w:rPr>
              <w:t>勘察集合地点：</w:t>
            </w:r>
            <w:r>
              <w:rPr>
                <w:rFonts w:hint="eastAsia" w:ascii="宋体" w:hAnsi="宋体"/>
                <w:bCs/>
                <w:kern w:val="0"/>
                <w:szCs w:val="21"/>
                <w:highlight w:val="none"/>
              </w:rPr>
              <w:t>江苏长江水务股份有限公司</w:t>
            </w:r>
            <w:r>
              <w:rPr>
                <w:rFonts w:ascii="宋体" w:hAnsi="宋体" w:cs="宋体"/>
                <w:kern w:val="0"/>
                <w:highlight w:val="none"/>
              </w:rPr>
              <w:t xml:space="preserve"> </w:t>
            </w:r>
          </w:p>
          <w:p>
            <w:pPr>
              <w:snapToGrid w:val="0"/>
              <w:ind w:firstLine="0" w:firstLineChars="0"/>
              <w:rPr>
                <w:rFonts w:ascii="宋体" w:hAnsi="宋体" w:cs="宋体"/>
                <w:kern w:val="0"/>
                <w:highlight w:val="none"/>
              </w:rPr>
            </w:pPr>
            <w:r>
              <w:rPr>
                <w:rFonts w:hint="eastAsia" w:ascii="宋体" w:hAnsi="宋体" w:cs="宋体"/>
                <w:kern w:val="0"/>
                <w:highlight w:val="none"/>
              </w:rPr>
              <w:t>现场勘察联系人：</w:t>
            </w:r>
            <w:r>
              <w:rPr>
                <w:rFonts w:hint="eastAsia" w:ascii="宋体" w:hAnsi="宋体" w:cs="宋体"/>
                <w:kern w:val="0"/>
                <w:highlight w:val="none"/>
                <w:lang w:val="en-US" w:eastAsia="zh-CN"/>
              </w:rPr>
              <w:t>邵煜明</w:t>
            </w:r>
            <w:r>
              <w:rPr>
                <w:rFonts w:ascii="宋体" w:hAnsi="宋体"/>
                <w:color w:val="000000"/>
                <w:szCs w:val="21"/>
              </w:rPr>
              <w:t>0514-8</w:t>
            </w:r>
            <w:r>
              <w:rPr>
                <w:rFonts w:hint="eastAsia" w:ascii="宋体" w:hAnsi="宋体"/>
                <w:color w:val="000000"/>
                <w:szCs w:val="21"/>
              </w:rPr>
              <w:t>2980069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1.9.2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投标人在投标预备会前提出问题</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时间：</w:t>
            </w:r>
            <w:r>
              <w:rPr>
                <w:rFonts w:ascii="宋体" w:hAnsi="宋体" w:cs="宋体"/>
                <w:kern w:val="0"/>
                <w:highlight w:val="none"/>
              </w:rPr>
              <w:t>/</w:t>
            </w:r>
          </w:p>
          <w:p>
            <w:pPr>
              <w:snapToGrid w:val="0"/>
              <w:ind w:firstLine="0" w:firstLineChars="0"/>
              <w:rPr>
                <w:rFonts w:ascii="宋体" w:hAnsi="宋体" w:cs="宋体"/>
                <w:kern w:val="0"/>
                <w:highlight w:val="none"/>
              </w:rPr>
            </w:pPr>
            <w:r>
              <w:rPr>
                <w:rFonts w:hint="eastAsia" w:ascii="宋体" w:hAnsi="宋体" w:cs="宋体"/>
                <w:kern w:val="0"/>
                <w:highlight w:val="none"/>
              </w:rPr>
              <w:t>形式：</w:t>
            </w:r>
            <w:r>
              <w:rPr>
                <w:rFonts w:ascii="宋体" w:hAnsi="宋体" w:cs="宋体"/>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1.9.3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招标文件澄清发出的形式</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通过</w:t>
            </w:r>
            <w:r>
              <w:rPr>
                <w:rFonts w:hint="eastAsia" w:ascii="宋体" w:hAnsi="宋体"/>
                <w:kern w:val="0"/>
                <w:szCs w:val="21"/>
                <w:highlight w:val="none"/>
              </w:rPr>
              <w:t>“江苏省招标投标公共服务平台”、“扬州市公共资源交易服务平台”</w:t>
            </w:r>
            <w:r>
              <w:rPr>
                <w:rFonts w:hint="eastAsia" w:ascii="宋体" w:hAnsi="宋体"/>
                <w:kern w:val="0"/>
                <w:szCs w:val="21"/>
                <w:highlight w:val="none"/>
                <w:lang w:eastAsia="zh-CN"/>
              </w:rPr>
              <w:t>、</w:t>
            </w:r>
            <w:r>
              <w:rPr>
                <w:rFonts w:hint="eastAsia" w:ascii="宋体" w:hAnsi="宋体"/>
                <w:kern w:val="0"/>
                <w:szCs w:val="21"/>
                <w:highlight w:val="none"/>
              </w:rPr>
              <w:t>“扬州市城建国有资产控股（集团）有限责任公司网站”</w:t>
            </w:r>
            <w:r>
              <w:rPr>
                <w:rFonts w:hint="eastAsia" w:ascii="宋体" w:hAnsi="宋体"/>
                <w:kern w:val="0"/>
                <w:szCs w:val="21"/>
                <w:highlight w:val="none"/>
                <w:lang w:val="en-US" w:eastAsia="zh-CN"/>
              </w:rPr>
              <w:t>和“江苏长江水务股份有限公司网站”</w:t>
            </w:r>
            <w:r>
              <w:rPr>
                <w:rFonts w:hint="eastAsia" w:ascii="宋体" w:hAnsi="宋体" w:cs="宋体"/>
                <w:kern w:val="0"/>
                <w:highlight w:val="none"/>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1.10.1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分包</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不允许</w:t>
            </w:r>
          </w:p>
          <w:p>
            <w:pPr>
              <w:snapToGrid w:val="0"/>
              <w:ind w:firstLine="0" w:firstLineChars="0"/>
              <w:rPr>
                <w:rFonts w:ascii="宋体" w:hAnsi="宋体" w:cs="宋体"/>
                <w:kern w:val="0"/>
                <w:highlight w:val="none"/>
              </w:rPr>
            </w:pPr>
            <w:r>
              <w:rPr>
                <w:rFonts w:hint="eastAsia" w:ascii="宋体" w:hAnsi="宋体" w:cs="宋体"/>
                <w:kern w:val="0"/>
                <w:highlight w:val="none"/>
              </w:rPr>
              <w:t>□允许，分包要求：部分工作内容，在征得招标人同意后可以进行合法分包。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1.11.1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实质性要求和条件</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招标文件中标识“★”的条款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1.11.3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其他可以被接受的技术支持资料</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1.11.4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偏差</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不允许</w:t>
            </w:r>
          </w:p>
          <w:p>
            <w:pPr>
              <w:snapToGrid w:val="0"/>
              <w:ind w:firstLine="0" w:firstLineChars="0"/>
              <w:rPr>
                <w:rFonts w:ascii="宋体" w:hAnsi="宋体" w:cs="宋体"/>
                <w:kern w:val="0"/>
                <w:highlight w:val="none"/>
              </w:rPr>
            </w:pPr>
            <w:r>
              <w:rPr>
                <w:rFonts w:hint="eastAsia" w:ascii="宋体" w:hAnsi="宋体" w:cs="宋体"/>
                <w:kern w:val="0"/>
                <w:highlight w:val="none"/>
              </w:rPr>
              <w:t>□允许，偏差范围：无限制</w:t>
            </w:r>
          </w:p>
          <w:p>
            <w:pPr>
              <w:snapToGrid w:val="0"/>
              <w:ind w:firstLine="0" w:firstLineChars="0"/>
              <w:rPr>
                <w:rFonts w:ascii="宋体" w:hAnsi="宋体" w:cs="宋体"/>
                <w:kern w:val="0"/>
                <w:highlight w:val="none"/>
              </w:rPr>
            </w:pPr>
            <w:r>
              <w:rPr>
                <w:rFonts w:hint="eastAsia" w:ascii="宋体" w:hAnsi="宋体" w:cs="宋体"/>
                <w:kern w:val="0"/>
                <w:highlight w:val="none"/>
              </w:rPr>
              <w:t>最高项数：无限制</w:t>
            </w:r>
          </w:p>
          <w:p>
            <w:pPr>
              <w:snapToGrid w:val="0"/>
              <w:ind w:firstLine="0" w:firstLineChars="0"/>
              <w:rPr>
                <w:rFonts w:ascii="宋体" w:hAnsi="宋体" w:cs="宋体"/>
                <w:kern w:val="0"/>
                <w:highlight w:val="none"/>
              </w:rPr>
            </w:pPr>
            <w:r>
              <w:rPr>
                <w:rFonts w:hint="eastAsia" w:ascii="宋体" w:hAnsi="宋体" w:cs="宋体"/>
                <w:b/>
                <w:bCs/>
                <w:kern w:val="0"/>
                <w:highlight w:val="none"/>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2.1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构成招标文件的其他资料</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2.2.1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投标人要求澄清招标文件</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时间：投标截止时间前</w:t>
            </w:r>
            <w:r>
              <w:rPr>
                <w:rFonts w:ascii="宋体" w:hAnsi="宋体" w:cs="宋体"/>
                <w:kern w:val="0"/>
                <w:highlight w:val="none"/>
              </w:rPr>
              <w:t>15日</w:t>
            </w:r>
          </w:p>
          <w:p>
            <w:pPr>
              <w:snapToGrid w:val="0"/>
              <w:ind w:firstLine="0" w:firstLineChars="0"/>
              <w:rPr>
                <w:rFonts w:ascii="宋体" w:hAnsi="宋体" w:cs="宋体"/>
                <w:kern w:val="0"/>
                <w:highlight w:val="none"/>
              </w:rPr>
            </w:pPr>
            <w:r>
              <w:rPr>
                <w:rFonts w:hint="eastAsia" w:ascii="宋体" w:hAnsi="宋体" w:cs="宋体"/>
                <w:kern w:val="0"/>
                <w:highlight w:val="none"/>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2.2.2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招标文件澄清发出的形式</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通过</w:t>
            </w:r>
            <w:r>
              <w:rPr>
                <w:rFonts w:hint="eastAsia" w:ascii="宋体" w:hAnsi="宋体"/>
                <w:kern w:val="0"/>
                <w:szCs w:val="21"/>
                <w:highlight w:val="none"/>
              </w:rPr>
              <w:t>“江苏省招标投标公共服务平台”、“扬州市公共资源交易服务平台”</w:t>
            </w:r>
            <w:r>
              <w:rPr>
                <w:rFonts w:hint="eastAsia" w:ascii="宋体" w:hAnsi="宋体"/>
                <w:kern w:val="0"/>
                <w:szCs w:val="21"/>
                <w:highlight w:val="none"/>
                <w:lang w:eastAsia="zh-CN"/>
              </w:rPr>
              <w:t>、</w:t>
            </w:r>
            <w:r>
              <w:rPr>
                <w:rFonts w:hint="eastAsia" w:ascii="宋体" w:hAnsi="宋体"/>
                <w:kern w:val="0"/>
                <w:szCs w:val="21"/>
                <w:highlight w:val="none"/>
              </w:rPr>
              <w:t>“扬州市城建国有资产控股（集团）有限责任公司网站”</w:t>
            </w:r>
            <w:r>
              <w:rPr>
                <w:rFonts w:hint="eastAsia" w:ascii="宋体" w:hAnsi="宋体"/>
                <w:kern w:val="0"/>
                <w:szCs w:val="21"/>
                <w:highlight w:val="none"/>
                <w:lang w:val="en-US" w:eastAsia="zh-CN"/>
              </w:rPr>
              <w:t>和“江苏长江水务股份有限公司网站”</w:t>
            </w:r>
            <w:r>
              <w:rPr>
                <w:rFonts w:hint="eastAsia" w:ascii="宋体" w:hAnsi="宋体" w:cs="宋体"/>
                <w:kern w:val="0"/>
                <w:highlight w:val="none"/>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2.2.3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投标人确认收到招标文件澄清</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时间：收到后</w:t>
            </w:r>
            <w:r>
              <w:rPr>
                <w:rFonts w:ascii="宋体" w:hAnsi="宋体" w:cs="宋体"/>
                <w:kern w:val="0"/>
                <w:highlight w:val="none"/>
              </w:rPr>
              <w:t>1日</w:t>
            </w:r>
          </w:p>
          <w:p>
            <w:pPr>
              <w:snapToGrid w:val="0"/>
              <w:ind w:firstLine="0" w:firstLineChars="0"/>
              <w:rPr>
                <w:rFonts w:ascii="宋体" w:hAnsi="宋体" w:cs="宋体"/>
                <w:kern w:val="0"/>
                <w:highlight w:val="none"/>
              </w:rPr>
            </w:pPr>
            <w:r>
              <w:rPr>
                <w:rFonts w:hint="eastAsia" w:ascii="宋体" w:hAnsi="宋体" w:cs="宋体"/>
                <w:kern w:val="0"/>
                <w:highlight w:val="none"/>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2.3.1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招标文件修改发出的形式</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通过</w:t>
            </w:r>
            <w:r>
              <w:rPr>
                <w:rFonts w:hint="eastAsia" w:ascii="宋体" w:hAnsi="宋体"/>
                <w:kern w:val="0"/>
                <w:szCs w:val="21"/>
                <w:highlight w:val="none"/>
              </w:rPr>
              <w:t>“江苏省招标投标公共服务平台”、“扬州市公共资源交易服务平台”</w:t>
            </w:r>
            <w:r>
              <w:rPr>
                <w:rFonts w:hint="eastAsia" w:ascii="宋体" w:hAnsi="宋体"/>
                <w:kern w:val="0"/>
                <w:szCs w:val="21"/>
                <w:highlight w:val="none"/>
                <w:lang w:eastAsia="zh-CN"/>
              </w:rPr>
              <w:t>、</w:t>
            </w:r>
            <w:r>
              <w:rPr>
                <w:rFonts w:hint="eastAsia" w:ascii="宋体" w:hAnsi="宋体"/>
                <w:kern w:val="0"/>
                <w:szCs w:val="21"/>
                <w:highlight w:val="none"/>
              </w:rPr>
              <w:t>“扬州市城建国有资产控股（集团）有限责任公司网站”</w:t>
            </w:r>
            <w:r>
              <w:rPr>
                <w:rFonts w:hint="eastAsia" w:ascii="宋体" w:hAnsi="宋体"/>
                <w:kern w:val="0"/>
                <w:szCs w:val="21"/>
                <w:highlight w:val="none"/>
                <w:lang w:val="en-US" w:eastAsia="zh-CN"/>
              </w:rPr>
              <w:t>和“江苏长江水务股份有限公司网站”</w:t>
            </w:r>
            <w:r>
              <w:rPr>
                <w:rFonts w:hint="eastAsia" w:ascii="宋体" w:hAnsi="宋体" w:cs="宋体"/>
                <w:kern w:val="0"/>
                <w:highlight w:val="none"/>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2.3.2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投标人确认收到招标文件修改</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时间：收到后</w:t>
            </w:r>
            <w:r>
              <w:rPr>
                <w:rFonts w:ascii="宋体" w:hAnsi="宋体" w:cs="宋体"/>
                <w:kern w:val="0"/>
                <w:highlight w:val="none"/>
              </w:rPr>
              <w:t>1日</w:t>
            </w:r>
          </w:p>
          <w:p>
            <w:pPr>
              <w:snapToGrid w:val="0"/>
              <w:ind w:firstLine="0" w:firstLineChars="0"/>
              <w:rPr>
                <w:rFonts w:ascii="宋体" w:hAnsi="宋体" w:cs="宋体"/>
                <w:kern w:val="0"/>
                <w:highlight w:val="none"/>
              </w:rPr>
            </w:pPr>
            <w:r>
              <w:rPr>
                <w:rFonts w:hint="eastAsia" w:ascii="宋体" w:hAnsi="宋体" w:cs="宋体"/>
                <w:kern w:val="0"/>
                <w:highlight w:val="none"/>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3.1.1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构成投标文件的其他资料</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3.2.1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增值税税金的计算方法</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3.2.4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最高投标限价</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□无</w:t>
            </w:r>
          </w:p>
          <w:p>
            <w:pPr>
              <w:snapToGrid w:val="0"/>
              <w:spacing w:line="360" w:lineRule="auto"/>
              <w:ind w:firstLine="0" w:firstLineChars="0"/>
              <w:jc w:val="left"/>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有，最高投标限价：</w:t>
            </w:r>
            <w:r>
              <w:rPr>
                <w:rFonts w:ascii="宋体" w:hAnsi="宋体" w:cs="宋体"/>
                <w:b/>
                <w:bCs/>
                <w:kern w:val="0"/>
                <w:szCs w:val="21"/>
                <w:highlight w:val="none"/>
              </w:rPr>
              <w:t>235万元</w:t>
            </w:r>
            <w:r>
              <w:rPr>
                <w:rFonts w:hint="eastAsia" w:ascii="宋体" w:hAnsi="宋体" w:cs="宋体"/>
                <w:kern w:val="0"/>
                <w:highlight w:val="none"/>
              </w:rPr>
              <w:t>，</w:t>
            </w:r>
          </w:p>
          <w:p>
            <w:pPr>
              <w:snapToGrid w:val="0"/>
              <w:spacing w:line="360" w:lineRule="auto"/>
              <w:ind w:firstLine="0" w:firstLineChars="0"/>
              <w:jc w:val="left"/>
              <w:rPr>
                <w:rFonts w:ascii="宋体" w:hAnsi="宋体" w:cs="宋体"/>
                <w:kern w:val="0"/>
                <w:szCs w:val="21"/>
                <w:highlight w:val="none"/>
              </w:rPr>
            </w:pPr>
            <w:r>
              <w:rPr>
                <w:rFonts w:hint="eastAsia" w:ascii="宋体" w:hAnsi="宋体" w:cs="宋体"/>
                <w:kern w:val="0"/>
                <w:szCs w:val="21"/>
                <w:highlight w:val="none"/>
              </w:rPr>
              <w:t>西湖增压站配电房改造工程招标控制价：</w:t>
            </w:r>
            <w:r>
              <w:rPr>
                <w:rFonts w:ascii="宋体" w:hAnsi="宋体" w:cs="宋体"/>
                <w:b/>
                <w:bCs/>
                <w:kern w:val="0"/>
                <w:szCs w:val="21"/>
                <w:highlight w:val="none"/>
              </w:rPr>
              <w:t>190万元</w:t>
            </w:r>
          </w:p>
          <w:p>
            <w:pPr>
              <w:snapToGrid w:val="0"/>
              <w:spacing w:line="360" w:lineRule="auto"/>
              <w:ind w:firstLine="0" w:firstLineChars="0"/>
              <w:jc w:val="left"/>
              <w:rPr>
                <w:rFonts w:ascii="宋体" w:hAnsi="宋体" w:cs="宋体"/>
                <w:b/>
                <w:bCs/>
                <w:kern w:val="0"/>
                <w:szCs w:val="21"/>
                <w:highlight w:val="none"/>
              </w:rPr>
            </w:pPr>
            <w:r>
              <w:rPr>
                <w:rFonts w:hint="eastAsia" w:ascii="宋体" w:hAnsi="宋体" w:cs="宋体"/>
                <w:kern w:val="0"/>
                <w:szCs w:val="21"/>
                <w:highlight w:val="none"/>
              </w:rPr>
              <w:t>瓜州原水厂配电房改造工程招标控制价：</w:t>
            </w:r>
            <w:r>
              <w:rPr>
                <w:rFonts w:ascii="宋体" w:hAnsi="宋体" w:cs="宋体"/>
                <w:b/>
                <w:bCs/>
                <w:kern w:val="0"/>
                <w:szCs w:val="21"/>
                <w:highlight w:val="none"/>
              </w:rPr>
              <w:t>45万元</w:t>
            </w:r>
          </w:p>
          <w:p>
            <w:pPr>
              <w:snapToGrid w:val="0"/>
              <w:ind w:firstLine="0" w:firstLineChars="0"/>
              <w:rPr>
                <w:rFonts w:ascii="宋体" w:hAnsi="宋体" w:cs="宋体"/>
                <w:kern w:val="0"/>
                <w:highlight w:val="none"/>
              </w:rPr>
            </w:pPr>
            <w:r>
              <w:rPr>
                <w:rFonts w:hint="eastAsia" w:ascii="宋体" w:hAnsi="宋体"/>
                <w:b/>
                <w:bCs/>
                <w:szCs w:val="21"/>
                <w:highlight w:val="none"/>
              </w:rPr>
              <w:t>总价及各单项工程均不得超过对应招标控制价；投标报价超过者按否决投标处理。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3.2.5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投标报价的其他要求</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szCs w:val="21"/>
                <w:highlight w:val="none"/>
              </w:rPr>
              <w:t>本招标项目为固定总价不变形式招标。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3.3.1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投标有效期</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cs="宋体"/>
                <w:kern w:val="0"/>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3.4.1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投标保证金</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是否要求投标人递交投标保证金：</w:t>
            </w:r>
          </w:p>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要求，投标保证金的形式：电汇</w:t>
            </w:r>
          </w:p>
          <w:p>
            <w:pPr>
              <w:snapToGrid w:val="0"/>
              <w:ind w:firstLine="0" w:firstLineChars="0"/>
              <w:rPr>
                <w:rFonts w:ascii="宋体" w:hAnsi="宋体" w:cs="宋体"/>
                <w:kern w:val="0"/>
                <w:highlight w:val="none"/>
              </w:rPr>
            </w:pPr>
            <w:r>
              <w:rPr>
                <w:rFonts w:hint="eastAsia" w:ascii="宋体" w:hAnsi="宋体" w:cs="宋体"/>
                <w:kern w:val="0"/>
                <w:highlight w:val="none"/>
              </w:rPr>
              <w:t>投标保证金的金额：</w:t>
            </w:r>
            <w:r>
              <w:rPr>
                <w:rFonts w:ascii="宋体" w:hAnsi="宋体" w:cs="宋体"/>
                <w:kern w:val="0"/>
                <w:highlight w:val="none"/>
              </w:rPr>
              <w:t>30000</w:t>
            </w:r>
            <w:r>
              <w:rPr>
                <w:rFonts w:hint="eastAsia" w:ascii="宋体" w:hAnsi="宋体" w:cs="宋体"/>
                <w:kern w:val="0"/>
                <w:highlight w:val="none"/>
              </w:rPr>
              <w:t>元</w:t>
            </w:r>
          </w:p>
          <w:p>
            <w:pPr>
              <w:snapToGrid w:val="0"/>
              <w:ind w:firstLine="0" w:firstLineChars="0"/>
              <w:rPr>
                <w:rFonts w:ascii="宋体" w:hAnsi="宋体" w:cs="宋体"/>
                <w:kern w:val="0"/>
                <w:highlight w:val="none"/>
              </w:rPr>
            </w:pPr>
            <w:r>
              <w:rPr>
                <w:rFonts w:hint="eastAsia" w:ascii="宋体" w:hAnsi="宋体" w:cs="宋体"/>
                <w:kern w:val="0"/>
                <w:highlight w:val="none"/>
              </w:rPr>
              <w:t>投标保证金收款账户名称、收款开户行、收款账号：</w:t>
            </w:r>
          </w:p>
          <w:p>
            <w:pPr>
              <w:snapToGrid w:val="0"/>
              <w:ind w:firstLine="0" w:firstLineChars="0"/>
              <w:rPr>
                <w:rFonts w:ascii="宋体" w:hAnsi="宋体" w:cs="宋体"/>
                <w:kern w:val="0"/>
                <w:highlight w:val="none"/>
              </w:rPr>
            </w:pPr>
            <w:r>
              <w:rPr>
                <w:rFonts w:hint="eastAsia" w:ascii="宋体" w:hAnsi="宋体" w:cs="宋体"/>
                <w:kern w:val="0"/>
                <w:highlight w:val="none"/>
              </w:rPr>
              <w:t>开户名称：扬州筑苑工程招标咨询有限公司</w:t>
            </w:r>
          </w:p>
          <w:p>
            <w:pPr>
              <w:snapToGrid w:val="0"/>
              <w:ind w:firstLine="0" w:firstLineChars="0"/>
              <w:rPr>
                <w:rFonts w:ascii="宋体" w:hAnsi="宋体" w:cs="宋体"/>
                <w:kern w:val="0"/>
                <w:highlight w:val="none"/>
              </w:rPr>
            </w:pPr>
            <w:r>
              <w:rPr>
                <w:rFonts w:hint="eastAsia" w:ascii="宋体" w:hAnsi="宋体" w:cs="宋体"/>
                <w:kern w:val="0"/>
                <w:highlight w:val="none"/>
              </w:rPr>
              <w:t>开户银行：江苏银行广陵支行</w:t>
            </w:r>
          </w:p>
          <w:p>
            <w:pPr>
              <w:snapToGrid w:val="0"/>
              <w:ind w:firstLine="0" w:firstLineChars="0"/>
              <w:rPr>
                <w:rFonts w:ascii="宋体" w:hAnsi="宋体" w:cs="宋体"/>
                <w:kern w:val="0"/>
                <w:highlight w:val="none"/>
              </w:rPr>
            </w:pPr>
            <w:r>
              <w:rPr>
                <w:rFonts w:hint="eastAsia" w:ascii="宋体" w:hAnsi="宋体" w:cs="宋体"/>
                <w:kern w:val="0"/>
                <w:highlight w:val="none"/>
              </w:rPr>
              <w:t>银行账号：</w:t>
            </w:r>
            <w:r>
              <w:rPr>
                <w:rFonts w:ascii="宋体" w:hAnsi="宋体" w:cs="宋体"/>
                <w:kern w:val="0"/>
                <w:highlight w:val="none"/>
              </w:rPr>
              <w:t>90060188000070311</w:t>
            </w:r>
          </w:p>
          <w:p>
            <w:pPr>
              <w:snapToGrid w:val="0"/>
              <w:ind w:firstLine="0" w:firstLineChars="0"/>
              <w:rPr>
                <w:rFonts w:ascii="宋体" w:hAnsi="宋体" w:cs="宋体"/>
                <w:kern w:val="0"/>
                <w:highlight w:val="none"/>
              </w:rPr>
            </w:pPr>
            <w:r>
              <w:rPr>
                <w:rFonts w:hint="eastAsia" w:ascii="宋体" w:hAnsi="宋体" w:cs="宋体"/>
                <w:kern w:val="0"/>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3.4.4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其他可以不予退还投标保证金的情形</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无其他情形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资格审查资料的特殊要求</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无</w:t>
            </w:r>
          </w:p>
          <w:p>
            <w:pPr>
              <w:snapToGrid w:val="0"/>
              <w:ind w:firstLine="0" w:firstLineChars="0"/>
              <w:rPr>
                <w:rFonts w:ascii="宋体" w:hAnsi="宋体" w:cs="宋体"/>
                <w:kern w:val="0"/>
                <w:highlight w:val="none"/>
              </w:rPr>
            </w:pPr>
            <w:r>
              <w:rPr>
                <w:rFonts w:hint="eastAsia" w:ascii="宋体" w:hAnsi="宋体" w:cs="宋体"/>
                <w:kern w:val="0"/>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3.5.2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近年财务状况的年份要求</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详见</w:t>
            </w:r>
            <w:r>
              <w:rPr>
                <w:rFonts w:ascii="宋体" w:hAnsi="宋体" w:cs="宋体"/>
                <w:kern w:val="0"/>
                <w:highlight w:val="none"/>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3.5.3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近年完成的类似项目情况的时间要求</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有，具体要求：详见</w:t>
            </w:r>
            <w:r>
              <w:rPr>
                <w:rFonts w:ascii="宋体" w:hAnsi="宋体" w:cs="宋体"/>
                <w:kern w:val="0"/>
                <w:highlight w:val="none"/>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3.5.5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近年发生的诉讼及仲裁情况的时间要求</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无</w:t>
            </w:r>
            <w:r>
              <w:rPr>
                <w:rFonts w:ascii="宋体" w:hAnsi="宋体" w:cs="宋体"/>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3.6.1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是否允许递交备选投标方案</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不允许</w:t>
            </w:r>
          </w:p>
          <w:p>
            <w:pPr>
              <w:snapToGrid w:val="0"/>
              <w:ind w:firstLine="0" w:firstLineChars="0"/>
              <w:rPr>
                <w:rFonts w:ascii="宋体" w:hAnsi="宋体" w:cs="宋体"/>
                <w:kern w:val="0"/>
                <w:highlight w:val="none"/>
              </w:rPr>
            </w:pPr>
            <w:r>
              <w:rPr>
                <w:rFonts w:hint="eastAsia" w:ascii="宋体" w:hAnsi="宋体" w:cs="宋体"/>
                <w:kern w:val="0"/>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3.7.3A（2）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投标文件份数及其他要求</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投标文件份数：正本一份，副本四份</w:t>
            </w:r>
          </w:p>
          <w:p>
            <w:pPr>
              <w:snapToGrid w:val="0"/>
              <w:ind w:firstLine="0" w:firstLineChars="0"/>
              <w:rPr>
                <w:rFonts w:ascii="宋体" w:hAnsi="宋体" w:cs="宋体"/>
                <w:kern w:val="0"/>
                <w:highlight w:val="none"/>
              </w:rPr>
            </w:pPr>
            <w:r>
              <w:rPr>
                <w:rFonts w:hint="eastAsia" w:ascii="宋体" w:hAnsi="宋体" w:cs="宋体"/>
                <w:kern w:val="0"/>
                <w:highlight w:val="none"/>
              </w:rPr>
              <w:t>是否要求提交电子版文件：是</w:t>
            </w:r>
          </w:p>
          <w:p>
            <w:pPr>
              <w:snapToGrid w:val="0"/>
              <w:ind w:firstLine="0" w:firstLineChars="0"/>
              <w:rPr>
                <w:rFonts w:ascii="宋体" w:hAnsi="宋体" w:cs="宋体"/>
                <w:kern w:val="0"/>
                <w:highlight w:val="none"/>
              </w:rPr>
            </w:pPr>
            <w:r>
              <w:rPr>
                <w:rFonts w:hint="eastAsia" w:ascii="宋体" w:hAnsi="宋体" w:cs="宋体"/>
                <w:kern w:val="0"/>
                <w:highlight w:val="none"/>
              </w:rPr>
              <w:t>其他要求：电子版文件一般应为</w:t>
            </w:r>
            <w:r>
              <w:rPr>
                <w:rFonts w:ascii="宋体" w:hAnsi="宋体" w:cs="宋体"/>
                <w:kern w:val="0"/>
                <w:highlight w:val="none"/>
              </w:rPr>
              <w:t>PDF格式、U盘形式，随纸质投标文件一并提交。电子版文件用于辅助评标和平台存档，投标人需承担电子版文件和纸质正本文件不一致造成的不利后果。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3.7.3A（3）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投标文件是否需分册装订</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不需要</w:t>
            </w:r>
          </w:p>
          <w:p>
            <w:pPr>
              <w:snapToGrid w:val="0"/>
              <w:ind w:firstLine="0" w:firstLineChars="0"/>
              <w:rPr>
                <w:rFonts w:ascii="宋体" w:hAnsi="宋体" w:cs="宋体"/>
                <w:kern w:val="0"/>
                <w:highlight w:val="none"/>
              </w:rPr>
            </w:pPr>
            <w:r>
              <w:rPr>
                <w:rFonts w:hint="eastAsia" w:ascii="宋体" w:hAnsi="宋体" w:cs="宋体"/>
                <w:kern w:val="0"/>
                <w:highlight w:val="none"/>
              </w:rPr>
              <w:t>□需要，分册装订要求：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4.1.2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封套上应载明的信息</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szCs w:val="21"/>
                <w:highlight w:val="none"/>
              </w:rPr>
            </w:pPr>
            <w:r>
              <w:rPr>
                <w:rFonts w:hint="eastAsia" w:ascii="宋体" w:hAnsi="宋体"/>
                <w:szCs w:val="21"/>
                <w:highlight w:val="none"/>
              </w:rPr>
              <w:t>招标人名称</w:t>
            </w:r>
          </w:p>
          <w:p>
            <w:pPr>
              <w:snapToGrid w:val="0"/>
              <w:ind w:firstLine="0" w:firstLineChars="0"/>
              <w:rPr>
                <w:rFonts w:ascii="宋体" w:hAnsi="宋体"/>
                <w:szCs w:val="21"/>
                <w:highlight w:val="none"/>
              </w:rPr>
            </w:pPr>
            <w:r>
              <w:rPr>
                <w:rFonts w:hint="eastAsia" w:ascii="宋体" w:hAnsi="宋体"/>
                <w:szCs w:val="21"/>
                <w:highlight w:val="none"/>
              </w:rPr>
              <w:t>工程项目名称</w:t>
            </w:r>
          </w:p>
          <w:p>
            <w:pPr>
              <w:snapToGrid w:val="0"/>
              <w:ind w:firstLine="0" w:firstLineChars="0"/>
              <w:rPr>
                <w:rFonts w:ascii="宋体" w:hAnsi="宋体"/>
                <w:szCs w:val="21"/>
                <w:highlight w:val="none"/>
              </w:rPr>
            </w:pPr>
            <w:r>
              <w:rPr>
                <w:rFonts w:hint="eastAsia" w:ascii="宋体" w:hAnsi="宋体"/>
                <w:szCs w:val="21"/>
                <w:highlight w:val="none"/>
              </w:rPr>
              <w:t>投标人名称</w:t>
            </w:r>
          </w:p>
          <w:p>
            <w:pPr>
              <w:snapToGrid w:val="0"/>
              <w:ind w:firstLine="0" w:firstLineChars="0"/>
              <w:rPr>
                <w:rFonts w:ascii="宋体" w:hAnsi="宋体" w:cs="宋体"/>
                <w:kern w:val="0"/>
                <w:highlight w:val="none"/>
              </w:rPr>
            </w:pPr>
            <w:r>
              <w:rPr>
                <w:rFonts w:hint="eastAsia" w:ascii="宋体" w:hAnsi="宋体"/>
                <w:szCs w:val="21"/>
                <w:highlight w:val="none"/>
              </w:rPr>
              <w:t>卷别</w:t>
            </w:r>
          </w:p>
          <w:p>
            <w:pPr>
              <w:snapToGrid w:val="0"/>
              <w:ind w:firstLine="0" w:firstLineChars="0"/>
              <w:rPr>
                <w:rFonts w:ascii="宋体" w:hAnsi="宋体" w:cs="宋体"/>
                <w:kern w:val="0"/>
                <w:highlight w:val="none"/>
              </w:rPr>
            </w:pPr>
            <w:r>
              <w:rPr>
                <w:rFonts w:hint="eastAsia" w:ascii="宋体" w:hAnsi="宋体" w:cs="宋体"/>
                <w:kern w:val="0"/>
                <w:highlight w:val="none"/>
              </w:rPr>
              <w:t>在</w:t>
            </w:r>
            <w:r>
              <w:rPr>
                <w:rFonts w:hint="eastAsia" w:ascii="宋体" w:hAnsi="宋体" w:cs="宋体"/>
                <w:kern w:val="0"/>
                <w:highlight w:val="none"/>
                <w:lang w:val="en-US" w:eastAsia="zh-CN"/>
              </w:rPr>
              <w:t>2021</w:t>
            </w:r>
            <w:r>
              <w:rPr>
                <w:rFonts w:hint="eastAsia" w:ascii="宋体" w:hAnsi="宋体" w:cs="宋体"/>
                <w:kern w:val="0"/>
                <w:highlight w:val="none"/>
              </w:rPr>
              <w:t>年</w:t>
            </w:r>
            <w:r>
              <w:rPr>
                <w:rFonts w:hint="eastAsia" w:ascii="宋体" w:hAnsi="宋体" w:cs="宋体"/>
                <w:kern w:val="0"/>
                <w:highlight w:val="none"/>
                <w:lang w:val="en-US" w:eastAsia="zh-CN"/>
              </w:rPr>
              <w:t>8</w:t>
            </w:r>
            <w:r>
              <w:rPr>
                <w:rFonts w:hint="eastAsia" w:ascii="宋体" w:hAnsi="宋体" w:cs="宋体"/>
                <w:kern w:val="0"/>
                <w:highlight w:val="none"/>
              </w:rPr>
              <w:t>月</w:t>
            </w:r>
            <w:r>
              <w:rPr>
                <w:rFonts w:hint="eastAsia" w:ascii="宋体" w:hAnsi="宋体" w:cs="宋体"/>
                <w:kern w:val="0"/>
                <w:highlight w:val="none"/>
                <w:lang w:val="en-US" w:eastAsia="zh-CN"/>
              </w:rPr>
              <w:t>4</w:t>
            </w:r>
            <w:r>
              <w:rPr>
                <w:rFonts w:hint="eastAsia" w:ascii="宋体" w:hAnsi="宋体" w:cs="宋体"/>
                <w:kern w:val="0"/>
                <w:highlight w:val="none"/>
              </w:rPr>
              <w:t>日</w:t>
            </w:r>
            <w:r>
              <w:rPr>
                <w:rFonts w:hint="eastAsia" w:ascii="宋体" w:hAnsi="宋体" w:cs="宋体"/>
                <w:kern w:val="0"/>
                <w:highlight w:val="none"/>
                <w:lang w:val="en-US" w:eastAsia="zh-CN"/>
              </w:rPr>
              <w:t>15</w:t>
            </w:r>
            <w:r>
              <w:rPr>
                <w:rFonts w:hint="eastAsia" w:ascii="宋体" w:hAnsi="宋体" w:cs="宋体"/>
                <w:kern w:val="0"/>
                <w:highlight w:val="none"/>
              </w:rPr>
              <w:t>时</w:t>
            </w:r>
            <w:r>
              <w:rPr>
                <w:rFonts w:hint="eastAsia" w:ascii="宋体" w:hAnsi="宋体" w:cs="宋体"/>
                <w:kern w:val="0"/>
                <w:highlight w:val="none"/>
                <w:lang w:val="en-US" w:eastAsia="zh-CN"/>
              </w:rPr>
              <w:t>30分</w:t>
            </w:r>
            <w:r>
              <w:rPr>
                <w:rFonts w:hint="eastAsia" w:ascii="宋体" w:hAnsi="宋体" w:cs="宋体"/>
                <w:kern w:val="0"/>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4.2.1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投标截止时间</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kern w:val="0"/>
                <w:szCs w:val="21"/>
                <w:highlight w:val="none"/>
              </w:rPr>
              <w:t>2021年</w:t>
            </w:r>
            <w:r>
              <w:rPr>
                <w:rFonts w:hint="eastAsia" w:ascii="宋体" w:hAnsi="宋体"/>
                <w:kern w:val="0"/>
                <w:szCs w:val="21"/>
                <w:highlight w:val="none"/>
                <w:lang w:val="en-US" w:eastAsia="zh-CN"/>
              </w:rPr>
              <w:t>8</w:t>
            </w:r>
            <w:r>
              <w:rPr>
                <w:rFonts w:ascii="宋体" w:hAnsi="宋体"/>
                <w:kern w:val="0"/>
                <w:szCs w:val="21"/>
                <w:highlight w:val="none"/>
              </w:rPr>
              <w:t>月</w:t>
            </w:r>
            <w:r>
              <w:rPr>
                <w:rFonts w:hint="eastAsia" w:ascii="宋体" w:hAnsi="宋体"/>
                <w:kern w:val="0"/>
                <w:szCs w:val="21"/>
                <w:highlight w:val="none"/>
                <w:lang w:val="en-US" w:eastAsia="zh-CN"/>
              </w:rPr>
              <w:t>4</w:t>
            </w:r>
            <w:r>
              <w:rPr>
                <w:rFonts w:hint="eastAsia" w:ascii="宋体" w:hAnsi="宋体"/>
                <w:kern w:val="0"/>
                <w:szCs w:val="21"/>
                <w:highlight w:val="none"/>
              </w:rPr>
              <w:t>日</w:t>
            </w:r>
            <w:r>
              <w:rPr>
                <w:rFonts w:ascii="宋体" w:hAnsi="宋体"/>
                <w:kern w:val="0"/>
                <w:szCs w:val="21"/>
                <w:highlight w:val="none"/>
              </w:rPr>
              <w:t>1</w:t>
            </w:r>
            <w:r>
              <w:rPr>
                <w:rFonts w:hint="eastAsia" w:ascii="宋体" w:hAnsi="宋体"/>
                <w:kern w:val="0"/>
                <w:szCs w:val="21"/>
                <w:highlight w:val="none"/>
                <w:lang w:val="en-US" w:eastAsia="zh-CN"/>
              </w:rPr>
              <w:t>5</w:t>
            </w:r>
            <w:r>
              <w:rPr>
                <w:rFonts w:hint="eastAsia" w:ascii="宋体" w:hAnsi="宋体"/>
                <w:kern w:val="0"/>
                <w:szCs w:val="21"/>
                <w:highlight w:val="none"/>
              </w:rPr>
              <w:t>：</w:t>
            </w:r>
            <w:r>
              <w:rPr>
                <w:rFonts w:hint="eastAsia" w:ascii="宋体" w:hAnsi="宋体"/>
                <w:kern w:val="0"/>
                <w:szCs w:val="21"/>
                <w:highlight w:val="none"/>
                <w:lang w:val="en-US" w:eastAsia="zh-CN"/>
              </w:rPr>
              <w:t>3</w:t>
            </w:r>
            <w:r>
              <w:rPr>
                <w:rFonts w:ascii="宋体" w:hAnsi="宋体"/>
                <w:kern w:val="0"/>
                <w:szCs w:val="21"/>
                <w:highlight w:val="none"/>
              </w:rPr>
              <w:t>0</w:t>
            </w:r>
            <w:r>
              <w:rPr>
                <w:rFonts w:ascii="宋体" w:hAnsi="宋体" w:cs="宋体"/>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4.2.2（A）</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递交投标文件地点</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szCs w:val="21"/>
                <w:highlight w:val="none"/>
              </w:rPr>
              <w:t>扬州筑苑工程招标咨询有限公司</w:t>
            </w:r>
            <w:r>
              <w:rPr>
                <w:rFonts w:hint="eastAsia" w:ascii="宋体" w:hAnsi="宋体"/>
                <w:kern w:val="0"/>
                <w:szCs w:val="21"/>
                <w:highlight w:val="none"/>
              </w:rPr>
              <w:t>（地址：扬州市瘦西湖路</w:t>
            </w:r>
            <w:r>
              <w:rPr>
                <w:rFonts w:ascii="宋体" w:hAnsi="宋体"/>
                <w:kern w:val="0"/>
                <w:szCs w:val="21"/>
                <w:highlight w:val="none"/>
              </w:rPr>
              <w:t>65号4楼）</w:t>
            </w:r>
            <w:r>
              <w:rPr>
                <w:rFonts w:ascii="宋体" w:hAnsi="宋体" w:cs="宋体"/>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4.2.3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投标文件是否退还</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否</w:t>
            </w:r>
          </w:p>
          <w:p>
            <w:pPr>
              <w:snapToGrid w:val="0"/>
              <w:ind w:firstLine="0" w:firstLineChars="0"/>
              <w:rPr>
                <w:rFonts w:ascii="宋体" w:hAnsi="宋体" w:cs="宋体"/>
                <w:kern w:val="0"/>
                <w:highlight w:val="none"/>
              </w:rPr>
            </w:pPr>
            <w:r>
              <w:rPr>
                <w:rFonts w:hint="eastAsia" w:ascii="宋体" w:hAnsi="宋体" w:cs="宋体"/>
                <w:kern w:val="0"/>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5.1（A）</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开标时间和地点</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开标时间：</w:t>
            </w:r>
            <w:r>
              <w:rPr>
                <w:rFonts w:ascii="宋体" w:hAnsi="宋体"/>
                <w:kern w:val="0"/>
                <w:szCs w:val="21"/>
                <w:highlight w:val="none"/>
              </w:rPr>
              <w:t xml:space="preserve">2021年 </w:t>
            </w:r>
            <w:r>
              <w:rPr>
                <w:rFonts w:hint="eastAsia" w:ascii="宋体" w:hAnsi="宋体"/>
                <w:kern w:val="0"/>
                <w:szCs w:val="21"/>
                <w:highlight w:val="none"/>
                <w:lang w:val="en-US" w:eastAsia="zh-CN"/>
              </w:rPr>
              <w:t>8</w:t>
            </w:r>
            <w:r>
              <w:rPr>
                <w:rFonts w:ascii="宋体" w:hAnsi="宋体"/>
                <w:kern w:val="0"/>
                <w:szCs w:val="21"/>
                <w:highlight w:val="none"/>
              </w:rPr>
              <w:t xml:space="preserve"> </w:t>
            </w:r>
            <w:r>
              <w:rPr>
                <w:rFonts w:hint="eastAsia" w:ascii="宋体" w:hAnsi="宋体"/>
                <w:kern w:val="0"/>
                <w:szCs w:val="21"/>
                <w:highlight w:val="none"/>
              </w:rPr>
              <w:t>月</w:t>
            </w:r>
            <w:r>
              <w:rPr>
                <w:rFonts w:hint="eastAsia" w:ascii="宋体" w:hAnsi="宋体"/>
                <w:kern w:val="0"/>
                <w:szCs w:val="21"/>
                <w:highlight w:val="none"/>
                <w:lang w:val="en-US" w:eastAsia="zh-CN"/>
              </w:rPr>
              <w:t>4</w:t>
            </w:r>
            <w:r>
              <w:rPr>
                <w:rFonts w:hint="eastAsia" w:ascii="宋体" w:hAnsi="宋体"/>
                <w:kern w:val="0"/>
                <w:szCs w:val="21"/>
                <w:highlight w:val="none"/>
              </w:rPr>
              <w:t>日</w:t>
            </w:r>
            <w:r>
              <w:rPr>
                <w:rFonts w:ascii="宋体" w:hAnsi="宋体"/>
                <w:kern w:val="0"/>
                <w:szCs w:val="21"/>
                <w:highlight w:val="none"/>
              </w:rPr>
              <w:t>15：</w:t>
            </w:r>
            <w:r>
              <w:rPr>
                <w:rFonts w:hint="eastAsia" w:ascii="宋体" w:hAnsi="宋体"/>
                <w:kern w:val="0"/>
                <w:szCs w:val="21"/>
                <w:highlight w:val="none"/>
                <w:lang w:val="en-US" w:eastAsia="zh-CN"/>
              </w:rPr>
              <w:t>3</w:t>
            </w:r>
            <w:r>
              <w:rPr>
                <w:rFonts w:ascii="宋体" w:hAnsi="宋体"/>
                <w:kern w:val="0"/>
                <w:szCs w:val="21"/>
                <w:highlight w:val="none"/>
              </w:rPr>
              <w:t>0</w:t>
            </w:r>
            <w:r>
              <w:rPr>
                <w:rFonts w:ascii="宋体" w:hAnsi="宋体" w:cs="宋体"/>
                <w:kern w:val="0"/>
                <w:highlight w:val="none"/>
              </w:rPr>
              <w:t xml:space="preserve"> </w:t>
            </w:r>
          </w:p>
          <w:p>
            <w:pPr>
              <w:snapToGrid w:val="0"/>
              <w:ind w:firstLine="0" w:firstLineChars="0"/>
              <w:rPr>
                <w:rFonts w:ascii="宋体" w:hAnsi="宋体" w:cs="宋体"/>
                <w:kern w:val="0"/>
                <w:highlight w:val="none"/>
              </w:rPr>
            </w:pPr>
            <w:r>
              <w:rPr>
                <w:rFonts w:hint="eastAsia" w:ascii="宋体" w:hAnsi="宋体" w:cs="宋体"/>
                <w:kern w:val="0"/>
                <w:highlight w:val="none"/>
              </w:rPr>
              <w:t>开标地点：</w:t>
            </w:r>
            <w:r>
              <w:rPr>
                <w:rFonts w:hint="eastAsia" w:ascii="宋体" w:hAnsi="宋体" w:cs="宋体"/>
                <w:szCs w:val="21"/>
                <w:highlight w:val="none"/>
              </w:rPr>
              <w:t>扬州筑苑工程招标咨询有限公司</w:t>
            </w:r>
            <w:r>
              <w:rPr>
                <w:rFonts w:hint="eastAsia" w:ascii="宋体" w:hAnsi="宋体"/>
                <w:kern w:val="0"/>
                <w:szCs w:val="21"/>
                <w:highlight w:val="none"/>
              </w:rPr>
              <w:t>（地址：扬州市瘦西湖路</w:t>
            </w:r>
            <w:r>
              <w:rPr>
                <w:rFonts w:ascii="宋体" w:hAnsi="宋体"/>
                <w:kern w:val="0"/>
                <w:szCs w:val="21"/>
                <w:highlight w:val="none"/>
              </w:rPr>
              <w:t>65号4楼）</w:t>
            </w:r>
            <w:r>
              <w:rPr>
                <w:rFonts w:ascii="宋体" w:hAnsi="宋体" w:cs="宋体"/>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5.2（4）（A）</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开标程序</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6.1.1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评标委员会的组建</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评标委员会构成：</w:t>
            </w:r>
            <w:r>
              <w:rPr>
                <w:rFonts w:ascii="宋体" w:hAnsi="宋体" w:cs="宋体"/>
                <w:kern w:val="0"/>
                <w:highlight w:val="none"/>
              </w:rPr>
              <w:t>5人</w:t>
            </w:r>
          </w:p>
          <w:p>
            <w:pPr>
              <w:snapToGrid w:val="0"/>
              <w:ind w:firstLine="0" w:firstLineChars="0"/>
              <w:rPr>
                <w:rFonts w:ascii="宋体" w:hAnsi="宋体" w:cs="宋体"/>
                <w:kern w:val="0"/>
                <w:highlight w:val="none"/>
              </w:rPr>
            </w:pPr>
            <w:r>
              <w:rPr>
                <w:rFonts w:hint="eastAsia" w:ascii="宋体" w:hAnsi="宋体" w:cs="宋体"/>
                <w:kern w:val="0"/>
                <w:highlight w:val="none"/>
              </w:rPr>
              <w:t>其中专家</w:t>
            </w:r>
            <w:r>
              <w:rPr>
                <w:rFonts w:ascii="宋体" w:hAnsi="宋体" w:cs="宋体"/>
                <w:kern w:val="0"/>
                <w:highlight w:val="none"/>
              </w:rPr>
              <w:t>5人；</w:t>
            </w:r>
          </w:p>
          <w:p>
            <w:pPr>
              <w:snapToGrid w:val="0"/>
              <w:ind w:firstLine="0" w:firstLineChars="0"/>
              <w:rPr>
                <w:rFonts w:ascii="宋体" w:hAnsi="宋体" w:cs="宋体"/>
                <w:kern w:val="0"/>
                <w:highlight w:val="none"/>
              </w:rPr>
            </w:pPr>
            <w:r>
              <w:rPr>
                <w:rFonts w:hint="eastAsia" w:ascii="宋体" w:hAnsi="宋体" w:cs="宋体"/>
                <w:kern w:val="0"/>
                <w:highlight w:val="none"/>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6.3.2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评标委员会推荐中标候选人的人数</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cs="宋体"/>
                <w:kern w:val="0"/>
                <w:highlight w:val="non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7.1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中标候选人公示媒介及期限</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hint="eastAsia" w:eastAsia="宋体"/>
                <w:highlight w:val="none"/>
                <w:lang w:val="en-US" w:eastAsia="zh-CN"/>
              </w:rPr>
            </w:pPr>
            <w:r>
              <w:rPr>
                <w:rFonts w:hint="eastAsia" w:ascii="宋体" w:hAnsi="宋体" w:cs="宋体"/>
                <w:kern w:val="0"/>
                <w:highlight w:val="none"/>
              </w:rPr>
              <w:t>公示媒介：</w:t>
            </w:r>
            <w:r>
              <w:rPr>
                <w:rFonts w:hint="eastAsia" w:ascii="宋体" w:hAnsi="宋体"/>
                <w:kern w:val="0"/>
                <w:szCs w:val="21"/>
                <w:highlight w:val="none"/>
              </w:rPr>
              <w:t>“江苏省招标投标公共服务平台”、“扬州市公共资源交易服务平台”</w:t>
            </w:r>
            <w:r>
              <w:rPr>
                <w:rFonts w:hint="eastAsia" w:ascii="宋体" w:hAnsi="宋体"/>
                <w:kern w:val="0"/>
                <w:szCs w:val="21"/>
                <w:highlight w:val="none"/>
                <w:lang w:eastAsia="zh-CN"/>
              </w:rPr>
              <w:t>、</w:t>
            </w:r>
            <w:r>
              <w:rPr>
                <w:rFonts w:hint="eastAsia" w:ascii="宋体" w:hAnsi="宋体"/>
                <w:kern w:val="0"/>
                <w:szCs w:val="21"/>
                <w:highlight w:val="none"/>
              </w:rPr>
              <w:t>“扬州市城建国有资产控股（集团）有限责任公司网站”</w:t>
            </w:r>
            <w:r>
              <w:rPr>
                <w:rFonts w:hint="eastAsia" w:ascii="宋体" w:hAnsi="宋体"/>
                <w:kern w:val="0"/>
                <w:szCs w:val="21"/>
                <w:highlight w:val="none"/>
                <w:lang w:val="en-US" w:eastAsia="zh-CN"/>
              </w:rPr>
              <w:t>和“江苏长江水务股份有限公司网站”</w:t>
            </w:r>
            <w:r>
              <w:rPr>
                <w:rFonts w:hint="eastAsia" w:ascii="宋体" w:hAnsi="宋体" w:cs="宋体"/>
                <w:kern w:val="0"/>
                <w:highlight w:val="none"/>
              </w:rPr>
              <w:t>发出</w:t>
            </w:r>
          </w:p>
          <w:p>
            <w:pPr>
              <w:snapToGrid w:val="0"/>
              <w:ind w:firstLine="0" w:firstLineChars="0"/>
              <w:rPr>
                <w:rFonts w:ascii="宋体" w:hAnsi="宋体" w:cs="宋体"/>
                <w:kern w:val="0"/>
                <w:highlight w:val="none"/>
              </w:rPr>
            </w:pPr>
            <w:r>
              <w:rPr>
                <w:rFonts w:hint="eastAsia" w:ascii="宋体" w:hAnsi="宋体" w:cs="宋体"/>
                <w:kern w:val="0"/>
                <w:highlight w:val="none"/>
              </w:rPr>
              <w:t>公示期限：不少于</w:t>
            </w:r>
            <w:r>
              <w:rPr>
                <w:rFonts w:ascii="宋体" w:hAnsi="宋体" w:cs="宋体"/>
                <w:kern w:val="0"/>
                <w:highlight w:val="none"/>
              </w:rPr>
              <w:t>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7.4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是否授权评标委员会确定中标人</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□是</w:t>
            </w:r>
          </w:p>
          <w:p>
            <w:pPr>
              <w:snapToGrid w:val="0"/>
              <w:ind w:firstLine="0" w:firstLineChars="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否，招标人确定排名第一中标候选人为中标人（入围</w:t>
            </w:r>
            <w:r>
              <w:rPr>
                <w:rFonts w:hint="eastAsia"/>
                <w:kern w:val="0"/>
                <w:highlight w:val="none"/>
              </w:rPr>
              <w:t>投标人</w:t>
            </w:r>
            <w:r>
              <w:rPr>
                <w:rFonts w:hint="eastAsia" w:ascii="宋体" w:hAnsi="宋体" w:cs="宋体"/>
                <w:kern w:val="0"/>
                <w:highlight w:val="none"/>
              </w:rPr>
              <w:t>）。若其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7.6.1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履约保证金</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是否要求中标人提交履约保证金：</w:t>
            </w:r>
          </w:p>
          <w:p>
            <w:pPr>
              <w:pageBreakBefore w:val="0"/>
              <w:kinsoku/>
              <w:overflowPunct/>
              <w:bidi w:val="0"/>
              <w:snapToGrid w:val="0"/>
              <w:spacing w:beforeAutospacing="0" w:afterAutospacing="0" w:line="240" w:lineRule="auto"/>
              <w:ind w:left="0" w:leftChars="0" w:right="0" w:rightChars="0" w:firstLine="480" w:firstLineChars="200"/>
              <w:rPr>
                <w:rFonts w:ascii="宋体" w:hAnsi="宋体" w:cs="宋体"/>
                <w:kern w:val="0"/>
                <w:highlight w:val="none"/>
              </w:rPr>
            </w:pPr>
            <w:r>
              <w:rPr>
                <w:rFonts w:hint="eastAsia" w:ascii="宋体" w:hAnsi="宋体" w:cs="宋体"/>
                <w:kern w:val="0"/>
                <w:sz w:val="24"/>
                <w:szCs w:val="24"/>
                <w:highlight w:val="none"/>
                <w:shd w:val="clear" w:color="auto" w:fill="FFFFFF"/>
              </w:rPr>
              <w:t>■</w:t>
            </w:r>
            <w:r>
              <w:rPr>
                <w:rFonts w:hint="eastAsia" w:ascii="宋体" w:hAnsi="宋体" w:cs="宋体"/>
                <w:kern w:val="0"/>
                <w:highlight w:val="none"/>
              </w:rPr>
              <w:t>要求，履约保证金的形式：银行汇票、银行保函或现金支票。</w:t>
            </w:r>
          </w:p>
          <w:p>
            <w:pPr>
              <w:pageBreakBefore w:val="0"/>
              <w:kinsoku/>
              <w:overflowPunct/>
              <w:bidi w:val="0"/>
              <w:snapToGrid w:val="0"/>
              <w:spacing w:beforeAutospacing="0" w:afterAutospacing="0" w:line="240" w:lineRule="auto"/>
              <w:ind w:left="0" w:leftChars="0" w:right="0" w:rightChars="0"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履约保证金的金额：</w:t>
            </w:r>
            <w:r>
              <w:rPr>
                <w:rFonts w:hint="eastAsia" w:ascii="宋体" w:hAnsi="宋体" w:cs="宋体"/>
                <w:szCs w:val="21"/>
                <w:highlight w:val="none"/>
                <w:lang w:val="en-US" w:eastAsia="zh-CN"/>
              </w:rPr>
              <w:t>10万元，投标人中标后，在合同签订前须向招标人提交足额履约保证金，否则招标人可以取消其中标资格。</w:t>
            </w:r>
          </w:p>
          <w:p>
            <w:pPr>
              <w:snapToGrid w:val="0"/>
              <w:ind w:firstLine="0" w:firstLineChars="0"/>
              <w:rPr>
                <w:rFonts w:ascii="宋体" w:hAnsi="宋体" w:cs="宋体"/>
                <w:kern w:val="0"/>
                <w:highlight w:val="none"/>
              </w:rPr>
            </w:pPr>
            <w:r>
              <w:rPr>
                <w:rFonts w:hint="eastAsia" w:ascii="宋体" w:hAnsi="宋体" w:cs="宋体"/>
                <w:kern w:val="0"/>
                <w:highlight w:val="none"/>
              </w:rPr>
              <w:t>□不要求</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9</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是否采用电子招标投标</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hint="eastAsia" w:ascii="宋体" w:hAnsi="宋体" w:cs="宋体"/>
                <w:kern w:val="0"/>
                <w:highlight w:val="none"/>
              </w:rPr>
              <w:t>■否</w:t>
            </w:r>
          </w:p>
          <w:p>
            <w:pPr>
              <w:snapToGrid w:val="0"/>
              <w:ind w:firstLine="0" w:firstLineChars="0"/>
              <w:rPr>
                <w:rFonts w:ascii="宋体" w:hAnsi="宋体" w:cs="宋体"/>
                <w:kern w:val="0"/>
                <w:highlight w:val="none"/>
              </w:rPr>
            </w:pPr>
            <w:r>
              <w:rPr>
                <w:rFonts w:hint="eastAsia" w:ascii="宋体" w:hAnsi="宋体" w:cs="宋体"/>
                <w:kern w:val="0"/>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ascii="宋体" w:hAnsi="宋体" w:cs="宋体"/>
                <w:kern w:val="0"/>
                <w:highlight w:val="none"/>
              </w:rPr>
              <w:t>10</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highlight w:val="none"/>
              </w:rPr>
            </w:pPr>
            <w:r>
              <w:rPr>
                <w:rFonts w:hint="eastAsia" w:ascii="宋体" w:hAnsi="宋体" w:cs="宋体"/>
                <w:kern w:val="0"/>
                <w:highlight w:val="none"/>
              </w:rPr>
              <w:t>需要补充的其他内容</w:t>
            </w: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cs="宋体"/>
                <w:kern w:val="0"/>
                <w:highlight w:val="none"/>
              </w:rPr>
              <w:t>10.1费用</w:t>
            </w:r>
          </w:p>
          <w:p>
            <w:pPr>
              <w:snapToGrid w:val="0"/>
              <w:ind w:firstLine="0" w:firstLineChars="0"/>
              <w:rPr>
                <w:rFonts w:ascii="宋体" w:hAnsi="宋体" w:cs="宋体"/>
                <w:kern w:val="0"/>
                <w:highlight w:val="none"/>
              </w:rPr>
            </w:pPr>
            <w:r>
              <w:rPr>
                <w:rFonts w:ascii="宋体" w:hAnsi="宋体" w:cs="宋体"/>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highlight w:val="none"/>
              </w:rPr>
            </w:pPr>
            <w:r>
              <w:rPr>
                <w:rFonts w:ascii="宋体" w:hAnsi="宋体" w:cs="宋体"/>
                <w:kern w:val="0"/>
                <w:highlight w:val="none"/>
              </w:rPr>
              <w:t>10.2重新招标</w:t>
            </w:r>
          </w:p>
          <w:p>
            <w:pPr>
              <w:snapToGrid w:val="0"/>
              <w:ind w:firstLine="0" w:firstLineChars="0"/>
              <w:rPr>
                <w:rFonts w:ascii="宋体" w:hAnsi="宋体" w:cs="宋体"/>
                <w:kern w:val="0"/>
                <w:highlight w:val="none"/>
              </w:rPr>
            </w:pPr>
            <w:r>
              <w:rPr>
                <w:rFonts w:ascii="宋体" w:hAnsi="宋体" w:cs="宋体"/>
                <w:kern w:val="0"/>
                <w:highlight w:val="none"/>
              </w:rPr>
              <w:t>10.2.1有下列情形之一的，招标人将重新招标：</w:t>
            </w:r>
          </w:p>
          <w:p>
            <w:pPr>
              <w:snapToGrid w:val="0"/>
              <w:ind w:firstLine="0" w:firstLineChars="0"/>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1）招标文件获取截止时间止，获取招标文件的潜在投标人少于3个的；</w:t>
            </w:r>
          </w:p>
          <w:p>
            <w:pPr>
              <w:snapToGrid w:val="0"/>
              <w:ind w:firstLine="0" w:firstLineChars="0"/>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2）投标截止时间止，提交投标文件的投标人少于3个的；</w:t>
            </w:r>
          </w:p>
          <w:p>
            <w:pPr>
              <w:snapToGrid w:val="0"/>
              <w:ind w:firstLine="0" w:firstLineChars="0"/>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3）经评标委员会评审后否决所有投标的；</w:t>
            </w:r>
          </w:p>
          <w:p>
            <w:pPr>
              <w:snapToGrid w:val="0"/>
              <w:ind w:firstLine="0" w:firstLineChars="0"/>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4）评标委员会否决一部分投标后其他有效投标不足3个使得投标明显缺乏竞争，决定否决全部投标的；</w:t>
            </w:r>
          </w:p>
          <w:p>
            <w:pPr>
              <w:snapToGrid w:val="0"/>
              <w:ind w:firstLine="0" w:firstLineChars="0"/>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5）根据第二章第3.3.3项规定，同意延长投标有效期的投标人少于3个的；</w:t>
            </w:r>
          </w:p>
          <w:p>
            <w:pPr>
              <w:snapToGrid w:val="0"/>
              <w:ind w:firstLine="0" w:firstLineChars="0"/>
              <w:rPr>
                <w:rFonts w:ascii="宋体" w:hAnsi="宋体" w:cs="宋体"/>
                <w:kern w:val="0"/>
                <w:highlight w:val="none"/>
              </w:rPr>
            </w:pPr>
            <w:r>
              <w:rPr>
                <w:rFonts w:ascii="宋体" w:hAnsi="宋体" w:cs="宋体"/>
                <w:kern w:val="0"/>
                <w:highlight w:val="none"/>
              </w:rPr>
              <w:t>10.2.2有第二章第7.4款、第三章第3.1.2（2）目所列情形的投标人不得参与该项目的重新招标。</w:t>
            </w:r>
          </w:p>
          <w:p>
            <w:pPr>
              <w:snapToGrid w:val="0"/>
              <w:ind w:firstLine="0" w:firstLineChars="0"/>
              <w:rPr>
                <w:rFonts w:ascii="宋体" w:hAnsi="宋体" w:cs="宋体"/>
                <w:kern w:val="0"/>
                <w:highlight w:val="none"/>
              </w:rPr>
            </w:pPr>
            <w:r>
              <w:rPr>
                <w:rFonts w:ascii="宋体" w:hAnsi="宋体" w:cs="宋体"/>
                <w:kern w:val="0"/>
                <w:highlight w:val="none"/>
              </w:rPr>
              <w:t>10.2.3重新招标后仍存在第二章第10.2.1项情形的，按国家有关规定需要履行审批、核准手续的依法必须进行招标的项目，报项目审批、核准部门审批、核准后可以不再进行招标；其他工程建设项目，招标人可自行决定不再进行招标。</w:t>
            </w:r>
          </w:p>
          <w:p>
            <w:pPr>
              <w:snapToGrid w:val="0"/>
              <w:ind w:firstLine="0" w:firstLineChars="0"/>
              <w:rPr>
                <w:rFonts w:ascii="宋体" w:hAnsi="宋体" w:cs="宋体"/>
                <w:kern w:val="0"/>
                <w:highlight w:val="none"/>
              </w:rPr>
            </w:pPr>
            <w:r>
              <w:rPr>
                <w:rFonts w:hint="eastAsia" w:ascii="宋体" w:hAnsi="宋体" w:cs="宋体"/>
                <w:kern w:val="0"/>
                <w:highlight w:val="none"/>
              </w:rPr>
              <w:t>不再进行招标的项目，如有两家投标，招标人可进行两家开标；如只有一家投标，经评标委员会评审认可后，招标人可进行谈判采购。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ind w:firstLine="0" w:firstLineChars="0"/>
              <w:rPr>
                <w:highlight w:val="none"/>
              </w:rPr>
            </w:pPr>
            <w:r>
              <w:rPr>
                <w:rFonts w:ascii="宋体" w:hAnsi="宋体" w:cs="宋体"/>
                <w:kern w:val="0"/>
                <w:highlight w:val="none"/>
              </w:rPr>
              <w:t>10.3任何单位和个人对代理机构在招标采购活动中的违法行为，有权控告和检举，联系电话：</w:t>
            </w:r>
            <w:r>
              <w:rPr>
                <w:rFonts w:ascii="宋体" w:hAnsi="宋体"/>
                <w:szCs w:val="21"/>
                <w:highlight w:val="none"/>
              </w:rPr>
              <w:t>0514-87111559</w:t>
            </w:r>
            <w:r>
              <w:rPr>
                <w:rFonts w:hint="eastAsia" w:ascii="宋体" w:hAnsi="宋体"/>
                <w:szCs w:val="21"/>
                <w:highlight w:val="none"/>
              </w:rPr>
              <w:t>扬州市城建国有资产控股（集团）有限公司纪委办公室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pStyle w:val="2"/>
              <w:snapToGrid w:val="0"/>
              <w:spacing w:line="240" w:lineRule="auto"/>
              <w:ind w:firstLine="0" w:firstLineChars="0"/>
              <w:rPr>
                <w:rFonts w:cs="宋体"/>
                <w:bCs/>
                <w:kern w:val="0"/>
                <w:sz w:val="21"/>
                <w:szCs w:val="21"/>
                <w:highlight w:val="none"/>
              </w:rPr>
            </w:pPr>
            <w:r>
              <w:rPr>
                <w:rFonts w:hint="eastAsia" w:cs="宋体"/>
                <w:bCs/>
                <w:kern w:val="0"/>
                <w:sz w:val="21"/>
                <w:szCs w:val="21"/>
                <w:highlight w:val="none"/>
              </w:rPr>
              <w:t>10.4联系方式</w:t>
            </w:r>
          </w:p>
          <w:p>
            <w:pPr>
              <w:snapToGrid w:val="0"/>
              <w:ind w:firstLine="0" w:firstLineChars="0"/>
              <w:rPr>
                <w:rFonts w:ascii="宋体" w:hAnsi="宋体" w:cs="宋体"/>
                <w:kern w:val="0"/>
                <w:highlight w:val="none"/>
              </w:rPr>
            </w:pPr>
            <w:r>
              <w:rPr>
                <w:rFonts w:hint="eastAsia" w:ascii="宋体" w:hAnsi="宋体" w:cs="宋体"/>
                <w:bCs/>
                <w:kern w:val="0"/>
                <w:szCs w:val="21"/>
                <w:highlight w:val="none"/>
              </w:rPr>
              <w:t>自购买招标文件之日起，投标人应保证其提供的联系方式（电话、传真、电子邮件）一直有效，以保证往来函件（招标文件的澄清、修改等）能及时通知投标人，并能及时反馈信息，否则招标人不承担由此引起的一切后果。</w:t>
            </w:r>
          </w:p>
        </w:tc>
      </w:tr>
    </w:tbl>
    <w:p>
      <w:pPr>
        <w:pStyle w:val="4"/>
        <w:snapToGrid w:val="0"/>
        <w:spacing w:before="0" w:after="0" w:line="360" w:lineRule="auto"/>
        <w:jc w:val="both"/>
        <w:rPr>
          <w:rFonts w:ascii="宋体" w:hAnsi="宋体"/>
          <w:highlight w:val="none"/>
        </w:rPr>
      </w:pPr>
      <w:bookmarkStart w:id="40" w:name="_Toc20977"/>
      <w:bookmarkStart w:id="41" w:name="_Toc40699920"/>
      <w:bookmarkStart w:id="42" w:name="_Toc21971"/>
      <w:bookmarkStart w:id="43" w:name="_Toc30730"/>
      <w:bookmarkStart w:id="44" w:name="_Toc5019"/>
    </w:p>
    <w:p>
      <w:pPr>
        <w:pStyle w:val="4"/>
        <w:snapToGrid w:val="0"/>
        <w:spacing w:before="0" w:after="0" w:line="360" w:lineRule="auto"/>
        <w:rPr>
          <w:rFonts w:ascii="宋体" w:hAnsi="宋体"/>
          <w:highlight w:val="none"/>
        </w:rPr>
      </w:pPr>
      <w:r>
        <w:rPr>
          <w:rFonts w:ascii="宋体" w:hAnsi="宋体"/>
          <w:highlight w:val="none"/>
        </w:rPr>
        <w:t>1.总则</w:t>
      </w:r>
      <w:bookmarkEnd w:id="40"/>
      <w:bookmarkEnd w:id="41"/>
      <w:bookmarkEnd w:id="42"/>
      <w:bookmarkEnd w:id="43"/>
      <w:bookmarkEnd w:id="44"/>
    </w:p>
    <w:p>
      <w:pPr>
        <w:snapToGrid w:val="0"/>
        <w:spacing w:line="360" w:lineRule="auto"/>
        <w:outlineLvl w:val="2"/>
        <w:rPr>
          <w:rFonts w:ascii="宋体" w:hAnsi="宋体" w:cs="宋体"/>
          <w:kern w:val="0"/>
          <w:highlight w:val="none"/>
        </w:rPr>
      </w:pPr>
      <w:bookmarkStart w:id="45" w:name="_Toc2172"/>
      <w:bookmarkStart w:id="46" w:name="_Toc3122"/>
      <w:r>
        <w:rPr>
          <w:rFonts w:ascii="宋体" w:hAnsi="宋体" w:cs="宋体"/>
          <w:kern w:val="0"/>
          <w:highlight w:val="none"/>
        </w:rPr>
        <w:t>1.1招标项目概况</w:t>
      </w:r>
      <w:bookmarkEnd w:id="45"/>
      <w:bookmarkEnd w:id="46"/>
    </w:p>
    <w:p>
      <w:pPr>
        <w:snapToGrid w:val="0"/>
        <w:spacing w:line="360" w:lineRule="auto"/>
        <w:rPr>
          <w:rFonts w:ascii="宋体" w:hAnsi="宋体" w:cs="宋体"/>
          <w:kern w:val="0"/>
          <w:highlight w:val="none"/>
        </w:rPr>
      </w:pPr>
      <w:r>
        <w:rPr>
          <w:rFonts w:ascii="宋体" w:hAnsi="宋体" w:cs="宋体"/>
          <w:kern w:val="0"/>
          <w:highlight w:val="none"/>
        </w:rPr>
        <w:t>1.1.1根据《中华人民共和国招标投标法》、《中华人民共和国招标投标法实施条例》等有关法律、法规和规章的规定，本招标项目已具备招标条件，现对设备采购进行招标。</w:t>
      </w:r>
    </w:p>
    <w:p>
      <w:pPr>
        <w:snapToGrid w:val="0"/>
        <w:spacing w:line="360" w:lineRule="auto"/>
        <w:rPr>
          <w:rFonts w:ascii="宋体" w:hAnsi="宋体" w:cs="宋体"/>
          <w:kern w:val="0"/>
          <w:highlight w:val="none"/>
        </w:rPr>
      </w:pPr>
      <w:r>
        <w:rPr>
          <w:rFonts w:ascii="宋体" w:hAnsi="宋体" w:cs="宋体"/>
          <w:kern w:val="0"/>
          <w:highlight w:val="none"/>
        </w:rPr>
        <w:t>1.1.2招标人：见投标人须知前附表。</w:t>
      </w:r>
    </w:p>
    <w:p>
      <w:pPr>
        <w:snapToGrid w:val="0"/>
        <w:spacing w:line="360" w:lineRule="auto"/>
        <w:rPr>
          <w:rFonts w:ascii="宋体" w:hAnsi="宋体" w:cs="宋体"/>
          <w:kern w:val="0"/>
          <w:highlight w:val="none"/>
        </w:rPr>
      </w:pPr>
      <w:r>
        <w:rPr>
          <w:rFonts w:ascii="宋体" w:hAnsi="宋体" w:cs="宋体"/>
          <w:kern w:val="0"/>
          <w:highlight w:val="none"/>
        </w:rPr>
        <w:t>1.1.3招标代理机构：见投标人须知前附表。</w:t>
      </w:r>
    </w:p>
    <w:p>
      <w:pPr>
        <w:snapToGrid w:val="0"/>
        <w:spacing w:line="360" w:lineRule="auto"/>
        <w:rPr>
          <w:rFonts w:ascii="宋体" w:hAnsi="宋体" w:cs="宋体"/>
          <w:kern w:val="0"/>
          <w:highlight w:val="none"/>
        </w:rPr>
      </w:pPr>
      <w:r>
        <w:rPr>
          <w:rFonts w:ascii="宋体" w:hAnsi="宋体" w:cs="宋体"/>
          <w:kern w:val="0"/>
          <w:highlight w:val="none"/>
        </w:rPr>
        <w:t>1.1.4招标项目名称：见投标人须知前附表。</w:t>
      </w:r>
    </w:p>
    <w:p>
      <w:pPr>
        <w:snapToGrid w:val="0"/>
        <w:spacing w:line="360" w:lineRule="auto"/>
        <w:rPr>
          <w:rFonts w:ascii="宋体" w:hAnsi="宋体" w:cs="宋体"/>
          <w:kern w:val="0"/>
          <w:highlight w:val="none"/>
        </w:rPr>
      </w:pPr>
      <w:r>
        <w:rPr>
          <w:rFonts w:ascii="宋体" w:hAnsi="宋体" w:cs="宋体"/>
          <w:kern w:val="0"/>
          <w:highlight w:val="none"/>
        </w:rPr>
        <w:t>1.1.5工程项目名称：即招标项目所属的工程建设项目，见投标人须知前附表。</w:t>
      </w:r>
    </w:p>
    <w:p>
      <w:pPr>
        <w:snapToGrid w:val="0"/>
        <w:spacing w:line="360" w:lineRule="auto"/>
        <w:outlineLvl w:val="2"/>
        <w:rPr>
          <w:rFonts w:ascii="宋体" w:hAnsi="宋体" w:cs="宋体"/>
          <w:kern w:val="0"/>
          <w:highlight w:val="none"/>
        </w:rPr>
      </w:pPr>
      <w:bookmarkStart w:id="47" w:name="_Toc5683"/>
      <w:bookmarkStart w:id="48" w:name="_Toc27621"/>
      <w:r>
        <w:rPr>
          <w:rFonts w:ascii="宋体" w:hAnsi="宋体" w:cs="宋体"/>
          <w:kern w:val="0"/>
          <w:highlight w:val="none"/>
        </w:rPr>
        <w:t>1.2招标项目的资金来源和落实情况</w:t>
      </w:r>
      <w:bookmarkEnd w:id="47"/>
      <w:bookmarkEnd w:id="48"/>
    </w:p>
    <w:p>
      <w:pPr>
        <w:snapToGrid w:val="0"/>
        <w:spacing w:line="360" w:lineRule="auto"/>
        <w:rPr>
          <w:rFonts w:ascii="宋体" w:hAnsi="宋体" w:cs="宋体"/>
          <w:kern w:val="0"/>
          <w:highlight w:val="none"/>
        </w:rPr>
      </w:pPr>
      <w:r>
        <w:rPr>
          <w:rFonts w:ascii="宋体" w:hAnsi="宋体" w:cs="宋体"/>
          <w:kern w:val="0"/>
          <w:highlight w:val="none"/>
        </w:rPr>
        <w:t>1.2.1资金来源及比例：见投标人须知前附表。</w:t>
      </w:r>
    </w:p>
    <w:p>
      <w:pPr>
        <w:snapToGrid w:val="0"/>
        <w:spacing w:line="360" w:lineRule="auto"/>
        <w:rPr>
          <w:rFonts w:ascii="宋体" w:hAnsi="宋体" w:cs="宋体"/>
          <w:kern w:val="0"/>
          <w:highlight w:val="none"/>
        </w:rPr>
      </w:pPr>
      <w:r>
        <w:rPr>
          <w:rFonts w:ascii="宋体" w:hAnsi="宋体" w:cs="宋体"/>
          <w:kern w:val="0"/>
          <w:highlight w:val="none"/>
        </w:rPr>
        <w:t>1.2.2资金落实情况：见投标人须知前附表。</w:t>
      </w:r>
    </w:p>
    <w:p>
      <w:pPr>
        <w:snapToGrid w:val="0"/>
        <w:spacing w:line="360" w:lineRule="auto"/>
        <w:outlineLvl w:val="2"/>
        <w:rPr>
          <w:rFonts w:ascii="宋体" w:hAnsi="宋体" w:cs="宋体"/>
          <w:kern w:val="0"/>
          <w:highlight w:val="none"/>
        </w:rPr>
      </w:pPr>
      <w:bookmarkStart w:id="49" w:name="_Toc20567"/>
      <w:bookmarkStart w:id="50" w:name="_Toc16537"/>
      <w:r>
        <w:rPr>
          <w:rFonts w:ascii="宋体" w:hAnsi="宋体" w:cs="宋体"/>
          <w:kern w:val="0"/>
          <w:highlight w:val="none"/>
        </w:rPr>
        <w:t>1.3招标范围、交货期、交货地点和技术性能指标</w:t>
      </w:r>
      <w:bookmarkEnd w:id="49"/>
      <w:bookmarkEnd w:id="50"/>
    </w:p>
    <w:p>
      <w:pPr>
        <w:snapToGrid w:val="0"/>
        <w:spacing w:line="360" w:lineRule="auto"/>
        <w:rPr>
          <w:rFonts w:ascii="宋体" w:hAnsi="宋体" w:cs="宋体"/>
          <w:kern w:val="0"/>
          <w:highlight w:val="none"/>
        </w:rPr>
      </w:pPr>
      <w:r>
        <w:rPr>
          <w:rFonts w:ascii="宋体" w:hAnsi="宋体" w:cs="宋体"/>
          <w:kern w:val="0"/>
          <w:highlight w:val="none"/>
        </w:rPr>
        <w:t>1.3.1招标范围：见投标人须知前附表。</w:t>
      </w:r>
    </w:p>
    <w:p>
      <w:pPr>
        <w:snapToGrid w:val="0"/>
        <w:spacing w:line="360" w:lineRule="auto"/>
        <w:rPr>
          <w:rFonts w:ascii="宋体" w:hAnsi="宋体" w:cs="宋体"/>
          <w:kern w:val="0"/>
          <w:highlight w:val="none"/>
        </w:rPr>
      </w:pPr>
      <w:r>
        <w:rPr>
          <w:rFonts w:ascii="宋体" w:hAnsi="宋体" w:cs="宋体"/>
          <w:kern w:val="0"/>
          <w:highlight w:val="none"/>
        </w:rPr>
        <w:t>1.3.2交货期：见投标人须知前附表。</w:t>
      </w:r>
    </w:p>
    <w:p>
      <w:pPr>
        <w:snapToGrid w:val="0"/>
        <w:spacing w:line="360" w:lineRule="auto"/>
        <w:rPr>
          <w:rFonts w:ascii="宋体" w:hAnsi="宋体" w:cs="宋体"/>
          <w:kern w:val="0"/>
          <w:highlight w:val="none"/>
        </w:rPr>
      </w:pPr>
      <w:r>
        <w:rPr>
          <w:rFonts w:ascii="宋体" w:hAnsi="宋体" w:cs="宋体"/>
          <w:kern w:val="0"/>
          <w:highlight w:val="none"/>
        </w:rPr>
        <w:t>1.3.3交货地点：见投标人须知前附表。</w:t>
      </w:r>
    </w:p>
    <w:p>
      <w:pPr>
        <w:snapToGrid w:val="0"/>
        <w:spacing w:line="360" w:lineRule="auto"/>
        <w:rPr>
          <w:rFonts w:ascii="宋体" w:hAnsi="宋体" w:cs="宋体"/>
          <w:kern w:val="0"/>
          <w:highlight w:val="none"/>
        </w:rPr>
      </w:pPr>
      <w:r>
        <w:rPr>
          <w:rFonts w:ascii="宋体" w:hAnsi="宋体" w:cs="宋体"/>
          <w:kern w:val="0"/>
          <w:highlight w:val="none"/>
        </w:rPr>
        <w:t>1.3.4技术性能指标：见投标人须知前附表。</w:t>
      </w:r>
    </w:p>
    <w:p>
      <w:pPr>
        <w:snapToGrid w:val="0"/>
        <w:spacing w:line="360" w:lineRule="auto"/>
        <w:outlineLvl w:val="2"/>
        <w:rPr>
          <w:rFonts w:ascii="宋体" w:hAnsi="宋体" w:cs="宋体"/>
          <w:kern w:val="0"/>
          <w:highlight w:val="none"/>
        </w:rPr>
      </w:pPr>
      <w:bookmarkStart w:id="51" w:name="_Toc13957"/>
      <w:bookmarkStart w:id="52" w:name="_Toc22210"/>
      <w:r>
        <w:rPr>
          <w:rFonts w:ascii="宋体" w:hAnsi="宋体" w:cs="宋体"/>
          <w:kern w:val="0"/>
          <w:highlight w:val="none"/>
        </w:rPr>
        <w:t>1.4投标人资格要求</w:t>
      </w:r>
      <w:bookmarkEnd w:id="51"/>
      <w:bookmarkEnd w:id="52"/>
    </w:p>
    <w:p>
      <w:pPr>
        <w:snapToGrid w:val="0"/>
        <w:spacing w:line="360" w:lineRule="auto"/>
        <w:rPr>
          <w:rFonts w:ascii="宋体" w:hAnsi="宋体" w:cs="宋体"/>
          <w:kern w:val="0"/>
          <w:highlight w:val="none"/>
        </w:rPr>
      </w:pPr>
      <w:r>
        <w:rPr>
          <w:rFonts w:ascii="宋体" w:hAnsi="宋体" w:cs="宋体"/>
          <w:kern w:val="0"/>
          <w:highlight w:val="none"/>
        </w:rPr>
        <w:t>1.4.1投标人应具备承担本招标项目资质条件、能力和信誉：</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1）资质要求：见投标人须知前附表；</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2）财务要求：见投标人须知前附表；</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3）业绩要求：见投标人须知前附表；</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4）信誉要求：见投标人须知前附表；</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5）其他要求：见投标人须知前附表。</w:t>
      </w:r>
    </w:p>
    <w:p>
      <w:pPr>
        <w:snapToGrid w:val="0"/>
        <w:spacing w:line="360" w:lineRule="auto"/>
        <w:rPr>
          <w:rFonts w:ascii="宋体" w:hAnsi="宋体" w:cs="宋体"/>
          <w:kern w:val="0"/>
          <w:highlight w:val="none"/>
        </w:rPr>
      </w:pPr>
      <w:r>
        <w:rPr>
          <w:rFonts w:hint="eastAsia" w:ascii="宋体" w:hAnsi="宋体" w:cs="宋体"/>
          <w:kern w:val="0"/>
          <w:highlight w:val="none"/>
        </w:rPr>
        <w:t>需要提交的相关证明材料见本章第</w:t>
      </w:r>
      <w:r>
        <w:rPr>
          <w:rFonts w:ascii="宋体" w:hAnsi="宋体" w:cs="宋体"/>
          <w:kern w:val="0"/>
          <w:highlight w:val="none"/>
        </w:rPr>
        <w:t>3.5款的规定。</w:t>
      </w:r>
    </w:p>
    <w:p>
      <w:pPr>
        <w:snapToGrid w:val="0"/>
        <w:spacing w:line="360" w:lineRule="auto"/>
        <w:rPr>
          <w:rFonts w:ascii="宋体" w:hAnsi="宋体" w:cs="宋体"/>
          <w:kern w:val="0"/>
          <w:highlight w:val="none"/>
        </w:rPr>
      </w:pPr>
      <w:r>
        <w:rPr>
          <w:rFonts w:ascii="宋体" w:hAnsi="宋体" w:cs="宋体"/>
          <w:kern w:val="0"/>
          <w:highlight w:val="none"/>
        </w:rPr>
        <w:t>1.4.2投标人须知前附表规定接受联合体投标的，联合体除应符合本章第1.4.1项和投标人须知前附表的要求外，还应遵守以下规定：</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1）联合体各方应按招标文件提供的格式签订联合体协议书，明确联合体牵头人和各方权利义务，并承诺就中标项目向招标人承担连带责任；</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2）由同一专业的单位组成的联合体，按照资质等级较低的单位确定资质等级；</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3）联合体各方不得再以自己名义单独或参加其他联合体在本招标项目中投标，否则各相关投标均无效。</w:t>
      </w:r>
    </w:p>
    <w:p>
      <w:pPr>
        <w:snapToGrid w:val="0"/>
        <w:spacing w:line="360" w:lineRule="auto"/>
        <w:rPr>
          <w:rFonts w:ascii="宋体" w:hAnsi="宋体" w:cs="宋体"/>
          <w:kern w:val="0"/>
          <w:highlight w:val="none"/>
        </w:rPr>
      </w:pPr>
      <w:r>
        <w:rPr>
          <w:rFonts w:ascii="宋体" w:hAnsi="宋体" w:cs="宋体"/>
          <w:kern w:val="0"/>
          <w:highlight w:val="none"/>
        </w:rPr>
        <w:t>1.4.3投标人不得存在下列情形之一：</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1）与招标人存在利害关系且可能影响招标公正性；</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2）与本招标项目的其他投标人为同一个单位负责人；</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3）与本招标项目的其他投标人存在控股、管理关系；</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4）与本招标项目其他投标人代理同一个制造商同一品牌同一型号的设备投标；</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5）为本招标项目提供过设计、编制技术规范和其他文件的咨询服务；</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6）为本工程项目的相关监理人，或者与本工程项目的相关监理人存在隶属关系或者其他利害关系；</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7）为本招标项目的代建人；</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8）为本招标项目的招标代理机构；</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9）与本招标项目的监理人或代建人或招标代理机构同为一个法定代表人；</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10）与本招标项目的监理人或代建人或招标代理机构存在控股或参股关系；</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11）被依法暂停或者取消投标资格；</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12）被责令停产停业、暂扣或者吊销许可证、暂扣或者吊销执照；</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13）进入清算程序，或被宣告破产，或其他丧失履约能力的情形；</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14）在最近三年内发生重大产品质量问题（以相关行业主管部门的行政处罚决定或司法机关出具的有关法律文书为准）；</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15）被工商行政管理机关在全国企业信用信息公示系统中列入严重违法失信企业名单；</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16）被最高人民法院在“信用中国”网站（www.creditchina.gov.cn）或各级信用信息共享平台中列入失信被执行人名单；</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17）在近三年内投标人或其法定代表人、拟委任的项目负责人有行贿犯罪行为的；</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18）法律法规或投标人须知前附表规定的其他情形。</w:t>
      </w:r>
    </w:p>
    <w:p>
      <w:pPr>
        <w:snapToGrid w:val="0"/>
        <w:spacing w:line="360" w:lineRule="auto"/>
        <w:outlineLvl w:val="2"/>
        <w:rPr>
          <w:rFonts w:ascii="宋体" w:hAnsi="宋体" w:cs="宋体"/>
          <w:kern w:val="0"/>
          <w:highlight w:val="none"/>
        </w:rPr>
      </w:pPr>
      <w:bookmarkStart w:id="53" w:name="_Toc19031"/>
      <w:bookmarkStart w:id="54" w:name="_Toc18665"/>
      <w:r>
        <w:rPr>
          <w:rFonts w:ascii="宋体" w:hAnsi="宋体" w:cs="宋体"/>
          <w:kern w:val="0"/>
          <w:highlight w:val="none"/>
        </w:rPr>
        <w:t>1.5费用承担</w:t>
      </w:r>
      <w:bookmarkEnd w:id="53"/>
      <w:bookmarkEnd w:id="54"/>
    </w:p>
    <w:p>
      <w:pPr>
        <w:snapToGrid w:val="0"/>
        <w:spacing w:line="360" w:lineRule="auto"/>
        <w:rPr>
          <w:rFonts w:ascii="宋体" w:hAnsi="宋体" w:cs="宋体"/>
          <w:kern w:val="0"/>
          <w:highlight w:val="none"/>
        </w:rPr>
      </w:pPr>
      <w:r>
        <w:rPr>
          <w:rFonts w:hint="eastAsia" w:ascii="宋体" w:hAnsi="宋体" w:cs="宋体"/>
          <w:kern w:val="0"/>
          <w:highlight w:val="none"/>
        </w:rPr>
        <w:t>投标人准备和参加投标活动发生的费用自理。</w:t>
      </w:r>
    </w:p>
    <w:p>
      <w:pPr>
        <w:snapToGrid w:val="0"/>
        <w:spacing w:line="360" w:lineRule="auto"/>
        <w:outlineLvl w:val="2"/>
        <w:rPr>
          <w:rFonts w:ascii="宋体" w:hAnsi="宋体" w:cs="宋体"/>
          <w:kern w:val="0"/>
          <w:highlight w:val="none"/>
        </w:rPr>
      </w:pPr>
      <w:bookmarkStart w:id="55" w:name="_Toc13934"/>
      <w:bookmarkStart w:id="56" w:name="_Toc30992"/>
      <w:r>
        <w:rPr>
          <w:rFonts w:ascii="宋体" w:hAnsi="宋体" w:cs="宋体"/>
          <w:kern w:val="0"/>
          <w:highlight w:val="none"/>
        </w:rPr>
        <w:t>1.6保密</w:t>
      </w:r>
      <w:bookmarkEnd w:id="55"/>
      <w:bookmarkEnd w:id="56"/>
    </w:p>
    <w:p>
      <w:pPr>
        <w:snapToGrid w:val="0"/>
        <w:spacing w:line="360" w:lineRule="auto"/>
        <w:rPr>
          <w:rFonts w:ascii="宋体" w:hAnsi="宋体" w:cs="宋体"/>
          <w:kern w:val="0"/>
          <w:highlight w:val="none"/>
        </w:rPr>
      </w:pPr>
      <w:r>
        <w:rPr>
          <w:rFonts w:hint="eastAsia" w:ascii="宋体" w:hAnsi="宋体" w:cs="宋体"/>
          <w:kern w:val="0"/>
          <w:highlight w:val="none"/>
        </w:rPr>
        <w:t>参与招标投标活动的各方应对招标文件和投标文件中的商业和技术等秘密保密，否则应承担相应的法律责任。</w:t>
      </w:r>
    </w:p>
    <w:p>
      <w:pPr>
        <w:snapToGrid w:val="0"/>
        <w:spacing w:line="360" w:lineRule="auto"/>
        <w:outlineLvl w:val="2"/>
        <w:rPr>
          <w:rFonts w:ascii="宋体" w:hAnsi="宋体" w:cs="宋体"/>
          <w:kern w:val="0"/>
          <w:highlight w:val="none"/>
        </w:rPr>
      </w:pPr>
      <w:bookmarkStart w:id="57" w:name="_Toc3467"/>
      <w:bookmarkStart w:id="58" w:name="_Toc25953"/>
      <w:r>
        <w:rPr>
          <w:rFonts w:ascii="宋体" w:hAnsi="宋体" w:cs="宋体"/>
          <w:kern w:val="0"/>
          <w:highlight w:val="none"/>
        </w:rPr>
        <w:t>1.7语言文字</w:t>
      </w:r>
      <w:bookmarkEnd w:id="57"/>
      <w:bookmarkEnd w:id="58"/>
    </w:p>
    <w:p>
      <w:pPr>
        <w:snapToGrid w:val="0"/>
        <w:spacing w:line="360" w:lineRule="auto"/>
        <w:rPr>
          <w:rFonts w:ascii="宋体" w:hAnsi="宋体" w:cs="宋体"/>
          <w:kern w:val="0"/>
          <w:highlight w:val="none"/>
        </w:rPr>
      </w:pPr>
      <w:r>
        <w:rPr>
          <w:rFonts w:hint="eastAsia" w:ascii="宋体" w:hAnsi="宋体" w:cs="宋体"/>
          <w:kern w:val="0"/>
          <w:highlight w:val="none"/>
        </w:rPr>
        <w:t>招标投标文件使用的语言文字为中文。专用术语使用外文的，应附有中文注释。</w:t>
      </w:r>
    </w:p>
    <w:p>
      <w:pPr>
        <w:snapToGrid w:val="0"/>
        <w:spacing w:line="360" w:lineRule="auto"/>
        <w:outlineLvl w:val="2"/>
        <w:rPr>
          <w:rFonts w:ascii="宋体" w:hAnsi="宋体" w:cs="宋体"/>
          <w:kern w:val="0"/>
          <w:highlight w:val="none"/>
        </w:rPr>
      </w:pPr>
      <w:bookmarkStart w:id="59" w:name="_Toc26546"/>
      <w:bookmarkStart w:id="60" w:name="_Toc4247"/>
      <w:r>
        <w:rPr>
          <w:rFonts w:ascii="宋体" w:hAnsi="宋体" w:cs="宋体"/>
          <w:kern w:val="0"/>
          <w:highlight w:val="none"/>
        </w:rPr>
        <w:t>1.8计量单位</w:t>
      </w:r>
      <w:bookmarkEnd w:id="59"/>
      <w:bookmarkEnd w:id="60"/>
    </w:p>
    <w:p>
      <w:pPr>
        <w:snapToGrid w:val="0"/>
        <w:spacing w:line="360" w:lineRule="auto"/>
        <w:rPr>
          <w:rFonts w:ascii="宋体" w:hAnsi="宋体" w:cs="宋体"/>
          <w:kern w:val="0"/>
          <w:highlight w:val="none"/>
        </w:rPr>
      </w:pPr>
      <w:r>
        <w:rPr>
          <w:rFonts w:hint="eastAsia" w:ascii="宋体" w:hAnsi="宋体" w:cs="宋体"/>
          <w:kern w:val="0"/>
          <w:highlight w:val="none"/>
        </w:rPr>
        <w:t>所有计量均采用中华人民共和国法定计量单位。</w:t>
      </w:r>
    </w:p>
    <w:p>
      <w:pPr>
        <w:snapToGrid w:val="0"/>
        <w:spacing w:line="360" w:lineRule="auto"/>
        <w:outlineLvl w:val="2"/>
        <w:rPr>
          <w:rFonts w:ascii="宋体" w:hAnsi="宋体" w:cs="宋体"/>
          <w:kern w:val="0"/>
          <w:highlight w:val="none"/>
        </w:rPr>
      </w:pPr>
      <w:bookmarkStart w:id="61" w:name="_Toc4655"/>
      <w:bookmarkStart w:id="62" w:name="_Toc7847"/>
      <w:r>
        <w:rPr>
          <w:rFonts w:ascii="宋体" w:hAnsi="宋体" w:cs="宋体"/>
          <w:kern w:val="0"/>
          <w:highlight w:val="none"/>
        </w:rPr>
        <w:t>1.9投标预备会</w:t>
      </w:r>
      <w:bookmarkEnd w:id="61"/>
      <w:bookmarkEnd w:id="62"/>
    </w:p>
    <w:p>
      <w:pPr>
        <w:snapToGrid w:val="0"/>
        <w:spacing w:line="360" w:lineRule="auto"/>
        <w:rPr>
          <w:rFonts w:ascii="宋体" w:hAnsi="宋体" w:cs="宋体"/>
          <w:kern w:val="0"/>
          <w:highlight w:val="none"/>
        </w:rPr>
      </w:pPr>
      <w:r>
        <w:rPr>
          <w:rFonts w:ascii="宋体" w:hAnsi="宋体" w:cs="宋体"/>
          <w:kern w:val="0"/>
          <w:highlight w:val="none"/>
        </w:rPr>
        <w:t>1.9.1投标人须知前附表规定召开投标预备会的，招标人按投标人须知前附表规定的时间和地点召开投标预备会，澄清投标人提出的问题。</w:t>
      </w:r>
    </w:p>
    <w:p>
      <w:pPr>
        <w:snapToGrid w:val="0"/>
        <w:spacing w:line="360" w:lineRule="auto"/>
        <w:rPr>
          <w:rFonts w:ascii="宋体" w:hAnsi="宋体" w:cs="宋体"/>
          <w:kern w:val="0"/>
          <w:highlight w:val="none"/>
        </w:rPr>
      </w:pPr>
      <w:r>
        <w:rPr>
          <w:rFonts w:ascii="宋体" w:hAnsi="宋体" w:cs="宋体"/>
          <w:kern w:val="0"/>
          <w:highlight w:val="none"/>
        </w:rPr>
        <w:t>1.9.2投标人应按投标人须知前附表规定的时间和形式将提出的问题送达招标人，以便招标人在会议期间澄清。</w:t>
      </w:r>
    </w:p>
    <w:p>
      <w:pPr>
        <w:snapToGrid w:val="0"/>
        <w:spacing w:line="360" w:lineRule="auto"/>
        <w:rPr>
          <w:rFonts w:ascii="宋体" w:hAnsi="宋体" w:cs="宋体"/>
          <w:kern w:val="0"/>
          <w:highlight w:val="none"/>
        </w:rPr>
      </w:pPr>
      <w:r>
        <w:rPr>
          <w:rFonts w:ascii="宋体" w:hAnsi="宋体" w:cs="宋体"/>
          <w:kern w:val="0"/>
          <w:highlight w:val="none"/>
        </w:rPr>
        <w:t>1.9.3投标预备会后，招标人将对投标人所提问题的澄清，以投标人须知前附表规定的形式通知所有购买招标文件的投标人。该澄清内容为招标文件的组成部分。</w:t>
      </w:r>
    </w:p>
    <w:p>
      <w:pPr>
        <w:snapToGrid w:val="0"/>
        <w:spacing w:line="360" w:lineRule="auto"/>
        <w:outlineLvl w:val="2"/>
        <w:rPr>
          <w:rFonts w:ascii="宋体" w:hAnsi="宋体" w:cs="宋体"/>
          <w:kern w:val="0"/>
          <w:highlight w:val="none"/>
        </w:rPr>
      </w:pPr>
      <w:bookmarkStart w:id="63" w:name="_Toc8602"/>
      <w:bookmarkStart w:id="64" w:name="_Toc25802"/>
      <w:r>
        <w:rPr>
          <w:rFonts w:ascii="宋体" w:hAnsi="宋体" w:cs="宋体"/>
          <w:kern w:val="0"/>
          <w:highlight w:val="none"/>
        </w:rPr>
        <w:t>1.10分包</w:t>
      </w:r>
      <w:bookmarkEnd w:id="63"/>
      <w:bookmarkEnd w:id="64"/>
    </w:p>
    <w:p>
      <w:pPr>
        <w:snapToGrid w:val="0"/>
        <w:spacing w:line="360" w:lineRule="auto"/>
        <w:rPr>
          <w:rFonts w:ascii="宋体" w:hAnsi="宋体" w:cs="宋体"/>
          <w:kern w:val="0"/>
          <w:highlight w:val="none"/>
        </w:rPr>
      </w:pPr>
      <w:r>
        <w:rPr>
          <w:rFonts w:ascii="宋体" w:hAnsi="宋体" w:cs="宋体"/>
          <w:kern w:val="0"/>
          <w:highlight w:val="none"/>
        </w:rPr>
        <w:t>1.10.1投标人拟在中标后将中标项目的非主体设备进行分包的，应符合投标人须知前附表规定的分包内容、分包金额和资质要求等限制性条件，除投标人须知前附表规定的非主体设备外，其他工作不得分包。</w:t>
      </w:r>
    </w:p>
    <w:p>
      <w:pPr>
        <w:snapToGrid w:val="0"/>
        <w:spacing w:line="360" w:lineRule="auto"/>
        <w:rPr>
          <w:rFonts w:ascii="宋体" w:hAnsi="宋体" w:cs="宋体"/>
          <w:kern w:val="0"/>
          <w:highlight w:val="none"/>
        </w:rPr>
      </w:pPr>
      <w:r>
        <w:rPr>
          <w:rFonts w:ascii="宋体" w:hAnsi="宋体" w:cs="宋体"/>
          <w:kern w:val="0"/>
          <w:highlight w:val="none"/>
        </w:rPr>
        <w:t>1.10.2中标人不得向他人转让中标项目，接受分包的人不得再次分包。中标人应当就分包项目向招标人负责，接受分包的人就分包项目承担连带责任。</w:t>
      </w:r>
    </w:p>
    <w:p>
      <w:pPr>
        <w:snapToGrid w:val="0"/>
        <w:spacing w:line="360" w:lineRule="auto"/>
        <w:outlineLvl w:val="2"/>
        <w:rPr>
          <w:rFonts w:ascii="宋体" w:hAnsi="宋体" w:cs="宋体"/>
          <w:kern w:val="0"/>
          <w:highlight w:val="none"/>
        </w:rPr>
      </w:pPr>
      <w:bookmarkStart w:id="65" w:name="_Toc7456"/>
      <w:bookmarkStart w:id="66" w:name="_Toc24475"/>
      <w:r>
        <w:rPr>
          <w:rFonts w:ascii="宋体" w:hAnsi="宋体" w:cs="宋体"/>
          <w:kern w:val="0"/>
          <w:highlight w:val="none"/>
        </w:rPr>
        <w:t>1.11响应和偏差</w:t>
      </w:r>
      <w:bookmarkEnd w:id="65"/>
      <w:bookmarkEnd w:id="66"/>
    </w:p>
    <w:p>
      <w:pPr>
        <w:snapToGrid w:val="0"/>
        <w:spacing w:line="360" w:lineRule="auto"/>
        <w:rPr>
          <w:rFonts w:ascii="宋体" w:hAnsi="宋体" w:cs="宋体"/>
          <w:kern w:val="0"/>
          <w:highlight w:val="none"/>
        </w:rPr>
      </w:pPr>
      <w:r>
        <w:rPr>
          <w:rFonts w:ascii="宋体" w:hAnsi="宋体" w:cs="宋体"/>
          <w:kern w:val="0"/>
          <w:highlight w:val="none"/>
        </w:rPr>
        <w:t>1.11.1投标文件应当对招标文件的实质性要求和条件作出满足性或更有利于招标人的响应，否则，投标人的投标将被否决。实质性要求和条件见投标人须知前附表。</w:t>
      </w:r>
    </w:p>
    <w:p>
      <w:pPr>
        <w:snapToGrid w:val="0"/>
        <w:spacing w:line="360" w:lineRule="auto"/>
        <w:rPr>
          <w:rFonts w:ascii="宋体" w:hAnsi="宋体" w:cs="宋体"/>
          <w:kern w:val="0"/>
          <w:highlight w:val="none"/>
        </w:rPr>
      </w:pPr>
      <w:r>
        <w:rPr>
          <w:rFonts w:ascii="宋体" w:hAnsi="宋体" w:cs="宋体"/>
          <w:kern w:val="0"/>
          <w:highlight w:val="none"/>
        </w:rPr>
        <w:t>1.11.2投标人应根据招标文件的要求提供投标设备技术性能指标的详细描述、技术支持资料及技术服务和质保期服务计划等内容以对招标文件作出响应。</w:t>
      </w:r>
    </w:p>
    <w:p>
      <w:pPr>
        <w:snapToGrid w:val="0"/>
        <w:spacing w:line="360" w:lineRule="auto"/>
        <w:rPr>
          <w:rFonts w:ascii="宋体" w:hAnsi="宋体" w:cs="宋体"/>
          <w:kern w:val="0"/>
          <w:highlight w:val="none"/>
        </w:rPr>
      </w:pPr>
      <w:r>
        <w:rPr>
          <w:rFonts w:ascii="宋体" w:hAnsi="宋体" w:cs="宋体"/>
          <w:kern w:val="0"/>
          <w:highlight w:val="none"/>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spacing w:line="360" w:lineRule="auto"/>
        <w:rPr>
          <w:rFonts w:ascii="宋体" w:hAnsi="宋体" w:cs="宋体"/>
          <w:kern w:val="0"/>
          <w:highlight w:val="none"/>
        </w:rPr>
      </w:pPr>
      <w:r>
        <w:rPr>
          <w:rFonts w:ascii="宋体" w:hAnsi="宋体" w:cs="宋体"/>
          <w:kern w:val="0"/>
          <w:highlight w:val="none"/>
        </w:rPr>
        <w:t>1.11.4投标人须知前附表规定了可以偏差的范围和最高偏差项数的，偏差应当符合投标人须知前附表规定的偏差范围和最高项数，超出偏差范围和最高偏差项数的投标将被否决。</w:t>
      </w:r>
    </w:p>
    <w:p>
      <w:pPr>
        <w:snapToGrid w:val="0"/>
        <w:spacing w:line="360" w:lineRule="auto"/>
        <w:rPr>
          <w:rFonts w:ascii="宋体" w:hAnsi="宋体" w:cs="宋体"/>
          <w:kern w:val="0"/>
          <w:highlight w:val="none"/>
        </w:rPr>
      </w:pPr>
      <w:r>
        <w:rPr>
          <w:rFonts w:ascii="宋体" w:hAnsi="宋体" w:cs="宋体"/>
          <w:kern w:val="0"/>
          <w:highlight w:val="none"/>
        </w:rPr>
        <w:t>1.11.5投标文件对招标文件的全部偏差，均应在投标文件的商务和技术偏差表中列明，除列明的内容外，视为投标人响应招标文件的全部要求。</w:t>
      </w:r>
    </w:p>
    <w:p>
      <w:pPr>
        <w:pStyle w:val="4"/>
        <w:snapToGrid w:val="0"/>
        <w:spacing w:before="0" w:after="0" w:line="360" w:lineRule="auto"/>
        <w:rPr>
          <w:rFonts w:ascii="宋体" w:hAnsi="宋体"/>
          <w:highlight w:val="none"/>
        </w:rPr>
      </w:pPr>
      <w:bookmarkStart w:id="67" w:name="_Toc11015"/>
      <w:bookmarkStart w:id="68" w:name="_Toc10270"/>
      <w:bookmarkStart w:id="69" w:name="_Toc27112"/>
      <w:bookmarkStart w:id="70" w:name="_Toc40699921"/>
      <w:bookmarkStart w:id="71" w:name="_Toc27882"/>
      <w:r>
        <w:rPr>
          <w:rFonts w:ascii="宋体" w:hAnsi="宋体"/>
          <w:highlight w:val="none"/>
        </w:rPr>
        <w:t>2.招标文件</w:t>
      </w:r>
      <w:bookmarkEnd w:id="67"/>
      <w:bookmarkEnd w:id="68"/>
      <w:bookmarkEnd w:id="69"/>
      <w:bookmarkEnd w:id="70"/>
      <w:bookmarkEnd w:id="71"/>
    </w:p>
    <w:p>
      <w:pPr>
        <w:snapToGrid w:val="0"/>
        <w:spacing w:line="360" w:lineRule="auto"/>
        <w:outlineLvl w:val="2"/>
        <w:rPr>
          <w:rFonts w:ascii="宋体" w:hAnsi="宋体" w:cs="宋体"/>
          <w:kern w:val="0"/>
          <w:highlight w:val="none"/>
        </w:rPr>
      </w:pPr>
      <w:bookmarkStart w:id="72" w:name="_Toc23403"/>
      <w:bookmarkStart w:id="73" w:name="_Toc20341"/>
      <w:r>
        <w:rPr>
          <w:rFonts w:ascii="宋体" w:hAnsi="宋体" w:cs="宋体"/>
          <w:kern w:val="0"/>
          <w:highlight w:val="none"/>
        </w:rPr>
        <w:t>2.1招标文件的组成</w:t>
      </w:r>
      <w:bookmarkEnd w:id="72"/>
      <w:bookmarkEnd w:id="73"/>
    </w:p>
    <w:p>
      <w:pPr>
        <w:snapToGrid w:val="0"/>
        <w:spacing w:line="360" w:lineRule="auto"/>
        <w:rPr>
          <w:rFonts w:ascii="宋体" w:hAnsi="宋体" w:cs="宋体"/>
          <w:kern w:val="0"/>
          <w:highlight w:val="none"/>
        </w:rPr>
      </w:pPr>
      <w:r>
        <w:rPr>
          <w:rFonts w:hint="eastAsia" w:ascii="宋体" w:hAnsi="宋体" w:cs="宋体"/>
          <w:kern w:val="0"/>
          <w:highlight w:val="none"/>
        </w:rPr>
        <w:t>本招标文件包括：</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1）招标公告（或投标邀请书）；</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2）投标人须知；</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3）评标办法；</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4）合同条款及格式；</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5）供货要求；</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6）投标文件格式；</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7）投标人须知前附表规定的其他资料。</w:t>
      </w:r>
    </w:p>
    <w:p>
      <w:pPr>
        <w:snapToGrid w:val="0"/>
        <w:spacing w:line="360" w:lineRule="auto"/>
        <w:rPr>
          <w:rFonts w:ascii="宋体" w:hAnsi="宋体" w:cs="宋体"/>
          <w:kern w:val="0"/>
          <w:highlight w:val="none"/>
        </w:rPr>
      </w:pPr>
      <w:r>
        <w:rPr>
          <w:rFonts w:hint="eastAsia" w:ascii="宋体" w:hAnsi="宋体" w:cs="宋体"/>
          <w:kern w:val="0"/>
          <w:highlight w:val="none"/>
        </w:rPr>
        <w:t>根据本章第</w:t>
      </w:r>
      <w:r>
        <w:rPr>
          <w:rFonts w:ascii="宋体" w:hAnsi="宋体" w:cs="宋体"/>
          <w:kern w:val="0"/>
          <w:highlight w:val="none"/>
        </w:rPr>
        <w:t>1.9款、第2.2款和第2.3款对招标文件所作的澄清、修改，构成招标文件的组成部分。</w:t>
      </w:r>
    </w:p>
    <w:p>
      <w:pPr>
        <w:snapToGrid w:val="0"/>
        <w:spacing w:line="360" w:lineRule="auto"/>
        <w:outlineLvl w:val="2"/>
        <w:rPr>
          <w:rFonts w:ascii="宋体" w:hAnsi="宋体" w:cs="宋体"/>
          <w:kern w:val="0"/>
          <w:highlight w:val="none"/>
        </w:rPr>
      </w:pPr>
      <w:bookmarkStart w:id="74" w:name="_Toc23946"/>
      <w:bookmarkStart w:id="75" w:name="_Toc23892"/>
      <w:r>
        <w:rPr>
          <w:rFonts w:ascii="宋体" w:hAnsi="宋体" w:cs="宋体"/>
          <w:kern w:val="0"/>
          <w:highlight w:val="none"/>
        </w:rPr>
        <w:t>2.2招标文件的澄清</w:t>
      </w:r>
      <w:bookmarkEnd w:id="74"/>
      <w:bookmarkEnd w:id="75"/>
    </w:p>
    <w:p>
      <w:pPr>
        <w:snapToGrid w:val="0"/>
        <w:spacing w:line="360" w:lineRule="auto"/>
        <w:rPr>
          <w:rFonts w:ascii="宋体" w:hAnsi="宋体" w:cs="宋体"/>
          <w:kern w:val="0"/>
          <w:highlight w:val="none"/>
        </w:rPr>
      </w:pPr>
      <w:r>
        <w:rPr>
          <w:rFonts w:ascii="宋体" w:hAnsi="宋体" w:cs="宋体"/>
          <w:kern w:val="0"/>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ascii="宋体" w:hAnsi="宋体" w:cs="宋体"/>
          <w:kern w:val="0"/>
          <w:highlight w:val="none"/>
        </w:rPr>
      </w:pPr>
      <w:r>
        <w:rPr>
          <w:rFonts w:ascii="宋体" w:hAnsi="宋体" w:cs="宋体"/>
          <w:kern w:val="0"/>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napToGrid w:val="0"/>
        <w:spacing w:line="360" w:lineRule="auto"/>
        <w:rPr>
          <w:rFonts w:ascii="宋体" w:hAnsi="宋体" w:cs="宋体"/>
          <w:kern w:val="0"/>
          <w:highlight w:val="none"/>
        </w:rPr>
      </w:pPr>
      <w:r>
        <w:rPr>
          <w:rFonts w:ascii="宋体" w:hAnsi="宋体" w:cs="宋体"/>
          <w:kern w:val="0"/>
          <w:highlight w:val="none"/>
        </w:rPr>
        <w:t>2.2.3投标人在收到澄清后，应按投标人须知前附表规定的时间和形式通知招标人，确认已收到该澄清。</w:t>
      </w:r>
    </w:p>
    <w:p>
      <w:pPr>
        <w:snapToGrid w:val="0"/>
        <w:spacing w:line="360" w:lineRule="auto"/>
        <w:rPr>
          <w:rFonts w:ascii="宋体" w:hAnsi="宋体" w:cs="宋体"/>
          <w:kern w:val="0"/>
          <w:highlight w:val="none"/>
        </w:rPr>
      </w:pPr>
      <w:r>
        <w:rPr>
          <w:rFonts w:ascii="宋体" w:hAnsi="宋体" w:cs="宋体"/>
          <w:kern w:val="0"/>
          <w:highlight w:val="none"/>
        </w:rPr>
        <w:t>2.2.4除非招标人认为确有必要答复，否则，招标人有权拒绝回复投标人在本章第2.2.1项规定的时间后的任何澄清要求。</w:t>
      </w:r>
    </w:p>
    <w:p>
      <w:pPr>
        <w:snapToGrid w:val="0"/>
        <w:spacing w:line="360" w:lineRule="auto"/>
        <w:outlineLvl w:val="2"/>
        <w:rPr>
          <w:rFonts w:ascii="宋体" w:hAnsi="宋体" w:cs="宋体"/>
          <w:kern w:val="0"/>
          <w:highlight w:val="none"/>
        </w:rPr>
      </w:pPr>
      <w:bookmarkStart w:id="76" w:name="_Toc20879"/>
      <w:bookmarkStart w:id="77" w:name="_Toc31609"/>
      <w:r>
        <w:rPr>
          <w:rFonts w:ascii="宋体" w:hAnsi="宋体" w:cs="宋体"/>
          <w:kern w:val="0"/>
          <w:highlight w:val="none"/>
        </w:rPr>
        <w:t>2.3招标文件的修改</w:t>
      </w:r>
      <w:bookmarkEnd w:id="76"/>
      <w:bookmarkEnd w:id="77"/>
    </w:p>
    <w:p>
      <w:pPr>
        <w:snapToGrid w:val="0"/>
        <w:spacing w:line="360" w:lineRule="auto"/>
        <w:rPr>
          <w:rFonts w:ascii="宋体" w:hAnsi="宋体" w:cs="宋体"/>
          <w:kern w:val="0"/>
          <w:highlight w:val="none"/>
        </w:rPr>
      </w:pPr>
      <w:r>
        <w:rPr>
          <w:rFonts w:ascii="宋体" w:hAnsi="宋体" w:cs="宋体"/>
          <w:kern w:val="0"/>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napToGrid w:val="0"/>
        <w:spacing w:line="360" w:lineRule="auto"/>
        <w:rPr>
          <w:rFonts w:ascii="宋体" w:hAnsi="宋体" w:cs="宋体"/>
          <w:kern w:val="0"/>
          <w:highlight w:val="none"/>
        </w:rPr>
      </w:pPr>
      <w:r>
        <w:rPr>
          <w:rFonts w:ascii="宋体" w:hAnsi="宋体" w:cs="宋体"/>
          <w:kern w:val="0"/>
          <w:highlight w:val="none"/>
        </w:rPr>
        <w:t>2.3.2投标人收到修改内容后，应按投标人须知前附表规定的时间和形式通知招标人，确认已收到该修改。</w:t>
      </w:r>
    </w:p>
    <w:p>
      <w:pPr>
        <w:snapToGrid w:val="0"/>
        <w:spacing w:line="360" w:lineRule="auto"/>
        <w:outlineLvl w:val="2"/>
        <w:rPr>
          <w:rFonts w:ascii="宋体" w:hAnsi="宋体" w:cs="宋体"/>
          <w:kern w:val="0"/>
          <w:highlight w:val="none"/>
        </w:rPr>
      </w:pPr>
      <w:bookmarkStart w:id="78" w:name="_Toc19768"/>
      <w:bookmarkStart w:id="79" w:name="_Toc20227"/>
      <w:r>
        <w:rPr>
          <w:rFonts w:ascii="宋体" w:hAnsi="宋体" w:cs="宋体"/>
          <w:kern w:val="0"/>
          <w:highlight w:val="none"/>
        </w:rPr>
        <w:t>2.4招标文件的异议</w:t>
      </w:r>
      <w:bookmarkEnd w:id="78"/>
      <w:bookmarkEnd w:id="79"/>
    </w:p>
    <w:p>
      <w:pPr>
        <w:snapToGrid w:val="0"/>
        <w:spacing w:line="360" w:lineRule="auto"/>
        <w:rPr>
          <w:rFonts w:ascii="宋体" w:hAnsi="宋体" w:cs="宋体"/>
          <w:kern w:val="0"/>
          <w:highlight w:val="none"/>
        </w:rPr>
      </w:pPr>
      <w:r>
        <w:rPr>
          <w:rFonts w:hint="eastAsia" w:ascii="宋体" w:hAnsi="宋体" w:cs="宋体"/>
          <w:kern w:val="0"/>
          <w:highlight w:val="none"/>
        </w:rPr>
        <w:t>投标人或者其他利害关系人对招标文件有异议的，应当在投标截止时间</w:t>
      </w:r>
      <w:r>
        <w:rPr>
          <w:rFonts w:ascii="宋体" w:hAnsi="宋体" w:cs="宋体"/>
          <w:kern w:val="0"/>
          <w:highlight w:val="none"/>
        </w:rPr>
        <w:t xml:space="preserve"> 10 </w:t>
      </w:r>
      <w:r>
        <w:rPr>
          <w:rFonts w:hint="eastAsia" w:ascii="宋体" w:hAnsi="宋体" w:cs="宋体"/>
          <w:kern w:val="0"/>
          <w:highlight w:val="none"/>
        </w:rPr>
        <w:t>日前以书面形式提出。招标人将在收到异议之日起</w:t>
      </w:r>
      <w:r>
        <w:rPr>
          <w:rFonts w:ascii="宋体" w:hAnsi="宋体" w:cs="宋体"/>
          <w:kern w:val="0"/>
          <w:highlight w:val="none"/>
        </w:rPr>
        <w:t xml:space="preserve"> 3 </w:t>
      </w:r>
      <w:r>
        <w:rPr>
          <w:rFonts w:hint="eastAsia" w:ascii="宋体" w:hAnsi="宋体" w:cs="宋体"/>
          <w:kern w:val="0"/>
          <w:highlight w:val="none"/>
        </w:rPr>
        <w:t>日内作出答复；作出答复前，将暂停招标投标活动。</w:t>
      </w:r>
    </w:p>
    <w:p>
      <w:pPr>
        <w:pStyle w:val="4"/>
        <w:snapToGrid w:val="0"/>
        <w:spacing w:before="0" w:after="0" w:line="360" w:lineRule="auto"/>
        <w:rPr>
          <w:rFonts w:ascii="宋体" w:hAnsi="宋体"/>
          <w:highlight w:val="none"/>
        </w:rPr>
      </w:pPr>
      <w:bookmarkStart w:id="80" w:name="_Toc40699922"/>
      <w:bookmarkStart w:id="81" w:name="_Toc27658"/>
      <w:bookmarkStart w:id="82" w:name="_Toc19459"/>
      <w:bookmarkStart w:id="83" w:name="_Toc409"/>
      <w:bookmarkStart w:id="84" w:name="_Toc27946"/>
      <w:r>
        <w:rPr>
          <w:rFonts w:ascii="宋体" w:hAnsi="宋体"/>
          <w:highlight w:val="none"/>
        </w:rPr>
        <w:t>3.投标文件</w:t>
      </w:r>
      <w:bookmarkEnd w:id="80"/>
      <w:bookmarkEnd w:id="81"/>
      <w:bookmarkEnd w:id="82"/>
      <w:bookmarkEnd w:id="83"/>
      <w:bookmarkEnd w:id="84"/>
    </w:p>
    <w:p>
      <w:pPr>
        <w:snapToGrid w:val="0"/>
        <w:spacing w:line="360" w:lineRule="auto"/>
        <w:outlineLvl w:val="2"/>
        <w:rPr>
          <w:rFonts w:ascii="宋体" w:hAnsi="宋体" w:cs="宋体"/>
          <w:kern w:val="0"/>
          <w:highlight w:val="none"/>
        </w:rPr>
      </w:pPr>
      <w:bookmarkStart w:id="85" w:name="_Toc20351"/>
      <w:bookmarkStart w:id="86" w:name="_Toc8285"/>
      <w:r>
        <w:rPr>
          <w:rFonts w:ascii="宋体" w:hAnsi="宋体" w:cs="宋体"/>
          <w:kern w:val="0"/>
          <w:highlight w:val="none"/>
        </w:rPr>
        <w:t>3.1投标文件的组成</w:t>
      </w:r>
      <w:bookmarkEnd w:id="85"/>
      <w:bookmarkEnd w:id="86"/>
    </w:p>
    <w:p>
      <w:pPr>
        <w:snapToGrid w:val="0"/>
        <w:spacing w:line="360" w:lineRule="auto"/>
        <w:rPr>
          <w:rFonts w:ascii="宋体" w:hAnsi="宋体" w:cs="宋体"/>
          <w:kern w:val="0"/>
          <w:highlight w:val="none"/>
        </w:rPr>
      </w:pPr>
      <w:r>
        <w:rPr>
          <w:rFonts w:ascii="宋体" w:hAnsi="宋体" w:cs="宋体"/>
          <w:kern w:val="0"/>
          <w:highlight w:val="none"/>
        </w:rPr>
        <w:t>3.1.1投标文件应包括下列内容：</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1）投标函；</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2）法定代表人（单位负责人）身份证明；</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3）授权委托书；</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4）联合体协议书；</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5）投标保证金；</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6）商务和技术偏差表；</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7）报价表；</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8）资格审查资料；</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9）投标设备技术性能指标的详细描述；</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10）技术支持资料；</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11）技术服务和质保期服务计划；</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12）投标人须知前附表规定的其他资料。</w:t>
      </w:r>
    </w:p>
    <w:p>
      <w:pPr>
        <w:snapToGrid w:val="0"/>
        <w:spacing w:line="360" w:lineRule="auto"/>
        <w:rPr>
          <w:rFonts w:ascii="宋体" w:hAnsi="宋体" w:cs="宋体"/>
          <w:kern w:val="0"/>
          <w:highlight w:val="none"/>
        </w:rPr>
      </w:pPr>
      <w:r>
        <w:rPr>
          <w:rFonts w:hint="eastAsia" w:ascii="宋体" w:hAnsi="宋体" w:cs="宋体"/>
          <w:kern w:val="0"/>
          <w:highlight w:val="none"/>
        </w:rPr>
        <w:t>投标人在评标过程中作出的符合法律法规和招标文件规定的澄清确认，构成投标文件的组成部分。</w:t>
      </w:r>
    </w:p>
    <w:p>
      <w:pPr>
        <w:snapToGrid w:val="0"/>
        <w:spacing w:line="360" w:lineRule="auto"/>
        <w:rPr>
          <w:rFonts w:ascii="宋体" w:hAnsi="宋体" w:cs="宋体"/>
          <w:kern w:val="0"/>
          <w:highlight w:val="none"/>
        </w:rPr>
      </w:pPr>
      <w:r>
        <w:rPr>
          <w:rFonts w:ascii="宋体" w:hAnsi="宋体" w:cs="宋体"/>
          <w:kern w:val="0"/>
          <w:highlight w:val="none"/>
        </w:rPr>
        <w:t>3.1.2投标人须知前附表规定不接受联合体投标的，或投标人没有组成联合体的，投标文件不包括本章第3.1.1（4）目所指的联合体协议书。</w:t>
      </w:r>
    </w:p>
    <w:p>
      <w:pPr>
        <w:snapToGrid w:val="0"/>
        <w:spacing w:line="360" w:lineRule="auto"/>
        <w:rPr>
          <w:rFonts w:ascii="宋体" w:hAnsi="宋体" w:cs="宋体"/>
          <w:kern w:val="0"/>
          <w:highlight w:val="none"/>
        </w:rPr>
      </w:pPr>
      <w:r>
        <w:rPr>
          <w:rFonts w:ascii="宋体" w:hAnsi="宋体" w:cs="宋体"/>
          <w:kern w:val="0"/>
          <w:highlight w:val="none"/>
        </w:rPr>
        <w:t>3.1.3投标人须知前附表未要求提交投标保证金的，投标文件不包括本章第3.1.1（5）目所指的投标保证金。</w:t>
      </w:r>
    </w:p>
    <w:p>
      <w:pPr>
        <w:snapToGrid w:val="0"/>
        <w:spacing w:line="360" w:lineRule="auto"/>
        <w:outlineLvl w:val="2"/>
        <w:rPr>
          <w:rFonts w:ascii="宋体" w:hAnsi="宋体" w:cs="宋体"/>
          <w:kern w:val="0"/>
          <w:highlight w:val="none"/>
        </w:rPr>
      </w:pPr>
      <w:bookmarkStart w:id="87" w:name="_Toc10812"/>
      <w:bookmarkStart w:id="88" w:name="_Toc29090"/>
      <w:r>
        <w:rPr>
          <w:rFonts w:ascii="宋体" w:hAnsi="宋体" w:cs="宋体"/>
          <w:kern w:val="0"/>
          <w:highlight w:val="none"/>
        </w:rPr>
        <w:t>3.2投标报价</w:t>
      </w:r>
      <w:bookmarkEnd w:id="87"/>
      <w:bookmarkEnd w:id="88"/>
    </w:p>
    <w:p>
      <w:pPr>
        <w:snapToGrid w:val="0"/>
        <w:spacing w:line="360" w:lineRule="auto"/>
        <w:rPr>
          <w:rFonts w:ascii="宋体" w:hAnsi="宋体" w:cs="宋体"/>
          <w:kern w:val="0"/>
          <w:highlight w:val="none"/>
        </w:rPr>
      </w:pPr>
      <w:r>
        <w:rPr>
          <w:rFonts w:ascii="宋体" w:hAnsi="宋体" w:cs="宋体"/>
          <w:kern w:val="0"/>
          <w:highlight w:val="none"/>
        </w:rPr>
        <w:t>3.2.1投标报价应包括国家规定的增值税税金，除投标人须知前附表另有规定外，增值税税金按国家法律及相关规定计算。投标人应按第六章“投标文件格式”的要求在投标函中进行报价并填写分项报价表。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ascii="宋体" w:hAnsi="宋体" w:cs="宋体"/>
          <w:kern w:val="0"/>
          <w:highlight w:val="none"/>
        </w:rPr>
      </w:pPr>
      <w:r>
        <w:rPr>
          <w:rFonts w:ascii="宋体" w:hAnsi="宋体" w:cs="宋体"/>
          <w:kern w:val="0"/>
          <w:highlight w:val="none"/>
        </w:rPr>
        <w:t>3.2.2投标人应充分了解该项目的总体情况以及影响投标报价的其他要素。</w:t>
      </w:r>
    </w:p>
    <w:p>
      <w:pPr>
        <w:snapToGrid w:val="0"/>
        <w:spacing w:line="360" w:lineRule="auto"/>
        <w:rPr>
          <w:rFonts w:ascii="宋体" w:hAnsi="宋体" w:cs="宋体"/>
          <w:kern w:val="0"/>
          <w:highlight w:val="none"/>
        </w:rPr>
      </w:pPr>
      <w:r>
        <w:rPr>
          <w:rFonts w:ascii="宋体" w:hAnsi="宋体" w:cs="宋体"/>
          <w:kern w:val="0"/>
          <w:highlight w:val="none"/>
        </w:rPr>
        <w:t xml:space="preserve">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w:t>
      </w:r>
      <w:r>
        <w:rPr>
          <w:rFonts w:hint="eastAsia" w:ascii="宋体" w:hAnsi="宋体" w:cs="宋体"/>
          <w:kern w:val="0"/>
          <w:highlight w:val="none"/>
        </w:rPr>
        <w:t>“分项报价表”中的相应报价。此修改须符合本章第</w:t>
      </w:r>
      <w:r>
        <w:rPr>
          <w:rFonts w:ascii="宋体" w:hAnsi="宋体" w:cs="宋体"/>
          <w:kern w:val="0"/>
          <w:highlight w:val="none"/>
        </w:rPr>
        <w:t>4.3款的有关要求。</w:t>
      </w:r>
    </w:p>
    <w:p>
      <w:pPr>
        <w:snapToGrid w:val="0"/>
        <w:spacing w:line="360" w:lineRule="auto"/>
        <w:rPr>
          <w:rFonts w:ascii="宋体" w:hAnsi="宋体" w:cs="宋体"/>
          <w:kern w:val="0"/>
          <w:highlight w:val="none"/>
        </w:rPr>
      </w:pPr>
      <w:r>
        <w:rPr>
          <w:rFonts w:ascii="宋体" w:hAnsi="宋体" w:cs="宋体"/>
          <w:kern w:val="0"/>
          <w:highlight w:val="none"/>
        </w:rPr>
        <w:t>3.2.4招标人设有最高投标限价的，投标人的投标报价不得超过最高投标限价，最高投标限价在投标人须知前附表中载明。</w:t>
      </w:r>
    </w:p>
    <w:p>
      <w:pPr>
        <w:snapToGrid w:val="0"/>
        <w:spacing w:line="360" w:lineRule="auto"/>
        <w:rPr>
          <w:rFonts w:ascii="宋体" w:hAnsi="宋体" w:cs="宋体"/>
          <w:kern w:val="0"/>
          <w:highlight w:val="none"/>
        </w:rPr>
      </w:pPr>
      <w:r>
        <w:rPr>
          <w:rFonts w:ascii="宋体" w:hAnsi="宋体" w:cs="宋体"/>
          <w:kern w:val="0"/>
          <w:highlight w:val="none"/>
        </w:rPr>
        <w:t>3.2.5投标报价的其他要求见投标人须知前附表。</w:t>
      </w:r>
    </w:p>
    <w:p>
      <w:pPr>
        <w:snapToGrid w:val="0"/>
        <w:spacing w:line="360" w:lineRule="auto"/>
        <w:outlineLvl w:val="2"/>
        <w:rPr>
          <w:rFonts w:ascii="宋体" w:hAnsi="宋体" w:cs="宋体"/>
          <w:kern w:val="0"/>
          <w:highlight w:val="none"/>
        </w:rPr>
      </w:pPr>
      <w:bookmarkStart w:id="89" w:name="_Toc31979"/>
      <w:bookmarkStart w:id="90" w:name="_Toc16611"/>
      <w:r>
        <w:rPr>
          <w:rFonts w:ascii="宋体" w:hAnsi="宋体" w:cs="宋体"/>
          <w:kern w:val="0"/>
          <w:highlight w:val="none"/>
        </w:rPr>
        <w:t>3.3投标有效期</w:t>
      </w:r>
      <w:bookmarkEnd w:id="89"/>
      <w:bookmarkEnd w:id="90"/>
    </w:p>
    <w:p>
      <w:pPr>
        <w:snapToGrid w:val="0"/>
        <w:spacing w:line="360" w:lineRule="auto"/>
        <w:rPr>
          <w:rFonts w:ascii="宋体" w:hAnsi="宋体" w:cs="宋体"/>
          <w:kern w:val="0"/>
          <w:highlight w:val="none"/>
        </w:rPr>
      </w:pPr>
      <w:r>
        <w:rPr>
          <w:rFonts w:ascii="宋体" w:hAnsi="宋体" w:cs="宋体"/>
          <w:kern w:val="0"/>
          <w:highlight w:val="none"/>
        </w:rPr>
        <w:t xml:space="preserve">3.3.1除投标人须知前附表另有规定外，投标有效期为 90 </w:t>
      </w:r>
      <w:r>
        <w:rPr>
          <w:rFonts w:hint="eastAsia" w:ascii="宋体" w:hAnsi="宋体" w:cs="宋体"/>
          <w:kern w:val="0"/>
          <w:highlight w:val="none"/>
        </w:rPr>
        <w:t>天。</w:t>
      </w:r>
    </w:p>
    <w:p>
      <w:pPr>
        <w:snapToGrid w:val="0"/>
        <w:spacing w:line="360" w:lineRule="auto"/>
        <w:rPr>
          <w:rFonts w:ascii="宋体" w:hAnsi="宋体" w:cs="宋体"/>
          <w:kern w:val="0"/>
          <w:highlight w:val="none"/>
        </w:rPr>
      </w:pPr>
      <w:r>
        <w:rPr>
          <w:rFonts w:ascii="宋体" w:hAnsi="宋体" w:cs="宋体"/>
          <w:kern w:val="0"/>
          <w:highlight w:val="none"/>
        </w:rPr>
        <w:t>3.3.2在投标有效期内，投标人撤销投标文件的，应承担招标文件和法律规定的责任。</w:t>
      </w:r>
    </w:p>
    <w:p>
      <w:pPr>
        <w:snapToGrid w:val="0"/>
        <w:spacing w:line="360" w:lineRule="auto"/>
        <w:rPr>
          <w:rFonts w:ascii="宋体" w:hAnsi="宋体" w:cs="宋体"/>
          <w:kern w:val="0"/>
          <w:highlight w:val="none"/>
        </w:rPr>
      </w:pPr>
      <w:r>
        <w:rPr>
          <w:rFonts w:ascii="宋体" w:hAnsi="宋体" w:cs="宋体"/>
          <w:kern w:val="0"/>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napToGrid w:val="0"/>
        <w:spacing w:line="360" w:lineRule="auto"/>
        <w:outlineLvl w:val="2"/>
        <w:rPr>
          <w:rFonts w:ascii="宋体" w:hAnsi="宋体" w:cs="宋体"/>
          <w:kern w:val="0"/>
          <w:highlight w:val="none"/>
        </w:rPr>
      </w:pPr>
      <w:bookmarkStart w:id="91" w:name="_Toc25580"/>
      <w:bookmarkStart w:id="92" w:name="_Toc16343"/>
      <w:r>
        <w:rPr>
          <w:rFonts w:ascii="宋体" w:hAnsi="宋体" w:cs="宋体"/>
          <w:kern w:val="0"/>
          <w:highlight w:val="none"/>
        </w:rPr>
        <w:t>3.4投标保证金</w:t>
      </w:r>
      <w:bookmarkEnd w:id="91"/>
      <w:bookmarkEnd w:id="92"/>
    </w:p>
    <w:p>
      <w:pPr>
        <w:snapToGrid w:val="0"/>
        <w:spacing w:line="360" w:lineRule="auto"/>
        <w:rPr>
          <w:rFonts w:ascii="宋体" w:hAnsi="宋体" w:cs="宋体"/>
          <w:kern w:val="0"/>
          <w:highlight w:val="none"/>
        </w:rPr>
      </w:pPr>
      <w:r>
        <w:rPr>
          <w:rFonts w:ascii="宋体" w:hAnsi="宋体" w:cs="宋体"/>
          <w:kern w:val="0"/>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spacing w:line="360" w:lineRule="auto"/>
        <w:rPr>
          <w:rFonts w:ascii="宋体" w:hAnsi="宋体" w:cs="宋体"/>
          <w:kern w:val="0"/>
          <w:highlight w:val="none"/>
        </w:rPr>
      </w:pPr>
      <w:r>
        <w:rPr>
          <w:rFonts w:ascii="宋体" w:hAnsi="宋体" w:cs="宋体"/>
          <w:kern w:val="0"/>
          <w:highlight w:val="none"/>
        </w:rPr>
        <w:t>3.4.2投标人不按本章第3.4.1项要求提交投标保证金的，评标委员会将否决其投标。</w:t>
      </w:r>
    </w:p>
    <w:p>
      <w:pPr>
        <w:snapToGrid w:val="0"/>
        <w:spacing w:line="360" w:lineRule="auto"/>
        <w:rPr>
          <w:rFonts w:ascii="宋体" w:hAnsi="宋体" w:cs="宋体"/>
          <w:kern w:val="0"/>
          <w:highlight w:val="none"/>
        </w:rPr>
      </w:pPr>
      <w:r>
        <w:rPr>
          <w:rFonts w:ascii="宋体" w:hAnsi="宋体" w:cs="宋体"/>
          <w:kern w:val="0"/>
          <w:highlight w:val="none"/>
        </w:rPr>
        <w:t xml:space="preserve">3.4.3招标人最迟将在与中标人签订合同后 5 </w:t>
      </w:r>
      <w:r>
        <w:rPr>
          <w:rFonts w:hint="eastAsia" w:ascii="宋体" w:hAnsi="宋体" w:cs="宋体"/>
          <w:kern w:val="0"/>
          <w:highlight w:val="none"/>
        </w:rPr>
        <w:t>日内，向未中标的投标人和中标人退还投标保证金。投标保证金以现金或者支票形式递交的，还应退还银行同期存款利息。</w:t>
      </w:r>
    </w:p>
    <w:p>
      <w:pPr>
        <w:snapToGrid w:val="0"/>
        <w:spacing w:line="360" w:lineRule="auto"/>
        <w:rPr>
          <w:rFonts w:ascii="宋体" w:hAnsi="宋体" w:cs="宋体"/>
          <w:kern w:val="0"/>
          <w:highlight w:val="none"/>
        </w:rPr>
      </w:pPr>
      <w:r>
        <w:rPr>
          <w:rFonts w:ascii="宋体" w:hAnsi="宋体" w:cs="宋体"/>
          <w:kern w:val="0"/>
          <w:highlight w:val="none"/>
        </w:rPr>
        <w:t>3.4.4有下列情形之一的，投标保证金将不予退还：</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1）投标人在投标有效期内撤销投标文件；</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2）中标人在收到中标通知书后，无正当理由不与招标人订立合同，在签订合同时向招标人提出附加条件，或者不按照招标文件要求提交履约保证金；</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3）发生投标人须知前附表规定的其他可以不予退还投标保证金的情形。</w:t>
      </w:r>
    </w:p>
    <w:p>
      <w:pPr>
        <w:snapToGrid w:val="0"/>
        <w:spacing w:line="360" w:lineRule="auto"/>
        <w:outlineLvl w:val="2"/>
        <w:rPr>
          <w:rFonts w:ascii="宋体" w:hAnsi="宋体" w:cs="宋体"/>
          <w:kern w:val="0"/>
          <w:highlight w:val="none"/>
        </w:rPr>
      </w:pPr>
      <w:bookmarkStart w:id="93" w:name="_Toc5055"/>
      <w:bookmarkStart w:id="94" w:name="_Toc16877"/>
      <w:r>
        <w:rPr>
          <w:rFonts w:ascii="宋体" w:hAnsi="宋体" w:cs="宋体"/>
          <w:kern w:val="0"/>
          <w:highlight w:val="none"/>
        </w:rPr>
        <w:t>3.5资格审查资料</w:t>
      </w:r>
      <w:bookmarkEnd w:id="93"/>
      <w:bookmarkEnd w:id="94"/>
    </w:p>
    <w:p>
      <w:pPr>
        <w:snapToGrid w:val="0"/>
        <w:spacing w:line="360" w:lineRule="auto"/>
        <w:rPr>
          <w:rFonts w:ascii="宋体" w:hAnsi="宋体" w:cs="宋体"/>
          <w:kern w:val="0"/>
          <w:highlight w:val="none"/>
        </w:rPr>
      </w:pPr>
      <w:r>
        <w:rPr>
          <w:rFonts w:hint="eastAsia" w:ascii="宋体" w:hAnsi="宋体" w:cs="宋体"/>
          <w:kern w:val="0"/>
          <w:highlight w:val="none"/>
        </w:rPr>
        <w:t>除投标人须知前附表另有规定外，投标人应按下列规定提供资格审查资料，以证明其满足本章第</w:t>
      </w:r>
      <w:r>
        <w:rPr>
          <w:rFonts w:ascii="宋体" w:hAnsi="宋体" w:cs="宋体"/>
          <w:kern w:val="0"/>
          <w:highlight w:val="none"/>
        </w:rPr>
        <w:t>1.4款规定的资质、财务、业绩、信誉等要求。</w:t>
      </w:r>
    </w:p>
    <w:p>
      <w:pPr>
        <w:snapToGrid w:val="0"/>
        <w:spacing w:line="360" w:lineRule="auto"/>
        <w:rPr>
          <w:rFonts w:ascii="宋体" w:hAnsi="宋体" w:cs="宋体"/>
          <w:kern w:val="0"/>
          <w:highlight w:val="none"/>
        </w:rPr>
      </w:pPr>
      <w:r>
        <w:rPr>
          <w:rFonts w:ascii="宋体" w:hAnsi="宋体" w:cs="宋体"/>
          <w:kern w:val="0"/>
          <w:highlight w:val="none"/>
        </w:rPr>
        <w:t>3.5.1“投标人基本情况表”应附投标人及其制造商（适用于代理经销商投标的情形）资格或者资质证书副本和投标材料检验或认证等材料的复印件以及：</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1）投标人为企业的，应提交营业执照和组织机构代码证的复印件（按照“三证合一”或“五证合一”登记制度进行登记的，可仅提供营业执照复印件）；</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2）投标人为依法允许经营的事业单位的，应提交事业单位法人证书和组织机构代码证的复印件。</w:t>
      </w:r>
    </w:p>
    <w:p>
      <w:pPr>
        <w:snapToGrid w:val="0"/>
        <w:spacing w:line="360" w:lineRule="auto"/>
        <w:rPr>
          <w:rFonts w:ascii="宋体" w:hAnsi="宋体" w:cs="宋体"/>
          <w:kern w:val="0"/>
          <w:highlight w:val="none"/>
        </w:rPr>
      </w:pPr>
      <w:r>
        <w:rPr>
          <w:rFonts w:ascii="宋体" w:hAnsi="宋体" w:cs="宋体"/>
          <w:kern w:val="0"/>
          <w:highlight w:val="non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napToGrid w:val="0"/>
        <w:spacing w:line="360" w:lineRule="auto"/>
        <w:rPr>
          <w:rFonts w:ascii="宋体" w:hAnsi="宋体" w:cs="宋体"/>
          <w:kern w:val="0"/>
          <w:highlight w:val="none"/>
        </w:rPr>
      </w:pPr>
      <w:r>
        <w:rPr>
          <w:rFonts w:ascii="宋体" w:hAnsi="宋体" w:cs="宋体"/>
          <w:kern w:val="0"/>
          <w:highlight w:val="none"/>
        </w:rPr>
        <w:t>3.5.3“近年完成的类似项目情况表”应附中标通知书和（或）合同协议书、设备进场验收证书等的复印件，具体时间要求见投标人须知前附表。每张表格只填写一个项目，并标明序号。</w:t>
      </w:r>
    </w:p>
    <w:p>
      <w:pPr>
        <w:snapToGrid w:val="0"/>
        <w:spacing w:line="360" w:lineRule="auto"/>
        <w:rPr>
          <w:rFonts w:ascii="宋体" w:hAnsi="宋体" w:cs="宋体"/>
          <w:kern w:val="0"/>
          <w:highlight w:val="none"/>
        </w:rPr>
      </w:pPr>
      <w:r>
        <w:rPr>
          <w:rFonts w:ascii="宋体" w:hAnsi="宋体" w:cs="宋体"/>
          <w:kern w:val="0"/>
          <w:highlight w:val="none"/>
        </w:rPr>
        <w:t>3.5.4“正在供货和新承接的项目情况表”应附中标通知书和（或）合同协议书复印件。每张表格只填写一个项目，并标明序号。</w:t>
      </w:r>
    </w:p>
    <w:p>
      <w:pPr>
        <w:snapToGrid w:val="0"/>
        <w:spacing w:line="360" w:lineRule="auto"/>
        <w:rPr>
          <w:rFonts w:ascii="宋体" w:hAnsi="宋体" w:cs="宋体"/>
          <w:kern w:val="0"/>
          <w:highlight w:val="none"/>
        </w:rPr>
      </w:pPr>
      <w:r>
        <w:rPr>
          <w:rFonts w:ascii="宋体" w:hAnsi="宋体" w:cs="宋体"/>
          <w:kern w:val="0"/>
          <w:highlight w:val="none"/>
        </w:rPr>
        <w:t>3.5.5“近年发生的诉讼及仲裁情况”应说明投标人败诉的设备买卖合同的相关情况，并附法院或仲裁机构作出的判决、裁决等有关法律文书复印件，具体时间要求见投标人须知前附表。</w:t>
      </w:r>
    </w:p>
    <w:p>
      <w:pPr>
        <w:snapToGrid w:val="0"/>
        <w:spacing w:line="360" w:lineRule="auto"/>
        <w:rPr>
          <w:rFonts w:ascii="宋体" w:hAnsi="宋体" w:cs="宋体"/>
          <w:kern w:val="0"/>
          <w:highlight w:val="none"/>
        </w:rPr>
      </w:pPr>
      <w:r>
        <w:rPr>
          <w:rFonts w:ascii="宋体" w:hAnsi="宋体" w:cs="宋体"/>
          <w:kern w:val="0"/>
          <w:highlight w:val="none"/>
        </w:rPr>
        <w:t>3.5.6投标人须知前附表规定接受联合体投标的，本章第3.5.1项至第3.5.5项规定的表格和资料应包括联合体各方相关情况。</w:t>
      </w:r>
    </w:p>
    <w:p>
      <w:pPr>
        <w:snapToGrid w:val="0"/>
        <w:spacing w:line="360" w:lineRule="auto"/>
        <w:outlineLvl w:val="2"/>
        <w:rPr>
          <w:rFonts w:ascii="宋体" w:hAnsi="宋体" w:cs="宋体"/>
          <w:kern w:val="0"/>
          <w:highlight w:val="none"/>
        </w:rPr>
      </w:pPr>
      <w:bookmarkStart w:id="95" w:name="_Toc8425"/>
      <w:bookmarkStart w:id="96" w:name="_Toc7755"/>
      <w:r>
        <w:rPr>
          <w:rFonts w:ascii="宋体" w:hAnsi="宋体" w:cs="宋体"/>
          <w:kern w:val="0"/>
          <w:highlight w:val="none"/>
        </w:rPr>
        <w:t>3.6备选投标方案</w:t>
      </w:r>
      <w:bookmarkEnd w:id="95"/>
      <w:bookmarkEnd w:id="96"/>
    </w:p>
    <w:p>
      <w:pPr>
        <w:snapToGrid w:val="0"/>
        <w:spacing w:line="360" w:lineRule="auto"/>
        <w:rPr>
          <w:rFonts w:ascii="宋体" w:hAnsi="宋体" w:cs="宋体"/>
          <w:kern w:val="0"/>
          <w:highlight w:val="none"/>
        </w:rPr>
      </w:pPr>
      <w:r>
        <w:rPr>
          <w:rFonts w:ascii="宋体" w:hAnsi="宋体" w:cs="宋体"/>
          <w:kern w:val="0"/>
          <w:highlight w:val="none"/>
        </w:rPr>
        <w:t>3.6.1除投标人须知前附表规定允许外，投标人不得递交备选投标方案，否则其投标将被否决。</w:t>
      </w:r>
    </w:p>
    <w:p>
      <w:pPr>
        <w:snapToGrid w:val="0"/>
        <w:spacing w:line="360" w:lineRule="auto"/>
        <w:rPr>
          <w:rFonts w:ascii="宋体" w:hAnsi="宋体" w:cs="宋体"/>
          <w:kern w:val="0"/>
          <w:highlight w:val="none"/>
        </w:rPr>
      </w:pPr>
      <w:r>
        <w:rPr>
          <w:rFonts w:ascii="宋体" w:hAnsi="宋体" w:cs="宋体"/>
          <w:kern w:val="0"/>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spacing w:line="360" w:lineRule="auto"/>
        <w:rPr>
          <w:rFonts w:ascii="宋体" w:hAnsi="宋体" w:cs="宋体"/>
          <w:kern w:val="0"/>
          <w:highlight w:val="none"/>
        </w:rPr>
      </w:pPr>
      <w:r>
        <w:rPr>
          <w:rFonts w:ascii="宋体" w:hAnsi="宋体" w:cs="宋体"/>
          <w:kern w:val="0"/>
          <w:highlight w:val="none"/>
        </w:rPr>
        <w:t>3.6.3投标人提供两个或两个以上投标报价，或者在投标文件中提供一个报价，但同时提供两个或两个以上供货方案的，视为提供备选方案。</w:t>
      </w:r>
    </w:p>
    <w:p>
      <w:pPr>
        <w:snapToGrid w:val="0"/>
        <w:spacing w:line="360" w:lineRule="auto"/>
        <w:outlineLvl w:val="2"/>
        <w:rPr>
          <w:rFonts w:ascii="宋体" w:hAnsi="宋体" w:cs="宋体"/>
          <w:kern w:val="0"/>
          <w:highlight w:val="none"/>
        </w:rPr>
      </w:pPr>
      <w:bookmarkStart w:id="97" w:name="_Toc22463"/>
      <w:bookmarkStart w:id="98" w:name="_Toc11577"/>
      <w:r>
        <w:rPr>
          <w:rFonts w:ascii="宋体" w:hAnsi="宋体" w:cs="宋体"/>
          <w:kern w:val="0"/>
          <w:highlight w:val="none"/>
        </w:rPr>
        <w:t>3.7投标文件的编制</w:t>
      </w:r>
      <w:bookmarkEnd w:id="97"/>
      <w:bookmarkEnd w:id="98"/>
    </w:p>
    <w:p>
      <w:pPr>
        <w:snapToGrid w:val="0"/>
        <w:spacing w:line="360" w:lineRule="auto"/>
        <w:rPr>
          <w:rFonts w:ascii="宋体" w:hAnsi="宋体" w:cs="宋体"/>
          <w:kern w:val="0"/>
          <w:highlight w:val="none"/>
        </w:rPr>
      </w:pPr>
      <w:r>
        <w:rPr>
          <w:rFonts w:ascii="宋体" w:hAnsi="宋体" w:cs="宋体"/>
          <w:kern w:val="0"/>
          <w:highlight w:val="none"/>
        </w:rPr>
        <w:t>3.7.1投标文件应按第六章“投标文件格式”进行编写，如有必要，可以增加附页，作为投标文件的组成部分。</w:t>
      </w:r>
    </w:p>
    <w:p>
      <w:pPr>
        <w:snapToGrid w:val="0"/>
        <w:spacing w:line="360" w:lineRule="auto"/>
        <w:rPr>
          <w:rFonts w:ascii="宋体" w:hAnsi="宋体" w:cs="宋体"/>
          <w:kern w:val="0"/>
          <w:highlight w:val="none"/>
        </w:rPr>
      </w:pPr>
      <w:r>
        <w:rPr>
          <w:rFonts w:ascii="宋体" w:hAnsi="宋体" w:cs="宋体"/>
          <w:kern w:val="0"/>
          <w:highlight w:val="none"/>
        </w:rPr>
        <w:t>3.7.2投标文件应当对招标文件有关供货期、投标有效期、供货要求、招标范围等实质性内容作出响应。投标文件在满足招标文件实质性要求的基础上，可以提出比招标文件要求更有利于招标人的承诺。</w:t>
      </w:r>
    </w:p>
    <w:p>
      <w:pPr>
        <w:snapToGrid w:val="0"/>
        <w:spacing w:line="360" w:lineRule="auto"/>
        <w:rPr>
          <w:rFonts w:ascii="宋体" w:hAnsi="宋体" w:cs="宋体"/>
          <w:kern w:val="0"/>
          <w:highlight w:val="none"/>
        </w:rPr>
      </w:pPr>
      <w:r>
        <w:rPr>
          <w:rFonts w:ascii="宋体" w:hAnsi="宋体" w:cs="宋体"/>
          <w:kern w:val="0"/>
          <w:highlight w:val="none"/>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2）投标文件正本一份，副本份数见投标人须知前附表。</w:t>
      </w:r>
      <w:r>
        <w:rPr>
          <w:rFonts w:hint="eastAsia" w:ascii="宋体" w:hAnsi="宋体"/>
          <w:szCs w:val="21"/>
          <w:highlight w:val="none"/>
        </w:rPr>
        <w:t>正本必须用不能擦去的墨水书写或打印，副本可以复印。</w:t>
      </w:r>
      <w:r>
        <w:rPr>
          <w:rFonts w:hint="eastAsia" w:ascii="宋体" w:hAnsi="宋体" w:cs="宋体"/>
          <w:kern w:val="0"/>
          <w:highlight w:val="none"/>
        </w:rPr>
        <w:t>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3）投标文件的正本与副本应分别装订，并编制目录，投标文件需分册装订的，具体分册装订要求见投标人须知前附表规定。</w:t>
      </w:r>
    </w:p>
    <w:p>
      <w:pPr>
        <w:pStyle w:val="4"/>
        <w:snapToGrid w:val="0"/>
        <w:spacing w:before="0" w:after="0" w:line="360" w:lineRule="auto"/>
        <w:rPr>
          <w:rFonts w:ascii="宋体" w:hAnsi="宋体"/>
          <w:highlight w:val="none"/>
        </w:rPr>
      </w:pPr>
      <w:bookmarkStart w:id="99" w:name="_Toc40699923"/>
      <w:bookmarkStart w:id="100" w:name="_Toc27305"/>
      <w:bookmarkStart w:id="101" w:name="_Toc20354"/>
      <w:bookmarkStart w:id="102" w:name="_Toc27613"/>
      <w:bookmarkStart w:id="103" w:name="_Toc16785"/>
      <w:r>
        <w:rPr>
          <w:rFonts w:ascii="宋体" w:hAnsi="宋体"/>
          <w:highlight w:val="none"/>
        </w:rPr>
        <w:t>4.投标</w:t>
      </w:r>
      <w:bookmarkEnd w:id="99"/>
      <w:bookmarkEnd w:id="100"/>
      <w:bookmarkEnd w:id="101"/>
      <w:bookmarkEnd w:id="102"/>
      <w:bookmarkEnd w:id="103"/>
    </w:p>
    <w:p>
      <w:pPr>
        <w:snapToGrid w:val="0"/>
        <w:spacing w:line="360" w:lineRule="auto"/>
        <w:outlineLvl w:val="2"/>
        <w:rPr>
          <w:rFonts w:ascii="宋体" w:hAnsi="宋体" w:cs="宋体"/>
          <w:kern w:val="0"/>
          <w:highlight w:val="none"/>
        </w:rPr>
      </w:pPr>
      <w:bookmarkStart w:id="104" w:name="_Toc13130"/>
      <w:bookmarkStart w:id="105" w:name="_Toc6817"/>
      <w:r>
        <w:rPr>
          <w:rFonts w:ascii="宋体" w:hAnsi="宋体" w:cs="宋体"/>
          <w:kern w:val="0"/>
          <w:highlight w:val="none"/>
        </w:rPr>
        <w:t>4.1投标文件的密封和标记</w:t>
      </w:r>
      <w:bookmarkEnd w:id="104"/>
      <w:bookmarkEnd w:id="105"/>
    </w:p>
    <w:p>
      <w:pPr>
        <w:autoSpaceDE w:val="0"/>
        <w:autoSpaceDN w:val="0"/>
        <w:adjustRightInd w:val="0"/>
        <w:snapToGrid w:val="0"/>
        <w:spacing w:line="480" w:lineRule="exact"/>
        <w:rPr>
          <w:rFonts w:ascii="宋体" w:hAnsi="宋体" w:cs="宋体"/>
          <w:kern w:val="0"/>
          <w:highlight w:val="none"/>
        </w:rPr>
      </w:pPr>
      <w:r>
        <w:rPr>
          <w:rFonts w:ascii="宋体" w:hAnsi="宋体" w:cs="宋体"/>
          <w:kern w:val="0"/>
          <w:highlight w:val="none"/>
        </w:rPr>
        <w:t>4.1.1投标文件应密封包装，</w:t>
      </w:r>
      <w:r>
        <w:rPr>
          <w:rFonts w:hint="eastAsia" w:ascii="宋体" w:hAnsi="宋体"/>
          <w:szCs w:val="21"/>
          <w:highlight w:val="none"/>
        </w:rPr>
        <w:t>所有投标文件都必须在封袋上加盖投标单位法人公章及其法定代表人或授权委托人的印鉴。</w:t>
      </w:r>
    </w:p>
    <w:p>
      <w:pPr>
        <w:snapToGrid w:val="0"/>
        <w:spacing w:line="360" w:lineRule="auto"/>
        <w:rPr>
          <w:rFonts w:ascii="宋体" w:hAnsi="宋体" w:cs="宋体"/>
          <w:kern w:val="0"/>
          <w:highlight w:val="none"/>
        </w:rPr>
      </w:pPr>
      <w:r>
        <w:rPr>
          <w:rFonts w:ascii="宋体" w:hAnsi="宋体" w:cs="宋体"/>
          <w:kern w:val="0"/>
          <w:highlight w:val="none"/>
        </w:rPr>
        <w:t>4.1.2投标文件封套上应写明的内容见投标人须知前附表。</w:t>
      </w:r>
    </w:p>
    <w:p>
      <w:pPr>
        <w:snapToGrid w:val="0"/>
        <w:spacing w:line="360" w:lineRule="auto"/>
        <w:rPr>
          <w:rFonts w:ascii="宋体" w:hAnsi="宋体" w:cs="宋体"/>
          <w:kern w:val="0"/>
          <w:highlight w:val="none"/>
        </w:rPr>
      </w:pPr>
      <w:r>
        <w:rPr>
          <w:rFonts w:ascii="宋体" w:hAnsi="宋体" w:cs="宋体"/>
          <w:kern w:val="0"/>
          <w:highlight w:val="none"/>
        </w:rPr>
        <w:t>4.1.3未按本章第4.1.1项要求密封的投标文件，招标人将予以拒收。</w:t>
      </w:r>
    </w:p>
    <w:p>
      <w:pPr>
        <w:snapToGrid w:val="0"/>
        <w:spacing w:line="360" w:lineRule="auto"/>
        <w:outlineLvl w:val="2"/>
        <w:rPr>
          <w:rFonts w:ascii="宋体" w:hAnsi="宋体" w:cs="宋体"/>
          <w:kern w:val="0"/>
          <w:highlight w:val="none"/>
        </w:rPr>
      </w:pPr>
      <w:bookmarkStart w:id="106" w:name="_Toc22461"/>
      <w:bookmarkStart w:id="107" w:name="_Toc18262"/>
      <w:r>
        <w:rPr>
          <w:rFonts w:ascii="宋体" w:hAnsi="宋体" w:cs="宋体"/>
          <w:kern w:val="0"/>
          <w:highlight w:val="none"/>
        </w:rPr>
        <w:t>4.2投标文件的递交</w:t>
      </w:r>
      <w:bookmarkEnd w:id="106"/>
      <w:bookmarkEnd w:id="107"/>
    </w:p>
    <w:p>
      <w:pPr>
        <w:snapToGrid w:val="0"/>
        <w:spacing w:line="360" w:lineRule="auto"/>
        <w:rPr>
          <w:rFonts w:ascii="宋体" w:hAnsi="宋体" w:cs="宋体"/>
          <w:kern w:val="0"/>
          <w:highlight w:val="none"/>
        </w:rPr>
      </w:pPr>
      <w:r>
        <w:rPr>
          <w:rFonts w:ascii="宋体" w:hAnsi="宋体" w:cs="宋体"/>
          <w:kern w:val="0"/>
          <w:highlight w:val="none"/>
        </w:rPr>
        <w:t>4.2.1投标人应在投标人须知前附表规定的投标截止时间前递交投标文件。</w:t>
      </w:r>
    </w:p>
    <w:p>
      <w:pPr>
        <w:autoSpaceDE w:val="0"/>
        <w:autoSpaceDN w:val="0"/>
        <w:adjustRightInd w:val="0"/>
        <w:snapToGrid w:val="0"/>
        <w:spacing w:line="480" w:lineRule="exact"/>
        <w:rPr>
          <w:rFonts w:ascii="宋体" w:hAnsi="宋体"/>
          <w:szCs w:val="21"/>
          <w:highlight w:val="none"/>
        </w:rPr>
      </w:pPr>
      <w:r>
        <w:rPr>
          <w:rFonts w:ascii="宋体" w:hAnsi="宋体"/>
          <w:szCs w:val="21"/>
          <w:highlight w:val="none"/>
        </w:rPr>
        <w:t xml:space="preserve">4.2.2 </w:t>
      </w:r>
      <w:r>
        <w:rPr>
          <w:rFonts w:hint="eastAsia" w:ascii="宋体" w:hAnsi="宋体"/>
          <w:szCs w:val="21"/>
          <w:highlight w:val="none"/>
        </w:rPr>
        <w:t>招标人可以按本文件规定以修改通知的方式，延长递交投标文件的截止日期。在上述情况下，招标人与投标人以前的在投标截止期方面的全部权力、责任和义务，将适用于延长后新的投标截止期。</w:t>
      </w:r>
    </w:p>
    <w:p>
      <w:pPr>
        <w:pStyle w:val="39"/>
        <w:ind w:firstLine="420"/>
        <w:rPr>
          <w:highlight w:val="none"/>
        </w:rPr>
      </w:pPr>
    </w:p>
    <w:p>
      <w:pPr>
        <w:snapToGrid w:val="0"/>
        <w:spacing w:line="360" w:lineRule="auto"/>
        <w:rPr>
          <w:rFonts w:ascii="宋体" w:hAnsi="宋体" w:cs="宋体"/>
          <w:kern w:val="0"/>
          <w:highlight w:val="none"/>
        </w:rPr>
      </w:pPr>
      <w:r>
        <w:rPr>
          <w:rFonts w:ascii="宋体" w:hAnsi="宋体" w:cs="宋体"/>
          <w:kern w:val="0"/>
          <w:highlight w:val="none"/>
        </w:rPr>
        <w:t>4.2.3投标人递交投标文件的地点：见投标人须知前附表。</w:t>
      </w:r>
    </w:p>
    <w:p>
      <w:pPr>
        <w:snapToGrid w:val="0"/>
        <w:spacing w:line="360" w:lineRule="auto"/>
        <w:rPr>
          <w:rFonts w:ascii="宋体" w:hAnsi="宋体" w:cs="宋体"/>
          <w:kern w:val="0"/>
          <w:highlight w:val="none"/>
        </w:rPr>
      </w:pPr>
      <w:r>
        <w:rPr>
          <w:rFonts w:ascii="宋体" w:hAnsi="宋体" w:cs="宋体"/>
          <w:kern w:val="0"/>
          <w:highlight w:val="none"/>
        </w:rPr>
        <w:t>4.2.4除投标人须知前附表另有规定外，投标人所递交的投标文件不予退还。</w:t>
      </w:r>
    </w:p>
    <w:p>
      <w:pPr>
        <w:snapToGrid w:val="0"/>
        <w:spacing w:line="360" w:lineRule="auto"/>
        <w:rPr>
          <w:rFonts w:ascii="宋体" w:hAnsi="宋体" w:cs="宋体"/>
          <w:kern w:val="0"/>
          <w:highlight w:val="none"/>
        </w:rPr>
      </w:pPr>
      <w:r>
        <w:rPr>
          <w:rFonts w:ascii="宋体" w:hAnsi="宋体" w:cs="宋体"/>
          <w:kern w:val="0"/>
          <w:highlight w:val="none"/>
        </w:rPr>
        <w:t>4.2.5招标人收到投标文件后，向投标人出具签收凭证。</w:t>
      </w:r>
    </w:p>
    <w:p>
      <w:pPr>
        <w:snapToGrid w:val="0"/>
        <w:spacing w:line="360" w:lineRule="auto"/>
        <w:rPr>
          <w:rFonts w:ascii="宋体" w:hAnsi="宋体" w:cs="宋体"/>
          <w:kern w:val="0"/>
          <w:highlight w:val="none"/>
        </w:rPr>
      </w:pPr>
      <w:r>
        <w:rPr>
          <w:rFonts w:ascii="宋体" w:hAnsi="宋体" w:cs="宋体"/>
          <w:kern w:val="0"/>
          <w:highlight w:val="none"/>
        </w:rPr>
        <w:t>4.2.6逾期送达的投标文件，招标人将予以拒收。</w:t>
      </w:r>
    </w:p>
    <w:p>
      <w:pPr>
        <w:snapToGrid w:val="0"/>
        <w:spacing w:line="360" w:lineRule="auto"/>
        <w:outlineLvl w:val="2"/>
        <w:rPr>
          <w:rFonts w:ascii="宋体" w:hAnsi="宋体" w:cs="宋体"/>
          <w:kern w:val="0"/>
          <w:highlight w:val="none"/>
        </w:rPr>
      </w:pPr>
      <w:bookmarkStart w:id="108" w:name="_Toc10255"/>
      <w:bookmarkStart w:id="109" w:name="_Toc27382"/>
      <w:r>
        <w:rPr>
          <w:rFonts w:ascii="宋体" w:hAnsi="宋体" w:cs="宋体"/>
          <w:kern w:val="0"/>
          <w:highlight w:val="none"/>
        </w:rPr>
        <w:t>4.3投标文件的修改与撤回</w:t>
      </w:r>
      <w:bookmarkEnd w:id="108"/>
      <w:bookmarkEnd w:id="109"/>
    </w:p>
    <w:p>
      <w:pPr>
        <w:autoSpaceDE w:val="0"/>
        <w:autoSpaceDN w:val="0"/>
        <w:adjustRightInd w:val="0"/>
        <w:snapToGrid w:val="0"/>
        <w:spacing w:line="480" w:lineRule="exact"/>
        <w:rPr>
          <w:rFonts w:ascii="宋体" w:hAnsi="宋体"/>
          <w:szCs w:val="21"/>
          <w:highlight w:val="none"/>
        </w:rPr>
      </w:pPr>
      <w:bookmarkStart w:id="110" w:name="_Toc27838"/>
      <w:bookmarkStart w:id="111" w:name="_Toc20106"/>
      <w:bookmarkStart w:id="112" w:name="_Toc40699924"/>
      <w:bookmarkStart w:id="113" w:name="_Toc5124"/>
      <w:bookmarkStart w:id="114" w:name="_Toc13413"/>
      <w:r>
        <w:rPr>
          <w:rFonts w:ascii="宋体" w:hAnsi="宋体"/>
          <w:szCs w:val="21"/>
          <w:highlight w:val="none"/>
        </w:rPr>
        <w:t xml:space="preserve">4.3.1 </w:t>
      </w:r>
      <w:r>
        <w:rPr>
          <w:rFonts w:hint="eastAsia" w:ascii="宋体" w:hAnsi="宋体"/>
          <w:szCs w:val="21"/>
          <w:highlight w:val="none"/>
        </w:rPr>
        <w:t>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rPr>
          <w:rFonts w:ascii="宋体" w:hAnsi="宋体"/>
          <w:szCs w:val="21"/>
          <w:highlight w:val="none"/>
        </w:rPr>
      </w:pPr>
      <w:r>
        <w:rPr>
          <w:rFonts w:ascii="宋体" w:hAnsi="宋体"/>
          <w:szCs w:val="21"/>
          <w:highlight w:val="none"/>
        </w:rPr>
        <w:t xml:space="preserve">4.3.2 </w:t>
      </w:r>
      <w:r>
        <w:rPr>
          <w:rFonts w:hint="eastAsia" w:ascii="宋体" w:hAnsi="宋体"/>
          <w:szCs w:val="21"/>
          <w:highlight w:val="none"/>
        </w:rPr>
        <w:t>投标文件的修改应按本文件相关条款规定的要求编制、密封、标志和递交（密封袋上应标明“修改”字样）。</w:t>
      </w:r>
    </w:p>
    <w:p>
      <w:pPr>
        <w:autoSpaceDE w:val="0"/>
        <w:autoSpaceDN w:val="0"/>
        <w:adjustRightInd w:val="0"/>
        <w:snapToGrid w:val="0"/>
        <w:spacing w:line="480" w:lineRule="exact"/>
        <w:rPr>
          <w:rFonts w:ascii="宋体" w:hAnsi="宋体"/>
          <w:szCs w:val="21"/>
          <w:highlight w:val="none"/>
        </w:rPr>
      </w:pPr>
      <w:r>
        <w:rPr>
          <w:rFonts w:ascii="宋体" w:hAnsi="宋体"/>
          <w:szCs w:val="21"/>
          <w:highlight w:val="none"/>
        </w:rPr>
        <w:t xml:space="preserve">4.3.3 </w:t>
      </w:r>
      <w:r>
        <w:rPr>
          <w:rFonts w:hint="eastAsia" w:ascii="宋体" w:hAnsi="宋体"/>
          <w:szCs w:val="21"/>
          <w:highlight w:val="none"/>
        </w:rPr>
        <w:t>投标截止以后</w:t>
      </w:r>
      <w:r>
        <w:rPr>
          <w:rFonts w:ascii="宋体" w:hAnsi="宋体"/>
          <w:szCs w:val="21"/>
          <w:highlight w:val="none"/>
        </w:rPr>
        <w:t>,在投标有效期内，未确定中标人前，投标人不得撤回投标文件。</w:t>
      </w:r>
      <w:bookmarkStart w:id="115" w:name="EB66450c37613b4d8bb5d2ef34d49a190f"/>
      <w:r>
        <w:rPr>
          <w:rFonts w:ascii="宋体" w:hAnsi="宋体"/>
          <w:szCs w:val="21"/>
          <w:highlight w:val="none"/>
        </w:rPr>
        <w:t xml:space="preserve"> </w:t>
      </w:r>
      <w:bookmarkEnd w:id="115"/>
      <w:bookmarkStart w:id="116" w:name="EB0f01764a82a04f44abcb858eaf46c6a5"/>
      <w:r>
        <w:rPr>
          <w:rFonts w:ascii="宋体" w:hAnsi="宋体"/>
          <w:szCs w:val="21"/>
          <w:highlight w:val="none"/>
        </w:rPr>
        <w:t xml:space="preserve"> </w:t>
      </w:r>
      <w:bookmarkEnd w:id="116"/>
    </w:p>
    <w:p>
      <w:pPr>
        <w:pStyle w:val="39"/>
        <w:ind w:firstLine="420"/>
        <w:rPr>
          <w:highlight w:val="none"/>
        </w:rPr>
      </w:pPr>
    </w:p>
    <w:p>
      <w:pPr>
        <w:pStyle w:val="4"/>
        <w:snapToGrid w:val="0"/>
        <w:spacing w:before="0" w:after="0" w:line="360" w:lineRule="auto"/>
        <w:rPr>
          <w:rFonts w:ascii="宋体" w:hAnsi="宋体"/>
          <w:highlight w:val="none"/>
        </w:rPr>
      </w:pPr>
      <w:r>
        <w:rPr>
          <w:rFonts w:ascii="宋体" w:hAnsi="宋体"/>
          <w:highlight w:val="none"/>
        </w:rPr>
        <w:t>5.开标</w:t>
      </w:r>
      <w:bookmarkEnd w:id="110"/>
      <w:bookmarkEnd w:id="111"/>
      <w:bookmarkEnd w:id="112"/>
      <w:bookmarkEnd w:id="113"/>
      <w:bookmarkEnd w:id="114"/>
    </w:p>
    <w:p>
      <w:pPr>
        <w:snapToGrid w:val="0"/>
        <w:spacing w:line="360" w:lineRule="auto"/>
        <w:outlineLvl w:val="2"/>
        <w:rPr>
          <w:rFonts w:ascii="宋体" w:hAnsi="宋体" w:cs="宋体"/>
          <w:kern w:val="0"/>
          <w:highlight w:val="none"/>
        </w:rPr>
      </w:pPr>
      <w:bookmarkStart w:id="117" w:name="_Toc14232"/>
      <w:bookmarkStart w:id="118" w:name="_Toc5479"/>
      <w:r>
        <w:rPr>
          <w:rFonts w:ascii="宋体" w:hAnsi="宋体" w:cs="宋体"/>
          <w:kern w:val="0"/>
          <w:highlight w:val="none"/>
        </w:rPr>
        <w:t>5.1开标时间和地点</w:t>
      </w:r>
      <w:bookmarkEnd w:id="117"/>
      <w:bookmarkEnd w:id="118"/>
    </w:p>
    <w:p>
      <w:pPr>
        <w:snapToGrid w:val="0"/>
        <w:spacing w:line="360" w:lineRule="auto"/>
        <w:rPr>
          <w:rFonts w:ascii="宋体" w:hAnsi="宋体" w:cs="宋体"/>
          <w:kern w:val="0"/>
          <w:highlight w:val="none"/>
        </w:rPr>
      </w:pPr>
      <w:r>
        <w:rPr>
          <w:rFonts w:hint="eastAsia" w:ascii="宋体" w:hAnsi="宋体" w:cs="宋体"/>
          <w:kern w:val="0"/>
          <w:highlight w:val="none"/>
        </w:rPr>
        <w:t>招标人在本章第</w:t>
      </w:r>
      <w:r>
        <w:rPr>
          <w:rFonts w:ascii="宋体" w:hAnsi="宋体" w:cs="宋体"/>
          <w:kern w:val="0"/>
          <w:highlight w:val="none"/>
        </w:rPr>
        <w:t>4.2.1项规定的投标截止时间（开标时间）和投标人须知前附表规定的地点公开开标，并邀请所有投标人的法定代表人（单位负责人）或其委托代理人准时参加。</w:t>
      </w:r>
    </w:p>
    <w:p>
      <w:pPr>
        <w:snapToGrid w:val="0"/>
        <w:spacing w:line="360" w:lineRule="auto"/>
        <w:outlineLvl w:val="2"/>
        <w:rPr>
          <w:rFonts w:ascii="宋体" w:hAnsi="宋体" w:cs="宋体"/>
          <w:kern w:val="0"/>
          <w:highlight w:val="none"/>
        </w:rPr>
      </w:pPr>
      <w:bookmarkStart w:id="119" w:name="_Toc23539"/>
      <w:bookmarkStart w:id="120" w:name="_Toc5428"/>
      <w:r>
        <w:rPr>
          <w:rFonts w:ascii="宋体" w:hAnsi="宋体" w:cs="宋体"/>
          <w:kern w:val="0"/>
          <w:highlight w:val="none"/>
        </w:rPr>
        <w:t>5.2开标程序</w:t>
      </w:r>
      <w:bookmarkEnd w:id="119"/>
      <w:bookmarkEnd w:id="120"/>
    </w:p>
    <w:p>
      <w:pPr>
        <w:snapToGrid w:val="0"/>
        <w:spacing w:line="360" w:lineRule="auto"/>
        <w:rPr>
          <w:rFonts w:ascii="宋体" w:hAnsi="宋体" w:cs="宋体"/>
          <w:kern w:val="0"/>
          <w:highlight w:val="none"/>
        </w:rPr>
      </w:pPr>
      <w:r>
        <w:rPr>
          <w:rFonts w:hint="eastAsia" w:ascii="宋体" w:hAnsi="宋体" w:cs="宋体"/>
          <w:kern w:val="0"/>
          <w:highlight w:val="none"/>
        </w:rPr>
        <w:t>主持人按下列程序进行开标：</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1）宣布开标纪律；</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2）公布在投标截止时间前递交投标文件的投标人名称；</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3）宣布开标人、唱标人、记录人、监标人等有关人员姓名；</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4）检查投标文件的密封情况，按照投标人须知前附表规定的开标顺序当众开标，公布招标项目名称、投标人名称、投标保证金的递交情况、投标报价、交货期、交货地点及其他内容，并记录在案；</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5）投标人代表、招标人代表、监标人、记录人等有关人员在开标记录上签字确认；</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6）开标结束。</w:t>
      </w:r>
    </w:p>
    <w:p>
      <w:pPr>
        <w:snapToGrid w:val="0"/>
        <w:spacing w:line="360" w:lineRule="auto"/>
        <w:outlineLvl w:val="2"/>
        <w:rPr>
          <w:rFonts w:ascii="宋体" w:hAnsi="宋体" w:cs="宋体"/>
          <w:kern w:val="0"/>
          <w:highlight w:val="none"/>
        </w:rPr>
      </w:pPr>
      <w:bookmarkStart w:id="121" w:name="_Toc23818"/>
      <w:bookmarkStart w:id="122" w:name="_Toc12620"/>
      <w:r>
        <w:rPr>
          <w:rFonts w:ascii="宋体" w:hAnsi="宋体" w:cs="宋体"/>
          <w:kern w:val="0"/>
          <w:highlight w:val="none"/>
        </w:rPr>
        <w:t>5.3开标异议</w:t>
      </w:r>
      <w:bookmarkEnd w:id="121"/>
      <w:bookmarkEnd w:id="122"/>
    </w:p>
    <w:p>
      <w:pPr>
        <w:snapToGrid w:val="0"/>
        <w:spacing w:line="360" w:lineRule="auto"/>
        <w:rPr>
          <w:rFonts w:ascii="宋体" w:hAnsi="宋体" w:cs="宋体"/>
          <w:kern w:val="0"/>
          <w:highlight w:val="none"/>
        </w:rPr>
      </w:pPr>
      <w:r>
        <w:rPr>
          <w:rFonts w:hint="eastAsia" w:ascii="宋体" w:hAnsi="宋体" w:cs="宋体"/>
          <w:kern w:val="0"/>
          <w:highlight w:val="none"/>
        </w:rPr>
        <w:t>投标人对开标有异议的，应当在开标现场提出，招标人当场作出答复，并制作记录。</w:t>
      </w:r>
    </w:p>
    <w:p>
      <w:pPr>
        <w:pStyle w:val="4"/>
        <w:snapToGrid w:val="0"/>
        <w:spacing w:before="0" w:after="0" w:line="360" w:lineRule="auto"/>
        <w:rPr>
          <w:rFonts w:ascii="宋体" w:hAnsi="宋体"/>
          <w:highlight w:val="none"/>
        </w:rPr>
      </w:pPr>
      <w:bookmarkStart w:id="123" w:name="_Toc16597"/>
      <w:bookmarkStart w:id="124" w:name="_Toc20036"/>
      <w:bookmarkStart w:id="125" w:name="_Toc8833"/>
      <w:bookmarkStart w:id="126" w:name="_Toc40699925"/>
      <w:bookmarkStart w:id="127" w:name="_Toc23290"/>
      <w:r>
        <w:rPr>
          <w:rFonts w:ascii="宋体" w:hAnsi="宋体"/>
          <w:highlight w:val="none"/>
        </w:rPr>
        <w:t>6.评标</w:t>
      </w:r>
      <w:bookmarkEnd w:id="123"/>
      <w:bookmarkEnd w:id="124"/>
      <w:bookmarkEnd w:id="125"/>
      <w:bookmarkEnd w:id="126"/>
      <w:bookmarkEnd w:id="127"/>
    </w:p>
    <w:p>
      <w:pPr>
        <w:snapToGrid w:val="0"/>
        <w:spacing w:line="360" w:lineRule="auto"/>
        <w:outlineLvl w:val="2"/>
        <w:rPr>
          <w:rFonts w:ascii="宋体" w:hAnsi="宋体" w:cs="宋体"/>
          <w:kern w:val="0"/>
          <w:highlight w:val="none"/>
        </w:rPr>
      </w:pPr>
      <w:bookmarkStart w:id="128" w:name="_Toc25377"/>
      <w:bookmarkStart w:id="129" w:name="_Toc19955"/>
      <w:r>
        <w:rPr>
          <w:rFonts w:ascii="宋体" w:hAnsi="宋体" w:cs="宋体"/>
          <w:kern w:val="0"/>
          <w:highlight w:val="none"/>
        </w:rPr>
        <w:t>6.1评标委员会</w:t>
      </w:r>
      <w:bookmarkEnd w:id="128"/>
      <w:bookmarkEnd w:id="129"/>
    </w:p>
    <w:p>
      <w:pPr>
        <w:snapToGrid w:val="0"/>
        <w:spacing w:line="360" w:lineRule="auto"/>
        <w:rPr>
          <w:rFonts w:ascii="宋体" w:hAnsi="宋体" w:cs="宋体"/>
          <w:kern w:val="0"/>
          <w:highlight w:val="none"/>
        </w:rPr>
      </w:pPr>
      <w:r>
        <w:rPr>
          <w:rFonts w:ascii="宋体" w:hAnsi="宋体" w:cs="宋体"/>
          <w:kern w:val="0"/>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pPr>
        <w:snapToGrid w:val="0"/>
        <w:spacing w:line="360" w:lineRule="auto"/>
        <w:rPr>
          <w:rFonts w:ascii="宋体" w:hAnsi="宋体" w:cs="宋体"/>
          <w:kern w:val="0"/>
          <w:highlight w:val="none"/>
        </w:rPr>
      </w:pPr>
      <w:r>
        <w:rPr>
          <w:rFonts w:ascii="宋体" w:hAnsi="宋体" w:cs="宋体"/>
          <w:kern w:val="0"/>
          <w:highlight w:val="none"/>
        </w:rPr>
        <w:t>6.1.2评标委员会成员有下列情形之一的，应当回避：</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1）投标人或投标人主要负责人的近亲属；</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2）项目主管部门或者行政监督部门的人员；</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3）与投标人有经济利益关系，可能影响对投标公正评审的；</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4）曾因在招标、评标以及其他与招标投标有关活动中从事违法行为而受过行政处罚或刑事处罚的；</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5）与投标人有其他利害关系。</w:t>
      </w:r>
    </w:p>
    <w:p>
      <w:pPr>
        <w:snapToGrid w:val="0"/>
        <w:spacing w:line="360" w:lineRule="auto"/>
        <w:rPr>
          <w:rFonts w:ascii="宋体" w:hAnsi="宋体" w:cs="宋体"/>
          <w:kern w:val="0"/>
          <w:highlight w:val="none"/>
        </w:rPr>
      </w:pPr>
      <w:r>
        <w:rPr>
          <w:rFonts w:ascii="宋体" w:hAnsi="宋体" w:cs="宋体"/>
          <w:kern w:val="0"/>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snapToGrid w:val="0"/>
        <w:spacing w:line="360" w:lineRule="auto"/>
        <w:outlineLvl w:val="2"/>
        <w:rPr>
          <w:rFonts w:ascii="宋体" w:hAnsi="宋体" w:cs="宋体"/>
          <w:kern w:val="0"/>
          <w:highlight w:val="none"/>
        </w:rPr>
      </w:pPr>
      <w:bookmarkStart w:id="130" w:name="_Toc7533"/>
      <w:bookmarkStart w:id="131" w:name="_Toc30310"/>
      <w:r>
        <w:rPr>
          <w:rFonts w:ascii="宋体" w:hAnsi="宋体" w:cs="宋体"/>
          <w:kern w:val="0"/>
          <w:highlight w:val="none"/>
        </w:rPr>
        <w:t>6.2评标原则</w:t>
      </w:r>
      <w:bookmarkEnd w:id="130"/>
      <w:bookmarkEnd w:id="131"/>
    </w:p>
    <w:p>
      <w:pPr>
        <w:snapToGrid w:val="0"/>
        <w:spacing w:line="360" w:lineRule="auto"/>
        <w:rPr>
          <w:rFonts w:ascii="宋体" w:hAnsi="宋体" w:cs="宋体"/>
          <w:kern w:val="0"/>
          <w:highlight w:val="none"/>
        </w:rPr>
      </w:pPr>
      <w:r>
        <w:rPr>
          <w:rFonts w:hint="eastAsia" w:ascii="宋体" w:hAnsi="宋体" w:cs="宋体"/>
          <w:kern w:val="0"/>
          <w:highlight w:val="none"/>
        </w:rPr>
        <w:t>评标活动遵循公平、公正、科学和择优的原则。</w:t>
      </w:r>
    </w:p>
    <w:p>
      <w:pPr>
        <w:snapToGrid w:val="0"/>
        <w:spacing w:line="360" w:lineRule="auto"/>
        <w:outlineLvl w:val="2"/>
        <w:rPr>
          <w:rFonts w:ascii="宋体" w:hAnsi="宋体" w:cs="宋体"/>
          <w:kern w:val="0"/>
          <w:highlight w:val="none"/>
        </w:rPr>
      </w:pPr>
      <w:bookmarkStart w:id="132" w:name="_Toc25757"/>
      <w:bookmarkStart w:id="133" w:name="_Toc3196"/>
      <w:r>
        <w:rPr>
          <w:rFonts w:ascii="宋体" w:hAnsi="宋体" w:cs="宋体"/>
          <w:kern w:val="0"/>
          <w:highlight w:val="none"/>
        </w:rPr>
        <w:t>6.3评标</w:t>
      </w:r>
      <w:bookmarkEnd w:id="132"/>
      <w:bookmarkEnd w:id="133"/>
    </w:p>
    <w:p>
      <w:pPr>
        <w:snapToGrid w:val="0"/>
        <w:spacing w:line="360" w:lineRule="auto"/>
        <w:rPr>
          <w:rFonts w:ascii="宋体" w:hAnsi="宋体" w:cs="宋体"/>
          <w:kern w:val="0"/>
          <w:highlight w:val="none"/>
        </w:rPr>
      </w:pPr>
      <w:r>
        <w:rPr>
          <w:rFonts w:ascii="宋体" w:hAnsi="宋体" w:cs="宋体"/>
          <w:kern w:val="0"/>
          <w:highlight w:val="none"/>
        </w:rPr>
        <w:t>6.3.1评标委员会按照第三章“评标办法”规定的方法、评审因素、标准和程序对投标文件进行评审。第三章“评标办法”没有规定的方法、评审因素和标准，不作为评标依据。</w:t>
      </w:r>
    </w:p>
    <w:p>
      <w:pPr>
        <w:snapToGrid w:val="0"/>
        <w:spacing w:line="360" w:lineRule="auto"/>
        <w:rPr>
          <w:rFonts w:ascii="宋体" w:hAnsi="宋体" w:cs="宋体"/>
          <w:kern w:val="0"/>
          <w:highlight w:val="none"/>
        </w:rPr>
      </w:pPr>
      <w:r>
        <w:rPr>
          <w:rFonts w:ascii="宋体" w:hAnsi="宋体" w:cs="宋体"/>
          <w:kern w:val="0"/>
          <w:highlight w:val="none"/>
        </w:rPr>
        <w:t>6.3.2评标完成后，评标委员会应当向招标人提交书面评标报告和中标候选人名单。评标委员会推荐中标候选人的人数见投标人须知前附表。</w:t>
      </w:r>
    </w:p>
    <w:p>
      <w:pPr>
        <w:pStyle w:val="4"/>
        <w:snapToGrid w:val="0"/>
        <w:spacing w:before="0" w:after="0" w:line="360" w:lineRule="auto"/>
        <w:rPr>
          <w:rFonts w:ascii="宋体" w:hAnsi="宋体"/>
          <w:highlight w:val="none"/>
        </w:rPr>
      </w:pPr>
      <w:bookmarkStart w:id="134" w:name="_Toc13674"/>
      <w:bookmarkStart w:id="135" w:name="_Toc3492"/>
      <w:bookmarkStart w:id="136" w:name="_Toc27539"/>
      <w:bookmarkStart w:id="137" w:name="_Toc40699926"/>
      <w:bookmarkStart w:id="138" w:name="_Toc25285"/>
      <w:r>
        <w:rPr>
          <w:rFonts w:ascii="宋体" w:hAnsi="宋体"/>
          <w:highlight w:val="none"/>
        </w:rPr>
        <w:t>7.</w:t>
      </w:r>
      <w:r>
        <w:rPr>
          <w:rFonts w:hint="eastAsia" w:ascii="宋体" w:hAnsi="宋体"/>
          <w:szCs w:val="21"/>
          <w:highlight w:val="none"/>
        </w:rPr>
        <w:t>定标及合同</w:t>
      </w:r>
      <w:r>
        <w:rPr>
          <w:rFonts w:hint="eastAsia" w:ascii="宋体" w:hAnsi="宋体"/>
          <w:highlight w:val="none"/>
        </w:rPr>
        <w:t>授予</w:t>
      </w:r>
      <w:bookmarkEnd w:id="134"/>
      <w:bookmarkEnd w:id="135"/>
      <w:bookmarkEnd w:id="136"/>
      <w:bookmarkEnd w:id="137"/>
      <w:bookmarkEnd w:id="138"/>
    </w:p>
    <w:p>
      <w:pPr>
        <w:snapToGrid w:val="0"/>
        <w:spacing w:line="360" w:lineRule="auto"/>
        <w:rPr>
          <w:rFonts w:ascii="宋体" w:hAnsi="宋体" w:cs="宋体"/>
          <w:kern w:val="0"/>
          <w:highlight w:val="none"/>
        </w:rPr>
      </w:pPr>
      <w:bookmarkStart w:id="139" w:name="_Toc20749"/>
      <w:bookmarkStart w:id="140" w:name="_Toc26734"/>
      <w:bookmarkStart w:id="141" w:name="_Toc12889"/>
      <w:bookmarkStart w:id="142" w:name="_Toc40699927"/>
      <w:bookmarkStart w:id="143" w:name="_Toc17066"/>
      <w:r>
        <w:rPr>
          <w:rFonts w:ascii="宋体" w:hAnsi="宋体" w:cs="宋体"/>
          <w:kern w:val="0"/>
          <w:highlight w:val="none"/>
        </w:rPr>
        <w:t>7.1评标委员会完成评标后，应当向招标人提出书面评标报告，阐明评标委员会对各投标文件的评审和比较意见，并按照招标文件中规定的评标方法，通过对商务、技术等因素的综合评审进行打分，综合得分最高的投标人排名第一，依此类推确定排名顺序，按排名顺序先后确定中标人。</w:t>
      </w:r>
    </w:p>
    <w:p>
      <w:pPr>
        <w:snapToGrid w:val="0"/>
        <w:spacing w:line="360" w:lineRule="auto"/>
        <w:rPr>
          <w:rFonts w:ascii="宋体" w:hAnsi="宋体" w:cs="宋体"/>
          <w:kern w:val="0"/>
          <w:highlight w:val="none"/>
        </w:rPr>
      </w:pPr>
      <w:r>
        <w:rPr>
          <w:rFonts w:ascii="宋体" w:hAnsi="宋体" w:cs="宋体"/>
          <w:kern w:val="0"/>
          <w:highlight w:val="none"/>
        </w:rPr>
        <w:t>7.2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snapToGrid w:val="0"/>
        <w:spacing w:line="360" w:lineRule="auto"/>
        <w:rPr>
          <w:rFonts w:ascii="宋体" w:hAnsi="宋体" w:cs="宋体"/>
          <w:kern w:val="0"/>
          <w:highlight w:val="none"/>
        </w:rPr>
      </w:pPr>
      <w:r>
        <w:rPr>
          <w:rFonts w:ascii="宋体" w:hAnsi="宋体" w:cs="宋体"/>
          <w:kern w:val="0"/>
          <w:highlight w:val="none"/>
        </w:rPr>
        <w:t>7.3招标人将对被列为中标候选人的投标人及其投标货物作最终审查，进一步考察其财务、技术和生产能力、履行合同的能力和信誉、同类货物的使用情况等。</w:t>
      </w:r>
    </w:p>
    <w:p>
      <w:pPr>
        <w:snapToGrid w:val="0"/>
        <w:spacing w:line="360" w:lineRule="auto"/>
        <w:rPr>
          <w:rFonts w:ascii="宋体" w:hAnsi="宋体" w:cs="宋体"/>
          <w:kern w:val="0"/>
          <w:highlight w:val="none"/>
        </w:rPr>
      </w:pPr>
      <w:r>
        <w:rPr>
          <w:rFonts w:ascii="宋体" w:hAnsi="宋体" w:cs="宋体"/>
          <w:kern w:val="0"/>
          <w:highlight w:val="none"/>
        </w:rPr>
        <w:t>7.4招标人将根据最终评标结果决定中标人。</w:t>
      </w:r>
    </w:p>
    <w:p>
      <w:pPr>
        <w:snapToGrid w:val="0"/>
        <w:spacing w:line="360" w:lineRule="auto"/>
        <w:rPr>
          <w:rFonts w:ascii="宋体" w:hAnsi="宋体" w:cs="宋体"/>
          <w:kern w:val="0"/>
          <w:highlight w:val="none"/>
        </w:rPr>
      </w:pPr>
      <w:r>
        <w:rPr>
          <w:rFonts w:ascii="宋体" w:hAnsi="宋体" w:cs="宋体"/>
          <w:kern w:val="0"/>
          <w:highlight w:val="none"/>
        </w:rPr>
        <w:t>7.5评标结束后，招标人向中标人发出书面中标通知书，中标人收到中标通知书后，应按指定时间、地点与买方签订合同。</w:t>
      </w:r>
    </w:p>
    <w:p>
      <w:pPr>
        <w:snapToGrid w:val="0"/>
        <w:spacing w:line="360" w:lineRule="auto"/>
        <w:rPr>
          <w:rFonts w:ascii="宋体" w:hAnsi="宋体" w:cs="宋体"/>
          <w:kern w:val="0"/>
          <w:highlight w:val="none"/>
        </w:rPr>
      </w:pPr>
      <w:r>
        <w:rPr>
          <w:rFonts w:ascii="宋体" w:hAnsi="宋体" w:cs="宋体"/>
          <w:kern w:val="0"/>
          <w:highlight w:val="none"/>
        </w:rPr>
        <w:t>7.6在合同签订</w:t>
      </w:r>
      <w:r>
        <w:rPr>
          <w:rFonts w:hint="eastAsia" w:ascii="宋体" w:hAnsi="宋体" w:cs="宋体"/>
          <w:kern w:val="0"/>
          <w:highlight w:val="none"/>
        </w:rPr>
        <w:t>前，中标人应按规定向招标人提交合同价</w:t>
      </w:r>
      <w:r>
        <w:rPr>
          <w:rFonts w:ascii="宋体" w:hAnsi="宋体" w:cs="宋体"/>
          <w:kern w:val="0"/>
          <w:highlight w:val="none"/>
        </w:rPr>
        <w:t>10%的履约保函；如果中标人签订合同后7日内未按规定办理保函的，招标人即认为中标单位无能力提供履约保函而取消其中标资格；招标人可以确定排名第二的中标候选人为中标人。</w:t>
      </w:r>
    </w:p>
    <w:p>
      <w:pPr>
        <w:pStyle w:val="4"/>
        <w:snapToGrid w:val="0"/>
        <w:spacing w:before="0" w:after="0" w:line="360" w:lineRule="auto"/>
        <w:rPr>
          <w:rFonts w:ascii="宋体" w:hAnsi="宋体"/>
          <w:highlight w:val="none"/>
        </w:rPr>
      </w:pPr>
      <w:r>
        <w:rPr>
          <w:rFonts w:ascii="宋体" w:hAnsi="宋体"/>
          <w:highlight w:val="none"/>
        </w:rPr>
        <w:t>8.纪律和监督</w:t>
      </w:r>
      <w:bookmarkEnd w:id="139"/>
      <w:bookmarkEnd w:id="140"/>
      <w:bookmarkEnd w:id="141"/>
      <w:bookmarkEnd w:id="142"/>
      <w:bookmarkEnd w:id="143"/>
    </w:p>
    <w:p>
      <w:pPr>
        <w:snapToGrid w:val="0"/>
        <w:spacing w:line="360" w:lineRule="auto"/>
        <w:outlineLvl w:val="2"/>
        <w:rPr>
          <w:rFonts w:ascii="宋体" w:hAnsi="宋体" w:cs="宋体"/>
          <w:kern w:val="0"/>
          <w:highlight w:val="none"/>
        </w:rPr>
      </w:pPr>
      <w:bookmarkStart w:id="144" w:name="_Toc14910"/>
      <w:bookmarkStart w:id="145" w:name="_Toc15697"/>
      <w:r>
        <w:rPr>
          <w:rFonts w:ascii="宋体" w:hAnsi="宋体" w:cs="宋体"/>
          <w:kern w:val="0"/>
          <w:highlight w:val="none"/>
        </w:rPr>
        <w:t>8.1对招标人的纪律要求</w:t>
      </w:r>
      <w:bookmarkEnd w:id="144"/>
      <w:bookmarkEnd w:id="145"/>
    </w:p>
    <w:p>
      <w:pPr>
        <w:snapToGrid w:val="0"/>
        <w:spacing w:line="360" w:lineRule="auto"/>
        <w:rPr>
          <w:rFonts w:ascii="宋体" w:hAnsi="宋体" w:cs="宋体"/>
          <w:kern w:val="0"/>
          <w:highlight w:val="none"/>
        </w:rPr>
      </w:pPr>
      <w:r>
        <w:rPr>
          <w:rFonts w:hint="eastAsia" w:ascii="宋体" w:hAnsi="宋体" w:cs="宋体"/>
          <w:kern w:val="0"/>
          <w:highlight w:val="none"/>
        </w:rPr>
        <w:t>招标人不得泄露招标投标活动中应当保密的情况和资料，不得与投标人串通损害国家利益、社会公共利益或者他人合法权益。</w:t>
      </w:r>
    </w:p>
    <w:p>
      <w:pPr>
        <w:snapToGrid w:val="0"/>
        <w:spacing w:line="360" w:lineRule="auto"/>
        <w:outlineLvl w:val="2"/>
        <w:rPr>
          <w:rFonts w:ascii="宋体" w:hAnsi="宋体" w:cs="宋体"/>
          <w:kern w:val="0"/>
          <w:highlight w:val="none"/>
        </w:rPr>
      </w:pPr>
      <w:bookmarkStart w:id="146" w:name="_Toc17821"/>
      <w:bookmarkStart w:id="147" w:name="_Toc30658"/>
      <w:r>
        <w:rPr>
          <w:rFonts w:ascii="宋体" w:hAnsi="宋体" w:cs="宋体"/>
          <w:kern w:val="0"/>
          <w:highlight w:val="none"/>
        </w:rPr>
        <w:t>8.2对投标人的纪律要求</w:t>
      </w:r>
      <w:bookmarkEnd w:id="146"/>
      <w:bookmarkEnd w:id="147"/>
    </w:p>
    <w:p>
      <w:pPr>
        <w:snapToGrid w:val="0"/>
        <w:spacing w:line="360" w:lineRule="auto"/>
        <w:rPr>
          <w:rFonts w:ascii="宋体" w:hAnsi="宋体" w:cs="宋体"/>
          <w:kern w:val="0"/>
          <w:highlight w:val="none"/>
        </w:rPr>
      </w:pPr>
      <w:r>
        <w:rPr>
          <w:rFonts w:hint="eastAsia" w:ascii="宋体" w:hAnsi="宋体" w:cs="宋体"/>
          <w:kern w:val="0"/>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360" w:lineRule="auto"/>
        <w:outlineLvl w:val="2"/>
        <w:rPr>
          <w:rFonts w:ascii="宋体" w:hAnsi="宋体" w:cs="宋体"/>
          <w:kern w:val="0"/>
          <w:highlight w:val="none"/>
        </w:rPr>
      </w:pPr>
      <w:bookmarkStart w:id="148" w:name="_Toc13412"/>
      <w:bookmarkStart w:id="149" w:name="_Toc32673"/>
      <w:r>
        <w:rPr>
          <w:rFonts w:ascii="宋体" w:hAnsi="宋体" w:cs="宋体"/>
          <w:kern w:val="0"/>
          <w:highlight w:val="none"/>
        </w:rPr>
        <w:t>8.3对评标委员会成员的纪律要求</w:t>
      </w:r>
      <w:bookmarkEnd w:id="148"/>
      <w:bookmarkEnd w:id="149"/>
    </w:p>
    <w:p>
      <w:pPr>
        <w:snapToGrid w:val="0"/>
        <w:spacing w:line="360" w:lineRule="auto"/>
        <w:rPr>
          <w:rFonts w:ascii="宋体" w:hAnsi="宋体" w:cs="宋体"/>
          <w:kern w:val="0"/>
          <w:highlight w:val="none"/>
        </w:rPr>
      </w:pPr>
      <w:r>
        <w:rPr>
          <w:rFonts w:hint="eastAsia" w:ascii="宋体" w:hAnsi="宋体" w:cs="宋体"/>
          <w:kern w:val="0"/>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napToGrid w:val="0"/>
        <w:spacing w:line="360" w:lineRule="auto"/>
        <w:outlineLvl w:val="2"/>
        <w:rPr>
          <w:rFonts w:ascii="宋体" w:hAnsi="宋体" w:cs="宋体"/>
          <w:kern w:val="0"/>
          <w:highlight w:val="none"/>
        </w:rPr>
      </w:pPr>
      <w:bookmarkStart w:id="150" w:name="_Toc16315"/>
      <w:bookmarkStart w:id="151" w:name="_Toc25524"/>
      <w:r>
        <w:rPr>
          <w:rFonts w:ascii="宋体" w:hAnsi="宋体" w:cs="宋体"/>
          <w:kern w:val="0"/>
          <w:highlight w:val="none"/>
        </w:rPr>
        <w:t>8.4对与评标活动有关的工作人员的纪律要求</w:t>
      </w:r>
      <w:bookmarkEnd w:id="150"/>
      <w:bookmarkEnd w:id="151"/>
    </w:p>
    <w:p>
      <w:pPr>
        <w:snapToGrid w:val="0"/>
        <w:spacing w:line="360" w:lineRule="auto"/>
        <w:rPr>
          <w:rFonts w:ascii="宋体" w:hAnsi="宋体" w:cs="宋体"/>
          <w:kern w:val="0"/>
          <w:highlight w:val="none"/>
        </w:rPr>
      </w:pPr>
      <w:r>
        <w:rPr>
          <w:rFonts w:hint="eastAsia" w:ascii="宋体" w:hAnsi="宋体" w:cs="宋体"/>
          <w:kern w:val="0"/>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outlineLvl w:val="2"/>
        <w:rPr>
          <w:rFonts w:ascii="宋体" w:hAnsi="宋体" w:cs="宋体"/>
          <w:kern w:val="0"/>
          <w:highlight w:val="none"/>
        </w:rPr>
      </w:pPr>
      <w:bookmarkStart w:id="152" w:name="_Toc19865"/>
      <w:bookmarkStart w:id="153" w:name="_Toc2722"/>
      <w:r>
        <w:rPr>
          <w:rFonts w:ascii="宋体" w:hAnsi="宋体" w:cs="宋体"/>
          <w:kern w:val="0"/>
          <w:highlight w:val="none"/>
        </w:rPr>
        <w:t>8.5投诉</w:t>
      </w:r>
      <w:bookmarkEnd w:id="152"/>
      <w:bookmarkEnd w:id="153"/>
    </w:p>
    <w:p>
      <w:pPr>
        <w:snapToGrid w:val="0"/>
        <w:spacing w:line="360" w:lineRule="auto"/>
        <w:rPr>
          <w:rFonts w:ascii="宋体" w:hAnsi="宋体" w:cs="宋体"/>
          <w:kern w:val="0"/>
          <w:highlight w:val="none"/>
        </w:rPr>
      </w:pPr>
      <w:r>
        <w:rPr>
          <w:rFonts w:ascii="宋体" w:hAnsi="宋体" w:cs="宋体"/>
          <w:kern w:val="0"/>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snapToGrid w:val="0"/>
        <w:spacing w:line="360" w:lineRule="auto"/>
        <w:rPr>
          <w:rFonts w:ascii="宋体" w:hAnsi="宋体" w:cs="宋体"/>
          <w:kern w:val="0"/>
          <w:highlight w:val="none"/>
        </w:rPr>
      </w:pPr>
      <w:r>
        <w:rPr>
          <w:rFonts w:ascii="宋体" w:hAnsi="宋体" w:cs="宋体"/>
          <w:kern w:val="0"/>
          <w:highlight w:val="none"/>
        </w:rPr>
        <w:t>8.5.2投标人或者其他利害关系人对招标文件、开标和评标结果提出投诉的，应当按照投标人须知第2.4款、第5.3款和第7.2款的规定先向招标人提出异议。异议答复期间不计算在第8.5.1项规定的期限内。</w:t>
      </w:r>
    </w:p>
    <w:p>
      <w:pPr>
        <w:pStyle w:val="4"/>
        <w:snapToGrid w:val="0"/>
        <w:spacing w:before="0" w:after="0" w:line="360" w:lineRule="auto"/>
        <w:rPr>
          <w:rFonts w:ascii="宋体" w:hAnsi="宋体"/>
          <w:highlight w:val="none"/>
        </w:rPr>
      </w:pPr>
      <w:bookmarkStart w:id="154" w:name="_Toc12206"/>
      <w:bookmarkStart w:id="155" w:name="_Toc16846"/>
      <w:bookmarkStart w:id="156" w:name="_Toc18267"/>
      <w:bookmarkStart w:id="157" w:name="_Toc40699928"/>
      <w:bookmarkStart w:id="158" w:name="_Toc29181"/>
      <w:r>
        <w:rPr>
          <w:rFonts w:ascii="宋体" w:hAnsi="宋体"/>
          <w:highlight w:val="none"/>
        </w:rPr>
        <w:t>9.是否采用电子招标投标</w:t>
      </w:r>
      <w:bookmarkEnd w:id="154"/>
      <w:bookmarkEnd w:id="155"/>
      <w:bookmarkEnd w:id="156"/>
      <w:bookmarkEnd w:id="157"/>
      <w:bookmarkEnd w:id="158"/>
    </w:p>
    <w:p>
      <w:pPr>
        <w:snapToGrid w:val="0"/>
        <w:spacing w:line="360" w:lineRule="auto"/>
        <w:rPr>
          <w:rFonts w:ascii="宋体" w:hAnsi="宋体" w:cs="宋体"/>
          <w:kern w:val="0"/>
          <w:highlight w:val="none"/>
        </w:rPr>
      </w:pPr>
      <w:r>
        <w:rPr>
          <w:rFonts w:hint="eastAsia" w:ascii="宋体" w:hAnsi="宋体" w:cs="宋体"/>
          <w:kern w:val="0"/>
          <w:highlight w:val="none"/>
        </w:rPr>
        <w:t>本招标项目是否采用电子招标投标方式，见投标人须知前附表。</w:t>
      </w:r>
    </w:p>
    <w:p>
      <w:pPr>
        <w:pStyle w:val="4"/>
        <w:snapToGrid w:val="0"/>
        <w:spacing w:before="0" w:after="0" w:line="360" w:lineRule="auto"/>
        <w:rPr>
          <w:rFonts w:ascii="宋体" w:hAnsi="宋体"/>
          <w:highlight w:val="none"/>
        </w:rPr>
      </w:pPr>
      <w:bookmarkStart w:id="159" w:name="_Toc12378"/>
      <w:bookmarkStart w:id="160" w:name="_Toc40699929"/>
      <w:bookmarkStart w:id="161" w:name="_Toc31109"/>
      <w:bookmarkStart w:id="162" w:name="_Toc12612"/>
      <w:bookmarkStart w:id="163" w:name="_Toc19541"/>
      <w:r>
        <w:rPr>
          <w:rFonts w:ascii="宋体" w:hAnsi="宋体"/>
          <w:highlight w:val="none"/>
        </w:rPr>
        <w:t>10.需要补充的其他内容</w:t>
      </w:r>
      <w:bookmarkEnd w:id="159"/>
      <w:bookmarkEnd w:id="160"/>
      <w:bookmarkEnd w:id="161"/>
      <w:bookmarkEnd w:id="162"/>
      <w:bookmarkEnd w:id="163"/>
    </w:p>
    <w:p>
      <w:pPr>
        <w:snapToGrid w:val="0"/>
        <w:spacing w:line="360" w:lineRule="auto"/>
        <w:rPr>
          <w:rFonts w:ascii="宋体" w:hAnsi="宋体" w:cs="宋体"/>
          <w:kern w:val="0"/>
          <w:highlight w:val="none"/>
        </w:rPr>
      </w:pPr>
      <w:r>
        <w:rPr>
          <w:rFonts w:hint="eastAsia" w:ascii="宋体" w:hAnsi="宋体" w:cs="宋体"/>
          <w:kern w:val="0"/>
          <w:highlight w:val="none"/>
        </w:rPr>
        <w:t>需要补充的其他内容：见投标人须知前附表。</w:t>
      </w:r>
    </w:p>
    <w:p>
      <w:pPr>
        <w:pStyle w:val="3"/>
        <w:snapToGrid w:val="0"/>
        <w:spacing w:before="0" w:after="0" w:line="360" w:lineRule="auto"/>
        <w:rPr>
          <w:kern w:val="0"/>
          <w:highlight w:val="none"/>
        </w:rPr>
      </w:pPr>
      <w:r>
        <w:rPr>
          <w:b w:val="0"/>
          <w:bCs w:val="0"/>
          <w:kern w:val="0"/>
          <w:highlight w:val="none"/>
        </w:rPr>
        <w:br w:type="column"/>
      </w:r>
      <w:bookmarkStart w:id="164" w:name="_Toc40699930"/>
      <w:bookmarkStart w:id="165" w:name="_Toc2541"/>
      <w:bookmarkStart w:id="166" w:name="_Toc13836"/>
      <w:bookmarkStart w:id="167" w:name="_Toc16096"/>
      <w:r>
        <w:rPr>
          <w:rFonts w:hint="eastAsia"/>
          <w:kern w:val="0"/>
          <w:highlight w:val="none"/>
        </w:rPr>
        <w:t>第三章</w:t>
      </w:r>
      <w:r>
        <w:rPr>
          <w:kern w:val="0"/>
          <w:highlight w:val="none"/>
        </w:rPr>
        <w:t xml:space="preserve"> </w:t>
      </w:r>
      <w:r>
        <w:rPr>
          <w:rFonts w:hint="eastAsia"/>
          <w:kern w:val="0"/>
          <w:highlight w:val="none"/>
        </w:rPr>
        <w:t>评标办法（综合评估法）</w:t>
      </w:r>
      <w:bookmarkEnd w:id="164"/>
      <w:bookmarkEnd w:id="165"/>
      <w:bookmarkEnd w:id="166"/>
      <w:bookmarkEnd w:id="167"/>
    </w:p>
    <w:p>
      <w:pPr>
        <w:pStyle w:val="4"/>
        <w:snapToGrid w:val="0"/>
        <w:spacing w:before="0" w:after="0" w:line="360" w:lineRule="auto"/>
        <w:rPr>
          <w:rFonts w:ascii="宋体" w:hAnsi="宋体"/>
          <w:highlight w:val="none"/>
        </w:rPr>
      </w:pPr>
      <w:bookmarkStart w:id="168" w:name="_Toc26177"/>
      <w:bookmarkStart w:id="169" w:name="_Toc18445"/>
      <w:bookmarkStart w:id="170" w:name="_Toc13469"/>
      <w:bookmarkStart w:id="171" w:name="_Toc40699931"/>
      <w:r>
        <w:rPr>
          <w:rFonts w:hint="eastAsia" w:ascii="宋体" w:hAnsi="宋体"/>
          <w:highlight w:val="none"/>
        </w:rPr>
        <w:t>评标办法前附表</w:t>
      </w:r>
      <w:bookmarkEnd w:id="168"/>
      <w:bookmarkEnd w:id="169"/>
      <w:bookmarkEnd w:id="170"/>
      <w:bookmarkEnd w:id="171"/>
    </w:p>
    <w:tbl>
      <w:tblPr>
        <w:tblStyle w:val="33"/>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7"/>
        <w:gridCol w:w="737"/>
        <w:gridCol w:w="1372"/>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条款内容</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ascii="宋体" w:hAnsi="宋体" w:cs="宋体"/>
                <w:kern w:val="0"/>
                <w:szCs w:val="21"/>
                <w:highlight w:val="none"/>
              </w:rPr>
              <w:t>1</w:t>
            </w:r>
          </w:p>
        </w:tc>
        <w:tc>
          <w:tcPr>
            <w:tcW w:w="73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评标方法</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中标候选人排序方法</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本次评标采用综合评估法。评标委员会对满足招标文件实质性要求的投标文件，按照本章第</w:t>
            </w:r>
            <w:r>
              <w:rPr>
                <w:rFonts w:ascii="宋体" w:hAnsi="宋体" w:cs="宋体"/>
                <w:kern w:val="0"/>
                <w:szCs w:val="21"/>
                <w:highlight w:val="none"/>
              </w:rPr>
              <w:t>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确定中标候选人顺序的方法为：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ascii="宋体" w:hAnsi="宋体" w:cs="宋体"/>
                <w:kern w:val="0"/>
                <w:szCs w:val="21"/>
                <w:highlight w:val="none"/>
              </w:rPr>
              <w:t>2.1.1</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形式评审标准</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投标人名称</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投标函签字盖章</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投标文件格式</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ascii="宋体" w:hAnsi="宋体" w:cs="宋体"/>
                <w:kern w:val="0"/>
                <w:szCs w:val="21"/>
                <w:highlight w:val="none"/>
              </w:rPr>
              <w:t>2.1.2</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资格评审标准</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资质要求</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财务要求</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不存在禁止投标的情形</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不存在第二章“投标人须知”第</w:t>
            </w:r>
            <w:r>
              <w:rPr>
                <w:rFonts w:ascii="宋体" w:hAnsi="宋体" w:cs="宋体"/>
                <w:kern w:val="0"/>
                <w:szCs w:val="21"/>
                <w:highlight w:val="none"/>
              </w:rPr>
              <w:t>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ascii="宋体" w:hAnsi="宋体" w:cs="宋体"/>
                <w:kern w:val="0"/>
                <w:szCs w:val="21"/>
                <w:highlight w:val="none"/>
              </w:rPr>
              <w:t>2.1.3</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响应性评审标准</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投标报价</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投标内容</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交货期</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交货地点</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技术性能指标</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投标有效期</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投标保证金</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权利义务</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投标设备及技术服务和质保期服务</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符合第五章“项目需求”中的实质性要求和条件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技术支持资料</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符合第二章“投标人须知”第</w:t>
            </w:r>
            <w:r>
              <w:rPr>
                <w:rFonts w:ascii="宋体" w:hAnsi="宋体" w:cs="宋体"/>
                <w:kern w:val="0"/>
                <w:szCs w:val="21"/>
                <w:highlight w:val="none"/>
              </w:rPr>
              <w:t>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lang w:eastAsia="en-US"/>
              </w:rPr>
              <w:t>主要技术参数</w:t>
            </w:r>
          </w:p>
        </w:tc>
        <w:tc>
          <w:tcPr>
            <w:tcW w:w="6989" w:type="dxa"/>
            <w:tcBorders>
              <w:top w:val="single" w:color="auto" w:sz="4" w:space="0"/>
              <w:left w:val="single" w:color="auto" w:sz="4" w:space="0"/>
              <w:bottom w:val="single" w:color="auto" w:sz="4" w:space="0"/>
              <w:right w:val="single" w:color="auto" w:sz="4" w:space="0"/>
            </w:tcBorders>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符合第五章“项目需求”中的实质性条款的要求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条款内容</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5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ascii="宋体" w:hAnsi="宋体" w:cs="宋体"/>
                <w:kern w:val="0"/>
                <w:szCs w:val="21"/>
                <w:highlight w:val="none"/>
              </w:rPr>
              <w:t>2.2.1</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kern w:val="0"/>
                <w:szCs w:val="21"/>
                <w:highlight w:val="none"/>
              </w:rPr>
            </w:pPr>
            <w:r>
              <w:rPr>
                <w:rFonts w:hint="eastAsia" w:ascii="宋体" w:hAnsi="宋体" w:cs="宋体"/>
                <w:kern w:val="0"/>
                <w:szCs w:val="21"/>
                <w:highlight w:val="none"/>
              </w:rPr>
              <w:t>分值构成</w:t>
            </w:r>
          </w:p>
          <w:p>
            <w:pPr>
              <w:snapToGrid w:val="0"/>
              <w:ind w:firstLine="0" w:firstLineChars="0"/>
              <w:rPr>
                <w:rFonts w:ascii="宋体" w:hAnsi="宋体" w:cs="宋体"/>
                <w:kern w:val="0"/>
                <w:szCs w:val="21"/>
                <w:highlight w:val="none"/>
              </w:rPr>
            </w:pPr>
            <w:r>
              <w:rPr>
                <w:rFonts w:hint="eastAsia" w:ascii="宋体" w:hAnsi="宋体" w:cs="宋体"/>
                <w:kern w:val="0"/>
                <w:szCs w:val="21"/>
                <w:highlight w:val="none"/>
              </w:rPr>
              <w:t>（总分</w:t>
            </w:r>
            <w:r>
              <w:rPr>
                <w:rFonts w:ascii="宋体" w:hAnsi="宋体" w:cs="宋体"/>
                <w:kern w:val="0"/>
                <w:szCs w:val="21"/>
                <w:highlight w:val="none"/>
              </w:rPr>
              <w:t xml:space="preserve"> 100 </w:t>
            </w:r>
            <w:r>
              <w:rPr>
                <w:rFonts w:hint="eastAsia" w:ascii="宋体" w:hAnsi="宋体" w:cs="宋体"/>
                <w:kern w:val="0"/>
                <w:szCs w:val="21"/>
                <w:highlight w:val="none"/>
              </w:rPr>
              <w:t>分）</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本次评标采用综合评估法</w:t>
            </w:r>
            <w:r>
              <w:rPr>
                <w:rFonts w:ascii="宋体" w:hAnsi="宋体" w:cs="宋体"/>
                <w:kern w:val="0"/>
                <w:szCs w:val="21"/>
                <w:highlight w:val="none"/>
              </w:rPr>
              <w:t xml:space="preserve">, </w:t>
            </w:r>
            <w:r>
              <w:rPr>
                <w:rFonts w:hint="eastAsia" w:ascii="宋体" w:hAnsi="宋体" w:cs="宋体"/>
                <w:kern w:val="0"/>
                <w:szCs w:val="21"/>
                <w:highlight w:val="none"/>
              </w:rPr>
              <w:t>满分</w:t>
            </w:r>
            <w:r>
              <w:rPr>
                <w:rFonts w:ascii="宋体" w:hAnsi="宋体" w:cs="宋体"/>
                <w:kern w:val="0"/>
                <w:szCs w:val="21"/>
                <w:highlight w:val="none"/>
              </w:rPr>
              <w:t xml:space="preserve">100 </w:t>
            </w:r>
            <w:r>
              <w:rPr>
                <w:rFonts w:hint="eastAsia" w:ascii="宋体" w:hAnsi="宋体" w:cs="宋体"/>
                <w:kern w:val="0"/>
                <w:szCs w:val="21"/>
                <w:highlight w:val="none"/>
              </w:rPr>
              <w:t>分，其中价格评审</w:t>
            </w:r>
            <w:r>
              <w:rPr>
                <w:rFonts w:hint="eastAsia" w:ascii="宋体" w:hAnsi="宋体" w:cs="宋体"/>
                <w:kern w:val="0"/>
                <w:szCs w:val="21"/>
                <w:highlight w:val="none"/>
                <w:lang w:val="en-US" w:eastAsia="zh-CN"/>
              </w:rPr>
              <w:t>50</w:t>
            </w:r>
            <w:r>
              <w:rPr>
                <w:rFonts w:ascii="宋体" w:hAnsi="宋体" w:cs="宋体"/>
                <w:kern w:val="0"/>
                <w:szCs w:val="21"/>
                <w:highlight w:val="none"/>
              </w:rPr>
              <w:t>分；商务评审</w:t>
            </w:r>
            <w:r>
              <w:rPr>
                <w:rFonts w:hint="eastAsia" w:ascii="宋体" w:hAnsi="宋体" w:cs="宋体"/>
                <w:kern w:val="0"/>
                <w:szCs w:val="21"/>
                <w:highlight w:val="none"/>
                <w:lang w:val="en-US" w:eastAsia="zh-CN"/>
              </w:rPr>
              <w:t>22</w:t>
            </w:r>
            <w:r>
              <w:rPr>
                <w:rFonts w:hint="eastAsia" w:ascii="宋体" w:hAnsi="宋体" w:cs="宋体"/>
                <w:kern w:val="0"/>
                <w:szCs w:val="21"/>
                <w:highlight w:val="none"/>
              </w:rPr>
              <w:t>分；技术评审</w:t>
            </w:r>
            <w:r>
              <w:rPr>
                <w:rFonts w:hint="eastAsia" w:ascii="宋体" w:hAnsi="宋体" w:cs="宋体"/>
                <w:kern w:val="0"/>
                <w:szCs w:val="21"/>
                <w:highlight w:val="none"/>
                <w:lang w:val="en-US" w:eastAsia="zh-CN"/>
              </w:rPr>
              <w:t>28</w:t>
            </w:r>
            <w:r>
              <w:rPr>
                <w:rFonts w:hint="eastAsia" w:ascii="宋体" w:hAnsi="宋体" w:cs="宋体"/>
                <w:kern w:val="0"/>
                <w:szCs w:val="21"/>
                <w:highlight w:val="none"/>
              </w:rPr>
              <w:t>分。评委应对以下各得分项独立评分，投标人最终得分为所有评委评分汇总的平均值。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5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ascii="宋体" w:hAnsi="宋体" w:cs="宋体"/>
                <w:kern w:val="0"/>
                <w:szCs w:val="21"/>
                <w:highlight w:val="none"/>
              </w:rPr>
              <w:t>2.2.2（1）</w:t>
            </w:r>
          </w:p>
        </w:tc>
        <w:tc>
          <w:tcPr>
            <w:tcW w:w="804" w:type="dxa"/>
            <w:gridSpan w:val="2"/>
            <w:tcBorders>
              <w:top w:val="single" w:color="auto" w:sz="4" w:space="0"/>
              <w:left w:val="single" w:color="auto" w:sz="4" w:space="0"/>
              <w:right w:val="single" w:color="auto" w:sz="4" w:space="0"/>
            </w:tcBorders>
            <w:vAlign w:val="center"/>
          </w:tcPr>
          <w:p>
            <w:pPr>
              <w:snapToGrid w:val="0"/>
              <w:spacing w:line="360" w:lineRule="auto"/>
              <w:ind w:firstLine="0" w:firstLineChars="0"/>
              <w:jc w:val="center"/>
              <w:rPr>
                <w:rFonts w:ascii="宋体" w:hAnsi="宋体" w:cs="宋体"/>
                <w:b/>
                <w:kern w:val="0"/>
                <w:szCs w:val="21"/>
                <w:highlight w:val="none"/>
              </w:rPr>
            </w:pPr>
            <w:r>
              <w:rPr>
                <w:rFonts w:hint="eastAsia" w:ascii="宋体" w:hAnsi="宋体" w:cs="宋体"/>
                <w:kern w:val="0"/>
                <w:szCs w:val="21"/>
                <w:highlight w:val="none"/>
              </w:rPr>
              <w:t>价格评审（</w:t>
            </w:r>
            <w:r>
              <w:rPr>
                <w:rFonts w:hint="eastAsia" w:ascii="宋体" w:hAnsi="宋体" w:cs="宋体"/>
                <w:kern w:val="0"/>
                <w:szCs w:val="21"/>
                <w:highlight w:val="none"/>
                <w:lang w:val="en-US" w:eastAsia="zh-CN"/>
              </w:rPr>
              <w:t>5</w:t>
            </w:r>
            <w:r>
              <w:rPr>
                <w:rFonts w:ascii="宋体" w:hAnsi="宋体" w:cs="宋体"/>
                <w:kern w:val="0"/>
                <w:szCs w:val="21"/>
                <w:highlight w:val="none"/>
              </w:rPr>
              <w:t>0分）</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
                <w:kern w:val="0"/>
                <w:szCs w:val="21"/>
                <w:highlight w:val="none"/>
              </w:rPr>
            </w:pPr>
            <w:r>
              <w:rPr>
                <w:rFonts w:hint="eastAsia" w:ascii="宋体" w:hAnsi="宋体" w:cs="宋体"/>
                <w:kern w:val="0"/>
                <w:szCs w:val="21"/>
                <w:highlight w:val="none"/>
              </w:rPr>
              <w:t>投标报价（</w:t>
            </w:r>
            <w:r>
              <w:rPr>
                <w:rFonts w:hint="eastAsia" w:ascii="宋体" w:hAnsi="宋体" w:cs="宋体"/>
                <w:kern w:val="0"/>
                <w:szCs w:val="21"/>
                <w:highlight w:val="none"/>
                <w:lang w:val="en-US" w:eastAsia="zh-CN"/>
              </w:rPr>
              <w:t>5</w:t>
            </w:r>
            <w:r>
              <w:rPr>
                <w:rFonts w:ascii="宋体" w:hAnsi="宋体" w:cs="宋体"/>
                <w:kern w:val="0"/>
                <w:szCs w:val="21"/>
                <w:highlight w:val="none"/>
              </w:rPr>
              <w:t>0分）</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left"/>
              <w:rPr>
                <w:rFonts w:ascii="宋体" w:hAnsi="宋体" w:cs="宋体"/>
                <w:b/>
                <w:kern w:val="0"/>
                <w:szCs w:val="21"/>
                <w:highlight w:val="none"/>
              </w:rPr>
            </w:pPr>
            <w:r>
              <w:rPr>
                <w:rFonts w:hint="eastAsia" w:ascii="Arial" w:cs="Arial"/>
                <w:szCs w:val="21"/>
                <w:highlight w:val="none"/>
              </w:rPr>
              <w:t>以所有进入详细评审的投标人的评标价计算算术平均值（如投标人超过</w:t>
            </w:r>
            <w:r>
              <w:rPr>
                <w:rFonts w:ascii="Arial" w:cs="Arial"/>
                <w:szCs w:val="21"/>
                <w:highlight w:val="none"/>
              </w:rPr>
              <w:t>5</w:t>
            </w:r>
            <w:r>
              <w:rPr>
                <w:rFonts w:hint="eastAsia" w:ascii="Arial" w:cs="Arial"/>
                <w:szCs w:val="21"/>
                <w:highlight w:val="none"/>
              </w:rPr>
              <w:t>家（含</w:t>
            </w:r>
            <w:r>
              <w:rPr>
                <w:rFonts w:ascii="Arial" w:cs="Arial"/>
                <w:szCs w:val="21"/>
                <w:highlight w:val="none"/>
              </w:rPr>
              <w:t>5</w:t>
            </w:r>
            <w:r>
              <w:rPr>
                <w:rFonts w:hint="eastAsia" w:ascii="Arial" w:cs="Arial"/>
                <w:szCs w:val="21"/>
                <w:highlight w:val="none"/>
              </w:rPr>
              <w:t>家），去掉一个最高价和一个最低价后计算算术平均值）作为基准价，基准价得满分</w:t>
            </w:r>
            <w:r>
              <w:rPr>
                <w:rFonts w:hint="eastAsia" w:ascii="Arial" w:cs="Arial"/>
                <w:szCs w:val="21"/>
                <w:highlight w:val="none"/>
                <w:lang w:val="en-US" w:eastAsia="zh-CN"/>
              </w:rPr>
              <w:t>5</w:t>
            </w:r>
            <w:r>
              <w:rPr>
                <w:rFonts w:ascii="Arial" w:cs="Arial"/>
                <w:szCs w:val="21"/>
                <w:highlight w:val="none"/>
              </w:rPr>
              <w:t>0</w:t>
            </w:r>
            <w:r>
              <w:rPr>
                <w:rFonts w:hint="eastAsia" w:ascii="Arial" w:cs="Arial"/>
                <w:szCs w:val="21"/>
                <w:highlight w:val="none"/>
              </w:rPr>
              <w:t>分，每高于基准价</w:t>
            </w:r>
            <w:r>
              <w:rPr>
                <w:rFonts w:ascii="Arial" w:cs="Arial"/>
                <w:szCs w:val="21"/>
                <w:highlight w:val="none"/>
              </w:rPr>
              <w:t>1%</w:t>
            </w:r>
            <w:r>
              <w:rPr>
                <w:rFonts w:hint="eastAsia" w:ascii="Arial" w:cs="Arial"/>
                <w:szCs w:val="21"/>
                <w:highlight w:val="none"/>
              </w:rPr>
              <w:t>扣</w:t>
            </w:r>
            <w:r>
              <w:rPr>
                <w:rFonts w:hint="eastAsia" w:ascii="Arial" w:cs="Arial"/>
                <w:szCs w:val="21"/>
                <w:highlight w:val="none"/>
                <w:lang w:val="en-US" w:eastAsia="zh-CN"/>
              </w:rPr>
              <w:t>1</w:t>
            </w:r>
            <w:r>
              <w:rPr>
                <w:rFonts w:hint="eastAsia" w:ascii="Arial" w:cs="Arial"/>
                <w:szCs w:val="21"/>
                <w:highlight w:val="none"/>
              </w:rPr>
              <w:t>分，低于基准价</w:t>
            </w:r>
            <w:r>
              <w:rPr>
                <w:rFonts w:ascii="Arial" w:cs="Arial"/>
                <w:szCs w:val="21"/>
                <w:highlight w:val="none"/>
              </w:rPr>
              <w:t>1%</w:t>
            </w:r>
            <w:r>
              <w:rPr>
                <w:rFonts w:hint="eastAsia" w:ascii="Arial" w:cs="Arial"/>
                <w:szCs w:val="21"/>
                <w:highlight w:val="none"/>
              </w:rPr>
              <w:t>扣</w:t>
            </w:r>
            <w:r>
              <w:rPr>
                <w:rFonts w:ascii="Arial" w:cs="Arial"/>
                <w:szCs w:val="21"/>
                <w:highlight w:val="none"/>
              </w:rPr>
              <w:t>0.</w:t>
            </w:r>
            <w:r>
              <w:rPr>
                <w:rFonts w:hint="eastAsia" w:ascii="Arial" w:cs="Arial"/>
                <w:szCs w:val="21"/>
                <w:highlight w:val="none"/>
                <w:lang w:val="en-US" w:eastAsia="zh-CN"/>
              </w:rPr>
              <w:t>5</w:t>
            </w:r>
            <w:r>
              <w:rPr>
                <w:rFonts w:hint="eastAsia" w:ascii="Arial" w:cs="Arial"/>
                <w:szCs w:val="21"/>
                <w:highlight w:val="none"/>
              </w:rPr>
              <w:t>分；不足</w:t>
            </w:r>
            <w:r>
              <w:rPr>
                <w:rFonts w:ascii="Arial" w:cs="Arial"/>
                <w:szCs w:val="21"/>
                <w:highlight w:val="none"/>
              </w:rPr>
              <w:t>1%</w:t>
            </w:r>
            <w:r>
              <w:rPr>
                <w:rFonts w:hint="eastAsia" w:ascii="Arial" w:cs="Arial"/>
                <w:szCs w:val="21"/>
                <w:highlight w:val="none"/>
              </w:rPr>
              <w:t>的，按插入法计算，保留两位小数。</w:t>
            </w:r>
            <w:r>
              <w:rPr>
                <w:rFonts w:ascii="Arial" w:cs="Arial"/>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4" w:type="dxa"/>
            <w:vMerge w:val="restart"/>
            <w:tcBorders>
              <w:top w:val="single" w:color="auto" w:sz="4" w:space="0"/>
              <w:left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r>
              <w:rPr>
                <w:rFonts w:ascii="宋体" w:hAnsi="宋体" w:cs="宋体"/>
                <w:kern w:val="0"/>
                <w:szCs w:val="21"/>
                <w:highlight w:val="none"/>
              </w:rPr>
              <w:t>2.2.2（2）</w:t>
            </w:r>
          </w:p>
        </w:tc>
        <w:tc>
          <w:tcPr>
            <w:tcW w:w="804" w:type="dxa"/>
            <w:gridSpan w:val="2"/>
            <w:vMerge w:val="restart"/>
            <w:tcBorders>
              <w:top w:val="single" w:color="auto" w:sz="4" w:space="0"/>
              <w:left w:val="single" w:color="auto" w:sz="4" w:space="0"/>
              <w:right w:val="single" w:color="auto" w:sz="4" w:space="0"/>
            </w:tcBorders>
            <w:vAlign w:val="center"/>
          </w:tcPr>
          <w:p>
            <w:pPr>
              <w:snapToGrid w:val="0"/>
              <w:spacing w:line="360" w:lineRule="auto"/>
              <w:ind w:firstLine="0" w:firstLineChars="0"/>
              <w:rPr>
                <w:rFonts w:ascii="宋体" w:hAnsi="宋体" w:cs="宋体"/>
                <w:kern w:val="0"/>
                <w:szCs w:val="21"/>
                <w:highlight w:val="none"/>
              </w:rPr>
            </w:pPr>
            <w:r>
              <w:rPr>
                <w:rFonts w:hint="eastAsia" w:ascii="宋体" w:hAnsi="宋体" w:cs="宋体"/>
                <w:kern w:val="0"/>
                <w:szCs w:val="21"/>
                <w:highlight w:val="none"/>
              </w:rPr>
              <w:t>商务评审（</w:t>
            </w:r>
            <w:r>
              <w:rPr>
                <w:rFonts w:hint="eastAsia" w:ascii="宋体" w:hAnsi="宋体" w:cs="宋体"/>
                <w:kern w:val="0"/>
                <w:szCs w:val="21"/>
                <w:highlight w:val="none"/>
                <w:lang w:val="en-US" w:eastAsia="zh-CN"/>
              </w:rPr>
              <w:t>22</w:t>
            </w:r>
            <w:r>
              <w:rPr>
                <w:rFonts w:hint="eastAsia" w:ascii="宋体" w:hAnsi="宋体" w:cs="宋体"/>
                <w:kern w:val="0"/>
                <w:szCs w:val="21"/>
                <w:highlight w:val="none"/>
              </w:rPr>
              <w:t>分）</w:t>
            </w:r>
          </w:p>
        </w:tc>
        <w:tc>
          <w:tcPr>
            <w:tcW w:w="1372" w:type="dxa"/>
            <w:vMerge w:val="restart"/>
            <w:tcBorders>
              <w:top w:val="single" w:color="auto" w:sz="4" w:space="0"/>
              <w:left w:val="single" w:color="auto" w:sz="4" w:space="0"/>
              <w:right w:val="single" w:color="auto" w:sz="4" w:space="0"/>
            </w:tcBorders>
            <w:vAlign w:val="center"/>
          </w:tcPr>
          <w:p>
            <w:pPr>
              <w:snapToGrid w:val="0"/>
              <w:spacing w:line="360" w:lineRule="auto"/>
              <w:ind w:firstLine="0" w:firstLineChars="0"/>
              <w:jc w:val="center"/>
              <w:rPr>
                <w:rFonts w:ascii="宋体" w:hAnsi="宋体" w:cs="宋体"/>
                <w:kern w:val="0"/>
                <w:szCs w:val="21"/>
                <w:highlight w:val="none"/>
              </w:rPr>
            </w:pPr>
            <w:r>
              <w:rPr>
                <w:rFonts w:hint="eastAsia" w:ascii="宋体" w:hAnsi="宋体" w:cs="宋体"/>
                <w:kern w:val="0"/>
                <w:szCs w:val="21"/>
                <w:highlight w:val="none"/>
              </w:rPr>
              <w:t>企业资信</w:t>
            </w:r>
          </w:p>
          <w:p>
            <w:pPr>
              <w:snapToGrid w:val="0"/>
              <w:spacing w:line="360" w:lineRule="auto"/>
              <w:ind w:firstLine="0" w:firstLineChars="0"/>
              <w:jc w:val="center"/>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ascii="Arial" w:cs="Arial"/>
                <w:szCs w:val="21"/>
                <w:highlight w:val="none"/>
              </w:rPr>
              <w:t>1</w:t>
            </w:r>
            <w:r>
              <w:rPr>
                <w:rFonts w:hint="eastAsia" w:ascii="Arial" w:cs="Arial"/>
                <w:szCs w:val="21"/>
                <w:highlight w:val="none"/>
              </w:rPr>
              <w:t>、投标人</w:t>
            </w:r>
            <w:r>
              <w:rPr>
                <w:rFonts w:hint="eastAsia" w:ascii="宋体" w:hAnsi="宋体"/>
                <w:szCs w:val="21"/>
                <w:highlight w:val="none"/>
              </w:rPr>
              <w:t>获得“重合同守信用</w:t>
            </w:r>
            <w:r>
              <w:rPr>
                <w:rFonts w:ascii="宋体" w:hAnsi="宋体"/>
                <w:szCs w:val="21"/>
                <w:highlight w:val="none"/>
              </w:rPr>
              <w:t>3A”</w:t>
            </w:r>
            <w:r>
              <w:rPr>
                <w:rFonts w:hint="eastAsia" w:ascii="宋体" w:hAnsi="宋体"/>
                <w:szCs w:val="21"/>
                <w:highlight w:val="none"/>
              </w:rPr>
              <w:t>的得</w:t>
            </w:r>
            <w:r>
              <w:rPr>
                <w:rFonts w:hint="eastAsia" w:ascii="宋体" w:hAnsi="宋体"/>
                <w:szCs w:val="21"/>
                <w:highlight w:val="none"/>
                <w:lang w:val="en-US" w:eastAsia="zh-CN"/>
              </w:rPr>
              <w:t>2</w:t>
            </w:r>
            <w:r>
              <w:rPr>
                <w:rFonts w:hint="eastAsia" w:ascii="宋体" w:hAnsi="宋体"/>
                <w:szCs w:val="21"/>
                <w:highlight w:val="none"/>
              </w:rPr>
              <w:t>分（提供证书等相关证明材料复印件并加盖公章，</w:t>
            </w:r>
            <w:r>
              <w:rPr>
                <w:rFonts w:hint="eastAsia" w:ascii="宋体" w:hAnsi="宋体"/>
                <w:b/>
                <w:bCs/>
                <w:szCs w:val="21"/>
                <w:highlight w:val="none"/>
              </w:rPr>
              <w:t>原件备查</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tcBorders>
              <w:left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804" w:type="dxa"/>
            <w:gridSpan w:val="2"/>
            <w:vMerge w:val="continue"/>
            <w:tcBorders>
              <w:left w:val="single" w:color="auto" w:sz="4" w:space="0"/>
              <w:right w:val="single" w:color="auto" w:sz="4" w:space="0"/>
            </w:tcBorders>
            <w:vAlign w:val="center"/>
          </w:tcPr>
          <w:p>
            <w:pPr>
              <w:snapToGrid w:val="0"/>
              <w:spacing w:line="360" w:lineRule="auto"/>
              <w:ind w:firstLine="0" w:firstLineChars="0"/>
              <w:rPr>
                <w:rFonts w:ascii="宋体" w:hAnsi="宋体" w:cs="宋体"/>
                <w:kern w:val="0"/>
                <w:szCs w:val="21"/>
                <w:highlight w:val="none"/>
              </w:rPr>
            </w:pPr>
          </w:p>
        </w:tc>
        <w:tc>
          <w:tcPr>
            <w:tcW w:w="1372" w:type="dxa"/>
            <w:vMerge w:val="continue"/>
            <w:tcBorders>
              <w:left w:val="single" w:color="auto" w:sz="4" w:space="0"/>
              <w:right w:val="single" w:color="auto" w:sz="4" w:space="0"/>
            </w:tcBorders>
            <w:vAlign w:val="center"/>
          </w:tcPr>
          <w:p>
            <w:pPr>
              <w:snapToGrid w:val="0"/>
              <w:spacing w:line="360" w:lineRule="auto"/>
              <w:ind w:firstLine="0" w:firstLineChars="0"/>
              <w:rPr>
                <w:rFonts w:ascii="宋体" w:hAnsi="宋体" w:cs="宋体"/>
                <w:kern w:val="0"/>
                <w:szCs w:val="21"/>
                <w:highlight w:val="none"/>
              </w:rPr>
            </w:pP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left"/>
              <w:rPr>
                <w:rFonts w:ascii="宋体" w:hAnsi="宋体" w:cs="宋体"/>
                <w:kern w:val="0"/>
                <w:szCs w:val="21"/>
                <w:highlight w:val="none"/>
              </w:rPr>
            </w:pPr>
            <w:r>
              <w:rPr>
                <w:rFonts w:ascii="Arial" w:cs="Arial"/>
                <w:szCs w:val="21"/>
                <w:highlight w:val="none"/>
              </w:rPr>
              <w:t>2</w:t>
            </w:r>
            <w:r>
              <w:rPr>
                <w:rFonts w:hint="eastAsia" w:ascii="Arial" w:cs="Arial"/>
                <w:szCs w:val="21"/>
                <w:highlight w:val="none"/>
              </w:rPr>
              <w:t>、</w:t>
            </w:r>
            <w:r>
              <w:rPr>
                <w:rFonts w:hint="eastAsia"/>
                <w:szCs w:val="21"/>
                <w:highlight w:val="none"/>
              </w:rPr>
              <w:t>投标人</w:t>
            </w:r>
            <w:r>
              <w:rPr>
                <w:rFonts w:hint="eastAsia" w:ascii="宋体" w:hAnsi="宋体" w:cs="宋体"/>
                <w:kern w:val="1"/>
                <w:highlight w:val="none"/>
              </w:rPr>
              <w:t>具有质量管理体系认证、环境管理体系认证、</w:t>
            </w:r>
            <w:r>
              <w:rPr>
                <w:highlight w:val="none"/>
              </w:rPr>
              <w:fldChar w:fldCharType="begin"/>
            </w:r>
            <w:r>
              <w:rPr>
                <w:highlight w:val="none"/>
              </w:rPr>
              <w:instrText xml:space="preserve"> HYPERLINK "https:\\\\baike.baidu.com\\item\\HD_x0018_EE_x0010__x0017_D_x0018_E_x0004_E_x0008_G_x0004__x0001_GD_x0013_G_x0013_%BB" </w:instrText>
            </w:r>
            <w:r>
              <w:rPr>
                <w:highlight w:val="none"/>
              </w:rPr>
              <w:fldChar w:fldCharType="separate"/>
            </w:r>
            <w:r>
              <w:rPr>
                <w:rFonts w:hint="eastAsia" w:ascii="宋体" w:hAnsi="宋体" w:cs="宋体"/>
                <w:kern w:val="1"/>
                <w:highlight w:val="none"/>
              </w:rPr>
              <w:t>职业健康安全管理体系</w:t>
            </w:r>
            <w:r>
              <w:rPr>
                <w:rFonts w:hint="eastAsia" w:ascii="宋体" w:hAnsi="宋体" w:cs="宋体"/>
                <w:kern w:val="1"/>
                <w:highlight w:val="none"/>
              </w:rPr>
              <w:fldChar w:fldCharType="end"/>
            </w:r>
            <w:r>
              <w:rPr>
                <w:rFonts w:hint="eastAsia" w:ascii="宋体" w:hAnsi="宋体" w:cs="宋体"/>
                <w:kern w:val="1"/>
                <w:highlight w:val="none"/>
              </w:rPr>
              <w:t>认证，每具有一项得</w:t>
            </w:r>
            <w:r>
              <w:rPr>
                <w:rFonts w:ascii="宋体" w:hAnsi="宋体" w:cs="宋体"/>
                <w:kern w:val="1"/>
                <w:highlight w:val="none"/>
              </w:rPr>
              <w:t>2</w:t>
            </w:r>
            <w:r>
              <w:rPr>
                <w:rFonts w:hint="eastAsia" w:ascii="宋体" w:hAnsi="宋体" w:cs="宋体"/>
                <w:kern w:val="1"/>
                <w:highlight w:val="none"/>
              </w:rPr>
              <w:t>分</w:t>
            </w:r>
            <w:r>
              <w:rPr>
                <w:rFonts w:ascii="宋体" w:hAnsi="宋体" w:cs="宋体"/>
                <w:kern w:val="1"/>
                <w:highlight w:val="none"/>
              </w:rPr>
              <w:t xml:space="preserve">, </w:t>
            </w:r>
            <w:r>
              <w:rPr>
                <w:rFonts w:hint="eastAsia" w:ascii="宋体" w:hAnsi="宋体" w:cs="宋体"/>
                <w:kern w:val="1"/>
                <w:highlight w:val="none"/>
              </w:rPr>
              <w:t>本项最高得</w:t>
            </w:r>
            <w:r>
              <w:rPr>
                <w:rFonts w:ascii="宋体" w:hAnsi="宋体" w:cs="宋体"/>
                <w:kern w:val="1"/>
                <w:highlight w:val="none"/>
              </w:rPr>
              <w:t>6</w:t>
            </w:r>
            <w:r>
              <w:rPr>
                <w:rFonts w:hint="eastAsia" w:ascii="宋体" w:hAnsi="宋体" w:cs="宋体"/>
                <w:kern w:val="1"/>
                <w:highlight w:val="none"/>
              </w:rPr>
              <w:t>分。</w:t>
            </w:r>
            <w:r>
              <w:rPr>
                <w:rFonts w:hint="eastAsia" w:ascii="宋体" w:hAnsi="宋体"/>
                <w:szCs w:val="21"/>
                <w:highlight w:val="none"/>
              </w:rPr>
              <w:t>（提供证书等相关证明材料复印件并加盖公章，</w:t>
            </w:r>
            <w:r>
              <w:rPr>
                <w:rFonts w:hint="eastAsia" w:ascii="宋体" w:hAnsi="宋体"/>
                <w:b/>
                <w:bCs/>
                <w:szCs w:val="21"/>
                <w:highlight w:val="none"/>
              </w:rPr>
              <w:t>原件备查</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tcBorders>
              <w:left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804" w:type="dxa"/>
            <w:gridSpan w:val="2"/>
            <w:vMerge w:val="continue"/>
            <w:tcBorders>
              <w:left w:val="single" w:color="auto" w:sz="4" w:space="0"/>
              <w:right w:val="single" w:color="auto" w:sz="4" w:space="0"/>
            </w:tcBorders>
            <w:vAlign w:val="center"/>
          </w:tcPr>
          <w:p>
            <w:pPr>
              <w:snapToGrid w:val="0"/>
              <w:spacing w:line="360" w:lineRule="auto"/>
              <w:ind w:firstLine="0" w:firstLineChars="0"/>
              <w:rPr>
                <w:rFonts w:ascii="宋体" w:hAnsi="宋体" w:cs="宋体"/>
                <w:kern w:val="0"/>
                <w:szCs w:val="21"/>
                <w:highlight w:val="none"/>
              </w:rPr>
            </w:pPr>
          </w:p>
        </w:tc>
        <w:tc>
          <w:tcPr>
            <w:tcW w:w="1372" w:type="dxa"/>
            <w:vMerge w:val="continue"/>
            <w:tcBorders>
              <w:left w:val="single" w:color="auto" w:sz="4" w:space="0"/>
              <w:right w:val="single" w:color="auto" w:sz="4" w:space="0"/>
            </w:tcBorders>
            <w:vAlign w:val="center"/>
          </w:tcPr>
          <w:p>
            <w:pPr>
              <w:snapToGrid w:val="0"/>
              <w:spacing w:line="360" w:lineRule="auto"/>
              <w:ind w:firstLine="0" w:firstLineChars="0"/>
              <w:rPr>
                <w:rFonts w:ascii="宋体" w:hAnsi="宋体" w:cs="宋体"/>
                <w:kern w:val="0"/>
                <w:szCs w:val="21"/>
                <w:highlight w:val="none"/>
              </w:rPr>
            </w:pP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left"/>
              <w:rPr>
                <w:rFonts w:ascii="宋体" w:hAnsi="宋体" w:cs="宋体"/>
                <w:kern w:val="0"/>
                <w:szCs w:val="21"/>
                <w:highlight w:val="none"/>
              </w:rPr>
            </w:pPr>
            <w:r>
              <w:rPr>
                <w:rFonts w:ascii="宋体" w:hAnsi="宋体" w:cs="宋体"/>
                <w:kern w:val="0"/>
                <w:szCs w:val="21"/>
                <w:highlight w:val="none"/>
              </w:rPr>
              <w:t>3、</w:t>
            </w:r>
            <w:r>
              <w:rPr>
                <w:rFonts w:hint="eastAsia" w:ascii="宋体" w:hAnsi="宋体"/>
                <w:szCs w:val="21"/>
                <w:highlight w:val="none"/>
                <w:lang w:val="zh-CN"/>
              </w:rPr>
              <w:t>在</w:t>
            </w:r>
            <w:r>
              <w:rPr>
                <w:rFonts w:hint="eastAsia" w:ascii="宋体" w:hAnsi="宋体"/>
                <w:szCs w:val="21"/>
                <w:highlight w:val="none"/>
              </w:rPr>
              <w:t>江苏范围内设有售后服务机构得</w:t>
            </w:r>
            <w:r>
              <w:rPr>
                <w:rFonts w:ascii="宋体" w:hAnsi="宋体"/>
                <w:szCs w:val="21"/>
                <w:highlight w:val="none"/>
              </w:rPr>
              <w:t>2分，在扬州市区设有维保基地的得</w:t>
            </w:r>
            <w:r>
              <w:rPr>
                <w:rFonts w:hint="eastAsia" w:ascii="宋体" w:hAnsi="宋体"/>
                <w:szCs w:val="21"/>
                <w:highlight w:val="none"/>
                <w:lang w:val="en-US" w:eastAsia="zh-CN"/>
              </w:rPr>
              <w:t>4</w:t>
            </w:r>
            <w:r>
              <w:rPr>
                <w:rFonts w:ascii="宋体" w:hAnsi="宋体"/>
                <w:szCs w:val="21"/>
                <w:highlight w:val="none"/>
              </w:rPr>
              <w:t>分，其他不得分；（不重复得分，提供相关证明材料或承诺书）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tcBorders>
              <w:left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804" w:type="dxa"/>
            <w:gridSpan w:val="2"/>
            <w:vMerge w:val="continue"/>
            <w:tcBorders>
              <w:left w:val="single" w:color="auto" w:sz="4" w:space="0"/>
              <w:right w:val="single" w:color="auto" w:sz="4" w:space="0"/>
            </w:tcBorders>
            <w:vAlign w:val="center"/>
          </w:tcPr>
          <w:p>
            <w:pPr>
              <w:snapToGrid w:val="0"/>
              <w:spacing w:line="360" w:lineRule="auto"/>
              <w:ind w:firstLine="0" w:firstLineChars="0"/>
              <w:rPr>
                <w:rFonts w:ascii="宋体" w:hAnsi="宋体" w:cs="宋体"/>
                <w:kern w:val="0"/>
                <w:szCs w:val="21"/>
                <w:highlight w:val="none"/>
              </w:rPr>
            </w:pPr>
          </w:p>
        </w:tc>
        <w:tc>
          <w:tcPr>
            <w:tcW w:w="1372" w:type="dxa"/>
            <w:tcBorders>
              <w:left w:val="single" w:color="auto" w:sz="4" w:space="0"/>
              <w:right w:val="single" w:color="auto" w:sz="4" w:space="0"/>
            </w:tcBorders>
            <w:vAlign w:val="center"/>
          </w:tcPr>
          <w:p>
            <w:pPr>
              <w:spacing w:line="360" w:lineRule="auto"/>
              <w:ind w:firstLine="0" w:firstLineChars="0"/>
              <w:jc w:val="center"/>
              <w:rPr>
                <w:rFonts w:ascii="宋体" w:hAnsi="宋体" w:cs="宋体"/>
                <w:kern w:val="0"/>
                <w:szCs w:val="21"/>
                <w:highlight w:val="none"/>
              </w:rPr>
            </w:pPr>
            <w:r>
              <w:rPr>
                <w:rFonts w:hint="eastAsia" w:ascii="Arial" w:cs="Arial"/>
                <w:szCs w:val="21"/>
                <w:highlight w:val="none"/>
              </w:rPr>
              <w:t>业</w:t>
            </w:r>
            <w:r>
              <w:rPr>
                <w:rFonts w:hint="eastAsia" w:ascii="宋体" w:hAnsi="宋体" w:cs="宋体"/>
                <w:kern w:val="0"/>
                <w:szCs w:val="21"/>
                <w:highlight w:val="none"/>
              </w:rPr>
              <w:t>绩</w:t>
            </w:r>
          </w:p>
          <w:p>
            <w:pPr>
              <w:spacing w:line="360" w:lineRule="auto"/>
              <w:ind w:firstLine="0" w:firstLineChars="0"/>
              <w:jc w:val="center"/>
              <w:rPr>
                <w:rFonts w:ascii="Arial" w:cs="Arial"/>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w:t>
            </w:r>
            <w:r>
              <w:rPr>
                <w:rFonts w:ascii="宋体" w:hAnsi="宋体" w:cs="宋体"/>
                <w:kern w:val="0"/>
                <w:szCs w:val="21"/>
                <w:highlight w:val="none"/>
              </w:rPr>
              <w:t>0分）</w:t>
            </w:r>
          </w:p>
        </w:tc>
        <w:tc>
          <w:tcPr>
            <w:tcW w:w="698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Arial" w:cs="Arial"/>
                <w:szCs w:val="21"/>
                <w:highlight w:val="none"/>
              </w:rPr>
            </w:pPr>
            <w:r>
              <w:rPr>
                <w:rFonts w:hint="eastAsia"/>
                <w:szCs w:val="21"/>
                <w:highlight w:val="none"/>
              </w:rPr>
              <w:t>投标人自</w:t>
            </w:r>
            <w:r>
              <w:rPr>
                <w:rFonts w:ascii="Times New Roman" w:hAnsi="Times New Roman"/>
                <w:szCs w:val="21"/>
                <w:highlight w:val="none"/>
              </w:rPr>
              <w:t>2018</w:t>
            </w:r>
            <w:r>
              <w:rPr>
                <w:rFonts w:hint="eastAsia" w:hAnsi="Times New Roman"/>
                <w:szCs w:val="21"/>
                <w:highlight w:val="none"/>
              </w:rPr>
              <w:t>年</w:t>
            </w:r>
            <w:r>
              <w:rPr>
                <w:rFonts w:ascii="Times New Roman" w:hAnsi="Times New Roman"/>
                <w:szCs w:val="21"/>
                <w:highlight w:val="none"/>
              </w:rPr>
              <w:t>1</w:t>
            </w:r>
            <w:r>
              <w:rPr>
                <w:rFonts w:hint="eastAsia" w:hAnsi="Times New Roman"/>
                <w:szCs w:val="21"/>
                <w:highlight w:val="none"/>
              </w:rPr>
              <w:t>月</w:t>
            </w:r>
            <w:r>
              <w:rPr>
                <w:rFonts w:ascii="Times New Roman" w:hAnsi="Times New Roman"/>
                <w:szCs w:val="21"/>
                <w:highlight w:val="none"/>
              </w:rPr>
              <w:t>1</w:t>
            </w:r>
            <w:r>
              <w:rPr>
                <w:rFonts w:hint="eastAsia" w:hAnsi="Times New Roman"/>
                <w:szCs w:val="21"/>
                <w:highlight w:val="none"/>
              </w:rPr>
              <w:t>日以来承担过</w:t>
            </w:r>
            <w:r>
              <w:rPr>
                <w:rFonts w:hint="eastAsia" w:ascii="宋体" w:hAnsi="宋体"/>
                <w:szCs w:val="21"/>
                <w:highlight w:val="none"/>
              </w:rPr>
              <w:t>类似项目业绩</w:t>
            </w:r>
            <w:r>
              <w:rPr>
                <w:rFonts w:ascii="宋体" w:hAnsi="宋体"/>
                <w:szCs w:val="21"/>
                <w:highlight w:val="none"/>
              </w:rPr>
              <w:t>,</w:t>
            </w:r>
            <w:r>
              <w:rPr>
                <w:rFonts w:hint="eastAsia" w:ascii="宋体" w:hAnsi="宋体"/>
                <w:szCs w:val="21"/>
                <w:highlight w:val="none"/>
              </w:rPr>
              <w:t>有一个得</w:t>
            </w:r>
            <w:r>
              <w:rPr>
                <w:rFonts w:hint="eastAsia" w:ascii="宋体" w:hAnsi="宋体"/>
                <w:szCs w:val="21"/>
                <w:highlight w:val="none"/>
                <w:lang w:val="en-US" w:eastAsia="zh-CN"/>
              </w:rPr>
              <w:t>1</w:t>
            </w:r>
            <w:r>
              <w:rPr>
                <w:rFonts w:ascii="宋体" w:hAnsi="宋体"/>
                <w:szCs w:val="21"/>
                <w:highlight w:val="none"/>
              </w:rPr>
              <w:t>分，</w:t>
            </w:r>
            <w:r>
              <w:rPr>
                <w:rFonts w:hint="eastAsia" w:ascii="宋体" w:hAnsi="宋体"/>
                <w:szCs w:val="21"/>
                <w:highlight w:val="none"/>
              </w:rPr>
              <w:t>满分</w:t>
            </w:r>
            <w:r>
              <w:rPr>
                <w:rFonts w:hint="eastAsia" w:ascii="宋体" w:hAnsi="宋体"/>
                <w:szCs w:val="21"/>
                <w:highlight w:val="none"/>
                <w:lang w:val="en-US" w:eastAsia="zh-CN"/>
              </w:rPr>
              <w:t>1</w:t>
            </w:r>
            <w:r>
              <w:rPr>
                <w:rFonts w:ascii="宋体" w:hAnsi="宋体"/>
                <w:szCs w:val="21"/>
                <w:highlight w:val="none"/>
              </w:rPr>
              <w:t>0分。</w:t>
            </w:r>
            <w:r>
              <w:rPr>
                <w:rFonts w:hint="eastAsia" w:ascii="宋体" w:hAnsi="宋体"/>
                <w:szCs w:val="21"/>
                <w:highlight w:val="none"/>
              </w:rPr>
              <w:t>（以签订合同时间为准，提供合同复印件并加盖公章，</w:t>
            </w:r>
            <w:r>
              <w:rPr>
                <w:rFonts w:hint="eastAsia" w:ascii="宋体" w:hAnsi="宋体"/>
                <w:b/>
                <w:bCs/>
                <w:szCs w:val="21"/>
                <w:highlight w:val="none"/>
              </w:rPr>
              <w:t>原件备查</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left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r>
              <w:rPr>
                <w:rFonts w:ascii="宋体" w:hAnsi="宋体" w:cs="宋体"/>
                <w:kern w:val="0"/>
                <w:szCs w:val="21"/>
                <w:highlight w:val="none"/>
              </w:rPr>
              <w:t>2.2.2（3）</w:t>
            </w:r>
          </w:p>
        </w:tc>
        <w:tc>
          <w:tcPr>
            <w:tcW w:w="804" w:type="dxa"/>
            <w:gridSpan w:val="2"/>
            <w:tcBorders>
              <w:left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r>
              <w:rPr>
                <w:rFonts w:hint="eastAsia" w:ascii="宋体" w:hAnsi="宋体" w:cs="宋体"/>
                <w:kern w:val="0"/>
                <w:szCs w:val="21"/>
                <w:highlight w:val="none"/>
              </w:rPr>
              <w:t>技术评审（</w:t>
            </w:r>
            <w:r>
              <w:rPr>
                <w:rFonts w:hint="eastAsia" w:ascii="宋体" w:hAnsi="宋体" w:cs="宋体"/>
                <w:kern w:val="0"/>
                <w:szCs w:val="21"/>
                <w:highlight w:val="none"/>
                <w:lang w:val="en-US" w:eastAsia="zh-CN"/>
              </w:rPr>
              <w:t>28</w:t>
            </w:r>
            <w:r>
              <w:rPr>
                <w:rFonts w:hint="eastAsia" w:ascii="宋体" w:hAnsi="宋体" w:cs="宋体"/>
                <w:kern w:val="0"/>
                <w:szCs w:val="21"/>
                <w:highlight w:val="none"/>
              </w:rPr>
              <w:t>分）</w:t>
            </w:r>
          </w:p>
        </w:tc>
        <w:tc>
          <w:tcPr>
            <w:tcW w:w="1372" w:type="dxa"/>
            <w:tcBorders>
              <w:left w:val="single" w:color="auto" w:sz="4" w:space="0"/>
              <w:bottom w:val="single" w:color="auto" w:sz="4" w:space="0"/>
              <w:right w:val="single" w:color="auto" w:sz="4" w:space="0"/>
            </w:tcBorders>
            <w:vAlign w:val="center"/>
          </w:tcPr>
          <w:p>
            <w:pPr>
              <w:spacing w:line="360" w:lineRule="auto"/>
              <w:ind w:firstLine="0" w:firstLineChars="0"/>
              <w:jc w:val="left"/>
              <w:rPr>
                <w:rFonts w:ascii="Arial" w:cs="Arial"/>
                <w:szCs w:val="21"/>
                <w:highlight w:val="none"/>
              </w:rPr>
            </w:pPr>
            <w:r>
              <w:rPr>
                <w:rFonts w:hint="eastAsia" w:ascii="Arial" w:cs="Arial"/>
                <w:szCs w:val="21"/>
                <w:highlight w:val="none"/>
              </w:rPr>
              <w:t>项目方案（</w:t>
            </w:r>
            <w:r>
              <w:rPr>
                <w:rFonts w:hint="eastAsia" w:ascii="Arial" w:cs="Arial"/>
                <w:szCs w:val="21"/>
                <w:highlight w:val="none"/>
                <w:lang w:val="en-US" w:eastAsia="zh-CN"/>
              </w:rPr>
              <w:t>28</w:t>
            </w:r>
            <w:r>
              <w:rPr>
                <w:rFonts w:hint="eastAsia" w:ascii="Arial" w:cs="Arial"/>
                <w:szCs w:val="21"/>
                <w:highlight w:val="none"/>
              </w:rPr>
              <w:t>分）</w:t>
            </w:r>
          </w:p>
        </w:tc>
        <w:tc>
          <w:tcPr>
            <w:tcW w:w="6989" w:type="dxa"/>
            <w:tcBorders>
              <w:top w:val="single" w:color="auto" w:sz="4" w:space="0"/>
              <w:left w:val="single" w:color="auto" w:sz="4" w:space="0"/>
              <w:bottom w:val="single" w:color="auto" w:sz="4" w:space="0"/>
              <w:right w:val="single" w:color="auto" w:sz="4" w:space="0"/>
            </w:tcBorders>
            <w:vAlign w:val="center"/>
          </w:tcPr>
          <w:p>
            <w:pPr>
              <w:ind w:firstLine="0" w:firstLineChars="0"/>
              <w:rPr>
                <w:b/>
                <w:bCs/>
                <w:highlight w:val="none"/>
              </w:rPr>
            </w:pPr>
            <w:r>
              <w:rPr>
                <w:b/>
                <w:bCs/>
                <w:highlight w:val="none"/>
              </w:rPr>
              <w:t>1</w:t>
            </w:r>
            <w:r>
              <w:rPr>
                <w:rFonts w:hint="eastAsia"/>
                <w:b/>
                <w:bCs/>
                <w:highlight w:val="none"/>
              </w:rPr>
              <w:t>、项目工作内容理解分析</w:t>
            </w:r>
          </w:p>
          <w:p>
            <w:pPr>
              <w:ind w:firstLine="0" w:firstLineChars="0"/>
              <w:rPr>
                <w:highlight w:val="none"/>
              </w:rPr>
            </w:pPr>
            <w:r>
              <w:rPr>
                <w:rFonts w:hint="eastAsia"/>
                <w:highlight w:val="none"/>
              </w:rPr>
              <w:t>对项目理解充分、透彻，实现目标清晰能充分满足招标人要求的得</w:t>
            </w:r>
            <w:r>
              <w:rPr>
                <w:highlight w:val="none"/>
              </w:rPr>
              <w:t>3</w:t>
            </w:r>
            <w:r>
              <w:rPr>
                <w:rFonts w:hint="eastAsia"/>
                <w:highlight w:val="none"/>
              </w:rPr>
              <w:t>分；</w:t>
            </w:r>
          </w:p>
          <w:p>
            <w:pPr>
              <w:ind w:firstLine="0" w:firstLineChars="0"/>
              <w:rPr>
                <w:highlight w:val="none"/>
              </w:rPr>
            </w:pPr>
            <w:r>
              <w:rPr>
                <w:rFonts w:hint="eastAsia"/>
                <w:highlight w:val="none"/>
              </w:rPr>
              <w:t>对项目理解相对比较充分、透彻，实现目标较好满足招标人的需求</w:t>
            </w:r>
            <w:r>
              <w:rPr>
                <w:highlight w:val="none"/>
              </w:rPr>
              <w:t>2</w:t>
            </w:r>
            <w:r>
              <w:rPr>
                <w:rFonts w:hint="eastAsia"/>
                <w:highlight w:val="none"/>
              </w:rPr>
              <w:t>分；</w:t>
            </w:r>
          </w:p>
          <w:p>
            <w:pPr>
              <w:ind w:firstLine="0" w:firstLineChars="0"/>
              <w:rPr>
                <w:highlight w:val="none"/>
              </w:rPr>
            </w:pPr>
            <w:r>
              <w:rPr>
                <w:rFonts w:hint="eastAsia"/>
                <w:highlight w:val="none"/>
              </w:rPr>
              <w:t>对项目理解不充分、不透彻，实现目标较差满足招标人的需求</w:t>
            </w:r>
            <w:r>
              <w:rPr>
                <w:highlight w:val="none"/>
              </w:rPr>
              <w:t>1</w:t>
            </w:r>
            <w:r>
              <w:rPr>
                <w:rFonts w:hint="eastAsia"/>
                <w:highlight w:val="none"/>
              </w:rPr>
              <w:t>分。</w:t>
            </w:r>
          </w:p>
          <w:p>
            <w:pPr>
              <w:pStyle w:val="39"/>
              <w:numPr>
                <w:ilvl w:val="0"/>
                <w:numId w:val="5"/>
              </w:numPr>
              <w:ind w:firstLine="0" w:firstLineChars="0"/>
              <w:rPr>
                <w:b/>
                <w:bCs/>
                <w:highlight w:val="none"/>
              </w:rPr>
            </w:pPr>
            <w:r>
              <w:rPr>
                <w:rFonts w:hint="eastAsia"/>
                <w:b/>
                <w:bCs/>
                <w:highlight w:val="none"/>
              </w:rPr>
              <w:t>产品技术性能</w:t>
            </w:r>
          </w:p>
          <w:p>
            <w:pPr>
              <w:pStyle w:val="39"/>
              <w:ind w:firstLine="0" w:firstLineChars="0"/>
              <w:rPr>
                <w:highlight w:val="none"/>
              </w:rPr>
            </w:pPr>
            <w:r>
              <w:rPr>
                <w:rFonts w:hint="eastAsia"/>
                <w:highlight w:val="none"/>
              </w:rPr>
              <w:t>所提供产品详细技术性能，完全满足招标文件要求的得</w:t>
            </w:r>
            <w:r>
              <w:rPr>
                <w:rFonts w:hint="eastAsia"/>
                <w:highlight w:val="none"/>
                <w:lang w:val="en-US" w:eastAsia="zh-CN"/>
              </w:rPr>
              <w:t>4</w:t>
            </w:r>
            <w:r>
              <w:rPr>
                <w:rFonts w:hint="eastAsia"/>
                <w:highlight w:val="none"/>
              </w:rPr>
              <w:t>分</w:t>
            </w:r>
          </w:p>
          <w:p>
            <w:pPr>
              <w:pStyle w:val="39"/>
              <w:ind w:firstLine="0" w:firstLineChars="0"/>
              <w:rPr>
                <w:highlight w:val="none"/>
              </w:rPr>
            </w:pPr>
            <w:r>
              <w:rPr>
                <w:rFonts w:hint="eastAsia"/>
                <w:highlight w:val="none"/>
              </w:rPr>
              <w:t>所提供产品详细技术性能，基本满足招标文件要求且偏差在合理范围内得</w:t>
            </w:r>
            <w:r>
              <w:rPr>
                <w:highlight w:val="none"/>
              </w:rPr>
              <w:t>2</w:t>
            </w:r>
            <w:r>
              <w:rPr>
                <w:rFonts w:hint="eastAsia"/>
                <w:highlight w:val="none"/>
              </w:rPr>
              <w:t>分</w:t>
            </w:r>
          </w:p>
          <w:p>
            <w:pPr>
              <w:pStyle w:val="39"/>
              <w:ind w:firstLine="0" w:firstLineChars="0"/>
              <w:rPr>
                <w:highlight w:val="none"/>
              </w:rPr>
            </w:pPr>
            <w:r>
              <w:rPr>
                <w:rFonts w:hint="eastAsia"/>
                <w:highlight w:val="none"/>
              </w:rPr>
              <w:t>所提供产品详细技术性能，不能满足招标文件要求的不得分</w:t>
            </w:r>
          </w:p>
          <w:p>
            <w:pPr>
              <w:ind w:firstLine="0" w:firstLineChars="0"/>
              <w:rPr>
                <w:highlight w:val="none"/>
                <w:lang w:val="zh-CN"/>
              </w:rPr>
            </w:pPr>
            <w:r>
              <w:rPr>
                <w:highlight w:val="none"/>
              </w:rPr>
              <w:t>3</w:t>
            </w:r>
            <w:r>
              <w:rPr>
                <w:rFonts w:hint="eastAsia"/>
                <w:b/>
                <w:bCs/>
                <w:highlight w:val="none"/>
              </w:rPr>
              <w:t>、施工方案</w:t>
            </w:r>
          </w:p>
          <w:p>
            <w:pPr>
              <w:ind w:firstLine="0" w:firstLineChars="0"/>
              <w:rPr>
                <w:highlight w:val="none"/>
                <w:lang w:val="zh-CN"/>
              </w:rPr>
            </w:pPr>
            <w:r>
              <w:rPr>
                <w:rFonts w:hint="eastAsia"/>
                <w:highlight w:val="none"/>
              </w:rPr>
              <w:t>投标人针对本项目制定的施工方案</w:t>
            </w:r>
            <w:r>
              <w:rPr>
                <w:rFonts w:hint="eastAsia"/>
                <w:highlight w:val="none"/>
                <w:lang w:val="zh-CN"/>
              </w:rPr>
              <w:t>细致全面、完整合理、</w:t>
            </w:r>
            <w:r>
              <w:rPr>
                <w:rFonts w:hint="eastAsia"/>
                <w:highlight w:val="none"/>
              </w:rPr>
              <w:t>可行性强的得</w:t>
            </w:r>
            <w:r>
              <w:rPr>
                <w:rFonts w:hint="eastAsia"/>
                <w:highlight w:val="none"/>
                <w:lang w:val="en-US" w:eastAsia="zh-CN"/>
              </w:rPr>
              <w:t>5</w:t>
            </w:r>
            <w:r>
              <w:rPr>
                <w:rFonts w:hint="eastAsia"/>
                <w:highlight w:val="none"/>
              </w:rPr>
              <w:t>分；</w:t>
            </w:r>
          </w:p>
          <w:p>
            <w:pPr>
              <w:ind w:firstLine="0" w:firstLineChars="0"/>
              <w:rPr>
                <w:highlight w:val="none"/>
                <w:lang w:val="zh-CN"/>
              </w:rPr>
            </w:pPr>
            <w:r>
              <w:rPr>
                <w:rFonts w:hint="eastAsia"/>
                <w:highlight w:val="none"/>
              </w:rPr>
              <w:t>投标人针对本项目制定的施工方案较</w:t>
            </w:r>
            <w:r>
              <w:rPr>
                <w:rFonts w:hint="eastAsia"/>
                <w:highlight w:val="none"/>
                <w:lang w:val="zh-CN"/>
              </w:rPr>
              <w:t>全面、基本合理、</w:t>
            </w:r>
            <w:r>
              <w:rPr>
                <w:rFonts w:hint="eastAsia"/>
                <w:highlight w:val="none"/>
              </w:rPr>
              <w:t>具有一定可行性的得</w:t>
            </w:r>
            <w:r>
              <w:rPr>
                <w:highlight w:val="none"/>
              </w:rPr>
              <w:t>3</w:t>
            </w:r>
            <w:r>
              <w:rPr>
                <w:rFonts w:hint="eastAsia"/>
                <w:highlight w:val="none"/>
              </w:rPr>
              <w:t>分；</w:t>
            </w:r>
          </w:p>
          <w:p>
            <w:pPr>
              <w:ind w:firstLine="0" w:firstLineChars="0"/>
              <w:rPr>
                <w:highlight w:val="none"/>
              </w:rPr>
            </w:pPr>
            <w:r>
              <w:rPr>
                <w:rFonts w:hint="eastAsia"/>
                <w:highlight w:val="none"/>
              </w:rPr>
              <w:t>投标人针对本项目制定的施工方案不完整、可行性较差得</w:t>
            </w:r>
            <w:r>
              <w:rPr>
                <w:highlight w:val="none"/>
              </w:rPr>
              <w:t>1</w:t>
            </w:r>
            <w:r>
              <w:rPr>
                <w:rFonts w:hint="eastAsia"/>
                <w:highlight w:val="none"/>
              </w:rPr>
              <w:t>分。</w:t>
            </w:r>
          </w:p>
          <w:p>
            <w:pPr>
              <w:ind w:firstLine="0" w:firstLineChars="0"/>
              <w:rPr>
                <w:b/>
                <w:bCs/>
                <w:highlight w:val="none"/>
              </w:rPr>
            </w:pPr>
            <w:r>
              <w:rPr>
                <w:b/>
                <w:bCs/>
                <w:highlight w:val="none"/>
              </w:rPr>
              <w:t>4</w:t>
            </w:r>
            <w:r>
              <w:rPr>
                <w:rFonts w:hint="eastAsia"/>
                <w:b/>
                <w:bCs/>
                <w:highlight w:val="none"/>
              </w:rPr>
              <w:t>、难点要点分析及其针对性措施</w:t>
            </w:r>
          </w:p>
          <w:p>
            <w:pPr>
              <w:ind w:firstLine="0" w:firstLineChars="0"/>
              <w:rPr>
                <w:highlight w:val="none"/>
              </w:rPr>
            </w:pPr>
            <w:r>
              <w:rPr>
                <w:rFonts w:hint="eastAsia"/>
                <w:highlight w:val="none"/>
              </w:rPr>
              <w:t>针对本项目重点、难点分析较全面、准确，处理措施好得</w:t>
            </w:r>
            <w:r>
              <w:rPr>
                <w:highlight w:val="none"/>
              </w:rPr>
              <w:t>3</w:t>
            </w:r>
            <w:r>
              <w:rPr>
                <w:rFonts w:hint="eastAsia"/>
                <w:highlight w:val="none"/>
              </w:rPr>
              <w:t>分；</w:t>
            </w:r>
          </w:p>
          <w:p>
            <w:pPr>
              <w:ind w:firstLine="0" w:firstLineChars="0"/>
              <w:rPr>
                <w:highlight w:val="none"/>
              </w:rPr>
            </w:pPr>
            <w:r>
              <w:rPr>
                <w:rFonts w:hint="eastAsia"/>
                <w:highlight w:val="none"/>
              </w:rPr>
              <w:t>针对本工作重点、难点分析较全面、准确，处理措施一般得</w:t>
            </w:r>
            <w:r>
              <w:rPr>
                <w:highlight w:val="none"/>
              </w:rPr>
              <w:t>2</w:t>
            </w:r>
            <w:r>
              <w:rPr>
                <w:rFonts w:hint="eastAsia"/>
                <w:highlight w:val="none"/>
              </w:rPr>
              <w:t>分，</w:t>
            </w:r>
          </w:p>
          <w:p>
            <w:pPr>
              <w:ind w:firstLine="0" w:firstLineChars="0"/>
              <w:rPr>
                <w:highlight w:val="none"/>
              </w:rPr>
            </w:pPr>
            <w:r>
              <w:rPr>
                <w:rFonts w:hint="eastAsia"/>
                <w:highlight w:val="none"/>
              </w:rPr>
              <w:t>针对本工作重点、难点分析片面，处理措施较差得</w:t>
            </w:r>
            <w:r>
              <w:rPr>
                <w:highlight w:val="none"/>
              </w:rPr>
              <w:t>1</w:t>
            </w:r>
            <w:r>
              <w:rPr>
                <w:rFonts w:hint="eastAsia"/>
                <w:highlight w:val="none"/>
              </w:rPr>
              <w:t>分。</w:t>
            </w:r>
          </w:p>
          <w:p>
            <w:pPr>
              <w:ind w:firstLine="0" w:firstLineChars="0"/>
              <w:rPr>
                <w:b/>
                <w:bCs/>
                <w:highlight w:val="none"/>
              </w:rPr>
            </w:pPr>
            <w:r>
              <w:rPr>
                <w:b/>
                <w:bCs/>
                <w:highlight w:val="none"/>
              </w:rPr>
              <w:t>5</w:t>
            </w:r>
            <w:r>
              <w:rPr>
                <w:rFonts w:hint="eastAsia"/>
                <w:b/>
                <w:bCs/>
                <w:highlight w:val="none"/>
              </w:rPr>
              <w:t>、质量控制</w:t>
            </w:r>
          </w:p>
          <w:p>
            <w:pPr>
              <w:ind w:firstLine="0" w:firstLineChars="0"/>
              <w:rPr>
                <w:highlight w:val="none"/>
              </w:rPr>
            </w:pPr>
            <w:r>
              <w:rPr>
                <w:rFonts w:hint="eastAsia"/>
                <w:highlight w:val="none"/>
              </w:rPr>
              <w:t>针对本项目制定内部质量控制方案科学合理、可行、易操作的得</w:t>
            </w:r>
            <w:r>
              <w:rPr>
                <w:highlight w:val="none"/>
              </w:rPr>
              <w:t>5</w:t>
            </w:r>
            <w:r>
              <w:rPr>
                <w:rFonts w:hint="eastAsia"/>
                <w:highlight w:val="none"/>
              </w:rPr>
              <w:t>分，</w:t>
            </w:r>
          </w:p>
          <w:p>
            <w:pPr>
              <w:ind w:firstLine="0" w:firstLineChars="0"/>
              <w:rPr>
                <w:highlight w:val="none"/>
              </w:rPr>
            </w:pPr>
            <w:r>
              <w:rPr>
                <w:rFonts w:hint="eastAsia"/>
                <w:highlight w:val="none"/>
              </w:rPr>
              <w:t>针对本项目内部质量控制方案较合理、较可行的得</w:t>
            </w:r>
            <w:r>
              <w:rPr>
                <w:highlight w:val="none"/>
              </w:rPr>
              <w:t>3</w:t>
            </w:r>
            <w:r>
              <w:rPr>
                <w:rFonts w:hint="eastAsia"/>
                <w:highlight w:val="none"/>
              </w:rPr>
              <w:t>分。</w:t>
            </w:r>
          </w:p>
          <w:p>
            <w:pPr>
              <w:ind w:firstLine="0" w:firstLineChars="0"/>
              <w:rPr>
                <w:highlight w:val="none"/>
              </w:rPr>
            </w:pPr>
            <w:r>
              <w:rPr>
                <w:rFonts w:hint="eastAsia"/>
                <w:highlight w:val="none"/>
              </w:rPr>
              <w:t>针对本项目内部质量控制方案没有或可行性差的得</w:t>
            </w:r>
            <w:r>
              <w:rPr>
                <w:highlight w:val="none"/>
              </w:rPr>
              <w:t>1</w:t>
            </w:r>
            <w:r>
              <w:rPr>
                <w:rFonts w:hint="eastAsia"/>
                <w:highlight w:val="none"/>
              </w:rPr>
              <w:t>分。</w:t>
            </w:r>
          </w:p>
          <w:p>
            <w:pPr>
              <w:ind w:firstLine="0" w:firstLineChars="0"/>
              <w:rPr>
                <w:b/>
                <w:bCs/>
                <w:highlight w:val="none"/>
              </w:rPr>
            </w:pPr>
            <w:r>
              <w:rPr>
                <w:b/>
                <w:bCs/>
                <w:highlight w:val="none"/>
              </w:rPr>
              <w:t>6</w:t>
            </w:r>
            <w:r>
              <w:rPr>
                <w:rFonts w:hint="eastAsia"/>
                <w:b/>
                <w:bCs/>
                <w:highlight w:val="none"/>
              </w:rPr>
              <w:t>、项目进度管理</w:t>
            </w:r>
          </w:p>
          <w:p>
            <w:pPr>
              <w:ind w:firstLine="0" w:firstLineChars="0"/>
              <w:rPr>
                <w:highlight w:val="none"/>
              </w:rPr>
            </w:pPr>
            <w:r>
              <w:rPr>
                <w:rFonts w:hint="eastAsia"/>
                <w:highlight w:val="none"/>
              </w:rPr>
              <w:t>针对本项目进度管理方案科学合理、可行、易操作的得</w:t>
            </w:r>
            <w:r>
              <w:rPr>
                <w:rFonts w:hint="eastAsia"/>
                <w:highlight w:val="none"/>
                <w:lang w:val="en-US" w:eastAsia="zh-CN"/>
              </w:rPr>
              <w:t>3</w:t>
            </w:r>
            <w:r>
              <w:rPr>
                <w:rFonts w:hint="eastAsia"/>
                <w:highlight w:val="none"/>
              </w:rPr>
              <w:t>分，</w:t>
            </w:r>
          </w:p>
          <w:p>
            <w:pPr>
              <w:ind w:firstLine="0" w:firstLineChars="0"/>
              <w:rPr>
                <w:highlight w:val="none"/>
              </w:rPr>
            </w:pPr>
            <w:r>
              <w:rPr>
                <w:rFonts w:hint="eastAsia"/>
                <w:highlight w:val="none"/>
              </w:rPr>
              <w:t>针对本项目进度管理方案较合理、较可行的得</w:t>
            </w:r>
            <w:r>
              <w:rPr>
                <w:highlight w:val="none"/>
              </w:rPr>
              <w:t>2</w:t>
            </w:r>
            <w:r>
              <w:rPr>
                <w:rFonts w:hint="eastAsia"/>
                <w:highlight w:val="none"/>
              </w:rPr>
              <w:t>分。</w:t>
            </w:r>
          </w:p>
          <w:p>
            <w:pPr>
              <w:pStyle w:val="39"/>
              <w:tabs>
                <w:tab w:val="left" w:pos="395"/>
              </w:tabs>
              <w:ind w:firstLine="0" w:firstLineChars="0"/>
              <w:rPr>
                <w:highlight w:val="none"/>
              </w:rPr>
            </w:pPr>
            <w:r>
              <w:rPr>
                <w:rFonts w:hint="eastAsia"/>
                <w:highlight w:val="none"/>
              </w:rPr>
              <w:t>针对本项目进度管理方案没有或可行性差的得</w:t>
            </w:r>
            <w:r>
              <w:rPr>
                <w:highlight w:val="none"/>
              </w:rPr>
              <w:t>1</w:t>
            </w:r>
            <w:r>
              <w:rPr>
                <w:rFonts w:hint="eastAsia"/>
                <w:highlight w:val="none"/>
              </w:rPr>
              <w:t>分。</w:t>
            </w:r>
          </w:p>
          <w:p>
            <w:pPr>
              <w:numPr>
                <w:ilvl w:val="0"/>
                <w:numId w:val="6"/>
              </w:numPr>
              <w:snapToGrid w:val="0"/>
              <w:ind w:firstLine="0" w:firstLineChars="0"/>
              <w:rPr>
                <w:b/>
                <w:bCs/>
                <w:highlight w:val="none"/>
              </w:rPr>
            </w:pPr>
            <w:r>
              <w:rPr>
                <w:rFonts w:hint="eastAsia"/>
                <w:b/>
                <w:bCs/>
                <w:highlight w:val="none"/>
              </w:rPr>
              <w:t>售后服务措施</w:t>
            </w:r>
          </w:p>
          <w:p>
            <w:pPr>
              <w:pStyle w:val="39"/>
              <w:ind w:firstLine="0" w:firstLineChars="0"/>
              <w:rPr>
                <w:rFonts w:ascii="宋体" w:hAnsi="宋体"/>
                <w:szCs w:val="21"/>
                <w:highlight w:val="none"/>
              </w:rPr>
            </w:pPr>
            <w:r>
              <w:rPr>
                <w:rFonts w:hint="eastAsia"/>
                <w:highlight w:val="none"/>
              </w:rPr>
              <w:t>针对本项目</w:t>
            </w:r>
            <w:r>
              <w:rPr>
                <w:rFonts w:hint="eastAsia" w:ascii="宋体" w:hAnsi="宋体"/>
                <w:szCs w:val="21"/>
                <w:highlight w:val="none"/>
              </w:rPr>
              <w:t>售后服务措施完备，方案可行得</w:t>
            </w:r>
            <w:r>
              <w:rPr>
                <w:rFonts w:hint="eastAsia" w:ascii="宋体" w:hAnsi="宋体"/>
                <w:szCs w:val="21"/>
                <w:highlight w:val="none"/>
                <w:lang w:val="en-US" w:eastAsia="zh-CN"/>
              </w:rPr>
              <w:t>3</w:t>
            </w:r>
            <w:r>
              <w:rPr>
                <w:rFonts w:hint="eastAsia" w:ascii="宋体" w:hAnsi="宋体"/>
                <w:szCs w:val="21"/>
                <w:highlight w:val="none"/>
              </w:rPr>
              <w:t>分</w:t>
            </w:r>
          </w:p>
          <w:p>
            <w:pPr>
              <w:pStyle w:val="39"/>
              <w:ind w:firstLine="0" w:firstLineChars="0"/>
              <w:rPr>
                <w:rFonts w:ascii="宋体" w:hAnsi="宋体"/>
                <w:szCs w:val="21"/>
                <w:highlight w:val="none"/>
              </w:rPr>
            </w:pPr>
            <w:r>
              <w:rPr>
                <w:rFonts w:hint="eastAsia"/>
                <w:highlight w:val="none"/>
              </w:rPr>
              <w:t>针对本项目</w:t>
            </w:r>
            <w:r>
              <w:rPr>
                <w:rFonts w:hint="eastAsia" w:ascii="宋体" w:hAnsi="宋体"/>
                <w:szCs w:val="21"/>
                <w:highlight w:val="none"/>
              </w:rPr>
              <w:t>售后服务措施基本完备，方案基本可行得</w:t>
            </w:r>
            <w:r>
              <w:rPr>
                <w:rFonts w:ascii="宋体" w:hAnsi="宋体"/>
                <w:szCs w:val="21"/>
                <w:highlight w:val="none"/>
              </w:rPr>
              <w:t>2分</w:t>
            </w:r>
          </w:p>
          <w:p>
            <w:pPr>
              <w:pStyle w:val="39"/>
              <w:ind w:firstLine="0" w:firstLineChars="0"/>
              <w:rPr>
                <w:rFonts w:ascii="宋体" w:hAnsi="宋体"/>
                <w:szCs w:val="21"/>
                <w:highlight w:val="none"/>
              </w:rPr>
            </w:pPr>
            <w:r>
              <w:rPr>
                <w:rFonts w:hint="eastAsia"/>
                <w:highlight w:val="none"/>
              </w:rPr>
              <w:t>针对本项目</w:t>
            </w:r>
            <w:r>
              <w:rPr>
                <w:rFonts w:hint="eastAsia" w:ascii="宋体" w:hAnsi="宋体"/>
                <w:szCs w:val="21"/>
                <w:highlight w:val="none"/>
              </w:rPr>
              <w:t>售后服务措施不完备，方案不可行得</w:t>
            </w:r>
            <w:r>
              <w:rPr>
                <w:rFonts w:ascii="宋体" w:hAnsi="宋体"/>
                <w:szCs w:val="21"/>
                <w:highlight w:val="none"/>
              </w:rPr>
              <w:t>1分</w:t>
            </w:r>
          </w:p>
          <w:p>
            <w:pPr>
              <w:pStyle w:val="39"/>
              <w:numPr>
                <w:ilvl w:val="0"/>
                <w:numId w:val="6"/>
              </w:numPr>
              <w:ind w:firstLine="0" w:firstLineChars="0"/>
              <w:rPr>
                <w:rFonts w:ascii="宋体" w:hAnsi="宋体"/>
                <w:b/>
                <w:bCs/>
                <w:szCs w:val="21"/>
                <w:highlight w:val="none"/>
              </w:rPr>
            </w:pPr>
            <w:r>
              <w:rPr>
                <w:rFonts w:hint="eastAsia" w:ascii="宋体" w:hAnsi="宋体"/>
                <w:b/>
                <w:bCs/>
                <w:szCs w:val="21"/>
                <w:highlight w:val="none"/>
              </w:rPr>
              <w:t>出现故障承诺在半小时内响应</w:t>
            </w:r>
          </w:p>
          <w:p>
            <w:pPr>
              <w:pStyle w:val="39"/>
              <w:ind w:firstLine="0" w:firstLineChars="0"/>
              <w:rPr>
                <w:rFonts w:ascii="宋体" w:hAnsi="宋体"/>
                <w:szCs w:val="21"/>
                <w:highlight w:val="none"/>
              </w:rPr>
            </w:pPr>
            <w:r>
              <w:rPr>
                <w:rFonts w:ascii="宋体" w:hAnsi="宋体"/>
                <w:szCs w:val="21"/>
                <w:highlight w:val="none"/>
              </w:rPr>
              <w:t>2小时内现场处理，24小时内故障处理完毕的得2分；</w:t>
            </w:r>
          </w:p>
          <w:p>
            <w:pPr>
              <w:pStyle w:val="39"/>
              <w:ind w:firstLine="0" w:firstLineChars="0"/>
              <w:rPr>
                <w:rFonts w:ascii="宋体" w:hAnsi="宋体"/>
                <w:szCs w:val="21"/>
                <w:highlight w:val="none"/>
              </w:rPr>
            </w:pPr>
            <w:r>
              <w:rPr>
                <w:rFonts w:ascii="宋体" w:hAnsi="宋体"/>
                <w:szCs w:val="21"/>
                <w:highlight w:val="none"/>
              </w:rPr>
              <w:t>4小时内现场处理，48小时内故障处理完毕的得1分，</w:t>
            </w:r>
          </w:p>
          <w:p>
            <w:pPr>
              <w:pStyle w:val="39"/>
              <w:ind w:firstLine="0" w:firstLineChars="0"/>
              <w:rPr>
                <w:rFonts w:ascii="宋体" w:hAnsi="宋体"/>
                <w:szCs w:val="21"/>
                <w:highlight w:val="none"/>
              </w:rPr>
            </w:pPr>
            <w:r>
              <w:rPr>
                <w:rFonts w:hint="eastAsia" w:ascii="宋体" w:hAnsi="宋体"/>
                <w:szCs w:val="21"/>
                <w:highlight w:val="none"/>
              </w:rPr>
              <w:t>其他不得分</w:t>
            </w:r>
            <w:r>
              <w:rPr>
                <w:rFonts w:hint="eastAsia" w:ascii="宋体" w:hAnsi="宋体"/>
                <w:b/>
                <w:szCs w:val="21"/>
                <w:highlight w:val="none"/>
              </w:rPr>
              <w:t>（提供承诺书）</w:t>
            </w:r>
          </w:p>
          <w:p>
            <w:pPr>
              <w:pStyle w:val="39"/>
              <w:ind w:firstLine="0" w:firstLineChars="0"/>
              <w:rPr>
                <w:rFonts w:ascii="Arial"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cs="宋体"/>
                <w:kern w:val="0"/>
                <w:szCs w:val="21"/>
                <w:highlight w:val="none"/>
              </w:rPr>
            </w:pPr>
            <w:r>
              <w:rPr>
                <w:rFonts w:hint="eastAsia" w:ascii="宋体" w:hAnsi="宋体" w:cs="宋体"/>
                <w:kern w:val="0"/>
                <w:szCs w:val="21"/>
                <w:highlight w:val="none"/>
              </w:rPr>
              <w:t>说明：</w:t>
            </w:r>
            <w:r>
              <w:rPr>
                <w:rFonts w:hint="eastAsia" w:ascii="宋体" w:hAnsi="宋体"/>
                <w:highlight w:val="none"/>
              </w:rPr>
              <w:t>评分标准中要求提供的证明文件及资料等在招标文件中提供复印件，要求“原件备查”的须开标时携带原件（如不能提供原件的，请提供当地公证部门的公证书原件）在投标截止时间前随投标文件一同提交，如不能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条款内容</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b/>
                <w:kern w:val="0"/>
                <w:szCs w:val="21"/>
                <w:highlight w:val="none"/>
              </w:rPr>
            </w:pPr>
            <w:r>
              <w:rPr>
                <w:rFonts w:hint="eastAsia" w:ascii="宋体" w:hAnsi="宋体" w:cs="宋体"/>
                <w:b/>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8"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ascii="宋体" w:hAnsi="宋体" w:cs="宋体"/>
                <w:kern w:val="0"/>
                <w:szCs w:val="21"/>
                <w:highlight w:val="none"/>
              </w:rPr>
              <w:t>3.1.2（2）</w:t>
            </w:r>
          </w:p>
        </w:tc>
        <w:tc>
          <w:tcPr>
            <w:tcW w:w="1372"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串通投标</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有下列情形之一的，属于投标人相互串通投标：</w:t>
            </w:r>
          </w:p>
          <w:p>
            <w:pPr>
              <w:numPr>
                <w:ilvl w:val="0"/>
                <w:numId w:val="7"/>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投标人之间协商投标报价等投标文件的实质性内容；</w:t>
            </w:r>
          </w:p>
          <w:p>
            <w:pPr>
              <w:numPr>
                <w:ilvl w:val="0"/>
                <w:numId w:val="7"/>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投标人之间约定中标人；</w:t>
            </w:r>
          </w:p>
          <w:p>
            <w:pPr>
              <w:numPr>
                <w:ilvl w:val="0"/>
                <w:numId w:val="7"/>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投标人之间约定部分投标人放弃投标或者中标；</w:t>
            </w:r>
          </w:p>
          <w:p>
            <w:pPr>
              <w:numPr>
                <w:ilvl w:val="0"/>
                <w:numId w:val="7"/>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属于同一集团、协会、商会等组织成员的投标人按照该组织要求协同投标；</w:t>
            </w:r>
          </w:p>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投标人之间为谋取中标或者排斥特定投标人而采取的其他联合行动。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有下列情形之一的，视为投标人相互串通投标：</w:t>
            </w:r>
          </w:p>
          <w:p>
            <w:pPr>
              <w:numPr>
                <w:ilvl w:val="0"/>
                <w:numId w:val="8"/>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不同投标人的投标文件由同一单位或者个人编制；</w:t>
            </w:r>
          </w:p>
          <w:p>
            <w:pPr>
              <w:numPr>
                <w:ilvl w:val="0"/>
                <w:numId w:val="8"/>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不同投标人委托同一单位或者个人办理投标事宜；</w:t>
            </w:r>
          </w:p>
          <w:p>
            <w:pPr>
              <w:numPr>
                <w:ilvl w:val="0"/>
                <w:numId w:val="8"/>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不同投标人的投标文件载明的项目管理成员为同一人；</w:t>
            </w:r>
          </w:p>
          <w:p>
            <w:pPr>
              <w:numPr>
                <w:ilvl w:val="0"/>
                <w:numId w:val="8"/>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不同投标人的投标文件异常一致或者投标报价呈规律性差异；</w:t>
            </w:r>
          </w:p>
          <w:p>
            <w:pPr>
              <w:numPr>
                <w:ilvl w:val="0"/>
                <w:numId w:val="8"/>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不同投标人的投标文件相互混装；</w:t>
            </w:r>
          </w:p>
          <w:p>
            <w:pPr>
              <w:numPr>
                <w:ilvl w:val="0"/>
                <w:numId w:val="8"/>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有下列情形之一的，属于招标人与投标人串通投标：</w:t>
            </w:r>
          </w:p>
          <w:p>
            <w:pPr>
              <w:numPr>
                <w:ilvl w:val="0"/>
                <w:numId w:val="9"/>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招标人在开标前开启投标文件并将有关信息泄露给其他投标人；</w:t>
            </w:r>
          </w:p>
          <w:p>
            <w:pPr>
              <w:numPr>
                <w:ilvl w:val="0"/>
                <w:numId w:val="9"/>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招标人直接或者间接向投标人泄露标底、评标委员会成员等信息；</w:t>
            </w:r>
          </w:p>
          <w:p>
            <w:pPr>
              <w:numPr>
                <w:ilvl w:val="0"/>
                <w:numId w:val="9"/>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招标人明示或者暗示投标人压低或者抬高投标报价；</w:t>
            </w:r>
          </w:p>
          <w:p>
            <w:pPr>
              <w:numPr>
                <w:ilvl w:val="0"/>
                <w:numId w:val="9"/>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招标人授意投标人撤换、修改投标文件；</w:t>
            </w:r>
          </w:p>
          <w:p>
            <w:pPr>
              <w:numPr>
                <w:ilvl w:val="0"/>
                <w:numId w:val="9"/>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招标人明示或者暗示投标人为特定投标人中标提供方便；</w:t>
            </w:r>
          </w:p>
          <w:p>
            <w:pPr>
              <w:numPr>
                <w:ilvl w:val="0"/>
                <w:numId w:val="9"/>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招标人与投标人为谋求特定投标人中标而采取的其他串通行为。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cs="宋体"/>
                <w:kern w:val="0"/>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宋体" w:hAnsi="宋体" w:cs="宋体"/>
                <w:kern w:val="0"/>
                <w:szCs w:val="21"/>
                <w:highlight w:val="none"/>
              </w:rPr>
            </w:pPr>
            <w:r>
              <w:rPr>
                <w:rFonts w:hint="eastAsia" w:ascii="宋体" w:hAnsi="宋体" w:cs="宋体"/>
                <w:kern w:val="0"/>
                <w:szCs w:val="21"/>
                <w:highlight w:val="none"/>
              </w:rPr>
              <w:t>弄虚作假</w:t>
            </w:r>
          </w:p>
        </w:tc>
        <w:tc>
          <w:tcPr>
            <w:tcW w:w="698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使用通过受让或者租借等方式获取的资格、资质证书投标的，属于以他人名义投标。</w:t>
            </w:r>
          </w:p>
          <w:p>
            <w:pPr>
              <w:snapToGrid w:val="0"/>
              <w:ind w:firstLine="0" w:firstLineChars="0"/>
              <w:jc w:val="left"/>
              <w:rPr>
                <w:rFonts w:ascii="宋体" w:hAnsi="宋体" w:cs="宋体"/>
                <w:kern w:val="0"/>
                <w:szCs w:val="21"/>
                <w:highlight w:val="none"/>
              </w:rPr>
            </w:pPr>
            <w:r>
              <w:rPr>
                <w:rFonts w:hint="eastAsia" w:ascii="宋体" w:hAnsi="宋体" w:cs="宋体"/>
                <w:kern w:val="0"/>
                <w:szCs w:val="21"/>
                <w:highlight w:val="none"/>
              </w:rPr>
              <w:t>投标人有下列情形之一的，属于以其他方式弄虚作假的行为：</w:t>
            </w:r>
          </w:p>
          <w:p>
            <w:pPr>
              <w:numPr>
                <w:ilvl w:val="0"/>
                <w:numId w:val="10"/>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使用伪造、变造的许可证件；</w:t>
            </w:r>
          </w:p>
          <w:p>
            <w:pPr>
              <w:numPr>
                <w:ilvl w:val="0"/>
                <w:numId w:val="10"/>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提供虚假的财务状况或者业绩；</w:t>
            </w:r>
          </w:p>
          <w:p>
            <w:pPr>
              <w:numPr>
                <w:ilvl w:val="0"/>
                <w:numId w:val="10"/>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提供虚假的项目负责人或者主要技术人员简历、劳动关系证明；</w:t>
            </w:r>
          </w:p>
          <w:p>
            <w:pPr>
              <w:numPr>
                <w:ilvl w:val="0"/>
                <w:numId w:val="10"/>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提供虚假的信用状况；</w:t>
            </w:r>
          </w:p>
          <w:p>
            <w:pPr>
              <w:numPr>
                <w:ilvl w:val="0"/>
                <w:numId w:val="10"/>
              </w:numPr>
              <w:snapToGrid w:val="0"/>
              <w:ind w:firstLineChars="0"/>
              <w:jc w:val="left"/>
              <w:rPr>
                <w:rFonts w:ascii="宋体" w:hAnsi="宋体" w:cs="宋体"/>
                <w:kern w:val="0"/>
                <w:szCs w:val="21"/>
                <w:highlight w:val="none"/>
              </w:rPr>
            </w:pPr>
            <w:r>
              <w:rPr>
                <w:rFonts w:hint="eastAsia" w:ascii="宋体" w:hAnsi="宋体" w:cs="宋体"/>
                <w:kern w:val="0"/>
                <w:szCs w:val="21"/>
                <w:highlight w:val="none"/>
              </w:rPr>
              <w:t>其他弄虚作假的行为。</w:t>
            </w:r>
          </w:p>
        </w:tc>
      </w:tr>
    </w:tbl>
    <w:p>
      <w:pPr>
        <w:snapToGrid w:val="0"/>
        <w:ind w:firstLine="0" w:firstLineChars="0"/>
        <w:jc w:val="center"/>
        <w:rPr>
          <w:rFonts w:ascii="宋体" w:hAnsi="宋体" w:cs="宋体"/>
          <w:b/>
          <w:bCs/>
          <w:kern w:val="0"/>
          <w:sz w:val="36"/>
          <w:szCs w:val="36"/>
          <w:highlight w:val="none"/>
        </w:rPr>
      </w:pPr>
      <w:bookmarkStart w:id="172" w:name="_Toc17663"/>
      <w:bookmarkStart w:id="173" w:name="_Toc40699935"/>
      <w:bookmarkStart w:id="174" w:name="_Toc716"/>
      <w:bookmarkStart w:id="175" w:name="_Toc16425"/>
    </w:p>
    <w:p>
      <w:pPr>
        <w:pStyle w:val="39"/>
        <w:ind w:firstLine="0" w:firstLineChars="0"/>
        <w:rPr>
          <w:rFonts w:ascii="宋体" w:hAnsi="宋体" w:cs="宋体"/>
          <w:b/>
          <w:bCs/>
          <w:kern w:val="0"/>
          <w:sz w:val="36"/>
          <w:szCs w:val="36"/>
          <w:highlight w:val="none"/>
        </w:rPr>
      </w:pPr>
    </w:p>
    <w:p>
      <w:pPr>
        <w:pStyle w:val="39"/>
        <w:ind w:firstLine="0" w:firstLineChars="0"/>
        <w:rPr>
          <w:rFonts w:ascii="宋体" w:hAnsi="宋体" w:cs="宋体"/>
          <w:b/>
          <w:bCs/>
          <w:kern w:val="0"/>
          <w:sz w:val="36"/>
          <w:szCs w:val="36"/>
          <w:highlight w:val="none"/>
        </w:rPr>
      </w:pPr>
    </w:p>
    <w:p>
      <w:pPr>
        <w:snapToGrid w:val="0"/>
        <w:ind w:firstLine="0" w:firstLineChars="0"/>
        <w:jc w:val="center"/>
        <w:outlineLvl w:val="0"/>
        <w:rPr>
          <w:rFonts w:ascii="宋体" w:hAnsi="宋体" w:cs="宋体"/>
          <w:b/>
          <w:bCs/>
          <w:kern w:val="0"/>
          <w:sz w:val="36"/>
          <w:szCs w:val="36"/>
          <w:highlight w:val="none"/>
        </w:rPr>
      </w:pPr>
      <w:r>
        <w:rPr>
          <w:rFonts w:hint="eastAsia" w:ascii="宋体" w:hAnsi="宋体" w:cs="宋体"/>
          <w:b/>
          <w:bCs/>
          <w:kern w:val="0"/>
          <w:sz w:val="36"/>
          <w:szCs w:val="36"/>
          <w:highlight w:val="none"/>
        </w:rPr>
        <w:t>第四章</w:t>
      </w:r>
      <w:r>
        <w:rPr>
          <w:rFonts w:ascii="宋体" w:hAnsi="宋体" w:cs="宋体"/>
          <w:b/>
          <w:bCs/>
          <w:kern w:val="0"/>
          <w:sz w:val="36"/>
          <w:szCs w:val="36"/>
          <w:highlight w:val="none"/>
        </w:rPr>
        <w:t xml:space="preserve"> </w:t>
      </w:r>
      <w:r>
        <w:rPr>
          <w:rFonts w:hint="eastAsia" w:ascii="宋体" w:hAnsi="宋体" w:cs="宋体"/>
          <w:b/>
          <w:bCs/>
          <w:kern w:val="0"/>
          <w:sz w:val="36"/>
          <w:szCs w:val="36"/>
          <w:highlight w:val="none"/>
        </w:rPr>
        <w:t>合同条款及格式</w:t>
      </w:r>
      <w:bookmarkEnd w:id="172"/>
      <w:bookmarkEnd w:id="173"/>
      <w:bookmarkEnd w:id="174"/>
      <w:bookmarkEnd w:id="175"/>
    </w:p>
    <w:p>
      <w:pPr>
        <w:pStyle w:val="4"/>
        <w:rPr>
          <w:highlight w:val="none"/>
        </w:rPr>
      </w:pPr>
      <w:bookmarkStart w:id="176" w:name="_Toc40699936"/>
      <w:r>
        <w:rPr>
          <w:rFonts w:hint="eastAsia"/>
          <w:highlight w:val="none"/>
        </w:rPr>
        <w:t>（仅供参考最终以双方协定版本为准）</w:t>
      </w:r>
      <w:bookmarkEnd w:id="176"/>
    </w:p>
    <w:p>
      <w:pPr>
        <w:ind w:firstLine="0" w:firstLineChars="0"/>
        <w:jc w:val="center"/>
        <w:rPr>
          <w:rFonts w:ascii="黑体" w:eastAsia="黑体"/>
          <w:b/>
          <w:sz w:val="36"/>
          <w:szCs w:val="36"/>
          <w:highlight w:val="none"/>
        </w:rPr>
      </w:pPr>
      <w:bookmarkStart w:id="177" w:name="_Toc14086"/>
      <w:bookmarkStart w:id="178" w:name="_Toc30168"/>
      <w:bookmarkStart w:id="179" w:name="_Toc32327"/>
      <w:bookmarkStart w:id="180" w:name="_Toc40699937"/>
      <w:r>
        <w:rPr>
          <w:rFonts w:hint="eastAsia" w:ascii="黑体" w:eastAsia="黑体"/>
          <w:b/>
          <w:sz w:val="36"/>
          <w:szCs w:val="36"/>
          <w:highlight w:val="none"/>
        </w:rPr>
        <w:t>合</w:t>
      </w:r>
      <w:r>
        <w:rPr>
          <w:rFonts w:ascii="黑体" w:eastAsia="黑体"/>
          <w:b/>
          <w:sz w:val="36"/>
          <w:szCs w:val="36"/>
          <w:highlight w:val="none"/>
        </w:rPr>
        <w:t xml:space="preserve">  </w:t>
      </w:r>
      <w:r>
        <w:rPr>
          <w:rFonts w:hint="eastAsia" w:ascii="黑体" w:eastAsia="黑体"/>
          <w:b/>
          <w:sz w:val="36"/>
          <w:szCs w:val="36"/>
          <w:highlight w:val="none"/>
        </w:rPr>
        <w:t>同</w:t>
      </w:r>
    </w:p>
    <w:p>
      <w:pPr>
        <w:ind w:firstLine="0" w:firstLineChars="0"/>
        <w:jc w:val="center"/>
        <w:rPr>
          <w:rFonts w:ascii="黑体" w:hAnsi="宋体" w:eastAsia="黑体"/>
          <w:sz w:val="28"/>
          <w:szCs w:val="28"/>
          <w:highlight w:val="none"/>
        </w:rPr>
      </w:pPr>
    </w:p>
    <w:p>
      <w:pPr>
        <w:spacing w:line="440" w:lineRule="exact"/>
        <w:ind w:left="420" w:firstLine="0" w:firstLineChars="0"/>
        <w:rPr>
          <w:rFonts w:ascii="宋体" w:hAnsi="宋体"/>
          <w:sz w:val="24"/>
          <w:szCs w:val="24"/>
          <w:highlight w:val="none"/>
        </w:rPr>
      </w:pPr>
      <w:r>
        <w:rPr>
          <w:rFonts w:hint="eastAsia" w:ascii="宋体" w:hAnsi="宋体"/>
          <w:sz w:val="24"/>
          <w:szCs w:val="24"/>
          <w:highlight w:val="none"/>
        </w:rPr>
        <w:t>买方：江苏长江水务股份有限公司</w:t>
      </w:r>
    </w:p>
    <w:p>
      <w:pPr>
        <w:spacing w:line="440" w:lineRule="exact"/>
        <w:ind w:left="420" w:firstLine="0" w:firstLineChars="0"/>
        <w:rPr>
          <w:rFonts w:ascii="宋体" w:hAnsi="宋体"/>
          <w:sz w:val="24"/>
          <w:szCs w:val="24"/>
          <w:highlight w:val="none"/>
        </w:rPr>
      </w:pPr>
      <w:r>
        <w:rPr>
          <w:rFonts w:hint="eastAsia" w:ascii="宋体" w:hAnsi="宋体"/>
          <w:sz w:val="24"/>
          <w:szCs w:val="24"/>
          <w:highlight w:val="none"/>
        </w:rPr>
        <w:t>卖方：</w:t>
      </w:r>
    </w:p>
    <w:p>
      <w:pPr>
        <w:spacing w:line="440" w:lineRule="exact"/>
        <w:ind w:right="-290" w:rightChars="-138" w:firstLine="0" w:firstLineChars="0"/>
        <w:rPr>
          <w:rFonts w:ascii="宋体" w:hAnsi="宋体"/>
          <w:sz w:val="24"/>
          <w:szCs w:val="24"/>
          <w:highlight w:val="none"/>
        </w:rPr>
      </w:pPr>
    </w:p>
    <w:p>
      <w:pPr>
        <w:spacing w:line="440" w:lineRule="exact"/>
        <w:ind w:right="-290" w:rightChars="-138" w:firstLine="0" w:firstLineChars="0"/>
        <w:rPr>
          <w:rFonts w:ascii="宋体" w:hAnsi="宋体"/>
          <w:sz w:val="24"/>
          <w:szCs w:val="24"/>
          <w:highlight w:val="none"/>
        </w:rPr>
      </w:pPr>
      <w:r>
        <w:rPr>
          <w:rFonts w:ascii="宋体" w:hAnsi="宋体"/>
          <w:sz w:val="24"/>
          <w:szCs w:val="24"/>
          <w:highlight w:val="none"/>
        </w:rPr>
        <w:t xml:space="preserve">    江苏长江水务股份有限公司（以下简称“买方”）通过招标（招标编号：</w:t>
      </w:r>
      <w:r>
        <w:rPr>
          <w:rFonts w:ascii="宋体" w:hAnsi="宋体"/>
          <w:sz w:val="24"/>
          <w:szCs w:val="24"/>
          <w:highlight w:val="none"/>
          <w:u w:val="single"/>
        </w:rPr>
        <w:t xml:space="preserve">      </w:t>
      </w:r>
      <w:r>
        <w:rPr>
          <w:rFonts w:hint="eastAsia" w:ascii="宋体" w:hAnsi="宋体"/>
          <w:sz w:val="24"/>
          <w:szCs w:val="24"/>
          <w:highlight w:val="none"/>
        </w:rPr>
        <w:t>），确定</w:t>
      </w:r>
      <w:r>
        <w:rPr>
          <w:rFonts w:ascii="宋体" w:hAnsi="宋体"/>
          <w:sz w:val="24"/>
          <w:szCs w:val="24"/>
          <w:highlight w:val="none"/>
        </w:rPr>
        <w:t xml:space="preserve"> </w:t>
      </w:r>
      <w:r>
        <w:rPr>
          <w:rFonts w:ascii="宋体" w:hAnsi="宋体"/>
          <w:sz w:val="24"/>
          <w:szCs w:val="24"/>
          <w:highlight w:val="none"/>
          <w:u w:val="single"/>
        </w:rPr>
        <w:t xml:space="preserve">        </w:t>
      </w:r>
      <w:r>
        <w:rPr>
          <w:rFonts w:hint="eastAsia" w:ascii="宋体" w:hAnsi="宋体"/>
          <w:sz w:val="24"/>
          <w:szCs w:val="24"/>
          <w:highlight w:val="none"/>
        </w:rPr>
        <w:t>公司（以下简称“卖方”）为江苏长江水务股份有限公司</w:t>
      </w:r>
      <w:r>
        <w:rPr>
          <w:rFonts w:ascii="宋体" w:hAnsi="宋体"/>
          <w:sz w:val="24"/>
          <w:szCs w:val="24"/>
          <w:highlight w:val="none"/>
        </w:rPr>
        <w:t>2021年电气技改项目（西湖增压站、瓜洲原水厂）设备安装采购项目的供应方，经买卖双方协商一致，签订本合同。</w:t>
      </w: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第一条　名词和用语</w:t>
      </w:r>
    </w:p>
    <w:p>
      <w:pPr>
        <w:spacing w:line="440" w:lineRule="exact"/>
        <w:ind w:firstLine="570" w:firstLineChars="0"/>
        <w:rPr>
          <w:rFonts w:ascii="宋体" w:hAnsi="宋体"/>
          <w:sz w:val="24"/>
          <w:szCs w:val="24"/>
          <w:highlight w:val="none"/>
        </w:rPr>
      </w:pPr>
      <w:r>
        <w:rPr>
          <w:rFonts w:hint="eastAsia" w:ascii="宋体" w:hAnsi="宋体"/>
          <w:sz w:val="24"/>
          <w:szCs w:val="24"/>
          <w:highlight w:val="none"/>
        </w:rPr>
        <w:t>下列名词和用语，</w:t>
      </w:r>
      <w:r>
        <w:rPr>
          <w:rFonts w:ascii="宋体" w:hAnsi="宋体"/>
          <w:sz w:val="24"/>
          <w:szCs w:val="24"/>
          <w:highlight w:val="none"/>
        </w:rPr>
        <w:t xml:space="preserve"> </w:t>
      </w:r>
      <w:r>
        <w:rPr>
          <w:rFonts w:hint="eastAsia" w:ascii="宋体" w:hAnsi="宋体"/>
          <w:sz w:val="24"/>
          <w:szCs w:val="24"/>
          <w:highlight w:val="none"/>
        </w:rPr>
        <w:t>除上下文另有规定外，有如下含义：</w:t>
      </w:r>
    </w:p>
    <w:p>
      <w:pPr>
        <w:numPr>
          <w:ilvl w:val="0"/>
          <w:numId w:val="11"/>
        </w:numPr>
        <w:spacing w:line="440" w:lineRule="exact"/>
        <w:ind w:hanging="600" w:firstLineChars="0"/>
        <w:rPr>
          <w:rFonts w:ascii="宋体" w:hAnsi="宋体"/>
          <w:sz w:val="24"/>
          <w:szCs w:val="24"/>
          <w:highlight w:val="none"/>
        </w:rPr>
      </w:pPr>
      <w:r>
        <w:rPr>
          <w:rFonts w:hint="eastAsia" w:ascii="宋体" w:hAnsi="宋体"/>
          <w:sz w:val="24"/>
          <w:szCs w:val="24"/>
          <w:highlight w:val="none"/>
        </w:rPr>
        <w:t>“工程”是指江苏长江水务股份有限公司</w:t>
      </w:r>
      <w:r>
        <w:rPr>
          <w:rFonts w:ascii="宋体" w:hAnsi="宋体"/>
          <w:sz w:val="24"/>
          <w:szCs w:val="24"/>
          <w:highlight w:val="none"/>
        </w:rPr>
        <w:t>2021年电气技改项目（西湖增压站、瓜洲原水厂）设备安装采购。</w:t>
      </w:r>
    </w:p>
    <w:p>
      <w:pPr>
        <w:numPr>
          <w:ilvl w:val="0"/>
          <w:numId w:val="11"/>
        </w:numPr>
        <w:spacing w:line="440" w:lineRule="exact"/>
        <w:ind w:hanging="600" w:firstLineChars="0"/>
        <w:rPr>
          <w:rFonts w:ascii="宋体" w:hAnsi="宋体"/>
          <w:sz w:val="24"/>
          <w:szCs w:val="24"/>
          <w:highlight w:val="none"/>
        </w:rPr>
      </w:pPr>
      <w:r>
        <w:rPr>
          <w:rFonts w:hint="eastAsia" w:ascii="宋体" w:hAnsi="宋体"/>
          <w:sz w:val="24"/>
          <w:szCs w:val="24"/>
          <w:highlight w:val="none"/>
        </w:rPr>
        <w:t>“买方”指江苏长江水务股份有限公司或其合法承继者。</w:t>
      </w:r>
    </w:p>
    <w:p>
      <w:pPr>
        <w:numPr>
          <w:ilvl w:val="0"/>
          <w:numId w:val="11"/>
        </w:numPr>
        <w:spacing w:line="440" w:lineRule="exact"/>
        <w:ind w:hanging="600" w:firstLineChars="0"/>
        <w:rPr>
          <w:rFonts w:ascii="宋体" w:hAnsi="宋体"/>
          <w:sz w:val="24"/>
          <w:szCs w:val="24"/>
          <w:highlight w:val="none"/>
        </w:rPr>
      </w:pPr>
      <w:r>
        <w:rPr>
          <w:rFonts w:hint="eastAsia" w:ascii="宋体" w:hAnsi="宋体"/>
          <w:sz w:val="24"/>
          <w:szCs w:val="24"/>
          <w:highlight w:val="none"/>
        </w:rPr>
        <w:t>“卖方”是指</w:t>
      </w:r>
      <w:r>
        <w:rPr>
          <w:rFonts w:ascii="宋体" w:hAnsi="宋体"/>
          <w:sz w:val="24"/>
          <w:szCs w:val="24"/>
          <w:highlight w:val="none"/>
          <w:u w:val="single"/>
        </w:rPr>
        <w:t xml:space="preserve">             </w:t>
      </w:r>
      <w:r>
        <w:rPr>
          <w:rFonts w:hint="eastAsia" w:ascii="宋体" w:hAnsi="宋体"/>
          <w:sz w:val="24"/>
          <w:szCs w:val="24"/>
          <w:highlight w:val="none"/>
        </w:rPr>
        <w:t>公司以及其合法承继者。</w:t>
      </w:r>
    </w:p>
    <w:p>
      <w:pPr>
        <w:numPr>
          <w:ilvl w:val="0"/>
          <w:numId w:val="11"/>
        </w:numPr>
        <w:spacing w:line="440" w:lineRule="exact"/>
        <w:ind w:hanging="600" w:firstLineChars="0"/>
        <w:rPr>
          <w:rFonts w:ascii="宋体" w:hAnsi="宋体"/>
          <w:sz w:val="24"/>
          <w:szCs w:val="24"/>
          <w:highlight w:val="none"/>
        </w:rPr>
      </w:pPr>
      <w:r>
        <w:rPr>
          <w:rFonts w:hint="eastAsia" w:ascii="宋体" w:hAnsi="宋体"/>
          <w:sz w:val="24"/>
          <w:szCs w:val="24"/>
          <w:highlight w:val="none"/>
        </w:rPr>
        <w:t>“中标通知书”：指买方正式接受卖方投标的接受信。</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“不可抗力”：任何一方都不能预见、对其发生及后果不能避免并且超过合理控制范围、且不能克服的自然事件和社会事件。</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“合同价款”：指根据合同条款，用以支付卖方在全面正确地履行合同义务后卖方所应得的金额。</w:t>
      </w:r>
    </w:p>
    <w:p>
      <w:pPr>
        <w:numPr>
          <w:ilvl w:val="0"/>
          <w:numId w:val="11"/>
        </w:numPr>
        <w:spacing w:line="440" w:lineRule="exact"/>
        <w:ind w:hanging="600" w:firstLineChars="0"/>
        <w:rPr>
          <w:rFonts w:ascii="宋体" w:hAnsi="宋体"/>
          <w:sz w:val="24"/>
          <w:szCs w:val="24"/>
          <w:highlight w:val="none"/>
        </w:rPr>
      </w:pPr>
      <w:r>
        <w:rPr>
          <w:rFonts w:hint="eastAsia" w:ascii="宋体" w:hAnsi="宋体"/>
          <w:sz w:val="24"/>
          <w:szCs w:val="24"/>
          <w:highlight w:val="none"/>
        </w:rPr>
        <w:t>“一方”：指买方或卖方的任何一方。</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“服务”：系指合同规定卖方需承担的检验、运输、保险、交接验收、技术援助与保障、培训以及其它类似的在合同中所提到的卖方的义务。</w:t>
      </w:r>
    </w:p>
    <w:p>
      <w:pPr>
        <w:numPr>
          <w:ilvl w:val="0"/>
          <w:numId w:val="11"/>
        </w:numPr>
        <w:spacing w:line="440" w:lineRule="exact"/>
        <w:ind w:hanging="600" w:firstLineChars="0"/>
        <w:rPr>
          <w:rFonts w:ascii="宋体" w:hAnsi="宋体"/>
          <w:sz w:val="24"/>
          <w:szCs w:val="24"/>
          <w:highlight w:val="none"/>
        </w:rPr>
      </w:pPr>
      <w:r>
        <w:rPr>
          <w:rFonts w:hint="eastAsia" w:ascii="宋体" w:hAnsi="宋体"/>
          <w:sz w:val="24"/>
          <w:szCs w:val="24"/>
          <w:highlight w:val="none"/>
        </w:rPr>
        <w:t>“现场”系指将要进行加工或货物使用的地点。</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“技术资料”是指卖方提供的与合同设备及相关的设计、制造、监造、检验、指导安装、调试、验收、性能验收试验和技术指导等文件</w:t>
      </w:r>
      <w:r>
        <w:rPr>
          <w:rFonts w:ascii="宋体" w:hAnsi="宋体"/>
          <w:sz w:val="24"/>
          <w:szCs w:val="24"/>
          <w:highlight w:val="none"/>
        </w:rPr>
        <w:t>(包括图纸、各种文字说明、标准、各种软件)。</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“合同设备”是指卖方根据合同所供应的机器、装置、材料、物品、专用工具、备品备件等。</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“技术服务”是指由卖方提供的与本合同设备有关的工程设计、设备监造、检验、土建、指导安装、调试、验收、性能验收试验、运行、检修时相应的技术指导、技术配合、技术培训等全过程的服务。</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“验收”系指买方依据技术规格书规定接受所供货物应依据的程序和检验。</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“日、月、年”是指公历的日、月、年；“天”是指</w:t>
      </w:r>
      <w:r>
        <w:rPr>
          <w:rFonts w:ascii="宋体" w:hAnsi="宋体"/>
          <w:sz w:val="24"/>
          <w:szCs w:val="24"/>
          <w:highlight w:val="none"/>
        </w:rPr>
        <w:t>24小时；“周”是指7天。</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“备品备件”是指根据本合同提供的随机备用部件。</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“设备缺陷”是指卖方因设计、制造错误或疏忽所引起的本合同设备（包括部件、原材料、铸锻件、原器件等）达不到本合同及技术附件规定的性能、质量标准要求的情形。</w:t>
      </w:r>
    </w:p>
    <w:p>
      <w:pPr>
        <w:numPr>
          <w:ilvl w:val="0"/>
          <w:numId w:val="11"/>
        </w:numPr>
        <w:tabs>
          <w:tab w:val="left" w:pos="54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“初步性能验收”是指当性能验收试验的结果表明已达到了合同附件技术规格书规定的保证值后，买方对合同设备的验收。</w:t>
      </w:r>
    </w:p>
    <w:p>
      <w:pPr>
        <w:numPr>
          <w:ilvl w:val="0"/>
          <w:numId w:val="11"/>
        </w:numPr>
        <w:spacing w:line="440" w:lineRule="exact"/>
        <w:ind w:hanging="600" w:firstLineChars="0"/>
        <w:rPr>
          <w:rFonts w:ascii="宋体" w:hAnsi="宋体"/>
          <w:sz w:val="24"/>
          <w:szCs w:val="24"/>
          <w:highlight w:val="none"/>
        </w:rPr>
      </w:pPr>
      <w:r>
        <w:rPr>
          <w:rFonts w:hint="eastAsia" w:ascii="宋体" w:hAnsi="宋体"/>
          <w:sz w:val="24"/>
          <w:szCs w:val="24"/>
          <w:highlight w:val="none"/>
        </w:rPr>
        <w:t>“最终性能验收”是指买方对每一合同设备质量保证期满后的验收。</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第二条　合同条件的构成及解释顺序</w:t>
      </w:r>
    </w:p>
    <w:p>
      <w:pPr>
        <w:spacing w:line="440" w:lineRule="exact"/>
        <w:ind w:firstLine="570" w:firstLineChars="0"/>
        <w:rPr>
          <w:rFonts w:ascii="宋体" w:hAnsi="宋体"/>
          <w:sz w:val="24"/>
          <w:szCs w:val="24"/>
          <w:highlight w:val="none"/>
        </w:rPr>
      </w:pPr>
      <w:r>
        <w:rPr>
          <w:rFonts w:hint="eastAsia" w:ascii="宋体" w:hAnsi="宋体"/>
          <w:sz w:val="24"/>
          <w:szCs w:val="24"/>
          <w:highlight w:val="none"/>
        </w:rPr>
        <w:t>合同文件应能互相解释，互为说明。除合同另有约定外，其组成和解释顺序如下：</w:t>
      </w:r>
    </w:p>
    <w:p>
      <w:pPr>
        <w:numPr>
          <w:ilvl w:val="0"/>
          <w:numId w:val="12"/>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双方协商同意的对本合同的变更、补充协议等正式书面文件；</w:t>
      </w:r>
    </w:p>
    <w:p>
      <w:pPr>
        <w:numPr>
          <w:ilvl w:val="0"/>
          <w:numId w:val="12"/>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本合同；</w:t>
      </w:r>
    </w:p>
    <w:p>
      <w:pPr>
        <w:numPr>
          <w:ilvl w:val="0"/>
          <w:numId w:val="12"/>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中标通知书；</w:t>
      </w:r>
    </w:p>
    <w:p>
      <w:pPr>
        <w:numPr>
          <w:ilvl w:val="0"/>
          <w:numId w:val="12"/>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投标文件；</w:t>
      </w:r>
    </w:p>
    <w:p>
      <w:pPr>
        <w:numPr>
          <w:ilvl w:val="0"/>
          <w:numId w:val="12"/>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买方提供的工程技术资料和技术要求；</w:t>
      </w:r>
    </w:p>
    <w:p>
      <w:pPr>
        <w:numPr>
          <w:ilvl w:val="0"/>
          <w:numId w:val="12"/>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卖方提供的技术资料；</w:t>
      </w:r>
    </w:p>
    <w:p>
      <w:pPr>
        <w:numPr>
          <w:ilvl w:val="0"/>
          <w:numId w:val="12"/>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招标文件；</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当合同文件出现含糊不清或不相一致，并按上述规定不能解决时，由双方协商解决；双方经协商不能达成一致的，按本合同第二十六条约定的办法解决。</w:t>
      </w:r>
    </w:p>
    <w:p>
      <w:pPr>
        <w:spacing w:line="440" w:lineRule="exact"/>
        <w:ind w:firstLine="570" w:firstLineChars="0"/>
        <w:rPr>
          <w:rFonts w:ascii="宋体" w:hAnsi="宋体"/>
          <w:sz w:val="24"/>
          <w:szCs w:val="24"/>
          <w:highlight w:val="none"/>
        </w:rPr>
      </w:pPr>
    </w:p>
    <w:p>
      <w:pPr>
        <w:spacing w:line="440" w:lineRule="exact"/>
        <w:ind w:left="540" w:leftChars="257" w:firstLine="30" w:firstLineChars="0"/>
        <w:rPr>
          <w:rFonts w:ascii="宋体" w:hAnsi="宋体"/>
          <w:b/>
          <w:sz w:val="24"/>
          <w:szCs w:val="24"/>
          <w:highlight w:val="none"/>
        </w:rPr>
      </w:pPr>
      <w:r>
        <w:rPr>
          <w:rFonts w:hint="eastAsia" w:ascii="宋体" w:hAnsi="宋体"/>
          <w:b/>
          <w:sz w:val="24"/>
          <w:szCs w:val="24"/>
          <w:highlight w:val="none"/>
        </w:rPr>
        <w:t>第三条</w:t>
      </w:r>
      <w:r>
        <w:rPr>
          <w:rFonts w:ascii="宋体" w:hAnsi="宋体"/>
          <w:b/>
          <w:sz w:val="24"/>
          <w:szCs w:val="24"/>
          <w:highlight w:val="none"/>
        </w:rPr>
        <w:t xml:space="preserve"> </w:t>
      </w:r>
      <w:r>
        <w:rPr>
          <w:rFonts w:hint="eastAsia" w:ascii="宋体" w:hAnsi="宋体"/>
          <w:b/>
          <w:sz w:val="24"/>
          <w:szCs w:val="24"/>
          <w:highlight w:val="none"/>
        </w:rPr>
        <w:t>适用的法律</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本合同适用的法律是指中华人民共和国的法律、行政法规，以及双方议定的部门规章或工程所在地的地方法规、地方规章。</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本合同文件使用中文书写、解释和说明。除技术规格书中另有规定外，计量单位均使用国际单位制。</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第四条</w:t>
      </w:r>
      <w:r>
        <w:rPr>
          <w:rFonts w:ascii="宋体" w:hAnsi="宋体"/>
          <w:b/>
          <w:sz w:val="24"/>
          <w:szCs w:val="24"/>
          <w:highlight w:val="none"/>
        </w:rPr>
        <w:t xml:space="preserve"> </w:t>
      </w:r>
      <w:r>
        <w:rPr>
          <w:rFonts w:hint="eastAsia" w:ascii="宋体" w:hAnsi="宋体"/>
          <w:b/>
          <w:sz w:val="24"/>
          <w:szCs w:val="24"/>
          <w:highlight w:val="none"/>
        </w:rPr>
        <w:t>合同标的</w:t>
      </w:r>
    </w:p>
    <w:p>
      <w:pPr>
        <w:numPr>
          <w:ilvl w:val="0"/>
          <w:numId w:val="13"/>
        </w:numPr>
        <w:tabs>
          <w:tab w:val="left" w:pos="900"/>
          <w:tab w:val="left" w:pos="1440"/>
          <w:tab w:val="clear" w:pos="1080"/>
        </w:tabs>
        <w:spacing w:line="440" w:lineRule="exact"/>
        <w:ind w:hanging="540" w:firstLineChars="0"/>
        <w:rPr>
          <w:rFonts w:ascii="宋体" w:hAnsi="宋体"/>
          <w:sz w:val="24"/>
          <w:szCs w:val="24"/>
          <w:highlight w:val="none"/>
        </w:rPr>
      </w:pPr>
      <w:r>
        <w:rPr>
          <w:rFonts w:hint="eastAsia" w:ascii="宋体" w:hAnsi="宋体"/>
          <w:sz w:val="24"/>
          <w:szCs w:val="24"/>
          <w:highlight w:val="none"/>
        </w:rPr>
        <w:t>设备名称、规格</w:t>
      </w:r>
      <w:r>
        <w:rPr>
          <w:rFonts w:ascii="宋体" w:hAnsi="宋体"/>
          <w:sz w:val="24"/>
          <w:szCs w:val="24"/>
          <w:highlight w:val="none"/>
        </w:rPr>
        <w:t>(型号)、数量</w:t>
      </w:r>
    </w:p>
    <w:p>
      <w:pPr>
        <w:tabs>
          <w:tab w:val="left" w:pos="900"/>
        </w:tabs>
        <w:spacing w:line="440" w:lineRule="exact"/>
        <w:ind w:left="2485" w:leftChars="429" w:hanging="1584" w:hangingChars="660"/>
        <w:rPr>
          <w:rFonts w:ascii="宋体" w:hAnsi="宋体"/>
          <w:sz w:val="24"/>
          <w:szCs w:val="24"/>
          <w:highlight w:val="none"/>
        </w:rPr>
      </w:pPr>
      <w:r>
        <w:rPr>
          <w:rFonts w:hint="eastAsia" w:ascii="宋体" w:hAnsi="宋体"/>
          <w:sz w:val="24"/>
          <w:szCs w:val="24"/>
          <w:highlight w:val="none"/>
        </w:rPr>
        <w:t>设备名称：</w:t>
      </w:r>
      <w:r>
        <w:rPr>
          <w:rFonts w:ascii="宋体" w:hAnsi="宋体"/>
          <w:sz w:val="24"/>
          <w:szCs w:val="24"/>
          <w:highlight w:val="none"/>
        </w:rPr>
        <w:t xml:space="preserve">                        </w:t>
      </w:r>
    </w:p>
    <w:p>
      <w:pPr>
        <w:tabs>
          <w:tab w:val="left" w:pos="900"/>
        </w:tabs>
        <w:spacing w:line="440" w:lineRule="exact"/>
        <w:ind w:left="2485" w:leftChars="429" w:hanging="1584" w:hangingChars="660"/>
        <w:rPr>
          <w:rFonts w:ascii="宋体" w:hAnsi="宋体"/>
          <w:sz w:val="24"/>
          <w:szCs w:val="24"/>
          <w:highlight w:val="none"/>
        </w:rPr>
      </w:pPr>
      <w:r>
        <w:rPr>
          <w:rFonts w:hint="eastAsia" w:ascii="宋体" w:hAnsi="宋体"/>
          <w:sz w:val="24"/>
          <w:szCs w:val="24"/>
          <w:highlight w:val="none"/>
        </w:rPr>
        <w:t>设备规格</w:t>
      </w:r>
      <w:r>
        <w:rPr>
          <w:rFonts w:ascii="宋体" w:hAnsi="宋体"/>
          <w:sz w:val="24"/>
          <w:szCs w:val="24"/>
          <w:highlight w:val="none"/>
        </w:rPr>
        <w:t>(型号)及数量：。</w:t>
      </w:r>
    </w:p>
    <w:p>
      <w:pPr>
        <w:numPr>
          <w:ilvl w:val="0"/>
          <w:numId w:val="13"/>
        </w:numPr>
        <w:tabs>
          <w:tab w:val="left" w:pos="900"/>
          <w:tab w:val="left" w:pos="1440"/>
          <w:tab w:val="clear" w:pos="1080"/>
        </w:tabs>
        <w:spacing w:line="440" w:lineRule="exact"/>
        <w:ind w:left="900" w:firstLine="0" w:firstLineChars="0"/>
        <w:rPr>
          <w:rFonts w:ascii="宋体" w:hAnsi="宋体"/>
          <w:sz w:val="24"/>
          <w:szCs w:val="24"/>
          <w:highlight w:val="none"/>
        </w:rPr>
      </w:pPr>
      <w:r>
        <w:rPr>
          <w:rFonts w:hint="eastAsia" w:ascii="宋体" w:hAnsi="宋体"/>
          <w:sz w:val="24"/>
          <w:szCs w:val="24"/>
          <w:highlight w:val="none"/>
        </w:rPr>
        <w:t>凡卖方供应的设备应是全新的、安全的、经济的、技术先进并且是成熟可靠的。</w:t>
      </w:r>
    </w:p>
    <w:p>
      <w:pPr>
        <w:numPr>
          <w:ilvl w:val="0"/>
          <w:numId w:val="13"/>
        </w:numPr>
        <w:tabs>
          <w:tab w:val="left" w:pos="900"/>
          <w:tab w:val="left" w:pos="1440"/>
          <w:tab w:val="clear" w:pos="1080"/>
        </w:tabs>
        <w:spacing w:line="440" w:lineRule="exact"/>
        <w:ind w:left="900" w:firstLine="0" w:firstLineChars="0"/>
        <w:rPr>
          <w:rFonts w:ascii="宋体" w:hAnsi="宋体"/>
          <w:sz w:val="24"/>
          <w:szCs w:val="24"/>
          <w:highlight w:val="none"/>
        </w:rPr>
      </w:pPr>
      <w:r>
        <w:rPr>
          <w:rFonts w:hint="eastAsia" w:ascii="宋体" w:hAnsi="宋体"/>
          <w:sz w:val="24"/>
          <w:szCs w:val="24"/>
          <w:highlight w:val="none"/>
        </w:rPr>
        <w:t>设备的技术规范、技术经济指标和性能、合同设备的供货范围、卖方提供的技术资料和技术服务。</w:t>
      </w:r>
    </w:p>
    <w:p>
      <w:pPr>
        <w:numPr>
          <w:ilvl w:val="0"/>
          <w:numId w:val="13"/>
        </w:numPr>
        <w:tabs>
          <w:tab w:val="left" w:pos="900"/>
          <w:tab w:val="left" w:pos="1440"/>
          <w:tab w:val="clear" w:pos="1080"/>
        </w:tabs>
        <w:spacing w:line="440" w:lineRule="exact"/>
        <w:ind w:hanging="540" w:firstLineChars="0"/>
        <w:rPr>
          <w:rFonts w:ascii="宋体" w:hAnsi="宋体"/>
          <w:sz w:val="24"/>
          <w:szCs w:val="24"/>
          <w:highlight w:val="none"/>
        </w:rPr>
      </w:pPr>
      <w:r>
        <w:rPr>
          <w:rFonts w:ascii="宋体" w:hAnsi="宋体"/>
          <w:sz w:val="24"/>
          <w:szCs w:val="24"/>
          <w:highlight w:val="none"/>
        </w:rPr>
        <w:t xml:space="preserve"> 买方有权对采购设备的数量在一定范围内调整，单价仍按投标时的价格。</w:t>
      </w:r>
    </w:p>
    <w:p>
      <w:pPr>
        <w:numPr>
          <w:ilvl w:val="0"/>
          <w:numId w:val="13"/>
        </w:numPr>
        <w:tabs>
          <w:tab w:val="left" w:pos="900"/>
          <w:tab w:val="left" w:pos="1440"/>
          <w:tab w:val="clear" w:pos="1080"/>
        </w:tabs>
        <w:spacing w:line="440" w:lineRule="exact"/>
        <w:ind w:hanging="540" w:firstLineChars="0"/>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由卖方负责拆除原有设备并安装新购设备及协调有关供电事宜直至所安装设备能达到安全生产要求，具备验收条件时应及时通知买方组织验收。所需费用包含在合同标的之内，不再单独报价。</w:t>
      </w:r>
    </w:p>
    <w:p>
      <w:pPr>
        <w:spacing w:line="440" w:lineRule="exact"/>
        <w:ind w:firstLine="570" w:firstLineChars="0"/>
        <w:rPr>
          <w:rFonts w:ascii="宋体" w:hAnsi="宋体"/>
          <w:sz w:val="24"/>
          <w:szCs w:val="24"/>
          <w:highlight w:val="none"/>
        </w:rPr>
      </w:pPr>
    </w:p>
    <w:p>
      <w:pPr>
        <w:spacing w:line="440" w:lineRule="exact"/>
        <w:ind w:left="540" w:leftChars="257" w:firstLine="30" w:firstLineChars="0"/>
        <w:rPr>
          <w:rFonts w:ascii="宋体" w:hAnsi="宋体"/>
          <w:sz w:val="24"/>
          <w:szCs w:val="24"/>
          <w:highlight w:val="none"/>
        </w:rPr>
      </w:pPr>
      <w:r>
        <w:rPr>
          <w:rFonts w:hint="eastAsia" w:ascii="宋体" w:hAnsi="宋体"/>
          <w:b/>
          <w:sz w:val="24"/>
          <w:szCs w:val="24"/>
          <w:highlight w:val="none"/>
        </w:rPr>
        <w:t>第五条</w:t>
      </w:r>
      <w:r>
        <w:rPr>
          <w:rFonts w:ascii="宋体" w:hAnsi="宋体"/>
          <w:b/>
          <w:sz w:val="24"/>
          <w:szCs w:val="24"/>
          <w:highlight w:val="none"/>
        </w:rPr>
        <w:t xml:space="preserve"> </w:t>
      </w:r>
      <w:r>
        <w:rPr>
          <w:rFonts w:hint="eastAsia" w:ascii="宋体" w:hAnsi="宋体"/>
          <w:b/>
          <w:sz w:val="24"/>
          <w:szCs w:val="24"/>
          <w:highlight w:val="none"/>
        </w:rPr>
        <w:t>供货范围</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本合同的供货范围包括了所有设备、技术资料、专用工具、备品备件、人员培训及技术协调、技术服务及安装技术指导，但在执行合同过程中如发现有任何漏项和短缺，在发货清单中并未列入而且确实是卖方供货范围中应该有的，并且是满足技术规格书对合同设备的性能保证值要求所必须的，均应由卖方负责将所缺的设备、技术资料、专用工具、备品备件、人员培训及技术协调、技术服务及技术指导等补上，发生的费用由卖方承担。</w:t>
      </w:r>
    </w:p>
    <w:p>
      <w:pPr>
        <w:spacing w:line="440" w:lineRule="exact"/>
        <w:ind w:left="540" w:leftChars="257" w:firstLine="3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第六条</w:t>
      </w:r>
      <w:r>
        <w:rPr>
          <w:rFonts w:ascii="宋体" w:hAnsi="宋体"/>
          <w:b/>
          <w:sz w:val="24"/>
          <w:szCs w:val="24"/>
          <w:highlight w:val="none"/>
        </w:rPr>
        <w:t xml:space="preserve">  </w:t>
      </w:r>
      <w:r>
        <w:rPr>
          <w:rFonts w:hint="eastAsia" w:ascii="宋体" w:hAnsi="宋体"/>
          <w:b/>
          <w:sz w:val="24"/>
          <w:szCs w:val="24"/>
          <w:highlight w:val="none"/>
        </w:rPr>
        <w:t>包装</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除非本合同另有规定外，卖方提供所有货物的包装应符合技术规格书及货物承运部门的有关规定，采用良好的防湿、防潮、防震和防野蛮装卸等保护措施，以确保货物安全运抵现场而不使货物受损。如果由于包装不妥或不合理而引起货物损坏和丢失的责任，卖方应按本合同第十五条的规定承担更换或赔偿的责任。如果因此造成整个工程损失的，卖方应此类损失承担赔偿责任。</w:t>
      </w:r>
    </w:p>
    <w:p>
      <w:pPr>
        <w:numPr>
          <w:ilvl w:val="0"/>
          <w:numId w:val="14"/>
        </w:numPr>
        <w:tabs>
          <w:tab w:val="left" w:pos="1440"/>
        </w:tabs>
        <w:spacing w:line="440" w:lineRule="exact"/>
        <w:ind w:firstLineChars="0"/>
        <w:rPr>
          <w:rFonts w:ascii="宋体" w:hAnsi="宋体"/>
          <w:sz w:val="24"/>
          <w:szCs w:val="24"/>
          <w:highlight w:val="none"/>
        </w:rPr>
      </w:pPr>
      <w:r>
        <w:rPr>
          <w:rFonts w:hint="eastAsia" w:ascii="宋体" w:hAnsi="宋体"/>
          <w:sz w:val="24"/>
          <w:szCs w:val="24"/>
          <w:highlight w:val="none"/>
        </w:rPr>
        <w:t>卖方应提供四套详细装箱单和质量证书，其中一套随车发送，两套在货物备妥及运输工具发出</w:t>
      </w:r>
      <w:r>
        <w:rPr>
          <w:rFonts w:ascii="宋体" w:hAnsi="宋体"/>
          <w:sz w:val="24"/>
          <w:szCs w:val="24"/>
          <w:highlight w:val="none"/>
        </w:rPr>
        <w:t>24小时内用特快专递寄送给买方，一套随发票结算。随发票结算的一套应标明货物的单价和总价。</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装箱单因包括如下内容：</w:t>
      </w:r>
    </w:p>
    <w:p>
      <w:pPr>
        <w:numPr>
          <w:ilvl w:val="0"/>
          <w:numId w:val="15"/>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合同号；</w:t>
      </w:r>
    </w:p>
    <w:p>
      <w:pPr>
        <w:numPr>
          <w:ilvl w:val="0"/>
          <w:numId w:val="15"/>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设备号；</w:t>
      </w:r>
    </w:p>
    <w:p>
      <w:pPr>
        <w:numPr>
          <w:ilvl w:val="0"/>
          <w:numId w:val="15"/>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货物备妥发运日；</w:t>
      </w:r>
    </w:p>
    <w:p>
      <w:pPr>
        <w:numPr>
          <w:ilvl w:val="0"/>
          <w:numId w:val="15"/>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货物名称及编号；</w:t>
      </w:r>
    </w:p>
    <w:p>
      <w:pPr>
        <w:numPr>
          <w:ilvl w:val="0"/>
          <w:numId w:val="15"/>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货物总毛重；</w:t>
      </w:r>
    </w:p>
    <w:p>
      <w:pPr>
        <w:numPr>
          <w:ilvl w:val="0"/>
          <w:numId w:val="15"/>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货物总体积；</w:t>
      </w:r>
    </w:p>
    <w:p>
      <w:pPr>
        <w:numPr>
          <w:ilvl w:val="0"/>
          <w:numId w:val="15"/>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总包装件数；</w:t>
      </w:r>
    </w:p>
    <w:p>
      <w:pPr>
        <w:numPr>
          <w:ilvl w:val="0"/>
          <w:numId w:val="15"/>
        </w:numPr>
        <w:tabs>
          <w:tab w:val="left" w:pos="1440"/>
          <w:tab w:val="clear" w:pos="1140"/>
        </w:tabs>
        <w:spacing w:line="440" w:lineRule="exact"/>
        <w:ind w:left="1440" w:hanging="720" w:firstLineChars="0"/>
        <w:rPr>
          <w:rFonts w:ascii="宋体" w:hAnsi="宋体"/>
          <w:sz w:val="24"/>
          <w:szCs w:val="24"/>
          <w:highlight w:val="none"/>
        </w:rPr>
      </w:pPr>
      <w:r>
        <w:rPr>
          <w:rFonts w:hint="eastAsia" w:ascii="宋体" w:hAnsi="宋体"/>
          <w:sz w:val="24"/>
          <w:szCs w:val="24"/>
          <w:highlight w:val="none"/>
        </w:rPr>
        <w:t>重量超过二吨（包括二吨）或尺寸超过</w:t>
      </w:r>
      <w:r>
        <w:rPr>
          <w:rFonts w:ascii="宋体" w:hAnsi="宋体"/>
          <w:sz w:val="24"/>
          <w:szCs w:val="24"/>
          <w:highlight w:val="none"/>
        </w:rPr>
        <w:t>9米×3米×3米的每件货物的名称、重量、体积和件数。对每件该类设备(部件)必须标明重心和吊点位置，并附有草图。</w:t>
      </w:r>
    </w:p>
    <w:p>
      <w:pPr>
        <w:numPr>
          <w:ilvl w:val="0"/>
          <w:numId w:val="15"/>
        </w:numPr>
        <w:tabs>
          <w:tab w:val="left" w:pos="1440"/>
          <w:tab w:val="clear" w:pos="1140"/>
        </w:tabs>
        <w:spacing w:line="440" w:lineRule="exact"/>
        <w:ind w:left="1440" w:hanging="720" w:firstLineChars="0"/>
        <w:rPr>
          <w:rFonts w:ascii="宋体" w:hAnsi="宋体"/>
          <w:sz w:val="24"/>
          <w:szCs w:val="24"/>
          <w:highlight w:val="none"/>
        </w:rPr>
      </w:pPr>
      <w:r>
        <w:rPr>
          <w:rFonts w:hint="eastAsia" w:ascii="宋体" w:hAnsi="宋体"/>
          <w:sz w:val="24"/>
          <w:szCs w:val="24"/>
          <w:highlight w:val="none"/>
        </w:rPr>
        <w:t>对于特殊物品</w:t>
      </w:r>
      <w:r>
        <w:rPr>
          <w:rFonts w:ascii="宋体" w:hAnsi="宋体"/>
          <w:sz w:val="24"/>
          <w:szCs w:val="24"/>
          <w:highlight w:val="none"/>
        </w:rPr>
        <w:t>(易燃、易爆、有毒物品及</w:t>
      </w:r>
      <w:r>
        <w:rPr>
          <w:rFonts w:hint="eastAsia" w:ascii="宋体" w:hAnsi="宋体"/>
          <w:sz w:val="24"/>
          <w:szCs w:val="24"/>
          <w:highlight w:val="none"/>
        </w:rPr>
        <w:t>其它危险品和运输过程中对温度等环境因素和震动有特殊要求的设备或物品</w:t>
      </w:r>
      <w:r>
        <w:rPr>
          <w:rFonts w:ascii="宋体" w:hAnsi="宋体"/>
          <w:sz w:val="24"/>
          <w:szCs w:val="24"/>
          <w:highlight w:val="none"/>
        </w:rPr>
        <w:t>)必须特别标明其品名、性质、特殊保护措施、保存方法以及处理意外情况的方法。</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对裸装货物应以金属标签</w:t>
      </w:r>
      <w:r>
        <w:rPr>
          <w:rFonts w:ascii="宋体" w:hAnsi="宋体"/>
          <w:sz w:val="24"/>
          <w:szCs w:val="24"/>
          <w:highlight w:val="none"/>
        </w:rPr>
        <w:t>(金属铭牌)或在设备本身上注明内容上述有关内容。大件货物应带有足够的货物支架或包装垫木。</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备品备件、专用工具应按设备分别包装，并在包装箱外按</w:t>
      </w:r>
      <w:r>
        <w:rPr>
          <w:rFonts w:ascii="宋体" w:hAnsi="宋体"/>
          <w:sz w:val="24"/>
          <w:szCs w:val="24"/>
          <w:highlight w:val="none"/>
        </w:rPr>
        <w:t>7.2条注明内容，并标明“备品配件”或“专用工具”的字样，一次性发货。</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所有设备的端口必须用保护盖或其它方式妥善防护。</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卖方不得用同一箱号标明任何两个箱件，包装箱应连续编号，而且在全部装运的过程中，装箱编号的顺序始终是连贯的。</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对于需要保证精确装配的明亮洁净加工面的货物，加工面应采用优良，耐久的保护层</w:t>
      </w:r>
      <w:r>
        <w:rPr>
          <w:rFonts w:ascii="宋体" w:hAnsi="宋体"/>
          <w:sz w:val="24"/>
          <w:szCs w:val="24"/>
          <w:highlight w:val="none"/>
        </w:rPr>
        <w:t>(不得用油漆)以防止在安装前发生锈蚀和损坏。</w:t>
      </w:r>
    </w:p>
    <w:p>
      <w:pPr>
        <w:numPr>
          <w:ilvl w:val="0"/>
          <w:numId w:val="14"/>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卖方交付的技术资料应使用适合于长途运输、多次搬运、防雨和防潮的包装，并应防止潮气和海水的侵蚀。每包技术资料的封面上应注明下述内容：</w:t>
      </w:r>
    </w:p>
    <w:p>
      <w:pPr>
        <w:numPr>
          <w:ilvl w:val="0"/>
          <w:numId w:val="16"/>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合同号；</w:t>
      </w:r>
    </w:p>
    <w:p>
      <w:pPr>
        <w:numPr>
          <w:ilvl w:val="0"/>
          <w:numId w:val="16"/>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供货、收货单位名称；</w:t>
      </w:r>
    </w:p>
    <w:p>
      <w:pPr>
        <w:numPr>
          <w:ilvl w:val="0"/>
          <w:numId w:val="16"/>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目的地；</w:t>
      </w:r>
    </w:p>
    <w:p>
      <w:pPr>
        <w:numPr>
          <w:ilvl w:val="0"/>
          <w:numId w:val="16"/>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毛重；</w:t>
      </w:r>
    </w:p>
    <w:p>
      <w:pPr>
        <w:numPr>
          <w:ilvl w:val="0"/>
          <w:numId w:val="16"/>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箱号</w:t>
      </w:r>
      <w:r>
        <w:rPr>
          <w:rFonts w:ascii="宋体" w:hAnsi="宋体"/>
          <w:sz w:val="24"/>
          <w:szCs w:val="24"/>
          <w:highlight w:val="none"/>
        </w:rPr>
        <w:t>/件号。</w:t>
      </w:r>
    </w:p>
    <w:p>
      <w:pPr>
        <w:spacing w:line="440" w:lineRule="exact"/>
        <w:ind w:firstLine="570" w:firstLineChars="0"/>
        <w:rPr>
          <w:rFonts w:ascii="宋体" w:hAnsi="宋体"/>
          <w:sz w:val="24"/>
          <w:szCs w:val="24"/>
          <w:highlight w:val="none"/>
        </w:rPr>
      </w:pPr>
      <w:r>
        <w:rPr>
          <w:rFonts w:hint="eastAsia" w:ascii="宋体" w:hAnsi="宋体"/>
          <w:sz w:val="24"/>
          <w:szCs w:val="24"/>
          <w:highlight w:val="none"/>
        </w:rPr>
        <w:t>每一包资料内应附有技术资料的详细清单一式二份，标明技术资料的序号、文件项号、名称和页数。</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第七条</w:t>
      </w:r>
      <w:r>
        <w:rPr>
          <w:rFonts w:ascii="宋体" w:hAnsi="宋体"/>
          <w:b/>
          <w:sz w:val="24"/>
          <w:szCs w:val="24"/>
          <w:highlight w:val="none"/>
        </w:rPr>
        <w:t xml:space="preserve">  </w:t>
      </w:r>
      <w:r>
        <w:rPr>
          <w:rFonts w:hint="eastAsia" w:ascii="宋体" w:hAnsi="宋体"/>
          <w:b/>
          <w:sz w:val="24"/>
          <w:szCs w:val="24"/>
          <w:highlight w:val="none"/>
        </w:rPr>
        <w:t>标记</w:t>
      </w:r>
    </w:p>
    <w:p>
      <w:pPr>
        <w:numPr>
          <w:ilvl w:val="0"/>
          <w:numId w:val="17"/>
        </w:numPr>
        <w:tabs>
          <w:tab w:val="left" w:pos="900"/>
          <w:tab w:val="left" w:pos="1440"/>
          <w:tab w:val="clear" w:pos="1080"/>
        </w:tabs>
        <w:spacing w:line="440" w:lineRule="exact"/>
        <w:ind w:left="900" w:firstLine="0" w:firstLineChars="0"/>
        <w:rPr>
          <w:rFonts w:ascii="宋体" w:hAnsi="宋体"/>
          <w:sz w:val="24"/>
          <w:szCs w:val="24"/>
          <w:highlight w:val="none"/>
        </w:rPr>
      </w:pPr>
      <w:r>
        <w:rPr>
          <w:rFonts w:hint="eastAsia" w:ascii="宋体" w:hAnsi="宋体"/>
          <w:sz w:val="24"/>
          <w:szCs w:val="24"/>
          <w:highlight w:val="none"/>
        </w:rPr>
        <w:t>合同设备的喷漆、标识、验收文件和运输应符合本合同附件技术规范书所列的各项要求。</w:t>
      </w:r>
    </w:p>
    <w:p>
      <w:pPr>
        <w:numPr>
          <w:ilvl w:val="0"/>
          <w:numId w:val="17"/>
        </w:numPr>
        <w:tabs>
          <w:tab w:val="left" w:pos="900"/>
          <w:tab w:val="left" w:pos="1440"/>
          <w:tab w:val="clear" w:pos="1080"/>
        </w:tabs>
        <w:spacing w:line="440" w:lineRule="exact"/>
        <w:ind w:left="900" w:firstLine="0" w:firstLineChars="0"/>
        <w:rPr>
          <w:rFonts w:ascii="宋体" w:hAnsi="宋体"/>
          <w:sz w:val="24"/>
          <w:szCs w:val="24"/>
          <w:highlight w:val="none"/>
        </w:rPr>
      </w:pPr>
      <w:r>
        <w:rPr>
          <w:rFonts w:hint="eastAsia" w:ascii="宋体" w:hAnsi="宋体"/>
          <w:sz w:val="24"/>
          <w:szCs w:val="24"/>
          <w:highlight w:val="none"/>
        </w:rPr>
        <w:t>合同设备若有外包装，卖方应在每件外包装上以醒目的方式用中文印刷字样标明以下各项：</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制造厂名称和产品商标，设备名称；</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毛重／净重（</w:t>
      </w:r>
      <w:r>
        <w:rPr>
          <w:rFonts w:ascii="宋体" w:hAnsi="宋体"/>
          <w:sz w:val="24"/>
          <w:szCs w:val="24"/>
          <w:highlight w:val="none"/>
        </w:rPr>
        <w:t>Kg）；体积(长×宽×高，以毫米表示)；</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制造时间</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出厂检验合格标志</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表示储运安全的其它标志</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项目名称</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联系方式</w:t>
      </w:r>
    </w:p>
    <w:p>
      <w:pPr>
        <w:numPr>
          <w:ilvl w:val="1"/>
          <w:numId w:val="18"/>
        </w:numPr>
        <w:spacing w:line="440" w:lineRule="exact"/>
        <w:ind w:firstLine="0" w:firstLineChars="0"/>
        <w:rPr>
          <w:rFonts w:ascii="宋体" w:hAnsi="宋体"/>
          <w:sz w:val="24"/>
          <w:szCs w:val="24"/>
          <w:highlight w:val="none"/>
        </w:rPr>
      </w:pPr>
      <w:r>
        <w:rPr>
          <w:rFonts w:hint="eastAsia" w:ascii="宋体" w:hAnsi="宋体"/>
          <w:sz w:val="24"/>
          <w:szCs w:val="24"/>
          <w:highlight w:val="none"/>
        </w:rPr>
        <w:t>箱号</w:t>
      </w:r>
      <w:r>
        <w:rPr>
          <w:rFonts w:ascii="宋体" w:hAnsi="宋体"/>
          <w:sz w:val="24"/>
          <w:szCs w:val="24"/>
          <w:highlight w:val="none"/>
        </w:rPr>
        <w:t>/件号；</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凡重量为二吨或超过二吨的货物，应在包装箱的侧面以运输常用的标记和图案标明重心位置及起吊点，以便于装卸和搬运。</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应按照设备各特性和不同的运输及装卸要求，在箱上明显位置标上“小心”“向上”、“防潮”、“勿倒”、“怕热”、“远离放射源及热源”、“由此起吊”、“重心点”、“堆码重量极限”、“堆码层数极限”、“温度极限”等通用标志。</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第八条</w:t>
      </w:r>
      <w:r>
        <w:rPr>
          <w:rFonts w:ascii="宋体" w:hAnsi="宋体"/>
          <w:b/>
          <w:sz w:val="24"/>
          <w:szCs w:val="24"/>
          <w:highlight w:val="none"/>
        </w:rPr>
        <w:t xml:space="preserve">  </w:t>
      </w:r>
      <w:r>
        <w:rPr>
          <w:rFonts w:hint="eastAsia" w:ascii="宋体" w:hAnsi="宋体"/>
          <w:b/>
          <w:sz w:val="24"/>
          <w:szCs w:val="24"/>
          <w:highlight w:val="none"/>
        </w:rPr>
        <w:t>交货和运输</w:t>
      </w:r>
    </w:p>
    <w:p>
      <w:pPr>
        <w:numPr>
          <w:ilvl w:val="0"/>
          <w:numId w:val="19"/>
        </w:numPr>
        <w:tabs>
          <w:tab w:val="left" w:pos="1440"/>
        </w:tabs>
        <w:spacing w:line="440" w:lineRule="exact"/>
        <w:ind w:firstLineChars="0"/>
        <w:rPr>
          <w:rFonts w:ascii="宋体" w:hAnsi="宋体"/>
          <w:sz w:val="24"/>
          <w:szCs w:val="24"/>
          <w:highlight w:val="none"/>
        </w:rPr>
      </w:pPr>
      <w:r>
        <w:rPr>
          <w:rFonts w:ascii="宋体" w:hAnsi="宋体"/>
          <w:sz w:val="24"/>
          <w:szCs w:val="24"/>
          <w:highlight w:val="none"/>
        </w:rPr>
        <w:t xml:space="preserve"> </w:t>
      </w:r>
      <w:r>
        <w:rPr>
          <w:rFonts w:hint="eastAsia" w:ascii="宋体" w:hAnsi="宋体"/>
          <w:b/>
          <w:sz w:val="24"/>
          <w:szCs w:val="24"/>
          <w:highlight w:val="none"/>
        </w:rPr>
        <w:t>交货期：合同签订后</w:t>
      </w:r>
      <w:r>
        <w:rPr>
          <w:rFonts w:ascii="宋体" w:hAnsi="宋体"/>
          <w:b/>
          <w:sz w:val="24"/>
          <w:szCs w:val="24"/>
          <w:highlight w:val="none"/>
        </w:rPr>
        <w:t>45天内货到用户指定地点</w:t>
      </w:r>
      <w:r>
        <w:rPr>
          <w:rFonts w:hint="eastAsia" w:ascii="宋体" w:hAnsi="宋体"/>
          <w:sz w:val="24"/>
          <w:szCs w:val="24"/>
          <w:highlight w:val="none"/>
        </w:rPr>
        <w:t>。卖方应在发货日的</w:t>
      </w:r>
      <w:r>
        <w:rPr>
          <w:rFonts w:ascii="宋体" w:hAnsi="宋体"/>
          <w:sz w:val="24"/>
          <w:szCs w:val="24"/>
          <w:highlight w:val="none"/>
        </w:rPr>
        <w:t>2日前以</w:t>
      </w:r>
      <w:r>
        <w:rPr>
          <w:rFonts w:hint="eastAsia" w:ascii="宋体" w:hAnsi="宋体"/>
          <w:sz w:val="24"/>
          <w:szCs w:val="24"/>
          <w:highlight w:val="none"/>
        </w:rPr>
        <w:t>传真通知买方合同号、货物名称、数量、件数和备妥待运日期。</w:t>
      </w:r>
    </w:p>
    <w:p>
      <w:pPr>
        <w:numPr>
          <w:ilvl w:val="0"/>
          <w:numId w:val="19"/>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卖方在货物装车完成</w:t>
      </w:r>
      <w:r>
        <w:rPr>
          <w:rFonts w:ascii="宋体" w:hAnsi="宋体"/>
          <w:sz w:val="24"/>
          <w:szCs w:val="24"/>
          <w:highlight w:val="none"/>
        </w:rPr>
        <w:t>24小时内以传真或电传通知买方合同号、车号、货物名称、规格、数量、件数、到站及到买方指定地点的时间。</w:t>
      </w:r>
    </w:p>
    <w:p>
      <w:pPr>
        <w:numPr>
          <w:ilvl w:val="0"/>
          <w:numId w:val="19"/>
        </w:numPr>
        <w:tabs>
          <w:tab w:val="left" w:pos="1440"/>
        </w:tabs>
        <w:spacing w:line="440" w:lineRule="exact"/>
        <w:ind w:firstLine="0" w:firstLineChars="0"/>
        <w:rPr>
          <w:rFonts w:ascii="宋体" w:hAnsi="宋体"/>
          <w:szCs w:val="21"/>
          <w:highlight w:val="none"/>
        </w:rPr>
      </w:pPr>
      <w:r>
        <w:rPr>
          <w:rFonts w:hint="eastAsia" w:ascii="宋体" w:hAnsi="宋体"/>
          <w:sz w:val="24"/>
          <w:szCs w:val="24"/>
          <w:highlight w:val="none"/>
        </w:rPr>
        <w:t>本合同项下货物的交货地点为买方指定位置地面，卖方负责将货物运抵交货地点并负责卸车并搬运到指定地点</w:t>
      </w:r>
      <w:r>
        <w:rPr>
          <w:rFonts w:hint="eastAsia" w:ascii="宋体" w:hAnsi="宋体"/>
          <w:sz w:val="24"/>
          <w:szCs w:val="24"/>
          <w:highlight w:val="none"/>
          <w:lang w:eastAsia="zh-CN"/>
        </w:rPr>
        <w:t>，</w:t>
      </w:r>
      <w:r>
        <w:rPr>
          <w:rFonts w:hint="eastAsia" w:ascii="宋体" w:hAnsi="宋体"/>
          <w:sz w:val="24"/>
          <w:szCs w:val="24"/>
          <w:highlight w:val="none"/>
          <w:lang w:val="en-US" w:eastAsia="zh-CN"/>
        </w:rPr>
        <w:t>在此期间的安全由卖方负责</w:t>
      </w:r>
      <w:r>
        <w:rPr>
          <w:rFonts w:hint="eastAsia" w:ascii="宋体" w:hAnsi="宋体"/>
          <w:sz w:val="24"/>
          <w:szCs w:val="24"/>
          <w:highlight w:val="none"/>
        </w:rPr>
        <w:t>。</w:t>
      </w:r>
    </w:p>
    <w:p>
      <w:pPr>
        <w:tabs>
          <w:tab w:val="left" w:pos="1440"/>
        </w:tabs>
        <w:spacing w:line="440" w:lineRule="exact"/>
        <w:ind w:left="540" w:leftChars="257" w:firstLine="360" w:firstLineChars="0"/>
        <w:rPr>
          <w:rFonts w:ascii="宋体" w:hAnsi="宋体"/>
          <w:sz w:val="24"/>
          <w:szCs w:val="24"/>
          <w:highlight w:val="none"/>
        </w:rPr>
      </w:pPr>
      <w:r>
        <w:rPr>
          <w:rFonts w:hint="eastAsia" w:ascii="宋体" w:hAnsi="宋体"/>
          <w:sz w:val="24"/>
          <w:szCs w:val="24"/>
          <w:highlight w:val="none"/>
        </w:rPr>
        <w:t>合同设备所有权自合同设备交付时起由卖方转移给买方。合同设备毁损、灭失的风险，在合同设备交付之前由卖方承担，交付之后由买方承担。货物到达目的地后，当场可清点验收的设备，经买卖双方组织人员进行现场验收，由卖方安装人员负责开箱验收后设备的保管、仓贮（供方应提出对设备的存放要求）。对未开箱的设备（指需在安装时开箱的设备），经双方清点数量后由供方负责安全保管、仓贮。确定安装时开箱验收的，由双方共同参与对货物进行检验，按开箱清单现场清点核对，并签发字确认。如果货物被证明有缺陷，包括潜在缺陷或使用了不适当的材料不符合合同约定的，需方将保留拒收货物和对供方索赔的权力；</w:t>
      </w:r>
    </w:p>
    <w:p>
      <w:pPr>
        <w:numPr>
          <w:ilvl w:val="0"/>
          <w:numId w:val="19"/>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由于卖方未及时按本合同第</w:t>
      </w:r>
      <w:r>
        <w:rPr>
          <w:rFonts w:ascii="宋体" w:hAnsi="宋体"/>
          <w:sz w:val="24"/>
          <w:szCs w:val="24"/>
          <w:highlight w:val="none"/>
        </w:rPr>
        <w:t>8.1款和/或第8.2款向买方发出通知，导致买方遭受损失的，卖方应向买方承担损失赔偿责任。</w:t>
      </w:r>
    </w:p>
    <w:p>
      <w:pPr>
        <w:numPr>
          <w:ilvl w:val="0"/>
          <w:numId w:val="19"/>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在保证期内和在保证期满后三年内由于卖方的过失或疏忽造成的供应设备（或部件）的损坏或潜在缺陷，而动用了买方库存中的备品备件以调换损坏的设备或部件，则卖方应负责免费将动用的备品备件补齐，最迟不得超过买方通知后</w:t>
      </w:r>
      <w:r>
        <w:rPr>
          <w:rFonts w:ascii="宋体" w:hAnsi="宋体"/>
          <w:sz w:val="24"/>
          <w:szCs w:val="24"/>
          <w:highlight w:val="none"/>
        </w:rPr>
        <w:t>1个月运到指定交付点，并且通知买方。</w:t>
      </w:r>
    </w:p>
    <w:p>
      <w:pPr>
        <w:numPr>
          <w:ilvl w:val="0"/>
          <w:numId w:val="19"/>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卖方应按技术规格书规定，向买方提供满足调试、试验、检验、培训、运行和维修所需的技术资料。技术资料的交付时间按买方要求的时间及时提供。</w:t>
      </w:r>
    </w:p>
    <w:p>
      <w:pPr>
        <w:numPr>
          <w:ilvl w:val="0"/>
          <w:numId w:val="19"/>
        </w:numPr>
        <w:tabs>
          <w:tab w:val="left" w:pos="1440"/>
        </w:tabs>
        <w:spacing w:line="440" w:lineRule="exact"/>
        <w:ind w:firstLineChars="0"/>
        <w:rPr>
          <w:rFonts w:ascii="宋体" w:hAnsi="宋体"/>
          <w:sz w:val="24"/>
          <w:szCs w:val="24"/>
          <w:highlight w:val="none"/>
        </w:rPr>
      </w:pPr>
      <w:r>
        <w:rPr>
          <w:rFonts w:hint="eastAsia" w:ascii="宋体" w:hAnsi="宋体"/>
          <w:sz w:val="24"/>
          <w:szCs w:val="24"/>
          <w:highlight w:val="none"/>
        </w:rPr>
        <w:t>技术资料以快递邮寄（可直送）方式递交</w:t>
      </w:r>
      <w:r>
        <w:rPr>
          <w:rFonts w:ascii="宋体" w:hAnsi="宋体"/>
          <w:sz w:val="24"/>
          <w:szCs w:val="24"/>
          <w:highlight w:val="none"/>
        </w:rPr>
        <w:t>,每批技术资料交邮后，卖方应在24小时内将技术资料的交邮日期、邮单号、技术资料的详细清单、件数及重量、合同号等以传真通知买方。</w:t>
      </w:r>
    </w:p>
    <w:p>
      <w:pPr>
        <w:numPr>
          <w:ilvl w:val="0"/>
          <w:numId w:val="19"/>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技术资料可以邮寄方式或专人送达方式递交，如以邮寄方式递交，则以邮政部门提货通知单时间戳记为技术资料的实际交付日期，如以专人送达方式递交，则以买方代表签收日期为技术资料的实际交付日期。此日期将作为按合同第十五条对任何延期交付资料进行延期违约金计算的依据。</w:t>
      </w:r>
    </w:p>
    <w:p>
      <w:pPr>
        <w:spacing w:line="440" w:lineRule="exact"/>
        <w:ind w:left="540" w:leftChars="257" w:firstLine="388" w:firstLineChars="162"/>
        <w:rPr>
          <w:rFonts w:ascii="宋体" w:hAnsi="宋体"/>
          <w:sz w:val="24"/>
          <w:szCs w:val="24"/>
          <w:highlight w:val="none"/>
        </w:rPr>
      </w:pPr>
      <w:r>
        <w:rPr>
          <w:rFonts w:hint="eastAsia" w:ascii="宋体" w:hAnsi="宋体"/>
          <w:sz w:val="24"/>
          <w:szCs w:val="24"/>
          <w:highlight w:val="none"/>
        </w:rPr>
        <w:t>如果技术资料经买方或买方代表检查后发现有缺少、丢失或损坏，且非买方原因，卖方应在收到买方通知后</w:t>
      </w:r>
      <w:r>
        <w:rPr>
          <w:rFonts w:ascii="宋体" w:hAnsi="宋体"/>
          <w:sz w:val="24"/>
          <w:szCs w:val="24"/>
          <w:highlight w:val="none"/>
        </w:rPr>
        <w:t>14天内(对急用者应在3天内)免费向现场补充提供缺少、丢失或损坏的部分。</w:t>
      </w:r>
    </w:p>
    <w:p>
      <w:pPr>
        <w:spacing w:line="440" w:lineRule="exact"/>
        <w:ind w:left="540" w:leftChars="257" w:firstLine="388" w:firstLineChars="162"/>
        <w:rPr>
          <w:rFonts w:ascii="宋体" w:hAnsi="宋体"/>
          <w:sz w:val="24"/>
          <w:szCs w:val="24"/>
          <w:highlight w:val="none"/>
        </w:rPr>
      </w:pPr>
      <w:r>
        <w:rPr>
          <w:rFonts w:hint="eastAsia" w:ascii="宋体" w:hAnsi="宋体"/>
          <w:sz w:val="24"/>
          <w:szCs w:val="24"/>
          <w:highlight w:val="none"/>
        </w:rPr>
        <w:t>如因买方原因发生缺少、丢失或损坏，卖方应在接到买方通知后</w:t>
      </w:r>
      <w:r>
        <w:rPr>
          <w:rFonts w:ascii="宋体" w:hAnsi="宋体"/>
          <w:sz w:val="24"/>
          <w:szCs w:val="24"/>
          <w:highlight w:val="none"/>
        </w:rPr>
        <w:t>14天内(对急用者应在3天内)，向现场补充提供缺少、丢失或损坏部分，费用由买方承担。</w:t>
      </w:r>
    </w:p>
    <w:p>
      <w:pPr>
        <w:numPr>
          <w:ilvl w:val="0"/>
          <w:numId w:val="19"/>
        </w:numPr>
        <w:tabs>
          <w:tab w:val="left" w:pos="1440"/>
        </w:tabs>
        <w:spacing w:line="440" w:lineRule="exact"/>
        <w:ind w:firstLine="0" w:firstLineChars="0"/>
        <w:rPr>
          <w:rFonts w:ascii="宋体" w:hAnsi="宋体"/>
          <w:sz w:val="24"/>
          <w:szCs w:val="24"/>
          <w:highlight w:val="none"/>
        </w:rPr>
      </w:pPr>
      <w:r>
        <w:rPr>
          <w:rFonts w:hint="eastAsia" w:ascii="宋体" w:hAnsi="宋体"/>
          <w:sz w:val="24"/>
          <w:szCs w:val="24"/>
          <w:highlight w:val="none"/>
        </w:rPr>
        <w:t>买方可派遣代表到卖方工厂及装货车站</w:t>
      </w:r>
      <w:r>
        <w:rPr>
          <w:rFonts w:ascii="宋体" w:hAnsi="宋体"/>
          <w:sz w:val="24"/>
          <w:szCs w:val="24"/>
          <w:highlight w:val="none"/>
        </w:rPr>
        <w:t>/码头/机场检查包装质量和监督装车情况。卖方应提前15天通知买方交运日期。买方代表的检查与监督不能免除卖方应负的责任。</w:t>
      </w:r>
    </w:p>
    <w:p>
      <w:pPr>
        <w:numPr>
          <w:ilvl w:val="0"/>
          <w:numId w:val="19"/>
        </w:numPr>
        <w:spacing w:line="440" w:lineRule="exact"/>
        <w:ind w:firstLine="0" w:firstLineChars="0"/>
        <w:rPr>
          <w:rFonts w:ascii="宋体" w:hAnsi="宋体"/>
          <w:sz w:val="24"/>
          <w:szCs w:val="24"/>
          <w:highlight w:val="none"/>
        </w:rPr>
      </w:pPr>
      <w:r>
        <w:rPr>
          <w:rFonts w:hint="eastAsia" w:ascii="宋体" w:hAnsi="宋体"/>
          <w:sz w:val="24"/>
          <w:szCs w:val="24"/>
          <w:highlight w:val="none"/>
        </w:rPr>
        <w:t>技术资料收件单位：江苏长江水务股份有限公司（注明技术资料）</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第九条</w:t>
      </w:r>
      <w:r>
        <w:rPr>
          <w:rFonts w:ascii="宋体" w:hAnsi="宋体"/>
          <w:b/>
          <w:sz w:val="24"/>
          <w:szCs w:val="24"/>
          <w:highlight w:val="none"/>
        </w:rPr>
        <w:t xml:space="preserve"> </w:t>
      </w:r>
      <w:r>
        <w:rPr>
          <w:rFonts w:hint="eastAsia" w:ascii="宋体" w:hAnsi="宋体"/>
          <w:b/>
          <w:sz w:val="24"/>
          <w:szCs w:val="24"/>
          <w:highlight w:val="none"/>
        </w:rPr>
        <w:t>保险</w:t>
      </w:r>
    </w:p>
    <w:p>
      <w:pPr>
        <w:spacing w:line="440" w:lineRule="exact"/>
        <w:ind w:left="540" w:leftChars="257" w:firstLine="540" w:firstLineChars="225"/>
        <w:rPr>
          <w:rFonts w:ascii="宋体" w:hAnsi="宋体"/>
          <w:sz w:val="24"/>
          <w:szCs w:val="24"/>
          <w:highlight w:val="none"/>
        </w:rPr>
      </w:pPr>
      <w:r>
        <w:rPr>
          <w:rFonts w:hint="eastAsia" w:ascii="宋体" w:hAnsi="宋体"/>
          <w:sz w:val="24"/>
          <w:szCs w:val="24"/>
          <w:highlight w:val="none"/>
        </w:rPr>
        <w:t>在货物发运前卖方须对货物，根据水运、陆运和空运等运输方式，向保险公司投保以卖方为受益人，金额为发运货物价格</w:t>
      </w:r>
      <w:r>
        <w:rPr>
          <w:rFonts w:ascii="宋体" w:hAnsi="宋体"/>
          <w:sz w:val="24"/>
          <w:szCs w:val="24"/>
          <w:highlight w:val="none"/>
        </w:rPr>
        <w:t>110%的运输一切险(包括卸货至现场地面的最后一吊)，保险区段为卖方仓库到交货地点交货后90天止。</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第十条</w:t>
      </w:r>
      <w:r>
        <w:rPr>
          <w:rFonts w:ascii="宋体" w:hAnsi="宋体"/>
          <w:b/>
          <w:sz w:val="24"/>
          <w:szCs w:val="24"/>
          <w:highlight w:val="none"/>
        </w:rPr>
        <w:t xml:space="preserve">  </w:t>
      </w:r>
      <w:r>
        <w:rPr>
          <w:rFonts w:hint="eastAsia" w:ascii="宋体" w:hAnsi="宋体"/>
          <w:b/>
          <w:sz w:val="24"/>
          <w:szCs w:val="24"/>
          <w:highlight w:val="none"/>
        </w:rPr>
        <w:t>交货</w:t>
      </w:r>
    </w:p>
    <w:p>
      <w:pPr>
        <w:numPr>
          <w:ilvl w:val="0"/>
          <w:numId w:val="20"/>
        </w:numPr>
        <w:tabs>
          <w:tab w:val="left"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所有货物在交货之前的所有风险和责任均由卖方承担。如果在交货之前因运输等问题造成货物损失、损害等风险，卖方在本合同项下的义务与责任均不予解除。</w:t>
      </w:r>
    </w:p>
    <w:p>
      <w:pPr>
        <w:spacing w:line="440" w:lineRule="exact"/>
        <w:ind w:firstLine="570" w:firstLineChars="0"/>
        <w:rPr>
          <w:rFonts w:ascii="宋体" w:hAnsi="宋体"/>
          <w:b/>
          <w:sz w:val="24"/>
          <w:szCs w:val="24"/>
          <w:highlight w:val="none"/>
        </w:rPr>
      </w:pPr>
      <w:r>
        <w:rPr>
          <w:rFonts w:ascii="宋体" w:hAnsi="宋体"/>
          <w:b/>
          <w:sz w:val="24"/>
          <w:szCs w:val="24"/>
          <w:highlight w:val="none"/>
        </w:rPr>
        <w:t xml:space="preserve">  </w:t>
      </w:r>
    </w:p>
    <w:p>
      <w:pPr>
        <w:spacing w:line="360" w:lineRule="auto"/>
        <w:ind w:firstLine="570" w:firstLineChars="0"/>
        <w:rPr>
          <w:rFonts w:ascii="宋体" w:hAnsi="宋体"/>
          <w:b/>
          <w:color w:val="auto"/>
          <w:sz w:val="24"/>
          <w:szCs w:val="24"/>
          <w:highlight w:val="none"/>
        </w:rPr>
      </w:pPr>
      <w:r>
        <w:rPr>
          <w:rFonts w:hint="eastAsia" w:ascii="宋体" w:hAnsi="宋体"/>
          <w:b/>
          <w:sz w:val="24"/>
          <w:szCs w:val="24"/>
          <w:highlight w:val="none"/>
        </w:rPr>
        <w:t>第十一</w:t>
      </w:r>
      <w:r>
        <w:rPr>
          <w:rFonts w:hint="eastAsia" w:ascii="宋体" w:hAnsi="宋体"/>
          <w:b/>
          <w:color w:val="auto"/>
          <w:sz w:val="24"/>
          <w:szCs w:val="24"/>
          <w:highlight w:val="none"/>
        </w:rPr>
        <w:t>条</w:t>
      </w:r>
      <w:r>
        <w:rPr>
          <w:rFonts w:ascii="宋体" w:hAnsi="宋体"/>
          <w:b/>
          <w:color w:val="auto"/>
          <w:sz w:val="24"/>
          <w:szCs w:val="24"/>
          <w:highlight w:val="none"/>
        </w:rPr>
        <w:t xml:space="preserve">  合同价款与支付 </w:t>
      </w:r>
    </w:p>
    <w:p>
      <w:pPr>
        <w:numPr>
          <w:ilvl w:val="0"/>
          <w:numId w:val="21"/>
        </w:numPr>
        <w:tabs>
          <w:tab w:val="left" w:pos="540"/>
          <w:tab w:val="left" w:pos="1080"/>
          <w:tab w:val="clear" w:pos="900"/>
        </w:tabs>
        <w:spacing w:line="360" w:lineRule="auto"/>
        <w:ind w:left="540" w:firstLine="0" w:firstLineChars="0"/>
        <w:rPr>
          <w:rFonts w:ascii="宋体" w:hAnsi="宋体"/>
          <w:sz w:val="24"/>
          <w:szCs w:val="24"/>
          <w:highlight w:val="none"/>
        </w:rPr>
      </w:pPr>
      <w:r>
        <w:rPr>
          <w:rFonts w:hint="eastAsia" w:ascii="宋体" w:hAnsi="宋体"/>
          <w:color w:val="auto"/>
          <w:sz w:val="24"/>
          <w:szCs w:val="24"/>
          <w:highlight w:val="none"/>
        </w:rPr>
        <w:t>本合同价款即合同总价为人民币总价：</w:t>
      </w:r>
      <w:r>
        <w:rPr>
          <w:rFonts w:ascii="宋体" w:hAnsi="宋体"/>
          <w:color w:val="auto"/>
          <w:sz w:val="24"/>
          <w:szCs w:val="24"/>
          <w:highlight w:val="none"/>
        </w:rPr>
        <w:t xml:space="preserve">     </w:t>
      </w:r>
      <w:r>
        <w:rPr>
          <w:rFonts w:hint="eastAsia" w:ascii="宋体" w:hAnsi="宋体"/>
          <w:color w:val="auto"/>
          <w:sz w:val="24"/>
          <w:szCs w:val="24"/>
          <w:highlight w:val="none"/>
        </w:rPr>
        <w:t>万元</w:t>
      </w:r>
      <w:r>
        <w:rPr>
          <w:rFonts w:ascii="宋体" w:hAnsi="宋体"/>
          <w:color w:val="auto"/>
          <w:sz w:val="24"/>
          <w:szCs w:val="24"/>
          <w:highlight w:val="none"/>
        </w:rPr>
        <w:t>(大写：        )。</w:t>
      </w:r>
      <w:r>
        <w:rPr>
          <w:rFonts w:hint="eastAsia" w:ascii="宋体" w:hAnsi="宋体" w:cs="Times New Roman"/>
          <w:color w:val="auto"/>
          <w:sz w:val="24"/>
          <w:szCs w:val="24"/>
          <w:highlight w:val="none"/>
        </w:rPr>
        <w:t>合同总价为固定不变价格，</w:t>
      </w:r>
      <w:r>
        <w:rPr>
          <w:rFonts w:hint="eastAsia" w:ascii="宋体" w:hAnsi="宋体" w:cs="Times New Roman"/>
          <w:color w:val="auto"/>
          <w:sz w:val="24"/>
          <w:szCs w:val="24"/>
          <w:highlight w:val="none"/>
          <w:lang w:eastAsia="zh-CN"/>
        </w:rPr>
        <w:t>对投标文件中的清单报价作为质保期外维修或更换的结算依据，</w:t>
      </w:r>
      <w:r>
        <w:rPr>
          <w:rFonts w:hint="eastAsia" w:ascii="宋体" w:hAnsi="宋体"/>
          <w:color w:val="auto"/>
          <w:sz w:val="24"/>
          <w:szCs w:val="24"/>
          <w:highlight w:val="none"/>
        </w:rPr>
        <w:t>除非本合同另有规定，否则在合同期内不因任</w:t>
      </w:r>
      <w:r>
        <w:rPr>
          <w:rFonts w:hint="eastAsia" w:ascii="宋体" w:hAnsi="宋体"/>
          <w:sz w:val="24"/>
          <w:szCs w:val="24"/>
          <w:highlight w:val="none"/>
        </w:rPr>
        <w:t>何原因加以变更或调整。</w:t>
      </w:r>
    </w:p>
    <w:p>
      <w:pPr>
        <w:spacing w:line="360" w:lineRule="auto"/>
        <w:ind w:left="540" w:leftChars="257" w:firstLineChars="175"/>
        <w:rPr>
          <w:rFonts w:ascii="宋体" w:hAnsi="宋体"/>
          <w:sz w:val="24"/>
          <w:szCs w:val="24"/>
          <w:highlight w:val="none"/>
        </w:rPr>
      </w:pPr>
      <w:r>
        <w:rPr>
          <w:rFonts w:hint="eastAsia" w:ascii="宋体" w:hAnsi="宋体"/>
          <w:sz w:val="24"/>
          <w:szCs w:val="24"/>
          <w:highlight w:val="none"/>
        </w:rPr>
        <w:t>本合同价款包括合同设备</w:t>
      </w:r>
      <w:r>
        <w:rPr>
          <w:rFonts w:ascii="宋体" w:hAnsi="宋体"/>
          <w:sz w:val="24"/>
          <w:szCs w:val="24"/>
          <w:highlight w:val="none"/>
        </w:rPr>
        <w:t>(含备品备件、专用工具)、技术资料、技术服务和运输及保险费等费用,还包括合同设备的税费等与本合同中卖方应承担的所有义务和所有工作相关的费用。合同设备的技术服务及备品备件由卖方免费提供。</w:t>
      </w:r>
    </w:p>
    <w:p>
      <w:pPr>
        <w:spacing w:line="360" w:lineRule="auto"/>
        <w:ind w:left="540" w:leftChars="257" w:firstLineChars="175"/>
        <w:rPr>
          <w:rFonts w:ascii="宋体" w:hAnsi="宋体"/>
          <w:sz w:val="24"/>
          <w:szCs w:val="24"/>
          <w:highlight w:val="none"/>
        </w:rPr>
      </w:pPr>
      <w:r>
        <w:rPr>
          <w:rFonts w:hint="eastAsia" w:ascii="宋体" w:hAnsi="宋体"/>
          <w:sz w:val="24"/>
          <w:szCs w:val="24"/>
          <w:highlight w:val="none"/>
        </w:rPr>
        <w:t>合同设备运抵项目现场的运输及保险费等杂费已含在合同价款内。运输及保险费是指合同设备从卖方</w:t>
      </w:r>
      <w:r>
        <w:rPr>
          <w:rFonts w:ascii="宋体" w:hAnsi="宋体"/>
          <w:sz w:val="24"/>
          <w:szCs w:val="24"/>
          <w:highlight w:val="none"/>
        </w:rPr>
        <w:t>(包括卖方的分包商)始发站（车上）/码头（船上）到交货地点地面所发生的公路、铁路、水路、航空运费，保险费等运输过程中发生的各种费用。</w:t>
      </w:r>
    </w:p>
    <w:p>
      <w:pPr>
        <w:numPr>
          <w:ilvl w:val="0"/>
          <w:numId w:val="21"/>
        </w:numPr>
        <w:tabs>
          <w:tab w:val="left" w:pos="1080"/>
        </w:tabs>
        <w:spacing w:line="360" w:lineRule="auto"/>
        <w:ind w:firstLine="0" w:firstLineChars="0"/>
        <w:rPr>
          <w:rFonts w:ascii="宋体" w:hAnsi="宋体"/>
          <w:sz w:val="24"/>
          <w:szCs w:val="24"/>
          <w:highlight w:val="none"/>
        </w:rPr>
      </w:pPr>
      <w:r>
        <w:rPr>
          <w:rFonts w:hint="eastAsia" w:ascii="宋体" w:hAnsi="宋体"/>
          <w:sz w:val="24"/>
          <w:szCs w:val="24"/>
          <w:highlight w:val="none"/>
        </w:rPr>
        <w:t>支付</w:t>
      </w:r>
    </w:p>
    <w:p>
      <w:pPr>
        <w:spacing w:line="360" w:lineRule="auto"/>
        <w:ind w:left="540" w:leftChars="257" w:firstLineChars="175"/>
        <w:rPr>
          <w:rFonts w:ascii="宋体" w:hAnsi="宋体"/>
          <w:sz w:val="24"/>
          <w:szCs w:val="24"/>
          <w:highlight w:val="none"/>
        </w:rPr>
      </w:pPr>
      <w:r>
        <w:rPr>
          <w:rFonts w:hint="eastAsia" w:ascii="宋体" w:hAnsi="宋体"/>
          <w:sz w:val="24"/>
          <w:szCs w:val="24"/>
          <w:highlight w:val="none"/>
        </w:rPr>
        <w:t>所有货到工地经联动调试、验收合格且连续无故障运行</w:t>
      </w:r>
      <w:r>
        <w:rPr>
          <w:rFonts w:ascii="宋体" w:hAnsi="宋体"/>
          <w:sz w:val="24"/>
          <w:szCs w:val="24"/>
          <w:highlight w:val="none"/>
        </w:rPr>
        <w:t>30天后支付至合同总价款的95%，</w:t>
      </w:r>
      <w:r>
        <w:rPr>
          <w:rFonts w:hint="eastAsia" w:ascii="宋体" w:hAnsi="宋体"/>
          <w:sz w:val="24"/>
          <w:szCs w:val="24"/>
          <w:highlight w:val="none"/>
          <w:lang w:val="en-US" w:eastAsia="zh-CN"/>
        </w:rPr>
        <w:t>并无息退还履约保证金，</w:t>
      </w:r>
      <w:r>
        <w:rPr>
          <w:rFonts w:ascii="宋体" w:hAnsi="宋体"/>
          <w:sz w:val="24"/>
          <w:szCs w:val="24"/>
          <w:highlight w:val="none"/>
        </w:rPr>
        <w:t>余款5%作为质保金，在质保期满且无质量问题后一个月内无息付清。质保期为联动调试合格试运行后的18个月。（</w:t>
      </w:r>
      <w:r>
        <w:rPr>
          <w:rFonts w:hint="eastAsia" w:ascii="宋体"/>
          <w:sz w:val="24"/>
          <w:szCs w:val="24"/>
          <w:highlight w:val="none"/>
        </w:rPr>
        <w:t>备注：</w:t>
      </w:r>
      <w:r>
        <w:rPr>
          <w:rFonts w:hint="eastAsia" w:ascii="宋体" w:hAnsi="宋体"/>
          <w:sz w:val="24"/>
          <w:szCs w:val="24"/>
          <w:highlight w:val="none"/>
        </w:rPr>
        <w:t>本项目在结算支付时，票据为税率为</w:t>
      </w:r>
      <w:r>
        <w:rPr>
          <w:rFonts w:ascii="宋体" w:hAnsi="宋体"/>
          <w:sz w:val="24"/>
          <w:szCs w:val="24"/>
          <w:highlight w:val="none"/>
        </w:rPr>
        <w:t>13%增值税专用发票（国家政策若发生变化以相关政策执行）。</w:t>
      </w:r>
    </w:p>
    <w:p>
      <w:pPr>
        <w:spacing w:line="360" w:lineRule="auto"/>
        <w:ind w:firstLine="570" w:firstLineChars="0"/>
        <w:rPr>
          <w:rFonts w:ascii="宋体" w:hAnsi="宋体"/>
          <w:sz w:val="24"/>
          <w:szCs w:val="24"/>
          <w:highlight w:val="none"/>
        </w:rPr>
      </w:pPr>
    </w:p>
    <w:p>
      <w:pPr>
        <w:spacing w:line="360" w:lineRule="auto"/>
        <w:ind w:firstLine="570" w:firstLineChars="0"/>
        <w:rPr>
          <w:rFonts w:ascii="宋体" w:hAnsi="宋体"/>
          <w:b/>
          <w:sz w:val="24"/>
          <w:szCs w:val="24"/>
          <w:highlight w:val="none"/>
        </w:rPr>
      </w:pPr>
      <w:r>
        <w:rPr>
          <w:rFonts w:hint="eastAsia" w:ascii="宋体" w:hAnsi="宋体"/>
          <w:b/>
          <w:sz w:val="24"/>
          <w:szCs w:val="24"/>
          <w:highlight w:val="none"/>
        </w:rPr>
        <w:t>第十二条</w:t>
      </w:r>
      <w:r>
        <w:rPr>
          <w:rFonts w:ascii="宋体" w:hAnsi="宋体"/>
          <w:b/>
          <w:sz w:val="24"/>
          <w:szCs w:val="24"/>
          <w:highlight w:val="none"/>
        </w:rPr>
        <w:t xml:space="preserve">  </w:t>
      </w:r>
      <w:r>
        <w:rPr>
          <w:rFonts w:hint="eastAsia" w:ascii="宋体" w:hAnsi="宋体"/>
          <w:b/>
          <w:sz w:val="24"/>
          <w:szCs w:val="24"/>
          <w:highlight w:val="none"/>
        </w:rPr>
        <w:t>连带责任</w:t>
      </w:r>
    </w:p>
    <w:p>
      <w:pPr>
        <w:spacing w:line="440" w:lineRule="exact"/>
        <w:ind w:firstLine="480"/>
        <w:rPr>
          <w:rFonts w:ascii="宋体" w:hAnsi="宋体"/>
          <w:sz w:val="24"/>
          <w:szCs w:val="24"/>
          <w:highlight w:val="none"/>
        </w:rPr>
      </w:pPr>
      <w:r>
        <w:rPr>
          <w:rFonts w:ascii="宋体" w:hAnsi="宋体"/>
          <w:sz w:val="24"/>
          <w:szCs w:val="24"/>
          <w:highlight w:val="none"/>
        </w:rPr>
        <w:t>12.1卖方应对本合同项下设备的制造、运输、装卸、交货、</w:t>
      </w:r>
      <w:r>
        <w:rPr>
          <w:rFonts w:hint="eastAsia" w:ascii="宋体" w:hAnsi="宋体"/>
          <w:sz w:val="24"/>
          <w:szCs w:val="24"/>
          <w:highlight w:val="none"/>
        </w:rPr>
        <w:t>安装等承担全部责任。</w:t>
      </w:r>
    </w:p>
    <w:p>
      <w:pPr>
        <w:spacing w:line="440" w:lineRule="exact"/>
        <w:ind w:firstLine="480"/>
        <w:rPr>
          <w:rFonts w:ascii="宋体" w:hAnsi="宋体"/>
          <w:sz w:val="24"/>
          <w:szCs w:val="24"/>
          <w:highlight w:val="none"/>
        </w:rPr>
      </w:pPr>
      <w:r>
        <w:rPr>
          <w:rFonts w:ascii="宋体" w:hAnsi="宋体"/>
          <w:sz w:val="24"/>
          <w:szCs w:val="24"/>
          <w:highlight w:val="none"/>
        </w:rPr>
        <w:t xml:space="preserve">12.2 </w:t>
      </w:r>
      <w:r>
        <w:rPr>
          <w:rFonts w:hint="eastAsia" w:ascii="宋体" w:hAnsi="宋体"/>
          <w:sz w:val="24"/>
          <w:szCs w:val="24"/>
          <w:highlight w:val="none"/>
        </w:rPr>
        <w:t>卖方应对本合同项下设备安装过程中影响买方安全生产的任何事宜承担全部责任。</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第十三条</w:t>
      </w:r>
      <w:r>
        <w:rPr>
          <w:rFonts w:ascii="宋体" w:hAnsi="宋体"/>
          <w:b/>
          <w:sz w:val="24"/>
          <w:szCs w:val="24"/>
          <w:highlight w:val="none"/>
        </w:rPr>
        <w:t xml:space="preserve">  </w:t>
      </w:r>
      <w:r>
        <w:rPr>
          <w:rFonts w:hint="eastAsia" w:ascii="宋体" w:hAnsi="宋体"/>
          <w:b/>
          <w:sz w:val="24"/>
          <w:szCs w:val="24"/>
          <w:highlight w:val="none"/>
        </w:rPr>
        <w:t>质量保证</w:t>
      </w:r>
    </w:p>
    <w:p>
      <w:pPr>
        <w:numPr>
          <w:ilvl w:val="0"/>
          <w:numId w:val="22"/>
        </w:numPr>
        <w:tabs>
          <w:tab w:val="left" w:pos="540"/>
          <w:tab w:val="left" w:pos="1080"/>
          <w:tab w:val="clear" w:pos="90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卖方应保证其提供的货物在各个方面符合技术规格书规定的质量、规格和性能要求。</w:t>
      </w:r>
    </w:p>
    <w:p>
      <w:pPr>
        <w:numPr>
          <w:ilvl w:val="0"/>
          <w:numId w:val="22"/>
        </w:numPr>
        <w:tabs>
          <w:tab w:val="left" w:pos="540"/>
          <w:tab w:val="left" w:pos="1080"/>
          <w:tab w:val="clear" w:pos="90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合同货物的质量保证期为联动调试合格试运行后的</w:t>
      </w:r>
      <w:r>
        <w:rPr>
          <w:rFonts w:ascii="宋体" w:hAnsi="宋体"/>
          <w:sz w:val="24"/>
          <w:szCs w:val="24"/>
          <w:highlight w:val="none"/>
        </w:rPr>
        <w:t>18个月。在质量保证期内，卖方应对由于设计、工艺、生产或运输导致的缺陷负责，出现上述情况，卖方应在7天内对买方提出的要求给予答复并处理。</w:t>
      </w:r>
    </w:p>
    <w:p>
      <w:pPr>
        <w:tabs>
          <w:tab w:val="left" w:pos="1080"/>
        </w:tabs>
        <w:spacing w:line="440" w:lineRule="exact"/>
        <w:ind w:left="540" w:firstLine="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第十四条</w:t>
      </w:r>
      <w:r>
        <w:rPr>
          <w:rFonts w:ascii="宋体" w:hAnsi="宋体"/>
          <w:b/>
          <w:sz w:val="24"/>
          <w:szCs w:val="24"/>
          <w:highlight w:val="none"/>
        </w:rPr>
        <w:t xml:space="preserve">  </w:t>
      </w:r>
      <w:r>
        <w:rPr>
          <w:rFonts w:hint="eastAsia" w:ascii="宋体" w:hAnsi="宋体"/>
          <w:b/>
          <w:sz w:val="24"/>
          <w:szCs w:val="24"/>
          <w:highlight w:val="none"/>
        </w:rPr>
        <w:t>技术服务和检验</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卖方应及时提供与本合同设备有关的安装、调试、验收、性能验收试验、运行、检修等相应的技术指导、技术配合、技术培训等全过程的服务。</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cs="Times New Roman"/>
          <w:sz w:val="24"/>
          <w:szCs w:val="24"/>
          <w:highlight w:val="none"/>
        </w:rPr>
        <w:t>卖方根据相关设备的技术资料、检验标准、图纸及说明书进行安装、调试、运行和维修。</w:t>
      </w:r>
      <w:r>
        <w:rPr>
          <w:rFonts w:hint="eastAsia" w:ascii="宋体" w:hAnsi="宋体"/>
          <w:sz w:val="24"/>
          <w:szCs w:val="24"/>
          <w:highlight w:val="none"/>
        </w:rPr>
        <w:t>并负责解决合同设备在安装调试、试运行中发现的制造质量及性能等有关问题。</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卖方应在合同生效后</w:t>
      </w:r>
      <w:r>
        <w:rPr>
          <w:rFonts w:ascii="宋体" w:hAnsi="宋体"/>
          <w:sz w:val="24"/>
          <w:szCs w:val="24"/>
          <w:highlight w:val="none"/>
        </w:rPr>
        <w:t>1个月内以快递邮寄方式向买方提交执行14.2条规定的服务工作的组织计划一式两份。</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如遇有重大问题需要双方立即研究协商时，任何一方均可建议召开会议，在一般情况下，另一方应同意参加。</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各次会议及其他联络方式双方均应签订会议或联络纪要，所签纪要双方均应执行。如涉及合同条款有修改时，双方需签订补充或更改合同。</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买方有权将对方所提供的一切与本合同设备有关的资料分发给与本工程有关的各方，并不由此而构成任何侵权</w:t>
      </w:r>
      <w:r>
        <w:rPr>
          <w:rFonts w:ascii="宋体" w:hAnsi="宋体"/>
          <w:sz w:val="24"/>
          <w:szCs w:val="24"/>
          <w:highlight w:val="none"/>
        </w:rPr>
        <w:t>,但不得向任何与本工程无关的第三方提供。</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对盖有“密件”印章的卖方、买方的资料，双方都有为其保密的义务。</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需要卖方的分包商对合同设备的部分技术服务或去现场工作，应由卖方统一组织并征得买方同意，费用应由卖方负担。</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卖方（包括外购）须对一切与本合同有关的供货、设备及技术接口、技术服务等问题负全部责任。</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凡与本合同设备相连接的其它设备装置，卖方有提供接口和技术配合的义务，并不由此而发生合同价格以外的任何费用。</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卖方派到现场服务的技术人员应是有实践经验、可胜任此项工作的人员。卖方派到现场服务的技术人员名单在本合同生效后</w:t>
      </w:r>
      <w:r>
        <w:rPr>
          <w:rFonts w:ascii="宋体" w:hAnsi="宋体"/>
          <w:sz w:val="24"/>
          <w:szCs w:val="24"/>
          <w:highlight w:val="none"/>
        </w:rPr>
        <w:t>1个月内提交买方予以确认。</w:t>
      </w:r>
    </w:p>
    <w:p>
      <w:pPr>
        <w:spacing w:line="440" w:lineRule="exact"/>
        <w:ind w:left="540" w:leftChars="257" w:firstLineChars="175"/>
        <w:rPr>
          <w:rFonts w:ascii="宋体" w:hAnsi="宋体"/>
          <w:sz w:val="24"/>
          <w:szCs w:val="24"/>
          <w:highlight w:val="none"/>
        </w:rPr>
      </w:pPr>
      <w:r>
        <w:rPr>
          <w:rFonts w:hint="eastAsia" w:ascii="宋体" w:hAnsi="宋体"/>
          <w:sz w:val="24"/>
          <w:szCs w:val="24"/>
          <w:highlight w:val="none"/>
        </w:rPr>
        <w:t>买方有权提出更换不符合要求的卖方现场服务人员，卖方应根据现场需要，重新选派买方认可的服务人员。如果买方在书面提出该项要求</w:t>
      </w:r>
      <w:r>
        <w:rPr>
          <w:rFonts w:ascii="宋体" w:hAnsi="宋体"/>
          <w:sz w:val="24"/>
          <w:szCs w:val="24"/>
          <w:highlight w:val="none"/>
        </w:rPr>
        <w:t>10天内卖方没有答复，将按第十五条视为延误工期等同处理。</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由于卖方人员对安装、调试、试运的疏忽和错误以及卖方未按要求派人指导而造成的损失应由卖方负责。</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应在发货之前对货物的有关质量、规格、性能、数量进行准确的全面的检验，并出具其货物符合规定的质量证明书。该证书将作为提交付款单据的一部分。但不应视为是对质量、规格、性能、数量的定论。质量证书应附有写明制造商的出厂检验结果、细节说明。</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由卖方供应的所有合同设备</w:t>
      </w:r>
      <w:r>
        <w:rPr>
          <w:rFonts w:ascii="宋体" w:hAnsi="宋体"/>
          <w:sz w:val="24"/>
          <w:szCs w:val="24"/>
          <w:highlight w:val="none"/>
        </w:rPr>
        <w:t>/部件(包括分包与外购),在生产过程中都须进行严格的检验和试验,出厂前须进行部套和/或整机总装和试验。所有检验、试验和总装(装配)必须有正式的记录文件。以上工作完成之后,合格者才能出厂发运。</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所有这些正式的记录文件及合格证作为技术资料的一部分，卖方要以快递方式邮寄给买方存档。此外</w:t>
      </w:r>
      <w:r>
        <w:rPr>
          <w:rFonts w:ascii="宋体" w:hAnsi="宋体"/>
          <w:sz w:val="24"/>
          <w:szCs w:val="24"/>
          <w:highlight w:val="none"/>
        </w:rPr>
        <w:t>,卖方还应在随机文件中提供合格证和质量证明文件。</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货物运抵现场后，卖方在接到买方通知后应及时到现场，与买方将对货物的有关质量、规格、数量</w:t>
      </w:r>
      <w:r>
        <w:rPr>
          <w:rFonts w:ascii="宋体" w:hAnsi="宋体"/>
          <w:sz w:val="24"/>
          <w:szCs w:val="24"/>
          <w:highlight w:val="none"/>
        </w:rPr>
        <w:t>/重量进行检验，并出具检验证书，该检验证书不免除或减轻卖方对货物应承担的任何质量责任。</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在现场开箱检验时，如果卖方人员未按时赴现场，买方有权自行开箱检验，检验结果和记录对双方同样有效，并作为买方向卖方提出索赔的有效证据。</w:t>
      </w:r>
    </w:p>
    <w:p>
      <w:pPr>
        <w:spacing w:line="440" w:lineRule="exact"/>
        <w:ind w:left="540" w:leftChars="257" w:firstLine="508" w:firstLineChars="212"/>
        <w:rPr>
          <w:rFonts w:ascii="宋体" w:hAnsi="宋体"/>
          <w:sz w:val="24"/>
          <w:szCs w:val="24"/>
          <w:highlight w:val="none"/>
        </w:rPr>
      </w:pPr>
      <w:r>
        <w:rPr>
          <w:rFonts w:hint="eastAsia" w:ascii="宋体" w:hAnsi="宋体"/>
          <w:sz w:val="24"/>
          <w:szCs w:val="24"/>
          <w:highlight w:val="none"/>
        </w:rPr>
        <w:t>如果经检验发现质量、规格或数量不符合技术规格书的规定时，买方有权在货物运抵现场后</w:t>
      </w:r>
      <w:r>
        <w:rPr>
          <w:rFonts w:ascii="宋体" w:hAnsi="宋体"/>
          <w:sz w:val="24"/>
          <w:szCs w:val="24"/>
          <w:highlight w:val="none"/>
        </w:rPr>
        <w:t>90日内向卖方提出索赔。</w:t>
      </w:r>
    </w:p>
    <w:p>
      <w:pPr>
        <w:numPr>
          <w:ilvl w:val="0"/>
          <w:numId w:val="23"/>
        </w:numPr>
        <w:tabs>
          <w:tab w:val="left" w:pos="54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如果在第十三条规定的质量保证期内，发现货物的质量或规格与合同规定不符，或证明货物有缺陷（包括潜在缺陷），买方有权立即将此情况通知卖方，卖方应负责处理，并对买方因此遭受的损失承担赔偿责任。</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w:t>
      </w: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第十五条</w:t>
      </w:r>
      <w:r>
        <w:rPr>
          <w:rFonts w:ascii="宋体" w:hAnsi="宋体"/>
          <w:b/>
          <w:sz w:val="24"/>
          <w:szCs w:val="24"/>
          <w:highlight w:val="none"/>
        </w:rPr>
        <w:t xml:space="preserve">  </w:t>
      </w:r>
      <w:r>
        <w:rPr>
          <w:rFonts w:hint="eastAsia" w:ascii="宋体" w:hAnsi="宋体"/>
          <w:b/>
          <w:sz w:val="24"/>
          <w:szCs w:val="24"/>
          <w:highlight w:val="none"/>
        </w:rPr>
        <w:t>索赔</w:t>
      </w:r>
    </w:p>
    <w:p>
      <w:pPr>
        <w:numPr>
          <w:ilvl w:val="0"/>
          <w:numId w:val="24"/>
        </w:numPr>
        <w:tabs>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如果卖方提供的货物与合同不符，并且买方已于第十三条、第十四条规定的质量保证期内和检验、验收测试期限内提出索赔，卖方应按买方同意的下述一种或多种方法解决索赔事宜。</w:t>
      </w:r>
    </w:p>
    <w:p>
      <w:pPr>
        <w:numPr>
          <w:ilvl w:val="0"/>
          <w:numId w:val="25"/>
        </w:numPr>
        <w:tabs>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卖方应向买方支付与被拒收货物价值等额的款项，并应负担由此发生的一切损失补偿和费用，包括利息、银行费用、运费和保险费、检验费、仓储费、装卸费以及为保管和保护被拒绝货物所需要的其它必要费用等。如果买方选择按本项解决索赔事宜，则在卖方支付前述款项和费用后，卖方将被免除按本合同交付该批货物的义务。</w:t>
      </w:r>
    </w:p>
    <w:p>
      <w:pPr>
        <w:spacing w:line="440" w:lineRule="exact"/>
        <w:ind w:left="540" w:firstLine="0" w:firstLineChars="0"/>
        <w:rPr>
          <w:rFonts w:ascii="宋体" w:hAnsi="宋体"/>
          <w:sz w:val="24"/>
          <w:szCs w:val="24"/>
          <w:highlight w:val="none"/>
        </w:rPr>
      </w:pPr>
      <w:r>
        <w:rPr>
          <w:rFonts w:ascii="宋体" w:hAnsi="宋体"/>
          <w:sz w:val="24"/>
          <w:szCs w:val="24"/>
          <w:highlight w:val="none"/>
        </w:rPr>
        <w:t xml:space="preserve">15.1.2 </w:t>
      </w:r>
      <w:r>
        <w:rPr>
          <w:rFonts w:hint="eastAsia" w:ascii="宋体" w:hAnsi="宋体"/>
          <w:sz w:val="24"/>
          <w:szCs w:val="24"/>
          <w:highlight w:val="none"/>
        </w:rPr>
        <w:t>更换不合格的货物，以达到合同规定的规格、质量和性能，卖方承担由此产生的一切费用和风险并负担买方遭受的一切直接费用和损失。同时卖方应根据第十三条规定对更换的货物相应地延长质量保证期。</w:t>
      </w:r>
    </w:p>
    <w:p>
      <w:pPr>
        <w:numPr>
          <w:ilvl w:val="0"/>
          <w:numId w:val="24"/>
        </w:numPr>
        <w:tabs>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由于卖方原因而引起的设备或部件的更换或补齐短少的零部件的时间，以不影响工程建设进度为原则，但最迟不得晚于发现缺陷、损坏或短缺等之后</w:t>
      </w:r>
      <w:r>
        <w:rPr>
          <w:rFonts w:ascii="宋体" w:hAnsi="宋体"/>
          <w:sz w:val="24"/>
          <w:szCs w:val="24"/>
          <w:highlight w:val="none"/>
        </w:rPr>
        <w:t>1周或买卖双方商定的更长时间内，否则按延迟交货处理。</w:t>
      </w:r>
    </w:p>
    <w:p>
      <w:pPr>
        <w:numPr>
          <w:ilvl w:val="0"/>
          <w:numId w:val="24"/>
        </w:numPr>
        <w:tabs>
          <w:tab w:val="left" w:pos="1260"/>
          <w:tab w:val="clear" w:pos="1080"/>
        </w:tabs>
        <w:spacing w:line="440" w:lineRule="exact"/>
        <w:ind w:left="540" w:firstLine="0" w:firstLineChars="0"/>
        <w:rPr>
          <w:rFonts w:ascii="宋体" w:hAnsi="宋体"/>
          <w:sz w:val="24"/>
          <w:szCs w:val="24"/>
          <w:highlight w:val="none"/>
        </w:rPr>
      </w:pPr>
      <w:r>
        <w:rPr>
          <w:rFonts w:ascii="宋体" w:hAnsi="宋体"/>
          <w:sz w:val="24"/>
          <w:szCs w:val="24"/>
          <w:highlight w:val="none"/>
        </w:rPr>
        <w:t xml:space="preserve"> 如果买方提出索赔通知后个20日内卖方未能答复，该索赔应视为已被卖方接受。若卖方未能在买方提出索赔通知的20日内或买方同意的更长一些的时间内，按买方同意的上述任何一种方式处理索赔事宜，买方将从货款或卖方提供的履约保证金或质量保证金中扣回索赔金额，履约保证金或质量保证金金额不足时，买方有权向卖方进行进一步的索赔。</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第十六条</w:t>
      </w:r>
      <w:r>
        <w:rPr>
          <w:rFonts w:ascii="宋体" w:hAnsi="宋体"/>
          <w:b/>
          <w:sz w:val="24"/>
          <w:szCs w:val="24"/>
          <w:highlight w:val="none"/>
        </w:rPr>
        <w:t xml:space="preserve"> </w:t>
      </w:r>
      <w:r>
        <w:rPr>
          <w:rFonts w:hint="eastAsia" w:ascii="宋体" w:hAnsi="宋体"/>
          <w:b/>
          <w:sz w:val="24"/>
          <w:szCs w:val="24"/>
          <w:highlight w:val="none"/>
        </w:rPr>
        <w:t>安装、调试、试运和验收</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cs="Times New Roman"/>
          <w:sz w:val="24"/>
          <w:szCs w:val="24"/>
          <w:highlight w:val="none"/>
        </w:rPr>
        <w:t>本合同设备由卖方根据相关设备的技术资料、检验标准、图纸及说明书进行安装、调试、运行和维修。重要工序须经卖方现场技术服务人员签字确认。安装、调试过程中，若卖方未按相关设备的技术资料规定和安装规定而出现问题，卖方自行负责。</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在安装之前，卖方技术人员应</w:t>
      </w:r>
      <w:r>
        <w:rPr>
          <w:rFonts w:hint="eastAsia" w:ascii="宋体" w:hAnsi="宋体"/>
          <w:sz w:val="24"/>
          <w:szCs w:val="24"/>
          <w:highlight w:val="none"/>
          <w:lang w:val="en-US" w:eastAsia="zh-CN"/>
        </w:rPr>
        <w:t>说明</w:t>
      </w:r>
      <w:r>
        <w:rPr>
          <w:rFonts w:hint="eastAsia" w:ascii="宋体" w:hAnsi="宋体"/>
          <w:sz w:val="24"/>
          <w:szCs w:val="24"/>
          <w:highlight w:val="none"/>
        </w:rPr>
        <w:t>安装方法和要求。在安装过程中，</w:t>
      </w:r>
      <w:r>
        <w:rPr>
          <w:rFonts w:hint="eastAsia" w:ascii="宋体" w:hAnsi="宋体"/>
          <w:sz w:val="24"/>
          <w:szCs w:val="24"/>
          <w:highlight w:val="none"/>
          <w:lang w:val="en-US" w:eastAsia="zh-CN"/>
        </w:rPr>
        <w:t>买</w:t>
      </w:r>
      <w:r>
        <w:rPr>
          <w:rFonts w:hint="eastAsia" w:ascii="宋体" w:hAnsi="宋体"/>
          <w:sz w:val="24"/>
          <w:szCs w:val="24"/>
          <w:highlight w:val="none"/>
        </w:rPr>
        <w:t>方技术人员</w:t>
      </w:r>
      <w:r>
        <w:rPr>
          <w:rFonts w:hint="eastAsia" w:ascii="宋体" w:hAnsi="宋体"/>
          <w:sz w:val="24"/>
          <w:szCs w:val="24"/>
          <w:highlight w:val="none"/>
          <w:lang w:val="en-US" w:eastAsia="zh-CN"/>
        </w:rPr>
        <w:t>有权对</w:t>
      </w:r>
      <w:r>
        <w:rPr>
          <w:rFonts w:hint="eastAsia" w:ascii="宋体" w:hAnsi="宋体"/>
          <w:sz w:val="24"/>
          <w:szCs w:val="24"/>
          <w:highlight w:val="none"/>
        </w:rPr>
        <w:t>安装工作</w:t>
      </w:r>
      <w:r>
        <w:rPr>
          <w:rFonts w:hint="eastAsia" w:ascii="宋体" w:hAnsi="宋体"/>
          <w:sz w:val="24"/>
          <w:szCs w:val="24"/>
          <w:highlight w:val="none"/>
          <w:lang w:val="en-US" w:eastAsia="zh-CN"/>
        </w:rPr>
        <w:t>进行</w:t>
      </w:r>
      <w:r>
        <w:rPr>
          <w:rFonts w:ascii="宋体" w:hAnsi="宋体"/>
          <w:sz w:val="24"/>
          <w:szCs w:val="24"/>
          <w:highlight w:val="none"/>
        </w:rPr>
        <w:t>监督</w:t>
      </w:r>
      <w:r>
        <w:rPr>
          <w:rFonts w:hint="eastAsia" w:ascii="宋体" w:hAnsi="宋体"/>
          <w:sz w:val="24"/>
          <w:szCs w:val="24"/>
          <w:highlight w:val="none"/>
          <w:lang w:eastAsia="zh-CN"/>
        </w:rPr>
        <w:t>。</w:t>
      </w:r>
      <w:r>
        <w:rPr>
          <w:rFonts w:ascii="宋体" w:hAnsi="宋体"/>
          <w:sz w:val="24"/>
          <w:szCs w:val="24"/>
          <w:highlight w:val="none"/>
        </w:rPr>
        <w:t>在单套合同设备安装完毕后，买卖双方代表将进一步核实、确认安装工作，并共同签署安装完毕证书一式二份，买卖双方各执一份。但此证书不能解除卖方在试运行、性能验收试验和保证期内的责任，以及技术性能和保证与合同规定不相符的责任。本合同设备安装完毕后的验收工作按照技术规格书的要求进行。</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合同设备安装完毕后，卖方应派人参加调试进行指导，并应尽快解决调试中出现的因卖方原因引起的设备问题，其所需时间一般不应超过</w:t>
      </w:r>
      <w:r>
        <w:rPr>
          <w:rFonts w:ascii="宋体" w:hAnsi="宋体"/>
          <w:sz w:val="24"/>
          <w:szCs w:val="24"/>
          <w:highlight w:val="none"/>
        </w:rPr>
        <w:t>1周，对于因卖方原因引起的较大的设备问题，卖方应在双方协商确定的合理期间内解决，否则将视为延误工期进行处理。对于非卖方原因引起的设备问题，卖方应尽快协助买方予以处理。</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性能验收试验的目的是为验证合同设备是否能达到各项技术性能和保证指标。验收试验由买方负责，卖方参加。性能验收试验完毕</w:t>
      </w:r>
      <w:r>
        <w:rPr>
          <w:rFonts w:ascii="宋体" w:hAnsi="宋体"/>
          <w:sz w:val="24"/>
          <w:szCs w:val="24"/>
          <w:highlight w:val="none"/>
        </w:rPr>
        <w:t>,每套合同设备达到技术规格书所规定的各项性能保证值指标后，买方应在10天内签署由卖方会签的本合同设备初步性能验收合格证书一式二份，双方各执一份。除合同中另有规定外，各方人员所发生的费用均由该方自行负担。</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在不影响本合同设备安全、可靠运行的条件下，如有个别微小缺陷，且此缺陷按本合同条款被定为卖方责任</w:t>
      </w:r>
      <w:r>
        <w:rPr>
          <w:rFonts w:ascii="宋体" w:hAnsi="宋体"/>
          <w:sz w:val="24"/>
          <w:szCs w:val="24"/>
          <w:highlight w:val="none"/>
        </w:rPr>
        <w:t>,卖方在双方商定的时间内免费修理上述的缺陷，买方则可同意签署初步性能验收合格证书。</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如果第一次性能验收试验达不到技术规格书所规定的一项或多项性能保证值，则双方应共同分析原因，澄清责任</w:t>
      </w:r>
      <w:r>
        <w:rPr>
          <w:rFonts w:ascii="宋体" w:hAnsi="宋体"/>
          <w:sz w:val="24"/>
          <w:szCs w:val="24"/>
          <w:highlight w:val="none"/>
        </w:rPr>
        <w:t>,由责任一方采取措施，并在第一次验收试验结束后1个月内进行第二次验收试验。</w:t>
      </w:r>
    </w:p>
    <w:p>
      <w:pPr>
        <w:numPr>
          <w:ilvl w:val="0"/>
          <w:numId w:val="27"/>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如属卖方责任，卖方需自费采取有效措施以使第二次性能验收试验能达到技术性能和</w:t>
      </w:r>
      <w:r>
        <w:rPr>
          <w:rFonts w:ascii="宋体" w:hAnsi="宋体"/>
          <w:sz w:val="24"/>
          <w:szCs w:val="24"/>
          <w:highlight w:val="none"/>
        </w:rPr>
        <w:t>/或保证指标，卖方将负担所有直接的费用，包括但不仅限于下列费用：</w:t>
      </w:r>
    </w:p>
    <w:p>
      <w:pPr>
        <w:numPr>
          <w:ilvl w:val="1"/>
          <w:numId w:val="28"/>
        </w:numPr>
        <w:tabs>
          <w:tab w:val="left" w:pos="1260"/>
          <w:tab w:val="clear" w:pos="1320"/>
        </w:tabs>
        <w:spacing w:line="440" w:lineRule="exact"/>
        <w:ind w:firstLine="0" w:firstLineChars="0"/>
        <w:rPr>
          <w:rFonts w:ascii="宋体" w:hAnsi="宋体"/>
          <w:sz w:val="24"/>
          <w:szCs w:val="24"/>
          <w:highlight w:val="none"/>
        </w:rPr>
      </w:pPr>
      <w:r>
        <w:rPr>
          <w:rFonts w:hint="eastAsia" w:ascii="宋体" w:hAnsi="宋体"/>
          <w:sz w:val="24"/>
          <w:szCs w:val="24"/>
          <w:highlight w:val="none"/>
        </w:rPr>
        <w:t>替换和</w:t>
      </w:r>
      <w:r>
        <w:rPr>
          <w:rFonts w:ascii="宋体" w:hAnsi="宋体"/>
          <w:sz w:val="24"/>
          <w:szCs w:val="24"/>
          <w:highlight w:val="none"/>
        </w:rPr>
        <w:t>/或修理的设备和材料的费用；</w:t>
      </w:r>
    </w:p>
    <w:p>
      <w:pPr>
        <w:numPr>
          <w:ilvl w:val="1"/>
          <w:numId w:val="28"/>
        </w:numPr>
        <w:tabs>
          <w:tab w:val="left" w:pos="1260"/>
          <w:tab w:val="clear" w:pos="1320"/>
        </w:tabs>
        <w:spacing w:line="440" w:lineRule="exact"/>
        <w:ind w:firstLine="0" w:firstLineChars="0"/>
        <w:rPr>
          <w:rFonts w:ascii="宋体" w:hAnsi="宋体"/>
          <w:sz w:val="24"/>
          <w:szCs w:val="24"/>
          <w:highlight w:val="none"/>
        </w:rPr>
      </w:pPr>
      <w:r>
        <w:rPr>
          <w:rFonts w:hint="eastAsia" w:ascii="宋体" w:hAnsi="宋体"/>
          <w:sz w:val="24"/>
          <w:szCs w:val="24"/>
          <w:highlight w:val="none"/>
        </w:rPr>
        <w:t>参与第二次性能验收试验的卖方技术人员的费用；</w:t>
      </w:r>
    </w:p>
    <w:p>
      <w:pPr>
        <w:numPr>
          <w:ilvl w:val="1"/>
          <w:numId w:val="28"/>
        </w:numPr>
        <w:tabs>
          <w:tab w:val="left" w:pos="1260"/>
          <w:tab w:val="clear" w:pos="1320"/>
        </w:tabs>
        <w:spacing w:line="440" w:lineRule="exact"/>
        <w:ind w:firstLine="0" w:firstLineChars="0"/>
        <w:rPr>
          <w:rFonts w:ascii="宋体" w:hAnsi="宋体"/>
          <w:sz w:val="24"/>
          <w:szCs w:val="24"/>
          <w:highlight w:val="none"/>
        </w:rPr>
      </w:pPr>
      <w:r>
        <w:rPr>
          <w:rFonts w:hint="eastAsia" w:ascii="宋体" w:hAnsi="宋体"/>
          <w:sz w:val="24"/>
          <w:szCs w:val="24"/>
          <w:highlight w:val="none"/>
        </w:rPr>
        <w:t>参加修理的买方人员的费用；</w:t>
      </w:r>
    </w:p>
    <w:p>
      <w:pPr>
        <w:numPr>
          <w:ilvl w:val="1"/>
          <w:numId w:val="28"/>
        </w:numPr>
        <w:tabs>
          <w:tab w:val="left" w:pos="1260"/>
          <w:tab w:val="clear" w:pos="1320"/>
        </w:tabs>
        <w:spacing w:line="440" w:lineRule="exact"/>
        <w:ind w:firstLine="0" w:firstLineChars="0"/>
        <w:rPr>
          <w:rFonts w:ascii="宋体" w:hAnsi="宋体"/>
          <w:sz w:val="24"/>
          <w:szCs w:val="24"/>
          <w:highlight w:val="none"/>
        </w:rPr>
      </w:pPr>
      <w:r>
        <w:rPr>
          <w:rFonts w:hint="eastAsia" w:ascii="宋体" w:hAnsi="宋体"/>
          <w:sz w:val="24"/>
          <w:szCs w:val="24"/>
          <w:highlight w:val="none"/>
        </w:rPr>
        <w:t>第二次性能验收试验所使用的工具和设备的费用；</w:t>
      </w:r>
    </w:p>
    <w:p>
      <w:pPr>
        <w:numPr>
          <w:ilvl w:val="1"/>
          <w:numId w:val="28"/>
        </w:numPr>
        <w:tabs>
          <w:tab w:val="left" w:pos="1260"/>
          <w:tab w:val="clear" w:pos="1320"/>
        </w:tabs>
        <w:spacing w:line="440" w:lineRule="exact"/>
        <w:ind w:firstLine="0" w:firstLineChars="0"/>
        <w:rPr>
          <w:rFonts w:ascii="宋体" w:hAnsi="宋体"/>
          <w:sz w:val="24"/>
          <w:szCs w:val="24"/>
          <w:highlight w:val="none"/>
        </w:rPr>
      </w:pPr>
      <w:r>
        <w:rPr>
          <w:rFonts w:hint="eastAsia" w:ascii="宋体" w:hAnsi="宋体"/>
          <w:sz w:val="24"/>
          <w:szCs w:val="24"/>
          <w:highlight w:val="none"/>
        </w:rPr>
        <w:t>第二次性能验收试验所使用的材料和消耗品的费用；</w:t>
      </w:r>
    </w:p>
    <w:p>
      <w:pPr>
        <w:numPr>
          <w:ilvl w:val="1"/>
          <w:numId w:val="28"/>
        </w:numPr>
        <w:tabs>
          <w:tab w:val="left" w:pos="108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所更换和</w:t>
      </w:r>
      <w:r>
        <w:rPr>
          <w:rFonts w:ascii="宋体" w:hAnsi="宋体"/>
          <w:sz w:val="24"/>
          <w:szCs w:val="24"/>
          <w:highlight w:val="none"/>
        </w:rPr>
        <w:t>/或修理的设备和材料运离/运抵现场的所有运输和保险费用。</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第二次性能验收试验后，如仍有一项或多项指标未能达到技术规格书所规定的性能保证值，双方应共同研究，分析原因，澄清责任</w:t>
      </w:r>
      <w:r>
        <w:rPr>
          <w:rFonts w:ascii="宋体" w:hAnsi="宋体"/>
          <w:sz w:val="24"/>
          <w:szCs w:val="24"/>
          <w:highlight w:val="none"/>
        </w:rPr>
        <w:t>:</w:t>
      </w:r>
    </w:p>
    <w:p>
      <w:pPr>
        <w:numPr>
          <w:ilvl w:val="1"/>
          <w:numId w:val="29"/>
        </w:numPr>
        <w:spacing w:line="440" w:lineRule="exact"/>
        <w:ind w:firstLine="0" w:firstLineChars="0"/>
        <w:rPr>
          <w:rFonts w:ascii="宋体" w:hAnsi="宋体"/>
          <w:sz w:val="24"/>
          <w:szCs w:val="24"/>
          <w:highlight w:val="none"/>
        </w:rPr>
      </w:pPr>
      <w:r>
        <w:rPr>
          <w:rFonts w:hint="eastAsia" w:ascii="宋体" w:hAnsi="宋体"/>
          <w:sz w:val="24"/>
          <w:szCs w:val="24"/>
          <w:highlight w:val="none"/>
        </w:rPr>
        <w:t>如属卖方原因，则应按本合同第十七条执行。</w:t>
      </w:r>
    </w:p>
    <w:p>
      <w:pPr>
        <w:numPr>
          <w:ilvl w:val="1"/>
          <w:numId w:val="29"/>
        </w:numPr>
        <w:tabs>
          <w:tab w:val="left" w:pos="162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如属买方原因，本合同设备应被认为初步性能验收通过，此后</w:t>
      </w:r>
      <w:r>
        <w:rPr>
          <w:rFonts w:ascii="宋体" w:hAnsi="宋体"/>
          <w:sz w:val="24"/>
          <w:szCs w:val="24"/>
          <w:highlight w:val="none"/>
        </w:rPr>
        <w:t>10天内由买方代表签署由卖方代表会签的本合同设备初步性能验收合格证书一式二份，双方各执一份。此时卖方仍有义务向买方提供技术帮助,与买方一起采取各种措施，使合同设备达到本合同规定的技术性能和保证指标。</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初步性能验收合格证书只是证明卖方所提供的合同设备性能和参数截至出具初步性能验收证明时可以按合同要求予以接受，但不能视为卖方对合同设备中存在的可能引起合同设备损坏的潜在缺陷所应负的责任解除的证据；同样，最终性能验收合格证书也不能被视为卖方对合同设备中存在可能引起合同设备损坏的潜在缺陷应负责任的解除的证据。</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w:t>
      </w:r>
      <w:r>
        <w:rPr>
          <w:rFonts w:ascii="宋体" w:hAnsi="宋体"/>
          <w:sz w:val="24"/>
          <w:szCs w:val="24"/>
          <w:highlight w:val="none"/>
        </w:rPr>
        <w:t>/或修理、更换设备，或由于卖方设计图纸错误或卖方技术服务人员的指导错误造成返工，卖方应按下列公式向买方支付费用：（所有费用按发生时的费率水平计费）</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Ｐ＝ ａh + M + c m</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其中：Ｐ＿＿总费用(元)</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a ＿＿人工费(元/小时.人)</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h ＿＿人时(小时.人)</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M ＿＿材料费(元)</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c ＿＿台班数(台.班)</w:t>
      </w:r>
    </w:p>
    <w:p>
      <w:pPr>
        <w:spacing w:line="440" w:lineRule="exact"/>
        <w:ind w:firstLine="570" w:firstLineChars="0"/>
        <w:rPr>
          <w:rFonts w:ascii="宋体" w:hAnsi="宋体"/>
          <w:sz w:val="24"/>
          <w:szCs w:val="24"/>
          <w:highlight w:val="none"/>
        </w:rPr>
      </w:pPr>
      <w:r>
        <w:rPr>
          <w:rFonts w:ascii="宋体" w:hAnsi="宋体"/>
          <w:sz w:val="24"/>
          <w:szCs w:val="24"/>
          <w:highlight w:val="none"/>
        </w:rPr>
        <w:t xml:space="preserve">              m ＿＿每台设备的台班费(元/台.班)</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在设备寿命内</w:t>
      </w:r>
      <w:r>
        <w:rPr>
          <w:rFonts w:ascii="宋体" w:hAnsi="宋体"/>
          <w:sz w:val="24"/>
          <w:szCs w:val="24"/>
          <w:highlight w:val="none"/>
        </w:rPr>
        <w:t>,卖方欲停止或不能制造某些备品备件，卖方有义务提前通知买方，以便买方有足够时间从卖方处对所需的备品备件做最后一批订货，并且卖方有义务免费提供制造这些备品备件的图纸、样板、工具、模具及技术说明等，使买方能够为合同设备制造所需的备品备件，且买方制造这些备品备件不构成对专利及工业设计权的侵权。买方在用毕后适当的时候以合理的方式和状况归还以上各项物品。</w:t>
      </w:r>
    </w:p>
    <w:p>
      <w:pPr>
        <w:numPr>
          <w:ilvl w:val="0"/>
          <w:numId w:val="26"/>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不论合同设备的损失或损坏的责任在买方或是在卖方，卖方应首先尽快交付更换或补充此损失或损坏的设备，然后确定上述设备的费用由哪一方承担。</w:t>
      </w:r>
    </w:p>
    <w:p>
      <w:pPr>
        <w:spacing w:line="440" w:lineRule="exact"/>
        <w:ind w:left="0" w:leftChars="0" w:firstLine="482" w:firstLineChars="200"/>
        <w:rPr>
          <w:rFonts w:hint="eastAsia" w:ascii="宋体" w:hAnsi="宋体"/>
          <w:b/>
          <w:sz w:val="24"/>
          <w:szCs w:val="24"/>
          <w:highlight w:val="none"/>
        </w:rPr>
      </w:pPr>
      <w:bookmarkStart w:id="181" w:name="OLE_LINK8"/>
      <w:r>
        <w:rPr>
          <w:rFonts w:hint="eastAsia" w:ascii="宋体" w:hAnsi="宋体"/>
          <w:b/>
          <w:sz w:val="24"/>
          <w:szCs w:val="24"/>
          <w:highlight w:val="none"/>
          <w:lang w:val="en-US" w:eastAsia="zh-CN"/>
        </w:rPr>
        <w:t>第十七条</w:t>
      </w:r>
      <w:r>
        <w:rPr>
          <w:rFonts w:hint="eastAsia" w:ascii="宋体" w:hAnsi="宋体"/>
          <w:b/>
          <w:sz w:val="24"/>
          <w:szCs w:val="24"/>
          <w:highlight w:val="none"/>
        </w:rPr>
        <w:t xml:space="preserve"> 施工安全约定</w:t>
      </w:r>
      <w:bookmarkEnd w:id="181"/>
      <w:r>
        <w:rPr>
          <w:rFonts w:hint="eastAsia" w:ascii="宋体" w:hAnsi="宋体"/>
          <w:b/>
          <w:sz w:val="24"/>
          <w:szCs w:val="24"/>
          <w:highlight w:val="none"/>
        </w:rPr>
        <w:t> </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在施工期间应严格遵守《建筑安装工程安全技术规程》、《建筑安装工人安全操作规程》、《中华人民共和国消防法》和其它相关的法律、行政法规、规范及甲方的有关安全管理规定，确保施工安全。具体应遵守事项包括但不限于：</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乙方在施工生产过程发生安全事故的，乙方应立即向甲方及相关部门报告，并采取相应的应对措施。事故的一切责任及损失均由乙方承担。</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乙方应建立健全安全责任制度，制定有关的安全管理规定，设置专职或兼职的施工现场安全管理人员，加强施工现场的安全管理，确保本方施工人员在施工过程中严格遵守有关的安全生产规章制度。</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乙方在施工过程中必须按规定严格执行甲方制定的工作票制度。对甲方规定可以不使用工作票的工作，开工前应得到甲方负责人的同意。</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乙方应确保所派施工人员业务水平、身体素质及精神状态等满足施工要求，严禁使用未成年工和不适应现场安全施工要求的老、弱、病、残人员进行施工，不得安排60岁以上的人员入场作业。</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乙方开工前必须自上而下进行安全技术交底，全体施工人员均掌握工程特点及施工安全措施；乙方开工前应组织施工人员学习并掌握有关安全生产规程、规定中有关部分。</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复杂的和危险性较大的作业，乙方应制订并采取有效的施工安全技术措施。施工现场必须具有相关的安全标志牌。</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应保证安全生产条件所需资金投入，所有施工设备、工器具、施工临时电源及施工场所安全防护设施等均应定期检查，并有记录，保证其经常处于完好状态，不合格的严禁使用。施工现场必须具有相关的安全标志牌。</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乙方施工人员必须接受安全技术教育，熟知和遵守本工种的各项安全技术操作规程，定期进行安全技术考核，合格者方准上岗操作。特种作业（操作）人员，必须持证上岗。施工人员应按规定佩戴劳动防护用品。</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乙方施工人员必须在规定的施工范围内作业，不得超出施工范围，不得擅自操作施工范围外的设施设备，若确需操作的，需征得甲方值班负责人同意，由值班人员操作或在值班人员的监督下操作。</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乙方必须接受甲方的监督、管理和指导，对甲方提出的意见必须及时整改。发生人身事故或危及生产运行的不安全情况，必须立即报告甲方，并采取有效的防护措施防止事故的进一步扩大，减少损失。</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因本工程施工造成甲方或第三方人身财产损失的，乙方承担全部赔偿责任。</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甲方有权监督乙方的施工行为，对乙方施工实行安全考核。当发生安全生产责任事故、甲方发现乙方有违反安全施工管理规定行为的，甲方可依以下约定在支付进度款、结算款或履约保证金中扣除相应款项作为乙方应支付给甲方的安全违约金。</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在施工过程中，甲方每发现乙方一次违章行为，扣收乙方安全保证金 500 元，严重违章的每次扣收 1000 元。乙方违反甲方有关安全生产规章制度，并且不听从甲方建议，拒绝执行整改的，甲方可要求停工整改，按前述标准加倍扣收安全违约金。如出现违章的行为或不听从甲方建议整改的，甲方以函件形式告知乙方。</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 xml:space="preserve"> 乙方在施工过程中每发生一起轻伤事故，甲方扣收合同暂定总价的1.5%作为乙方的安全违约金；每发生一起重伤事故，甲方扣收合同暂定总价的3%作为乙方的安全违约金；发生死亡及以上事故的，扣收合同暂定总价的5%作为乙方的安全违约金。乙方发生事故隐瞒不报的，按前述标准加倍扣收。</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乙方应严格执行国家、行业的安全标准及甲方安全要求，乙方发生同类违章行为（或甲方安全要求）3次且经甲方指出后仍发生的、或因乙方原因发生轻伤事故2次以上（含本数）或发生重伤事故或死亡事故的，甲方有权按合同扣罚安全违约金后解除本合同，并没收履约保证金。因此而解除合同所造成的损失由乙方自行承担。</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甲方对施工现场的安全监督检查意见（包括施工人员违章及处罚情况、安全隐患情况等），以书面形式通知乙方，作为安全考核依据。</w:t>
      </w:r>
    </w:p>
    <w:p>
      <w:pPr>
        <w:numPr>
          <w:ilvl w:val="0"/>
          <w:numId w:val="30"/>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甲方对乙方施工的安全监督，属于甲方依自身管理需要的监管行为，其行为不构成责任主体行为，甲方无需对本工程施工中的安全事故承担任何责任。</w:t>
      </w:r>
    </w:p>
    <w:p>
      <w:pPr>
        <w:spacing w:line="440" w:lineRule="exact"/>
        <w:ind w:left="0" w:leftChars="0" w:firstLine="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第十</w:t>
      </w:r>
      <w:r>
        <w:rPr>
          <w:rFonts w:hint="eastAsia" w:ascii="宋体" w:hAnsi="宋体"/>
          <w:b/>
          <w:sz w:val="24"/>
          <w:szCs w:val="24"/>
          <w:highlight w:val="none"/>
          <w:lang w:val="en-US" w:eastAsia="zh-CN"/>
        </w:rPr>
        <w:t>八</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保证与违约金</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质保期为联动调试合格试运行后的18个月。</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卖方保证其供应的本合同设备是全新的，技术水平是先进的、成熟的、质量是优良的，设备的选型均符合安全可靠、经济运行和易于维护的要求。</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卖方保证所提交技术资料完整统一和内容正确、准确并能满足合同设备的设计、安装、调试、运行和维修的要求。</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本合同执行期间，如果卖方提供的设备有缺陷和技术资料有错误，或者由于卖方技术人员指导错误和疏忽，造成工程或合同设备的返工或报废，卖方应立即以最快捷的方式无偿予以更换和修理。如需更换，卖方应负担由此产生的到安装现场更换的一切费用，更换或修理期限应不迟于证实属卖方责任之日起的1周或双方商定的更长时间内。由于买方未按卖方所提供的技术资料、图纸、说明书和卖方现场技术服务人员的指导而进行安装、调试造成的设备损坏，由买方负责修理，更换，但卖方有义务尽快提供所需更换的部件，对于买方要求的紧急部件，卖方应安排最快的方式运输，所有费用均由买方负担。</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合同规定的质量保证期满后，由买方在14天内出具合同设备保证期满最终性能验收合格证书交给卖方。条件是：在此期间卖方应完成买方在保证期满前提出的索赔和赔偿。但卖方对非正常维修和误操作以及由于正常磨损造成的损失不负责任。</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在质量保证期内，如发现设备有缺陷，不符合本合同规定时，如属卖方责任，则买方有权向卖方提出索赔。如卖方对此索赔有异议按第十五条办理。否则卖方在接到买方索赔文件后，应立即无偿修理、更换、赔款或委托买方安排大型修理，由此产生的到安装现场的更换费用、运输费及保险费也由卖方承担。</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如由于卖方责任需要更换、修理有缺陷的设备，而使合同设备停运或推迟安装时，则保证期应按实际修理或更换所延误的时间做相应的延长。</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 xml:space="preserve"> 由于卖方责任，在第十六条规定的性能验收试验后，如经第二次验收试验(由于卖方原因)仍不能达到技术规格书所规定的一项或多项保证指标时，卖方应按下列方式承担违约责任为：卖方应在一周内予以更换设备，同时支付该设备合同价10%的违约金。</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如合同设备在质量保证期内发现属卖方责任的十分严重的缺陷（如设备性能达不到要求等）则其质量保证期将自该缺陷修正后开始重新计算。</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如果不是由于买方原因或买方没有要求推迟交货而卖方未能按本合同规定的交货期交货时（不可抗力除外），买方有权按下列比例向卖方收取违约金(不满一周按比例计算)：</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迟交1－4周，每周违约金金额为迟交货物金额的0.5％；</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迟交5－8周，每周违约金金额为迟交货物金额的1％；</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迟交9周以上，每周违约金金额为迟交货物金额的1.5％；</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每套合同设备迟交货物的违约金总金额不超过每套合同设备价格的10％。卖方支付迟交违约金，并不解除卖方按照合同继续交货的义务。</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对安装、运行有重大影响的设备迟交超过3个月时，卖方除应向买方支付合同价款10%的迟交货违约金外，还应向买方赔偿因此而遭受的损失, 此损失在履约保证金中扣除，履约保证金金额不足时，买方有权向卖方进行进一步的索赔。与此同时,买方有权终止部分或全部合同。</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如由于确属卖方责任未能按本合同规定按时交付经双方确认属严重影响关键技术资料时，买方有权按下列比例向卖方收取违约金(不满一周按比例计算)：</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迟交１周内，违约金金额为人民币2000元/批；</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迟交2－4周，违约金金额为人民币5000元/周；</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迟交4周以上，违约金金额为人民币10000元/周；</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如果由于卖方技术服务的延误、疏忽和/或错误，在执行合同中造成延误，每延误工期一周卖方将向买方支付合同价款的0.5％违约金。且卖方需支付由于卖方技术服务错误或违约造成买方的直接损失。如果由于卖方运抵现场的设备包装不符合买、卖双方达成的包装与保管技术标准与规范的要求，则买方有权要求卖方支付合同价款1%的违约金。</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卖方按本合同规定所承担的违约金总额不论单项或多项累计将不超过合同价款的30％。</w:t>
      </w:r>
    </w:p>
    <w:p>
      <w:pPr>
        <w:numPr>
          <w:ilvl w:val="0"/>
          <w:numId w:val="31"/>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卖方支付迟交违约金并不解除按合同所规定的相应义务。</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第十</w:t>
      </w:r>
      <w:r>
        <w:rPr>
          <w:rFonts w:hint="eastAsia" w:ascii="宋体" w:hAnsi="宋体"/>
          <w:b/>
          <w:sz w:val="24"/>
          <w:szCs w:val="24"/>
          <w:highlight w:val="none"/>
          <w:lang w:val="en-US" w:eastAsia="zh-CN"/>
        </w:rPr>
        <w:t>九</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不可抗力</w:t>
      </w:r>
    </w:p>
    <w:p>
      <w:pPr>
        <w:numPr>
          <w:ilvl w:val="0"/>
          <w:numId w:val="32"/>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任何一方由于不可抗力事件而影响其履行合同义务时，可以延迟履行合同义务，但延迟履行合同义务的期限和范围应仅限于受不可抗力事件影响的时间和范围，无论本合同其他条款如何规定，任何一方均不得因不可抗力事件而要求调整合同价款。</w:t>
      </w:r>
    </w:p>
    <w:p>
      <w:pPr>
        <w:numPr>
          <w:ilvl w:val="0"/>
          <w:numId w:val="32"/>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受不可抗力影响的一方应在不可抗力事故发生后，尽快将所发生的不可抗力事件的情况以传真或电报等方式通知另一方，受影响的一方同时应尽量设法缩小这种影响和由此而引起的延误，一旦不可抗力的影响消除后，应将此情况立即通知对方，并立即恢复履行受不可抗力事件影响的合同义务。</w:t>
      </w:r>
    </w:p>
    <w:p>
      <w:pPr>
        <w:numPr>
          <w:ilvl w:val="0"/>
          <w:numId w:val="32"/>
        </w:numPr>
        <w:tabs>
          <w:tab w:val="left" w:pos="540"/>
          <w:tab w:val="left" w:pos="1260"/>
          <w:tab w:val="left" w:pos="1440"/>
          <w:tab w:val="clear" w:pos="1080"/>
        </w:tabs>
        <w:spacing w:line="440" w:lineRule="exact"/>
        <w:ind w:left="540" w:firstLine="0" w:firstLineChars="0"/>
        <w:rPr>
          <w:rFonts w:hint="eastAsia" w:ascii="宋体" w:hAnsi="宋体"/>
          <w:sz w:val="24"/>
          <w:szCs w:val="24"/>
          <w:highlight w:val="none"/>
        </w:rPr>
      </w:pPr>
      <w:r>
        <w:rPr>
          <w:rFonts w:hint="eastAsia" w:ascii="宋体" w:hAnsi="宋体"/>
          <w:sz w:val="24"/>
          <w:szCs w:val="24"/>
          <w:highlight w:val="none"/>
        </w:rPr>
        <w:t>如果双方对不可抗力事件的影响估计将延续到一百天以上时，双方应通过友好协商解决本合同的执行问题。</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w:t>
      </w:r>
      <w:r>
        <w:rPr>
          <w:rFonts w:hint="eastAsia" w:ascii="宋体" w:hAnsi="宋体"/>
          <w:b/>
          <w:sz w:val="24"/>
          <w:szCs w:val="24"/>
          <w:highlight w:val="none"/>
          <w:lang w:val="en-US" w:eastAsia="zh-CN"/>
        </w:rPr>
        <w:t>二十</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违约终止合同</w:t>
      </w:r>
    </w:p>
    <w:p>
      <w:pPr>
        <w:numPr>
          <w:ilvl w:val="0"/>
          <w:numId w:val="0"/>
        </w:numPr>
        <w:tabs>
          <w:tab w:val="left" w:pos="540"/>
          <w:tab w:val="left" w:pos="1260"/>
          <w:tab w:val="left" w:pos="1440"/>
        </w:tabs>
        <w:spacing w:line="440" w:lineRule="exact"/>
        <w:ind w:left="540" w:leftChars="0"/>
        <w:rPr>
          <w:rFonts w:ascii="宋体" w:hAnsi="宋体"/>
          <w:sz w:val="24"/>
          <w:szCs w:val="24"/>
          <w:highlight w:val="none"/>
        </w:rPr>
      </w:pPr>
      <w:r>
        <w:rPr>
          <w:rFonts w:hint="eastAsia" w:ascii="宋体" w:hAnsi="宋体"/>
          <w:sz w:val="24"/>
          <w:szCs w:val="24"/>
          <w:highlight w:val="none"/>
          <w:lang w:val="en-US" w:eastAsia="zh-CN"/>
        </w:rPr>
        <w:t>20.1</w:t>
      </w:r>
      <w:r>
        <w:rPr>
          <w:rFonts w:hint="eastAsia" w:ascii="宋体" w:hAnsi="宋体"/>
          <w:sz w:val="24"/>
          <w:szCs w:val="24"/>
          <w:highlight w:val="none"/>
        </w:rPr>
        <w:t>因卖方违约，买方有权采取任何必要的措施予以补救，在下列卖方违约情况下，买方在向卖方发出书面违约通知后，可立即终止全部或部分合同：</w:t>
      </w:r>
      <w:r>
        <w:rPr>
          <w:rFonts w:ascii="宋体" w:hAnsi="宋体"/>
          <w:sz w:val="24"/>
          <w:szCs w:val="24"/>
          <w:highlight w:val="none"/>
        </w:rPr>
        <w:t xml:space="preserve"> </w:t>
      </w:r>
    </w:p>
    <w:p>
      <w:pPr>
        <w:numPr>
          <w:ilvl w:val="1"/>
          <w:numId w:val="33"/>
        </w:numPr>
        <w:tabs>
          <w:tab w:val="left" w:pos="162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卖方原因导致的迟延交货达</w:t>
      </w:r>
      <w:r>
        <w:rPr>
          <w:rFonts w:ascii="宋体" w:hAnsi="宋体"/>
          <w:sz w:val="24"/>
          <w:szCs w:val="24"/>
          <w:highlight w:val="none"/>
        </w:rPr>
        <w:t>90天时；</w:t>
      </w:r>
    </w:p>
    <w:p>
      <w:pPr>
        <w:numPr>
          <w:ilvl w:val="1"/>
          <w:numId w:val="33"/>
        </w:numPr>
        <w:tabs>
          <w:tab w:val="left" w:pos="162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卖方未能履行合同项下的任何其它义务，导致买方利益遭受严重损害的；</w:t>
      </w:r>
    </w:p>
    <w:p>
      <w:pPr>
        <w:numPr>
          <w:ilvl w:val="1"/>
          <w:numId w:val="33"/>
        </w:numPr>
        <w:tabs>
          <w:tab w:val="left" w:pos="162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卖方破产或无清偿能力。</w:t>
      </w:r>
    </w:p>
    <w:p>
      <w:pPr>
        <w:numPr>
          <w:ilvl w:val="0"/>
          <w:numId w:val="0"/>
        </w:numPr>
        <w:tabs>
          <w:tab w:val="left" w:pos="540"/>
          <w:tab w:val="left" w:pos="1260"/>
          <w:tab w:val="left" w:pos="1440"/>
        </w:tabs>
        <w:spacing w:line="440" w:lineRule="exact"/>
        <w:ind w:left="540" w:leftChars="0"/>
        <w:rPr>
          <w:rFonts w:ascii="宋体" w:hAnsi="宋体"/>
          <w:sz w:val="24"/>
          <w:szCs w:val="24"/>
          <w:highlight w:val="none"/>
        </w:rPr>
      </w:pPr>
      <w:r>
        <w:rPr>
          <w:rFonts w:hint="eastAsia" w:ascii="宋体" w:hAnsi="宋体"/>
          <w:sz w:val="24"/>
          <w:szCs w:val="24"/>
          <w:highlight w:val="none"/>
          <w:lang w:val="en-US" w:eastAsia="zh-CN"/>
        </w:rPr>
        <w:t>20.2</w:t>
      </w:r>
      <w:r>
        <w:rPr>
          <w:rFonts w:hint="eastAsia" w:ascii="宋体" w:hAnsi="宋体"/>
          <w:sz w:val="24"/>
          <w:szCs w:val="24"/>
          <w:highlight w:val="none"/>
        </w:rPr>
        <w:t>一旦买方根据第</w:t>
      </w:r>
      <w:r>
        <w:rPr>
          <w:rFonts w:ascii="宋体" w:hAnsi="宋体"/>
          <w:sz w:val="24"/>
          <w:szCs w:val="24"/>
          <w:highlight w:val="none"/>
        </w:rPr>
        <w:t>19.1款终止部分或全部合同，买方有权按其认为适当的条件和方式采购类似未交付部分货物。卖方应承担买方购买类似货物的额外费用，以及因此而造成的一切损失。但是，卖方应继续履行合同中未终止的部分。</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第二十</w:t>
      </w:r>
      <w:r>
        <w:rPr>
          <w:rFonts w:hint="eastAsia" w:ascii="宋体" w:hAnsi="宋体"/>
          <w:b/>
          <w:sz w:val="24"/>
          <w:szCs w:val="24"/>
          <w:highlight w:val="none"/>
          <w:lang w:val="en-US" w:eastAsia="zh-CN"/>
        </w:rPr>
        <w:t>一</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变更指示</w:t>
      </w:r>
    </w:p>
    <w:p>
      <w:pPr>
        <w:numPr>
          <w:ilvl w:val="0"/>
          <w:numId w:val="0"/>
        </w:numPr>
        <w:tabs>
          <w:tab w:val="left" w:pos="540"/>
          <w:tab w:val="left" w:pos="1260"/>
          <w:tab w:val="left" w:pos="1440"/>
        </w:tabs>
        <w:spacing w:line="440" w:lineRule="exact"/>
        <w:ind w:left="540" w:leftChars="0"/>
        <w:rPr>
          <w:rFonts w:ascii="宋体" w:hAnsi="宋体"/>
          <w:sz w:val="24"/>
          <w:szCs w:val="24"/>
          <w:highlight w:val="none"/>
        </w:rPr>
      </w:pPr>
      <w:r>
        <w:rPr>
          <w:rFonts w:hint="eastAsia" w:ascii="宋体" w:hAnsi="宋体"/>
          <w:sz w:val="24"/>
          <w:szCs w:val="24"/>
          <w:highlight w:val="none"/>
          <w:lang w:val="en-US" w:eastAsia="zh-CN"/>
        </w:rPr>
        <w:t>21.1</w:t>
      </w:r>
      <w:r>
        <w:rPr>
          <w:rFonts w:hint="eastAsia" w:ascii="宋体" w:hAnsi="宋体"/>
          <w:sz w:val="24"/>
          <w:szCs w:val="24"/>
          <w:highlight w:val="none"/>
        </w:rPr>
        <w:t>买方在任何时候可以按第二十三条规定向卖方发出书面指示，对合同的下列内容及相应条款作出变更或修改：</w:t>
      </w:r>
      <w:r>
        <w:rPr>
          <w:rFonts w:ascii="宋体" w:hAnsi="宋体"/>
          <w:sz w:val="24"/>
          <w:szCs w:val="24"/>
          <w:highlight w:val="none"/>
        </w:rPr>
        <w:t xml:space="preserve"> </w:t>
      </w:r>
    </w:p>
    <w:p>
      <w:pPr>
        <w:numPr>
          <w:ilvl w:val="1"/>
          <w:numId w:val="34"/>
        </w:numPr>
        <w:tabs>
          <w:tab w:val="left" w:pos="162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装运方式和包装方式；</w:t>
      </w:r>
    </w:p>
    <w:p>
      <w:pPr>
        <w:numPr>
          <w:ilvl w:val="1"/>
          <w:numId w:val="34"/>
        </w:numPr>
        <w:tabs>
          <w:tab w:val="left" w:pos="162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交货地点；</w:t>
      </w:r>
    </w:p>
    <w:p>
      <w:pPr>
        <w:numPr>
          <w:ilvl w:val="1"/>
          <w:numId w:val="34"/>
        </w:numPr>
        <w:tabs>
          <w:tab w:val="left" w:pos="1620"/>
          <w:tab w:val="clear" w:pos="1320"/>
        </w:tabs>
        <w:spacing w:line="440" w:lineRule="exact"/>
        <w:ind w:left="1620" w:hanging="720" w:firstLineChars="0"/>
        <w:rPr>
          <w:rFonts w:ascii="宋体" w:hAnsi="宋体"/>
          <w:sz w:val="24"/>
          <w:szCs w:val="24"/>
          <w:highlight w:val="none"/>
        </w:rPr>
      </w:pPr>
      <w:r>
        <w:rPr>
          <w:rFonts w:hint="eastAsia" w:ascii="宋体" w:hAnsi="宋体"/>
          <w:sz w:val="24"/>
          <w:szCs w:val="24"/>
          <w:highlight w:val="none"/>
        </w:rPr>
        <w:t>卖方须提供的服务。</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第二十</w:t>
      </w:r>
      <w:r>
        <w:rPr>
          <w:rFonts w:hint="eastAsia" w:ascii="宋体" w:hAnsi="宋体"/>
          <w:b/>
          <w:sz w:val="24"/>
          <w:szCs w:val="24"/>
          <w:highlight w:val="none"/>
          <w:lang w:val="en-US" w:eastAsia="zh-CN"/>
        </w:rPr>
        <w:t>二</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合同修改</w:t>
      </w:r>
    </w:p>
    <w:p>
      <w:pPr>
        <w:spacing w:line="440" w:lineRule="exact"/>
        <w:ind w:firstLine="570" w:firstLineChars="0"/>
        <w:rPr>
          <w:rFonts w:ascii="宋体" w:hAnsi="宋体"/>
          <w:sz w:val="24"/>
          <w:szCs w:val="24"/>
          <w:highlight w:val="none"/>
        </w:rPr>
      </w:pPr>
      <w:r>
        <w:rPr>
          <w:rFonts w:hint="eastAsia" w:ascii="宋体" w:hAnsi="宋体"/>
          <w:sz w:val="24"/>
          <w:szCs w:val="24"/>
          <w:highlight w:val="none"/>
        </w:rPr>
        <w:t>根据第二十条，欲对合同条款作出任何改动或偏离，买卖双方均须签署书面的合同修改书。</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第二十</w:t>
      </w:r>
      <w:r>
        <w:rPr>
          <w:rFonts w:hint="eastAsia" w:ascii="宋体" w:hAnsi="宋体"/>
          <w:b/>
          <w:sz w:val="24"/>
          <w:szCs w:val="24"/>
          <w:highlight w:val="none"/>
          <w:lang w:val="en-US" w:eastAsia="zh-CN"/>
        </w:rPr>
        <w:t>三</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转包与分包</w:t>
      </w:r>
    </w:p>
    <w:p>
      <w:pPr>
        <w:spacing w:line="440" w:lineRule="exact"/>
        <w:ind w:firstLine="570" w:firstLineChars="0"/>
        <w:rPr>
          <w:rFonts w:ascii="宋体" w:hAnsi="宋体"/>
          <w:sz w:val="24"/>
          <w:szCs w:val="24"/>
          <w:highlight w:val="none"/>
        </w:rPr>
      </w:pPr>
      <w:r>
        <w:rPr>
          <w:rFonts w:hint="eastAsia" w:ascii="宋体" w:hAnsi="宋体"/>
          <w:sz w:val="24"/>
          <w:szCs w:val="24"/>
          <w:highlight w:val="none"/>
        </w:rPr>
        <w:t>卖方不得将其在本合同项下的义务全部转让或分包给任何第三方。</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第二十</w:t>
      </w:r>
      <w:r>
        <w:rPr>
          <w:rFonts w:hint="eastAsia" w:ascii="宋体" w:hAnsi="宋体"/>
          <w:b/>
          <w:sz w:val="24"/>
          <w:szCs w:val="24"/>
          <w:highlight w:val="none"/>
          <w:lang w:val="en-US" w:eastAsia="zh-CN"/>
        </w:rPr>
        <w:t>四</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通知</w:t>
      </w:r>
    </w:p>
    <w:p>
      <w:pPr>
        <w:spacing w:line="440" w:lineRule="exact"/>
        <w:ind w:firstLine="570" w:firstLineChars="0"/>
        <w:rPr>
          <w:rFonts w:ascii="宋体" w:hAnsi="宋体"/>
          <w:sz w:val="24"/>
          <w:szCs w:val="24"/>
          <w:highlight w:val="none"/>
        </w:rPr>
      </w:pPr>
      <w:r>
        <w:rPr>
          <w:rFonts w:hint="eastAsia" w:ascii="宋体" w:hAnsi="宋体"/>
          <w:sz w:val="24"/>
          <w:szCs w:val="24"/>
          <w:highlight w:val="none"/>
        </w:rPr>
        <w:t>本合同任何一方给另一方的通知都应以信函或电报、传真等书面形式发送，而另一方应以书面形式确认并发送到对方明确的地址。</w:t>
      </w:r>
    </w:p>
    <w:p>
      <w:pPr>
        <w:spacing w:line="440" w:lineRule="exact"/>
        <w:ind w:firstLine="570" w:firstLineChars="0"/>
        <w:rPr>
          <w:rFonts w:ascii="宋体" w:hAnsi="宋体"/>
          <w:sz w:val="24"/>
          <w:szCs w:val="24"/>
          <w:highlight w:val="none"/>
        </w:rPr>
      </w:pPr>
    </w:p>
    <w:p>
      <w:pPr>
        <w:spacing w:line="440" w:lineRule="exact"/>
        <w:ind w:firstLine="570" w:firstLineChars="0"/>
        <w:rPr>
          <w:rFonts w:ascii="宋体" w:hAnsi="宋体"/>
          <w:b/>
          <w:sz w:val="24"/>
          <w:szCs w:val="24"/>
          <w:highlight w:val="none"/>
        </w:rPr>
      </w:pPr>
      <w:r>
        <w:rPr>
          <w:rFonts w:hint="eastAsia" w:ascii="宋体" w:hAnsi="宋体"/>
          <w:b/>
          <w:sz w:val="24"/>
          <w:szCs w:val="24"/>
          <w:highlight w:val="none"/>
        </w:rPr>
        <w:t>第二十</w:t>
      </w:r>
      <w:r>
        <w:rPr>
          <w:rFonts w:hint="eastAsia" w:ascii="宋体" w:hAnsi="宋体"/>
          <w:b/>
          <w:sz w:val="24"/>
          <w:szCs w:val="24"/>
          <w:highlight w:val="none"/>
          <w:lang w:val="en-US" w:eastAsia="zh-CN"/>
        </w:rPr>
        <w:t>五</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合同文件资料的使用</w:t>
      </w:r>
    </w:p>
    <w:p>
      <w:pPr>
        <w:numPr>
          <w:ilvl w:val="0"/>
          <w:numId w:val="0"/>
        </w:numPr>
        <w:tabs>
          <w:tab w:val="left" w:pos="540"/>
          <w:tab w:val="left" w:pos="1260"/>
          <w:tab w:val="left" w:pos="1440"/>
        </w:tabs>
        <w:spacing w:line="440" w:lineRule="exact"/>
        <w:ind w:left="540" w:leftChars="0"/>
        <w:rPr>
          <w:rFonts w:ascii="宋体" w:hAnsi="宋体"/>
          <w:sz w:val="24"/>
          <w:szCs w:val="24"/>
          <w:highlight w:val="none"/>
        </w:rPr>
      </w:pPr>
      <w:r>
        <w:rPr>
          <w:rFonts w:hint="eastAsia" w:ascii="宋体" w:hAnsi="宋体"/>
          <w:sz w:val="24"/>
          <w:szCs w:val="24"/>
          <w:highlight w:val="none"/>
          <w:lang w:val="en-US" w:eastAsia="zh-CN"/>
        </w:rPr>
        <w:t>25.1</w:t>
      </w:r>
      <w:r>
        <w:rPr>
          <w:rFonts w:hint="eastAsia" w:ascii="宋体" w:hAnsi="宋体"/>
          <w:sz w:val="24"/>
          <w:szCs w:val="24"/>
          <w:highlight w:val="none"/>
        </w:rPr>
        <w:t>除了卖方为执行合同所雇人员外，在未经买方同意的情况下，卖方不得将合同、或其中任何规定、或任何有关规格、计划或买方为上述内容向卖方提供的资料透露给任何人。卖方须在对外保密的前提下，对其雇用人员提供有关情况，所提供的情况仅限于执行合同必不可少的范围内。</w:t>
      </w:r>
    </w:p>
    <w:p>
      <w:pPr>
        <w:numPr>
          <w:ilvl w:val="0"/>
          <w:numId w:val="0"/>
        </w:numPr>
        <w:tabs>
          <w:tab w:val="left" w:pos="540"/>
          <w:tab w:val="left" w:pos="1260"/>
          <w:tab w:val="left" w:pos="1440"/>
        </w:tabs>
        <w:spacing w:line="400" w:lineRule="exact"/>
        <w:ind w:left="540" w:leftChars="0"/>
        <w:rPr>
          <w:rFonts w:ascii="宋体" w:hAnsi="宋体"/>
          <w:sz w:val="24"/>
          <w:szCs w:val="24"/>
          <w:highlight w:val="none"/>
        </w:rPr>
      </w:pPr>
      <w:r>
        <w:rPr>
          <w:rFonts w:hint="eastAsia" w:ascii="宋体" w:hAnsi="宋体"/>
          <w:sz w:val="24"/>
          <w:szCs w:val="24"/>
          <w:highlight w:val="none"/>
          <w:lang w:val="en-US" w:eastAsia="zh-CN"/>
        </w:rPr>
        <w:t>25.2</w:t>
      </w:r>
      <w:r>
        <w:rPr>
          <w:rFonts w:hint="eastAsia" w:ascii="宋体" w:hAnsi="宋体"/>
          <w:sz w:val="24"/>
          <w:szCs w:val="24"/>
          <w:highlight w:val="none"/>
        </w:rPr>
        <w:t>除非执行合同需要，在事先未得到买方同意的情况下，卖方不得使用第</w:t>
      </w:r>
      <w:r>
        <w:rPr>
          <w:rFonts w:ascii="宋体" w:hAnsi="宋体"/>
          <w:sz w:val="24"/>
          <w:szCs w:val="24"/>
          <w:highlight w:val="none"/>
        </w:rPr>
        <w:t>2</w:t>
      </w:r>
      <w:r>
        <w:rPr>
          <w:rFonts w:hint="eastAsia" w:ascii="宋体" w:hAnsi="宋体"/>
          <w:sz w:val="24"/>
          <w:szCs w:val="24"/>
          <w:highlight w:val="none"/>
          <w:lang w:val="en-US" w:eastAsia="zh-CN"/>
        </w:rPr>
        <w:t>5.2</w:t>
      </w:r>
      <w:r>
        <w:rPr>
          <w:rFonts w:ascii="宋体" w:hAnsi="宋体"/>
          <w:sz w:val="24"/>
          <w:szCs w:val="24"/>
          <w:highlight w:val="none"/>
        </w:rPr>
        <w:t>款中所列的任何文件和资料。</w:t>
      </w:r>
    </w:p>
    <w:p>
      <w:pPr>
        <w:spacing w:line="400" w:lineRule="exact"/>
        <w:ind w:firstLine="570" w:firstLineChars="0"/>
        <w:rPr>
          <w:rFonts w:ascii="宋体" w:hAnsi="宋体"/>
          <w:sz w:val="24"/>
          <w:szCs w:val="24"/>
          <w:highlight w:val="none"/>
        </w:rPr>
      </w:pPr>
    </w:p>
    <w:p>
      <w:pPr>
        <w:spacing w:line="400" w:lineRule="exact"/>
        <w:ind w:firstLine="570" w:firstLineChars="0"/>
        <w:rPr>
          <w:rFonts w:ascii="宋体" w:hAnsi="宋体"/>
          <w:b/>
          <w:sz w:val="24"/>
          <w:szCs w:val="24"/>
          <w:highlight w:val="none"/>
        </w:rPr>
      </w:pPr>
      <w:r>
        <w:rPr>
          <w:rFonts w:hint="eastAsia" w:ascii="宋体" w:hAnsi="宋体"/>
          <w:b/>
          <w:sz w:val="24"/>
          <w:szCs w:val="24"/>
          <w:highlight w:val="none"/>
        </w:rPr>
        <w:t>第二十</w:t>
      </w:r>
      <w:r>
        <w:rPr>
          <w:rFonts w:hint="eastAsia" w:ascii="宋体" w:hAnsi="宋体"/>
          <w:b/>
          <w:sz w:val="24"/>
          <w:szCs w:val="24"/>
          <w:highlight w:val="none"/>
          <w:lang w:val="en-US" w:eastAsia="zh-CN"/>
        </w:rPr>
        <w:t>六</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合同生效及其它</w:t>
      </w:r>
    </w:p>
    <w:p>
      <w:pPr>
        <w:numPr>
          <w:ilvl w:val="0"/>
          <w:numId w:val="0"/>
        </w:numPr>
        <w:tabs>
          <w:tab w:val="left" w:pos="1260"/>
          <w:tab w:val="left" w:pos="1440"/>
        </w:tabs>
        <w:spacing w:line="400" w:lineRule="exact"/>
        <w:ind w:left="540" w:leftChars="0"/>
        <w:rPr>
          <w:rFonts w:ascii="宋体" w:hAnsi="宋体"/>
          <w:sz w:val="24"/>
          <w:szCs w:val="24"/>
          <w:highlight w:val="none"/>
        </w:rPr>
      </w:pPr>
      <w:r>
        <w:rPr>
          <w:rFonts w:hint="eastAsia" w:ascii="宋体" w:hAnsi="宋体"/>
          <w:sz w:val="24"/>
          <w:szCs w:val="24"/>
          <w:highlight w:val="none"/>
          <w:lang w:val="en-US" w:eastAsia="zh-CN"/>
        </w:rPr>
        <w:t>26.1</w:t>
      </w:r>
      <w:r>
        <w:rPr>
          <w:rFonts w:hint="eastAsia" w:ascii="宋体" w:hAnsi="宋体"/>
          <w:sz w:val="24"/>
          <w:szCs w:val="24"/>
          <w:highlight w:val="none"/>
        </w:rPr>
        <w:t>本合同经双方法定代表人或其授权代表签字后，即开始生效。</w:t>
      </w:r>
    </w:p>
    <w:p>
      <w:pPr>
        <w:numPr>
          <w:ilvl w:val="0"/>
          <w:numId w:val="0"/>
        </w:numPr>
        <w:tabs>
          <w:tab w:val="left" w:pos="1260"/>
          <w:tab w:val="left" w:pos="1440"/>
        </w:tabs>
        <w:spacing w:line="400" w:lineRule="exact"/>
        <w:ind w:left="540" w:leftChars="0"/>
        <w:rPr>
          <w:rFonts w:ascii="宋体" w:hAnsi="宋体"/>
          <w:sz w:val="24"/>
          <w:szCs w:val="24"/>
          <w:highlight w:val="none"/>
        </w:rPr>
      </w:pPr>
      <w:r>
        <w:rPr>
          <w:rFonts w:hint="eastAsia" w:ascii="宋体" w:hAnsi="宋体"/>
          <w:sz w:val="24"/>
          <w:szCs w:val="24"/>
          <w:highlight w:val="none"/>
          <w:lang w:val="en-US" w:eastAsia="zh-CN"/>
        </w:rPr>
        <w:t>26.2</w:t>
      </w:r>
      <w:r>
        <w:rPr>
          <w:rFonts w:hint="eastAsia" w:ascii="宋体" w:hAnsi="宋体"/>
          <w:sz w:val="24"/>
          <w:szCs w:val="24"/>
          <w:highlight w:val="none"/>
        </w:rPr>
        <w:t>本合同有效期自合同生效日起到双方之间已完全解决了所有索赔事项并货款两清之日止。</w:t>
      </w:r>
    </w:p>
    <w:p>
      <w:pPr>
        <w:numPr>
          <w:ilvl w:val="0"/>
          <w:numId w:val="0"/>
        </w:numPr>
        <w:tabs>
          <w:tab w:val="left" w:pos="1260"/>
          <w:tab w:val="left" w:pos="1440"/>
        </w:tabs>
        <w:spacing w:line="400" w:lineRule="exact"/>
        <w:ind w:left="540" w:leftChars="0"/>
        <w:rPr>
          <w:rFonts w:ascii="宋体" w:hAnsi="宋体"/>
          <w:sz w:val="24"/>
          <w:szCs w:val="24"/>
          <w:highlight w:val="none"/>
        </w:rPr>
      </w:pPr>
      <w:r>
        <w:rPr>
          <w:rFonts w:hint="eastAsia" w:ascii="宋体" w:hAnsi="宋体"/>
          <w:sz w:val="24"/>
          <w:szCs w:val="24"/>
          <w:highlight w:val="none"/>
          <w:lang w:val="en-US" w:eastAsia="zh-CN"/>
        </w:rPr>
        <w:t>26.3</w:t>
      </w:r>
      <w:r>
        <w:rPr>
          <w:rFonts w:hint="eastAsia" w:ascii="宋体" w:hAnsi="宋体"/>
          <w:sz w:val="24"/>
          <w:szCs w:val="24"/>
          <w:highlight w:val="none"/>
        </w:rPr>
        <w:t>卖方须按技术规格书中的规定，向买方提供与合同项下货物有关的技术服务及其它相关服务。</w:t>
      </w:r>
    </w:p>
    <w:p>
      <w:pPr>
        <w:spacing w:line="400" w:lineRule="exact"/>
        <w:ind w:firstLine="570" w:firstLineChars="0"/>
        <w:rPr>
          <w:rFonts w:ascii="宋体" w:hAnsi="宋体"/>
          <w:sz w:val="24"/>
          <w:szCs w:val="24"/>
          <w:highlight w:val="none"/>
        </w:rPr>
      </w:pPr>
    </w:p>
    <w:p>
      <w:pPr>
        <w:spacing w:line="400" w:lineRule="exact"/>
        <w:ind w:firstLine="570" w:firstLineChars="0"/>
        <w:rPr>
          <w:rFonts w:hint="eastAsia" w:ascii="宋体" w:hAnsi="宋体" w:eastAsia="宋体"/>
          <w:b/>
          <w:sz w:val="24"/>
          <w:szCs w:val="24"/>
          <w:highlight w:val="none"/>
          <w:lang w:eastAsia="zh-CN"/>
        </w:rPr>
      </w:pPr>
      <w:r>
        <w:rPr>
          <w:rFonts w:hint="eastAsia" w:ascii="宋体" w:hAnsi="宋体"/>
          <w:b/>
          <w:sz w:val="24"/>
          <w:szCs w:val="24"/>
          <w:highlight w:val="none"/>
        </w:rPr>
        <w:t>第二十</w:t>
      </w:r>
      <w:r>
        <w:rPr>
          <w:rFonts w:hint="eastAsia" w:ascii="宋体" w:hAnsi="宋体"/>
          <w:b/>
          <w:sz w:val="24"/>
          <w:szCs w:val="24"/>
          <w:highlight w:val="none"/>
          <w:lang w:val="en-US" w:eastAsia="zh-CN"/>
        </w:rPr>
        <w:t>七</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lang w:val="en-US" w:eastAsia="zh-CN"/>
        </w:rPr>
        <w:t>争议解决</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27.1</w:t>
      </w:r>
      <w:r>
        <w:rPr>
          <w:rFonts w:hint="eastAsia" w:ascii="宋体" w:hAnsi="宋体" w:cs="Times New Roman"/>
          <w:sz w:val="24"/>
          <w:szCs w:val="24"/>
          <w:highlight w:val="none"/>
        </w:rPr>
        <w:t xml:space="preserve"> 因货物的质量问题发生争议的，可在国家认可的质量检测机构对货物质量进行鉴定。货物符合标准的，鉴定费由</w:t>
      </w:r>
      <w:r>
        <w:rPr>
          <w:rFonts w:hint="eastAsia" w:ascii="宋体" w:hAnsi="宋体" w:cs="Times New Roman"/>
          <w:sz w:val="24"/>
          <w:szCs w:val="24"/>
          <w:highlight w:val="none"/>
          <w:lang w:eastAsia="zh-CN"/>
        </w:rPr>
        <w:t>买方</w:t>
      </w:r>
      <w:r>
        <w:rPr>
          <w:rFonts w:hint="eastAsia" w:ascii="宋体" w:hAnsi="宋体" w:cs="Times New Roman"/>
          <w:sz w:val="24"/>
          <w:szCs w:val="24"/>
          <w:highlight w:val="none"/>
        </w:rPr>
        <w:t>承担；货物不符合质量标准的，鉴定费由</w:t>
      </w:r>
      <w:r>
        <w:rPr>
          <w:rFonts w:hint="eastAsia" w:ascii="宋体" w:hAnsi="宋体" w:cs="Times New Roman"/>
          <w:sz w:val="24"/>
          <w:szCs w:val="24"/>
          <w:highlight w:val="none"/>
          <w:lang w:eastAsia="zh-CN"/>
        </w:rPr>
        <w:t>卖方</w:t>
      </w:r>
      <w:r>
        <w:rPr>
          <w:rFonts w:hint="eastAsia" w:ascii="宋体" w:hAnsi="宋体" w:cs="Times New Roman"/>
          <w:sz w:val="24"/>
          <w:szCs w:val="24"/>
          <w:highlight w:val="none"/>
        </w:rPr>
        <w:t>承担。</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27.2</w:t>
      </w:r>
      <w:r>
        <w:rPr>
          <w:rFonts w:hint="eastAsia" w:ascii="宋体" w:hAnsi="宋体" w:cs="Times New Roman"/>
          <w:sz w:val="24"/>
          <w:szCs w:val="24"/>
          <w:highlight w:val="none"/>
        </w:rPr>
        <w:t>因履行本合同引起的或与本合同有关的争议，甲、乙双方应首先通过友好协商解决；如果协商不能解决争议，</w:t>
      </w:r>
      <w:r>
        <w:rPr>
          <w:rFonts w:hint="eastAsia" w:ascii="宋体" w:hAnsi="宋体" w:cs="Times New Roman"/>
          <w:sz w:val="24"/>
          <w:szCs w:val="24"/>
          <w:highlight w:val="none"/>
          <w:lang w:eastAsia="zh-CN"/>
        </w:rPr>
        <w:t>买卖</w:t>
      </w:r>
      <w:r>
        <w:rPr>
          <w:rFonts w:hint="eastAsia" w:ascii="宋体" w:hAnsi="宋体" w:cs="Times New Roman"/>
          <w:sz w:val="24"/>
          <w:szCs w:val="24"/>
          <w:highlight w:val="none"/>
        </w:rPr>
        <w:t>双方同意采取下列两种方式的第（ 1 ）种方式解决争议：</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rPr>
        <w:t>（1）向</w:t>
      </w:r>
      <w:r>
        <w:rPr>
          <w:rFonts w:hint="eastAsia" w:ascii="宋体" w:hAnsi="宋体" w:cs="Times New Roman"/>
          <w:sz w:val="24"/>
          <w:szCs w:val="24"/>
          <w:highlight w:val="none"/>
          <w:lang w:eastAsia="zh-CN"/>
        </w:rPr>
        <w:t>买方</w:t>
      </w:r>
      <w:r>
        <w:rPr>
          <w:rFonts w:hint="eastAsia" w:ascii="宋体" w:hAnsi="宋体" w:cs="Times New Roman"/>
          <w:sz w:val="24"/>
          <w:szCs w:val="24"/>
          <w:highlight w:val="none"/>
        </w:rPr>
        <w:t>所在地有管辖权的人民法院提起诉讼，适用中华人民共和国法律；</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rPr>
        <w:t>（2）向扬州仲裁委员会按其仲裁规则申请仲裁。</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27.3</w:t>
      </w:r>
      <w:r>
        <w:rPr>
          <w:rFonts w:hint="eastAsia" w:ascii="宋体" w:hAnsi="宋体" w:cs="Times New Roman"/>
          <w:sz w:val="24"/>
          <w:szCs w:val="24"/>
          <w:highlight w:val="none"/>
        </w:rPr>
        <w:t xml:space="preserve"> 若</w:t>
      </w:r>
      <w:r>
        <w:rPr>
          <w:rFonts w:hint="eastAsia" w:ascii="宋体" w:hAnsi="宋体" w:cs="Times New Roman"/>
          <w:sz w:val="24"/>
          <w:szCs w:val="24"/>
          <w:highlight w:val="none"/>
          <w:lang w:eastAsia="zh-CN"/>
        </w:rPr>
        <w:t>买卖</w:t>
      </w:r>
      <w:r>
        <w:rPr>
          <w:rFonts w:hint="eastAsia" w:ascii="宋体" w:hAnsi="宋体" w:cs="Times New Roman"/>
          <w:sz w:val="24"/>
          <w:szCs w:val="24"/>
          <w:highlight w:val="none"/>
        </w:rPr>
        <w:t>双方任何一方都没有选择解除合同的，为避免扩大损失，在诉讼或仲裁期间，双方应继续履行。</w:t>
      </w:r>
    </w:p>
    <w:p>
      <w:pPr>
        <w:pStyle w:val="39"/>
        <w:rPr>
          <w:highlight w:val="none"/>
        </w:rPr>
      </w:pPr>
    </w:p>
    <w:p>
      <w:pPr>
        <w:tabs>
          <w:tab w:val="left" w:pos="1260"/>
          <w:tab w:val="left" w:pos="1440"/>
        </w:tabs>
        <w:spacing w:line="400" w:lineRule="exact"/>
        <w:ind w:left="720" w:firstLine="0" w:firstLineChars="0"/>
        <w:rPr>
          <w:rFonts w:ascii="宋体" w:hAnsi="宋体"/>
          <w:sz w:val="24"/>
          <w:szCs w:val="24"/>
          <w:highlight w:val="none"/>
        </w:rPr>
      </w:pPr>
    </w:p>
    <w:p>
      <w:pPr>
        <w:spacing w:line="400" w:lineRule="exact"/>
        <w:ind w:firstLine="570" w:firstLineChars="0"/>
        <w:rPr>
          <w:rFonts w:ascii="宋体" w:hAnsi="宋体"/>
          <w:b/>
          <w:sz w:val="24"/>
          <w:szCs w:val="24"/>
          <w:highlight w:val="none"/>
        </w:rPr>
      </w:pPr>
      <w:r>
        <w:rPr>
          <w:rFonts w:hint="eastAsia" w:ascii="宋体" w:hAnsi="宋体"/>
          <w:b/>
          <w:sz w:val="24"/>
          <w:szCs w:val="24"/>
          <w:highlight w:val="none"/>
        </w:rPr>
        <w:t>第二十</w:t>
      </w:r>
      <w:r>
        <w:rPr>
          <w:rFonts w:hint="eastAsia" w:ascii="宋体" w:hAnsi="宋体"/>
          <w:b/>
          <w:sz w:val="24"/>
          <w:szCs w:val="24"/>
          <w:highlight w:val="none"/>
          <w:lang w:val="en-US" w:eastAsia="zh-CN"/>
        </w:rPr>
        <w:t>八</w:t>
      </w:r>
      <w:r>
        <w:rPr>
          <w:rFonts w:hint="eastAsia" w:ascii="宋体" w:hAnsi="宋体"/>
          <w:b/>
          <w:sz w:val="24"/>
          <w:szCs w:val="24"/>
          <w:highlight w:val="none"/>
        </w:rPr>
        <w:t>条</w:t>
      </w:r>
      <w:r>
        <w:rPr>
          <w:rFonts w:ascii="宋体" w:hAnsi="宋体"/>
          <w:b/>
          <w:sz w:val="24"/>
          <w:szCs w:val="24"/>
          <w:highlight w:val="none"/>
        </w:rPr>
        <w:t xml:space="preserve">  </w:t>
      </w:r>
      <w:r>
        <w:rPr>
          <w:rFonts w:hint="eastAsia" w:ascii="宋体" w:hAnsi="宋体"/>
          <w:b/>
          <w:sz w:val="24"/>
          <w:szCs w:val="24"/>
          <w:highlight w:val="none"/>
        </w:rPr>
        <w:t>其他</w:t>
      </w:r>
    </w:p>
    <w:p>
      <w:pPr>
        <w:numPr>
          <w:ilvl w:val="0"/>
          <w:numId w:val="0"/>
        </w:numPr>
        <w:tabs>
          <w:tab w:val="left" w:pos="540"/>
          <w:tab w:val="left" w:pos="1260"/>
          <w:tab w:val="left" w:pos="1440"/>
        </w:tabs>
        <w:spacing w:line="400" w:lineRule="exact"/>
        <w:ind w:left="540" w:leftChars="0"/>
        <w:rPr>
          <w:rFonts w:ascii="宋体" w:hAnsi="宋体"/>
          <w:sz w:val="24"/>
          <w:szCs w:val="24"/>
          <w:highlight w:val="none"/>
        </w:rPr>
      </w:pPr>
      <w:r>
        <w:rPr>
          <w:rFonts w:hint="eastAsia" w:ascii="宋体" w:hAnsi="宋体"/>
          <w:sz w:val="24"/>
          <w:szCs w:val="24"/>
          <w:highlight w:val="none"/>
          <w:lang w:val="en-US" w:eastAsia="zh-CN"/>
        </w:rPr>
        <w:t>28.1</w:t>
      </w:r>
      <w:r>
        <w:rPr>
          <w:rFonts w:hint="eastAsia" w:ascii="宋体" w:hAnsi="宋体"/>
          <w:sz w:val="24"/>
          <w:szCs w:val="24"/>
          <w:highlight w:val="none"/>
        </w:rPr>
        <w:t>本合同正本贰份，买方、卖方双方各执壹份，副本伍份，买方执肆份、卖方执壹份。下述合同附件为本合同不可分割的部分并与本合同具有同等效力：</w:t>
      </w:r>
    </w:p>
    <w:p>
      <w:pPr>
        <w:numPr>
          <w:ilvl w:val="0"/>
          <w:numId w:val="0"/>
        </w:numPr>
        <w:tabs>
          <w:tab w:val="left" w:pos="1260"/>
          <w:tab w:val="left" w:pos="1440"/>
        </w:tabs>
        <w:spacing w:line="400" w:lineRule="exact"/>
        <w:ind w:left="540" w:leftChars="0"/>
        <w:rPr>
          <w:rFonts w:ascii="宋体" w:hAnsi="宋体"/>
          <w:b/>
          <w:sz w:val="24"/>
          <w:szCs w:val="24"/>
          <w:highlight w:val="none"/>
        </w:rPr>
      </w:pPr>
      <w:r>
        <w:rPr>
          <w:rFonts w:hint="eastAsia" w:ascii="宋体" w:hAnsi="宋体"/>
          <w:sz w:val="24"/>
          <w:szCs w:val="24"/>
          <w:highlight w:val="none"/>
          <w:lang w:val="en-US" w:eastAsia="zh-CN"/>
        </w:rPr>
        <w:t>28.2</w:t>
      </w:r>
      <w:r>
        <w:rPr>
          <w:rFonts w:hint="eastAsia" w:ascii="宋体" w:hAnsi="宋体"/>
          <w:sz w:val="24"/>
          <w:szCs w:val="24"/>
          <w:highlight w:val="none"/>
        </w:rPr>
        <w:t>本合同若有未尽事宜，以招标文件为准，或经双方协商一致后签订的补充合同。</w:t>
      </w:r>
    </w:p>
    <w:p>
      <w:pPr>
        <w:spacing w:line="400" w:lineRule="exact"/>
        <w:ind w:firstLine="602" w:firstLineChars="250"/>
        <w:rPr>
          <w:rFonts w:ascii="宋体" w:hAnsi="宋体"/>
          <w:b/>
          <w:sz w:val="24"/>
          <w:szCs w:val="24"/>
          <w:highlight w:val="none"/>
        </w:rPr>
      </w:pPr>
      <w:r>
        <w:rPr>
          <w:rFonts w:hint="eastAsia" w:ascii="宋体" w:hAnsi="宋体"/>
          <w:b/>
          <w:sz w:val="24"/>
          <w:szCs w:val="24"/>
          <w:highlight w:val="none"/>
        </w:rPr>
        <w:t>附件：履约保函格式</w:t>
      </w:r>
    </w:p>
    <w:p>
      <w:pPr>
        <w:spacing w:line="400" w:lineRule="exact"/>
        <w:ind w:firstLine="0" w:firstLineChars="0"/>
        <w:rPr>
          <w:rFonts w:ascii="宋体" w:hAnsi="宋体"/>
          <w:sz w:val="24"/>
          <w:szCs w:val="24"/>
          <w:highlight w:val="none"/>
        </w:rPr>
      </w:pPr>
    </w:p>
    <w:p>
      <w:pPr>
        <w:spacing w:line="400" w:lineRule="exact"/>
        <w:ind w:firstLine="0" w:firstLineChars="0"/>
        <w:rPr>
          <w:rFonts w:ascii="宋体" w:hAnsi="宋体"/>
          <w:sz w:val="24"/>
          <w:szCs w:val="24"/>
          <w:highlight w:val="none"/>
        </w:rPr>
      </w:pPr>
      <w:r>
        <w:rPr>
          <w:rFonts w:hint="eastAsia" w:ascii="宋体" w:hAnsi="宋体"/>
          <w:sz w:val="24"/>
          <w:szCs w:val="24"/>
          <w:highlight w:val="none"/>
        </w:rPr>
        <w:t>买方：</w:t>
      </w:r>
      <w:r>
        <w:rPr>
          <w:rFonts w:ascii="宋体" w:hAnsi="宋体"/>
          <w:sz w:val="24"/>
          <w:szCs w:val="24"/>
          <w:highlight w:val="none"/>
        </w:rPr>
        <w:t xml:space="preserve">                             </w:t>
      </w:r>
      <w:r>
        <w:rPr>
          <w:rFonts w:hint="eastAsia" w:ascii="宋体" w:hAnsi="宋体"/>
          <w:sz w:val="24"/>
          <w:szCs w:val="24"/>
          <w:highlight w:val="none"/>
        </w:rPr>
        <w:t>卖方：</w:t>
      </w:r>
    </w:p>
    <w:p>
      <w:pPr>
        <w:spacing w:line="400" w:lineRule="exact"/>
        <w:ind w:firstLine="0" w:firstLineChars="0"/>
        <w:rPr>
          <w:rFonts w:ascii="宋体" w:hAnsi="宋体"/>
          <w:sz w:val="24"/>
          <w:szCs w:val="24"/>
          <w:highlight w:val="none"/>
        </w:rPr>
      </w:pPr>
      <w:r>
        <w:rPr>
          <w:rFonts w:hint="eastAsia" w:ascii="宋体" w:hAnsi="宋体"/>
          <w:sz w:val="24"/>
          <w:szCs w:val="24"/>
          <w:highlight w:val="none"/>
        </w:rPr>
        <w:t>授权代表人：</w:t>
      </w:r>
      <w:r>
        <w:rPr>
          <w:rFonts w:ascii="宋体" w:hAnsi="宋体"/>
          <w:sz w:val="24"/>
          <w:szCs w:val="24"/>
          <w:highlight w:val="none"/>
        </w:rPr>
        <w:t xml:space="preserve">       </w:t>
      </w:r>
      <w:r>
        <w:rPr>
          <w:rFonts w:hint="eastAsia" w:ascii="宋体" w:hAnsi="宋体"/>
          <w:sz w:val="24"/>
          <w:szCs w:val="24"/>
          <w:highlight w:val="none"/>
        </w:rPr>
        <w:t>　　　　　</w:t>
      </w:r>
      <w:r>
        <w:rPr>
          <w:rFonts w:ascii="宋体" w:hAnsi="宋体"/>
          <w:sz w:val="24"/>
          <w:szCs w:val="24"/>
          <w:highlight w:val="none"/>
        </w:rPr>
        <w:t xml:space="preserve">      </w:t>
      </w:r>
      <w:r>
        <w:rPr>
          <w:rFonts w:hint="eastAsia" w:ascii="宋体" w:hAnsi="宋体"/>
          <w:sz w:val="24"/>
          <w:szCs w:val="24"/>
          <w:highlight w:val="none"/>
        </w:rPr>
        <w:t>授权代表人：</w:t>
      </w:r>
    </w:p>
    <w:p>
      <w:pPr>
        <w:spacing w:line="400" w:lineRule="exact"/>
        <w:ind w:left="4680" w:hanging="4680" w:hangingChars="1950"/>
        <w:rPr>
          <w:rFonts w:ascii="宋体" w:hAnsi="宋体"/>
          <w:sz w:val="24"/>
          <w:szCs w:val="24"/>
          <w:highlight w:val="none"/>
        </w:rPr>
      </w:pPr>
      <w:r>
        <w:rPr>
          <w:rFonts w:hint="eastAsia" w:ascii="宋体" w:hAnsi="宋体"/>
          <w:sz w:val="24"/>
          <w:szCs w:val="24"/>
          <w:highlight w:val="none"/>
        </w:rPr>
        <w:t>开户银行：</w:t>
      </w:r>
      <w:r>
        <w:rPr>
          <w:rFonts w:ascii="宋体" w:hAnsi="宋体"/>
          <w:sz w:val="24"/>
          <w:szCs w:val="24"/>
          <w:highlight w:val="none"/>
        </w:rPr>
        <w:t xml:space="preserve">            </w:t>
      </w:r>
      <w:r>
        <w:rPr>
          <w:rFonts w:hint="eastAsia" w:ascii="宋体" w:hAnsi="宋体"/>
          <w:sz w:val="24"/>
          <w:szCs w:val="24"/>
          <w:highlight w:val="none"/>
        </w:rPr>
        <w:t>　　　　</w:t>
      </w:r>
      <w:r>
        <w:rPr>
          <w:rFonts w:ascii="宋体" w:hAnsi="宋体"/>
          <w:sz w:val="24"/>
          <w:szCs w:val="24"/>
          <w:highlight w:val="none"/>
        </w:rPr>
        <w:t xml:space="preserve">     </w:t>
      </w:r>
      <w:r>
        <w:rPr>
          <w:rFonts w:hint="eastAsia" w:ascii="宋体" w:hAnsi="宋体"/>
          <w:sz w:val="24"/>
          <w:szCs w:val="24"/>
          <w:highlight w:val="none"/>
        </w:rPr>
        <w:t>开户银行：</w:t>
      </w:r>
    </w:p>
    <w:p>
      <w:pPr>
        <w:spacing w:line="400" w:lineRule="exact"/>
        <w:ind w:firstLine="0" w:firstLineChars="0"/>
        <w:rPr>
          <w:rFonts w:ascii="宋体" w:hAnsi="宋体"/>
          <w:sz w:val="24"/>
          <w:szCs w:val="24"/>
          <w:highlight w:val="none"/>
        </w:rPr>
      </w:pPr>
      <w:r>
        <w:rPr>
          <w:rFonts w:hint="eastAsia" w:ascii="宋体" w:hAnsi="宋体"/>
          <w:sz w:val="24"/>
          <w:szCs w:val="24"/>
          <w:highlight w:val="none"/>
        </w:rPr>
        <w:t>账　号：</w:t>
      </w:r>
      <w:r>
        <w:rPr>
          <w:rFonts w:ascii="宋体" w:hAnsi="宋体"/>
          <w:sz w:val="24"/>
          <w:szCs w:val="24"/>
          <w:highlight w:val="none"/>
        </w:rPr>
        <w:t xml:space="preserve">                   </w:t>
      </w:r>
      <w:r>
        <w:rPr>
          <w:rFonts w:hint="eastAsia" w:ascii="宋体" w:hAnsi="宋体"/>
          <w:sz w:val="24"/>
          <w:szCs w:val="24"/>
          <w:highlight w:val="none"/>
        </w:rPr>
        <w:t>　</w:t>
      </w:r>
      <w:r>
        <w:rPr>
          <w:rFonts w:ascii="宋体" w:hAnsi="宋体"/>
          <w:sz w:val="24"/>
          <w:szCs w:val="24"/>
          <w:highlight w:val="none"/>
        </w:rPr>
        <w:t xml:space="preserve">      </w:t>
      </w:r>
      <w:r>
        <w:rPr>
          <w:rFonts w:hint="eastAsia" w:ascii="宋体" w:hAnsi="宋体"/>
          <w:sz w:val="24"/>
          <w:szCs w:val="24"/>
          <w:highlight w:val="none"/>
        </w:rPr>
        <w:t>账　号：</w:t>
      </w:r>
    </w:p>
    <w:p>
      <w:pPr>
        <w:spacing w:line="400" w:lineRule="exact"/>
        <w:ind w:left="720" w:hanging="720" w:hangingChars="300"/>
        <w:jc w:val="left"/>
        <w:rPr>
          <w:rFonts w:ascii="宋体" w:hAnsi="宋体"/>
          <w:sz w:val="24"/>
          <w:szCs w:val="24"/>
          <w:highlight w:val="none"/>
        </w:rPr>
      </w:pPr>
      <w:r>
        <w:rPr>
          <w:rFonts w:hint="eastAsia" w:ascii="宋体" w:hAnsi="宋体"/>
          <w:sz w:val="24"/>
          <w:szCs w:val="24"/>
          <w:highlight w:val="none"/>
        </w:rPr>
        <w:t>地址：</w:t>
      </w:r>
      <w:r>
        <w:rPr>
          <w:rFonts w:ascii="宋体" w:hAnsi="宋体"/>
          <w:sz w:val="24"/>
          <w:szCs w:val="24"/>
          <w:highlight w:val="none"/>
        </w:rPr>
        <w:t xml:space="preserve">                             </w:t>
      </w:r>
      <w:r>
        <w:rPr>
          <w:rFonts w:hint="eastAsia" w:ascii="宋体" w:hAnsi="宋体"/>
          <w:sz w:val="24"/>
          <w:szCs w:val="24"/>
          <w:highlight w:val="none"/>
        </w:rPr>
        <w:t>地</w:t>
      </w:r>
      <w:r>
        <w:rPr>
          <w:rFonts w:ascii="宋体" w:hAnsi="宋体"/>
          <w:sz w:val="24"/>
          <w:szCs w:val="24"/>
          <w:highlight w:val="none"/>
        </w:rPr>
        <w:t xml:space="preserve">  </w:t>
      </w:r>
      <w:r>
        <w:rPr>
          <w:rFonts w:hint="eastAsia" w:ascii="宋体" w:hAnsi="宋体"/>
          <w:sz w:val="24"/>
          <w:szCs w:val="24"/>
          <w:highlight w:val="none"/>
        </w:rPr>
        <w:t>址：</w:t>
      </w:r>
    </w:p>
    <w:p>
      <w:pPr>
        <w:spacing w:line="400" w:lineRule="exact"/>
        <w:ind w:firstLine="0" w:firstLineChars="0"/>
        <w:rPr>
          <w:rFonts w:ascii="宋体" w:hAnsi="宋体"/>
          <w:sz w:val="24"/>
          <w:szCs w:val="24"/>
          <w:highlight w:val="none"/>
        </w:rPr>
      </w:pPr>
      <w:r>
        <w:rPr>
          <w:rFonts w:hint="eastAsia" w:ascii="宋体" w:hAnsi="宋体"/>
          <w:sz w:val="24"/>
          <w:szCs w:val="24"/>
          <w:highlight w:val="none"/>
        </w:rPr>
        <w:t>邮　编：</w:t>
      </w:r>
      <w:r>
        <w:rPr>
          <w:rFonts w:ascii="宋体" w:hAnsi="宋体"/>
          <w:sz w:val="24"/>
          <w:szCs w:val="24"/>
          <w:highlight w:val="none"/>
        </w:rPr>
        <w:t xml:space="preserve">      </w:t>
      </w:r>
      <w:r>
        <w:rPr>
          <w:rFonts w:hint="eastAsia" w:ascii="宋体" w:hAnsi="宋体"/>
          <w:sz w:val="24"/>
          <w:szCs w:val="24"/>
          <w:highlight w:val="none"/>
        </w:rPr>
        <w:t>　　　　　　　　</w:t>
      </w:r>
      <w:r>
        <w:rPr>
          <w:rFonts w:ascii="宋体" w:hAnsi="宋体"/>
          <w:sz w:val="24"/>
          <w:szCs w:val="24"/>
          <w:highlight w:val="none"/>
        </w:rPr>
        <w:t xml:space="preserve">     </w:t>
      </w:r>
      <w:r>
        <w:rPr>
          <w:rFonts w:hint="eastAsia" w:ascii="宋体" w:hAnsi="宋体"/>
          <w:sz w:val="24"/>
          <w:szCs w:val="24"/>
          <w:highlight w:val="none"/>
        </w:rPr>
        <w:t>邮　编：</w:t>
      </w:r>
    </w:p>
    <w:p>
      <w:pPr>
        <w:spacing w:line="400" w:lineRule="exact"/>
        <w:ind w:firstLine="0" w:firstLineChars="0"/>
        <w:rPr>
          <w:rFonts w:ascii="宋体" w:hAnsi="宋体"/>
          <w:sz w:val="24"/>
          <w:szCs w:val="24"/>
          <w:highlight w:val="none"/>
        </w:rPr>
      </w:pPr>
      <w:r>
        <w:rPr>
          <w:rFonts w:hint="eastAsia" w:ascii="宋体" w:hAnsi="宋体"/>
          <w:sz w:val="24"/>
          <w:szCs w:val="24"/>
          <w:highlight w:val="none"/>
        </w:rPr>
        <w:t>电　话：</w:t>
      </w:r>
      <w:r>
        <w:rPr>
          <w:rFonts w:ascii="宋体" w:hAnsi="宋体"/>
          <w:sz w:val="24"/>
          <w:szCs w:val="24"/>
          <w:highlight w:val="none"/>
        </w:rPr>
        <w:t xml:space="preserve">                  </w:t>
      </w:r>
      <w:r>
        <w:rPr>
          <w:rFonts w:hint="eastAsia" w:ascii="宋体" w:hAnsi="宋体"/>
          <w:sz w:val="24"/>
          <w:szCs w:val="24"/>
          <w:highlight w:val="none"/>
        </w:rPr>
        <w:t>　　</w:t>
      </w:r>
      <w:r>
        <w:rPr>
          <w:rFonts w:ascii="宋体" w:hAnsi="宋体"/>
          <w:sz w:val="24"/>
          <w:szCs w:val="24"/>
          <w:highlight w:val="none"/>
        </w:rPr>
        <w:t xml:space="preserve">     </w:t>
      </w:r>
      <w:r>
        <w:rPr>
          <w:rFonts w:hint="eastAsia" w:ascii="宋体" w:hAnsi="宋体"/>
          <w:sz w:val="24"/>
          <w:szCs w:val="24"/>
          <w:highlight w:val="none"/>
        </w:rPr>
        <w:t>电　话：</w:t>
      </w:r>
    </w:p>
    <w:p>
      <w:pPr>
        <w:spacing w:line="400" w:lineRule="exact"/>
        <w:ind w:firstLine="0" w:firstLineChars="0"/>
        <w:rPr>
          <w:rFonts w:ascii="黑体" w:hAnsi="宋体" w:eastAsia="黑体"/>
          <w:sz w:val="32"/>
          <w:szCs w:val="32"/>
          <w:highlight w:val="none"/>
        </w:rPr>
      </w:pPr>
      <w:r>
        <w:rPr>
          <w:rFonts w:hint="eastAsia" w:ascii="宋体" w:hAnsi="宋体"/>
          <w:sz w:val="24"/>
          <w:szCs w:val="24"/>
          <w:highlight w:val="none"/>
        </w:rPr>
        <w:t>日期：</w:t>
      </w:r>
      <w:r>
        <w:rPr>
          <w:rFonts w:ascii="宋体" w:hAnsi="宋体"/>
          <w:sz w:val="24"/>
          <w:szCs w:val="24"/>
          <w:highlight w:val="none"/>
        </w:rPr>
        <w:t xml:space="preserve">                             </w:t>
      </w:r>
      <w:r>
        <w:rPr>
          <w:rFonts w:hint="eastAsia" w:ascii="宋体" w:hAnsi="宋体"/>
          <w:sz w:val="24"/>
          <w:szCs w:val="24"/>
          <w:highlight w:val="none"/>
        </w:rPr>
        <w:t>日期：</w:t>
      </w:r>
      <w:r>
        <w:rPr>
          <w:rFonts w:ascii="黑体" w:hAnsi="宋体" w:eastAsia="黑体"/>
          <w:sz w:val="32"/>
          <w:szCs w:val="32"/>
          <w:highlight w:val="none"/>
        </w:rPr>
        <w:br w:type="page"/>
      </w:r>
      <w:r>
        <w:rPr>
          <w:rFonts w:hint="eastAsia" w:ascii="黑体" w:hAnsi="宋体" w:eastAsia="黑体"/>
          <w:sz w:val="32"/>
          <w:szCs w:val="32"/>
          <w:highlight w:val="none"/>
        </w:rPr>
        <w:t>附</w:t>
      </w:r>
      <w:r>
        <w:rPr>
          <w:rFonts w:ascii="黑体" w:hAnsi="宋体" w:eastAsia="黑体"/>
          <w:sz w:val="32"/>
          <w:szCs w:val="32"/>
          <w:highlight w:val="none"/>
        </w:rPr>
        <w:t xml:space="preserve">  </w:t>
      </w:r>
      <w:r>
        <w:rPr>
          <w:rFonts w:hint="eastAsia" w:ascii="黑体" w:hAnsi="宋体" w:eastAsia="黑体"/>
          <w:sz w:val="32"/>
          <w:szCs w:val="32"/>
          <w:highlight w:val="none"/>
        </w:rPr>
        <w:t>件</w:t>
      </w:r>
    </w:p>
    <w:p>
      <w:pPr>
        <w:ind w:firstLine="480"/>
        <w:jc w:val="center"/>
        <w:rPr>
          <w:rFonts w:eastAsia="黑体"/>
          <w:sz w:val="24"/>
          <w:szCs w:val="24"/>
          <w:highlight w:val="none"/>
        </w:rPr>
      </w:pPr>
      <w:r>
        <w:rPr>
          <w:rFonts w:eastAsia="黑体"/>
          <w:sz w:val="24"/>
          <w:szCs w:val="24"/>
          <w:highlight w:val="none"/>
        </w:rPr>
        <w:t xml:space="preserve">                                              </w:t>
      </w:r>
    </w:p>
    <w:p>
      <w:pPr>
        <w:ind w:firstLine="0" w:firstLineChars="0"/>
        <w:jc w:val="center"/>
        <w:rPr>
          <w:rFonts w:ascii="宋体" w:hAnsi="宋体"/>
          <w:b/>
          <w:sz w:val="28"/>
          <w:szCs w:val="24"/>
          <w:highlight w:val="none"/>
        </w:rPr>
      </w:pPr>
      <w:r>
        <w:rPr>
          <w:rFonts w:hint="eastAsia" w:ascii="宋体" w:hAnsi="宋体"/>
          <w:b/>
          <w:sz w:val="28"/>
          <w:szCs w:val="24"/>
          <w:highlight w:val="none"/>
        </w:rPr>
        <w:t>履约保函格式</w:t>
      </w:r>
    </w:p>
    <w:p>
      <w:pPr>
        <w:snapToGrid w:val="0"/>
        <w:spacing w:line="360" w:lineRule="auto"/>
        <w:ind w:firstLine="0" w:firstLineChars="0"/>
        <w:rPr>
          <w:rFonts w:ascii="宋体" w:hAnsi="宋体"/>
          <w:sz w:val="24"/>
          <w:szCs w:val="24"/>
          <w:highlight w:val="none"/>
        </w:rPr>
      </w:pPr>
      <w:r>
        <w:rPr>
          <w:rFonts w:hint="eastAsia" w:ascii="宋体" w:hAnsi="宋体"/>
          <w:sz w:val="24"/>
          <w:szCs w:val="24"/>
          <w:highlight w:val="none"/>
        </w:rPr>
        <w:t>致：</w:t>
      </w:r>
      <w:r>
        <w:rPr>
          <w:rFonts w:ascii="宋体" w:hAnsi="宋体"/>
          <w:sz w:val="24"/>
          <w:szCs w:val="24"/>
          <w:highlight w:val="none"/>
          <w:u w:val="single"/>
        </w:rPr>
        <w:t xml:space="preserve">        [买方名称、地址]           </w:t>
      </w:r>
    </w:p>
    <w:p>
      <w:pPr>
        <w:snapToGrid w:val="0"/>
        <w:spacing w:line="360" w:lineRule="auto"/>
        <w:ind w:firstLine="0" w:firstLineChars="0"/>
        <w:rPr>
          <w:rFonts w:ascii="宋体" w:hAnsi="宋体"/>
          <w:sz w:val="24"/>
          <w:szCs w:val="24"/>
          <w:highlight w:val="none"/>
        </w:rPr>
      </w:pPr>
      <w:r>
        <w:rPr>
          <w:rFonts w:ascii="宋体" w:hAnsi="宋体"/>
          <w:sz w:val="24"/>
          <w:szCs w:val="24"/>
          <w:highlight w:val="none"/>
        </w:rPr>
        <w:t xml:space="preserve">    鉴于 </w:t>
      </w:r>
      <w:r>
        <w:rPr>
          <w:rFonts w:ascii="宋体" w:hAnsi="宋体"/>
          <w:sz w:val="24"/>
          <w:szCs w:val="24"/>
          <w:highlight w:val="none"/>
          <w:u w:val="single"/>
        </w:rPr>
        <w:t xml:space="preserve">         [供货单位名称、地址]           </w:t>
      </w:r>
      <w:r>
        <w:rPr>
          <w:rFonts w:hint="eastAsia" w:ascii="宋体" w:hAnsi="宋体"/>
          <w:sz w:val="24"/>
          <w:szCs w:val="24"/>
          <w:highlight w:val="none"/>
        </w:rPr>
        <w:t>（以下简称供货单位）已保证按</w:t>
      </w:r>
      <w:r>
        <w:rPr>
          <w:rFonts w:ascii="宋体" w:hAnsi="宋体"/>
          <w:sz w:val="24"/>
          <w:szCs w:val="24"/>
          <w:highlight w:val="none"/>
          <w:u w:val="single"/>
        </w:rPr>
        <w:t xml:space="preserve">      [合同名称]       </w:t>
      </w:r>
      <w:r>
        <w:rPr>
          <w:rFonts w:hint="eastAsia" w:ascii="宋体" w:hAnsi="宋体"/>
          <w:sz w:val="24"/>
          <w:szCs w:val="24"/>
          <w:highlight w:val="none"/>
        </w:rPr>
        <w:t>合同（编号</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日签署）（以下称“合同”）实施</w:t>
      </w:r>
      <w:r>
        <w:rPr>
          <w:rFonts w:ascii="宋体" w:hAnsi="宋体"/>
          <w:sz w:val="24"/>
          <w:szCs w:val="24"/>
          <w:highlight w:val="none"/>
          <w:u w:val="single"/>
        </w:rPr>
        <w:t xml:space="preserve">                </w:t>
      </w:r>
      <w:r>
        <w:rPr>
          <w:rFonts w:ascii="宋体" w:hAnsi="宋体"/>
          <w:sz w:val="24"/>
          <w:szCs w:val="24"/>
          <w:highlight w:val="none"/>
        </w:rPr>
        <w:t xml:space="preserve"> ;</w:t>
      </w:r>
    </w:p>
    <w:p>
      <w:pPr>
        <w:snapToGrid w:val="0"/>
        <w:spacing w:line="360" w:lineRule="auto"/>
        <w:ind w:firstLine="600"/>
        <w:rPr>
          <w:rFonts w:hint="eastAsia" w:ascii="宋体" w:hAnsi="宋体" w:cs="Times New Roman"/>
          <w:sz w:val="24"/>
          <w:szCs w:val="24"/>
          <w:highlight w:val="none"/>
        </w:rPr>
      </w:pPr>
      <w:r>
        <w:rPr>
          <w:rFonts w:hint="eastAsia" w:ascii="宋体" w:hAnsi="宋体" w:cs="Times New Roman"/>
          <w:sz w:val="24"/>
          <w:szCs w:val="24"/>
          <w:highlight w:val="none"/>
        </w:rPr>
        <w:t>且鉴于你方在上述合同中要求供货单位通过经认可的银行向你方提交合同规定金额的10%履约保证金，作为供货单位履约本合同责任的担保；</w:t>
      </w:r>
    </w:p>
    <w:p>
      <w:pPr>
        <w:snapToGrid w:val="0"/>
        <w:spacing w:line="360" w:lineRule="auto"/>
        <w:ind w:firstLine="0" w:firstLineChars="0"/>
        <w:rPr>
          <w:rFonts w:ascii="宋体" w:hAnsi="宋体"/>
          <w:sz w:val="24"/>
          <w:szCs w:val="24"/>
          <w:highlight w:val="none"/>
        </w:rPr>
      </w:pPr>
      <w:r>
        <w:rPr>
          <w:rFonts w:ascii="宋体" w:hAnsi="宋体"/>
          <w:sz w:val="24"/>
          <w:szCs w:val="24"/>
          <w:highlight w:val="none"/>
        </w:rPr>
        <w:t xml:space="preserve">    而且本行同意为供货单位出具银行保函，对供货单位履行合同的行为承担连带担保责任；</w:t>
      </w:r>
    </w:p>
    <w:p>
      <w:pPr>
        <w:snapToGrid w:val="0"/>
        <w:spacing w:line="360" w:lineRule="auto"/>
        <w:ind w:firstLine="480"/>
        <w:rPr>
          <w:rFonts w:ascii="宋体" w:hAnsi="宋体"/>
          <w:sz w:val="24"/>
          <w:szCs w:val="24"/>
          <w:highlight w:val="none"/>
          <w:u w:val="single"/>
        </w:rPr>
      </w:pPr>
      <w:r>
        <w:rPr>
          <w:rFonts w:hint="eastAsia" w:ascii="宋体" w:hAnsi="宋体"/>
          <w:sz w:val="24"/>
          <w:szCs w:val="24"/>
          <w:highlight w:val="none"/>
        </w:rPr>
        <w:t>本行作为担保人在此本保函项下承担担保责任的金额以人民币</w:t>
      </w:r>
      <w:r>
        <w:rPr>
          <w:rFonts w:ascii="宋体" w:hAnsi="宋体"/>
          <w:sz w:val="24"/>
          <w:szCs w:val="24"/>
          <w:highlight w:val="none"/>
          <w:u w:val="single"/>
        </w:rPr>
        <w:t xml:space="preserve">                                                                </w:t>
      </w:r>
    </w:p>
    <w:p>
      <w:pPr>
        <w:spacing w:after="120" w:line="360" w:lineRule="auto"/>
        <w:ind w:firstLine="480"/>
        <w:rPr>
          <w:rFonts w:ascii="宋体" w:hAnsi="宋体"/>
          <w:sz w:val="24"/>
          <w:szCs w:val="24"/>
          <w:highlight w:val="none"/>
        </w:rPr>
      </w:pPr>
      <w:r>
        <w:rPr>
          <w:rFonts w:hint="eastAsia" w:ascii="宋体" w:hAnsi="宋体"/>
          <w:sz w:val="24"/>
          <w:szCs w:val="24"/>
          <w:highlight w:val="none"/>
        </w:rPr>
        <w:t>万元为限，在你方第一次书面提出要求得到上述金额内的任何付款时，本行即予支付，不挑剔、不争辩，也不要求你方出具证明或说明背景或理由。</w:t>
      </w:r>
    </w:p>
    <w:p>
      <w:pPr>
        <w:snapToGrid w:val="0"/>
        <w:spacing w:line="360" w:lineRule="auto"/>
        <w:ind w:firstLine="0" w:firstLineChars="0"/>
        <w:rPr>
          <w:rFonts w:ascii="宋体" w:hAnsi="宋体"/>
          <w:sz w:val="24"/>
          <w:szCs w:val="24"/>
          <w:highlight w:val="none"/>
        </w:rPr>
      </w:pPr>
      <w:r>
        <w:rPr>
          <w:rFonts w:ascii="宋体" w:hAnsi="宋体"/>
          <w:sz w:val="24"/>
          <w:szCs w:val="24"/>
          <w:highlight w:val="none"/>
        </w:rPr>
        <w:t xml:space="preserve">    本行放弃你方应先向供货单位要求赔偿上述金额然后再向本行提出要求的权利。</w:t>
      </w:r>
    </w:p>
    <w:p>
      <w:pPr>
        <w:snapToGrid w:val="0"/>
        <w:spacing w:line="360" w:lineRule="auto"/>
        <w:ind w:firstLine="0" w:firstLineChars="0"/>
        <w:rPr>
          <w:rFonts w:ascii="宋体" w:hAnsi="宋体"/>
          <w:sz w:val="24"/>
          <w:szCs w:val="24"/>
          <w:highlight w:val="none"/>
        </w:rPr>
      </w:pPr>
      <w:r>
        <w:rPr>
          <w:rFonts w:ascii="宋体" w:hAnsi="宋体"/>
          <w:sz w:val="24"/>
          <w:szCs w:val="24"/>
          <w:highlight w:val="none"/>
        </w:rPr>
        <w:t xml:space="preserve">    我行还同意：在买方和供货单位之间的合同条款、合同项下的工程或合同文件发生变化、补充或修改后，我行承担本保函的责任按照双方协商一致的变化而变化，上述变化、补充或修改不必通知我行。</w:t>
      </w:r>
    </w:p>
    <w:p>
      <w:pPr>
        <w:autoSpaceDE w:val="0"/>
        <w:autoSpaceDN w:val="0"/>
        <w:adjustRightInd w:val="0"/>
        <w:spacing w:line="360" w:lineRule="auto"/>
        <w:ind w:firstLine="480"/>
        <w:rPr>
          <w:rFonts w:ascii="宋体" w:hAnsi="宋体"/>
          <w:kern w:val="0"/>
          <w:sz w:val="24"/>
          <w:szCs w:val="24"/>
          <w:highlight w:val="none"/>
        </w:rPr>
      </w:pPr>
      <w:r>
        <w:rPr>
          <w:rFonts w:hint="eastAsia" w:ascii="宋体" w:hAnsi="宋体"/>
          <w:kern w:val="0"/>
          <w:sz w:val="24"/>
          <w:szCs w:val="24"/>
          <w:highlight w:val="none"/>
        </w:rPr>
        <w:t>本保函为无条件、不可撤消的凭要求即付的银行保函。</w:t>
      </w:r>
    </w:p>
    <w:p>
      <w:pPr>
        <w:autoSpaceDE w:val="0"/>
        <w:autoSpaceDN w:val="0"/>
        <w:adjustRightInd w:val="0"/>
        <w:spacing w:line="360" w:lineRule="auto"/>
        <w:ind w:firstLine="480"/>
        <w:rPr>
          <w:rFonts w:ascii="宋体" w:hAnsi="宋体"/>
          <w:sz w:val="24"/>
          <w:szCs w:val="24"/>
          <w:highlight w:val="none"/>
        </w:rPr>
      </w:pPr>
      <w:r>
        <w:rPr>
          <w:rFonts w:hint="eastAsia" w:ascii="宋体" w:hAnsi="宋体"/>
          <w:kern w:val="0"/>
          <w:sz w:val="24"/>
          <w:szCs w:val="24"/>
          <w:highlight w:val="none"/>
        </w:rPr>
        <w:t>本保函有效期与合同有效期一致。</w:t>
      </w:r>
    </w:p>
    <w:p>
      <w:pPr>
        <w:snapToGrid w:val="0"/>
        <w:spacing w:line="360" w:lineRule="auto"/>
        <w:ind w:firstLine="0" w:firstLineChars="0"/>
        <w:rPr>
          <w:rFonts w:ascii="宋体" w:hAnsi="宋体"/>
          <w:sz w:val="24"/>
          <w:szCs w:val="24"/>
          <w:highlight w:val="none"/>
        </w:rPr>
      </w:pPr>
    </w:p>
    <w:p>
      <w:pPr>
        <w:snapToGrid w:val="0"/>
        <w:spacing w:line="360" w:lineRule="auto"/>
        <w:ind w:left="480" w:firstLine="0" w:firstLineChars="0"/>
        <w:rPr>
          <w:rFonts w:ascii="宋体" w:hAnsi="宋体"/>
          <w:sz w:val="24"/>
          <w:szCs w:val="24"/>
          <w:highlight w:val="none"/>
        </w:rPr>
      </w:pPr>
      <w:r>
        <w:rPr>
          <w:rFonts w:hint="eastAsia" w:ascii="宋体" w:hAnsi="宋体"/>
          <w:sz w:val="24"/>
          <w:szCs w:val="24"/>
          <w:highlight w:val="none"/>
        </w:rPr>
        <w:t>银行授权代表：</w:t>
      </w:r>
      <w:r>
        <w:rPr>
          <w:rFonts w:ascii="宋体" w:hAnsi="宋体"/>
          <w:sz w:val="24"/>
          <w:szCs w:val="24"/>
          <w:highlight w:val="none"/>
        </w:rPr>
        <w:t xml:space="preserve">             </w:t>
      </w:r>
      <w:r>
        <w:rPr>
          <w:rFonts w:hint="eastAsia" w:ascii="宋体" w:hAnsi="宋体"/>
          <w:sz w:val="24"/>
          <w:szCs w:val="24"/>
          <w:highlight w:val="none"/>
        </w:rPr>
        <w:t>（签字）</w:t>
      </w:r>
    </w:p>
    <w:p>
      <w:pPr>
        <w:snapToGrid w:val="0"/>
        <w:spacing w:line="300" w:lineRule="auto"/>
        <w:ind w:left="1275" w:firstLine="0" w:firstLineChars="0"/>
        <w:rPr>
          <w:rFonts w:ascii="宋体" w:hAnsi="宋体"/>
          <w:sz w:val="24"/>
          <w:szCs w:val="24"/>
          <w:highlight w:val="none"/>
        </w:rPr>
      </w:pPr>
    </w:p>
    <w:p>
      <w:pPr>
        <w:snapToGrid w:val="0"/>
        <w:spacing w:line="300" w:lineRule="auto"/>
        <w:ind w:left="480" w:firstLine="0" w:firstLineChars="0"/>
        <w:rPr>
          <w:rFonts w:ascii="宋体" w:hAnsi="宋体"/>
          <w:sz w:val="24"/>
          <w:szCs w:val="24"/>
          <w:highlight w:val="none"/>
        </w:rPr>
      </w:pPr>
      <w:r>
        <w:rPr>
          <w:rFonts w:hint="eastAsia" w:ascii="宋体" w:hAnsi="宋体"/>
          <w:sz w:val="24"/>
          <w:szCs w:val="24"/>
          <w:highlight w:val="none"/>
        </w:rPr>
        <w:t>地址：</w:t>
      </w:r>
    </w:p>
    <w:p>
      <w:pPr>
        <w:snapToGrid w:val="0"/>
        <w:spacing w:line="300" w:lineRule="auto"/>
        <w:ind w:left="1275" w:firstLine="0" w:firstLineChars="0"/>
        <w:rPr>
          <w:rFonts w:ascii="宋体" w:hAnsi="宋体"/>
          <w:sz w:val="24"/>
          <w:szCs w:val="24"/>
          <w:highlight w:val="none"/>
        </w:rPr>
      </w:pPr>
    </w:p>
    <w:p>
      <w:pPr>
        <w:snapToGrid w:val="0"/>
        <w:spacing w:line="300" w:lineRule="auto"/>
        <w:ind w:left="480" w:firstLine="0" w:firstLineChars="0"/>
        <w:rPr>
          <w:rFonts w:ascii="宋体" w:hAnsi="宋体"/>
          <w:sz w:val="24"/>
          <w:szCs w:val="24"/>
          <w:highlight w:val="none"/>
        </w:rPr>
      </w:pPr>
      <w:r>
        <w:rPr>
          <w:rFonts w:hint="eastAsia" w:ascii="宋体" w:hAnsi="宋体"/>
          <w:sz w:val="24"/>
          <w:szCs w:val="24"/>
          <w:highlight w:val="none"/>
        </w:rPr>
        <w:t>银行名称：</w:t>
      </w:r>
      <w:r>
        <w:rPr>
          <w:rFonts w:ascii="宋体" w:hAnsi="宋体"/>
          <w:sz w:val="24"/>
          <w:szCs w:val="24"/>
          <w:highlight w:val="none"/>
        </w:rPr>
        <w:t xml:space="preserve">               </w:t>
      </w:r>
      <w:r>
        <w:rPr>
          <w:rFonts w:hint="eastAsia" w:ascii="宋体" w:hAnsi="宋体"/>
          <w:sz w:val="24"/>
          <w:szCs w:val="24"/>
          <w:highlight w:val="none"/>
        </w:rPr>
        <w:t>（盖章）</w:t>
      </w:r>
    </w:p>
    <w:p>
      <w:pPr>
        <w:snapToGrid w:val="0"/>
        <w:spacing w:line="300" w:lineRule="auto"/>
        <w:ind w:left="1275" w:firstLine="0" w:firstLineChars="0"/>
        <w:rPr>
          <w:rFonts w:ascii="宋体" w:hAnsi="宋体"/>
          <w:sz w:val="24"/>
          <w:szCs w:val="24"/>
          <w:highlight w:val="none"/>
        </w:rPr>
      </w:pPr>
    </w:p>
    <w:p>
      <w:pPr>
        <w:snapToGrid w:val="0"/>
        <w:spacing w:line="300" w:lineRule="auto"/>
        <w:ind w:left="480" w:firstLine="0" w:firstLineChars="0"/>
        <w:rPr>
          <w:rFonts w:ascii="宋体" w:hAnsi="宋体"/>
          <w:sz w:val="24"/>
          <w:szCs w:val="24"/>
          <w:highlight w:val="none"/>
        </w:rPr>
      </w:pPr>
      <w:r>
        <w:rPr>
          <w:rFonts w:hint="eastAsia" w:ascii="宋体" w:hAnsi="宋体"/>
          <w:sz w:val="24"/>
          <w:szCs w:val="24"/>
          <w:highlight w:val="none"/>
        </w:rPr>
        <w:t>日期：</w:t>
      </w:r>
      <w:r>
        <w:rPr>
          <w:rFonts w:ascii="宋体" w:hAnsi="宋体"/>
          <w:sz w:val="24"/>
          <w:szCs w:val="24"/>
          <w:highlight w:val="none"/>
        </w:rPr>
        <w:t xml:space="preserve">   </w:t>
      </w:r>
      <w:r>
        <w:rPr>
          <w:rFonts w:hint="eastAsia" w:ascii="宋体" w:hAnsi="宋体"/>
          <w:sz w:val="24"/>
          <w:szCs w:val="24"/>
          <w:highlight w:val="none"/>
        </w:rPr>
        <w:t>年</w:t>
      </w:r>
      <w:r>
        <w:rPr>
          <w:rFonts w:ascii="宋体" w:hAnsi="宋体"/>
          <w:sz w:val="24"/>
          <w:szCs w:val="24"/>
          <w:highlight w:val="none"/>
        </w:rPr>
        <w:t xml:space="preserve">  </w:t>
      </w:r>
      <w:r>
        <w:rPr>
          <w:rFonts w:hint="eastAsia" w:ascii="宋体" w:hAnsi="宋体"/>
          <w:sz w:val="24"/>
          <w:szCs w:val="24"/>
          <w:highlight w:val="none"/>
        </w:rPr>
        <w:t>月</w:t>
      </w:r>
      <w:r>
        <w:rPr>
          <w:rFonts w:ascii="宋体" w:hAnsi="宋体"/>
          <w:sz w:val="24"/>
          <w:szCs w:val="24"/>
          <w:highlight w:val="none"/>
        </w:rPr>
        <w:t xml:space="preserve">  </w:t>
      </w:r>
      <w:r>
        <w:rPr>
          <w:rFonts w:hint="eastAsia" w:ascii="宋体" w:hAnsi="宋体"/>
          <w:sz w:val="24"/>
          <w:szCs w:val="24"/>
          <w:highlight w:val="none"/>
        </w:rPr>
        <w:t>日</w:t>
      </w:r>
    </w:p>
    <w:p>
      <w:pPr>
        <w:snapToGrid w:val="0"/>
        <w:spacing w:line="360" w:lineRule="auto"/>
        <w:ind w:firstLine="0" w:firstLineChars="0"/>
        <w:rPr>
          <w:rFonts w:ascii="宋体" w:hAnsi="宋体" w:cs="宋体"/>
          <w:b/>
          <w:bCs/>
          <w:kern w:val="0"/>
          <w:sz w:val="36"/>
          <w:szCs w:val="36"/>
          <w:highlight w:val="none"/>
        </w:rPr>
      </w:pPr>
    </w:p>
    <w:p>
      <w:pPr>
        <w:pStyle w:val="39"/>
        <w:rPr>
          <w:rFonts w:ascii="宋体" w:hAnsi="宋体" w:cs="宋体"/>
          <w:b/>
          <w:bCs/>
          <w:kern w:val="0"/>
          <w:sz w:val="36"/>
          <w:szCs w:val="36"/>
          <w:highlight w:val="none"/>
        </w:rPr>
      </w:pPr>
    </w:p>
    <w:p>
      <w:pPr>
        <w:pStyle w:val="39"/>
        <w:rPr>
          <w:rFonts w:ascii="宋体" w:hAnsi="宋体" w:cs="宋体"/>
          <w:b/>
          <w:bCs/>
          <w:kern w:val="0"/>
          <w:sz w:val="36"/>
          <w:szCs w:val="36"/>
          <w:highlight w:val="none"/>
        </w:rPr>
      </w:pPr>
    </w:p>
    <w:p>
      <w:pPr>
        <w:snapToGrid w:val="0"/>
        <w:spacing w:line="360" w:lineRule="auto"/>
        <w:ind w:firstLine="1084" w:firstLineChars="300"/>
        <w:jc w:val="center"/>
        <w:outlineLvl w:val="0"/>
        <w:rPr>
          <w:rFonts w:ascii="宋体" w:hAnsi="宋体" w:cs="宋体"/>
          <w:b/>
          <w:bCs/>
          <w:kern w:val="0"/>
          <w:szCs w:val="21"/>
          <w:highlight w:val="none"/>
        </w:rPr>
      </w:pPr>
      <w:r>
        <w:rPr>
          <w:rFonts w:hint="eastAsia" w:ascii="宋体" w:hAnsi="宋体" w:cs="宋体"/>
          <w:b/>
          <w:bCs/>
          <w:kern w:val="0"/>
          <w:sz w:val="36"/>
          <w:szCs w:val="36"/>
          <w:highlight w:val="none"/>
        </w:rPr>
        <w:t>第五章</w:t>
      </w:r>
      <w:r>
        <w:rPr>
          <w:rFonts w:ascii="宋体" w:hAnsi="宋体" w:cs="宋体"/>
          <w:b/>
          <w:bCs/>
          <w:kern w:val="0"/>
          <w:sz w:val="36"/>
          <w:szCs w:val="36"/>
          <w:highlight w:val="none"/>
        </w:rPr>
        <w:t xml:space="preserve"> </w:t>
      </w:r>
      <w:r>
        <w:rPr>
          <w:rFonts w:hint="eastAsia" w:ascii="宋体" w:hAnsi="宋体" w:cs="宋体"/>
          <w:b/>
          <w:bCs/>
          <w:kern w:val="0"/>
          <w:sz w:val="36"/>
          <w:szCs w:val="36"/>
          <w:highlight w:val="none"/>
        </w:rPr>
        <w:t>项目需求</w:t>
      </w:r>
      <w:bookmarkEnd w:id="177"/>
      <w:bookmarkEnd w:id="178"/>
      <w:bookmarkEnd w:id="179"/>
      <w:bookmarkEnd w:id="180"/>
    </w:p>
    <w:p>
      <w:pPr>
        <w:snapToGrid w:val="0"/>
        <w:spacing w:line="360" w:lineRule="auto"/>
        <w:ind w:firstLine="422"/>
        <w:outlineLvl w:val="1"/>
        <w:rPr>
          <w:rFonts w:ascii="宋体" w:hAnsi="宋体" w:cs="宋体"/>
          <w:b/>
          <w:bCs/>
          <w:kern w:val="0"/>
          <w:szCs w:val="21"/>
          <w:highlight w:val="none"/>
        </w:rPr>
      </w:pPr>
      <w:r>
        <w:rPr>
          <w:rFonts w:hint="eastAsia" w:ascii="宋体" w:hAnsi="宋体" w:cs="宋体"/>
          <w:b/>
          <w:bCs/>
          <w:kern w:val="0"/>
          <w:szCs w:val="21"/>
          <w:highlight w:val="none"/>
        </w:rPr>
        <w:t>一、项目简介</w:t>
      </w:r>
    </w:p>
    <w:p>
      <w:pPr>
        <w:numPr>
          <w:ilvl w:val="0"/>
          <w:numId w:val="35"/>
        </w:numPr>
        <w:tabs>
          <w:tab w:val="left" w:pos="720"/>
          <w:tab w:val="left" w:pos="1260"/>
        </w:tabs>
        <w:spacing w:line="360" w:lineRule="auto"/>
        <w:ind w:left="0" w:firstLine="420"/>
        <w:rPr>
          <w:rFonts w:ascii="宋体" w:hAns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本次招标的设备材料及服务是江苏长江水务股份有限公司</w:t>
      </w:r>
      <w:r>
        <w:rPr>
          <w:rFonts w:ascii="宋体" w:hAnsi="宋体" w:cs="宋体"/>
          <w:szCs w:val="21"/>
          <w:highlight w:val="none"/>
        </w:rPr>
        <w:t>2021年电气技改项目西湖增压站配电房改造工程10KV/0.4kV、瓜州原水厂配电房改造工程0.4kV相关设备，包括高、低压开关柜（供应及其安装、改造、试验、验收、联调投运及售后服务等内容，供货方产品型号、尺寸、颜色等方面需要满足原有配电房现状要求，现场施工时不能影响正常生产需求，应一组的一组的改造，必要时铺设临时电源。</w:t>
      </w:r>
      <w:r>
        <w:rPr>
          <w:rFonts w:hint="eastAsia" w:ascii="宋体" w:hAnsi="宋体" w:cs="宋体"/>
          <w:szCs w:val="21"/>
          <w:highlight w:val="none"/>
        </w:rPr>
        <w:t>详见图纸及相关资料（附后）。</w:t>
      </w:r>
    </w:p>
    <w:p>
      <w:pPr>
        <w:tabs>
          <w:tab w:val="left" w:pos="1080"/>
          <w:tab w:val="left" w:pos="1260"/>
        </w:tabs>
        <w:spacing w:line="360" w:lineRule="auto"/>
        <w:ind w:firstLine="0" w:firstLineChars="0"/>
        <w:rPr>
          <w:rFonts w:ascii="宋体" w:hAnsi="宋体" w:cs="宋体"/>
          <w:szCs w:val="21"/>
          <w:highlight w:val="none"/>
        </w:rPr>
      </w:pPr>
      <w:r>
        <w:rPr>
          <w:rFonts w:ascii="宋体" w:hAnsi="宋体" w:cs="宋体"/>
          <w:szCs w:val="21"/>
          <w:highlight w:val="none"/>
        </w:rPr>
        <w:t xml:space="preserve">1.2 </w:t>
      </w:r>
      <w:r>
        <w:rPr>
          <w:rFonts w:hint="eastAsia" w:ascii="宋体" w:hAnsi="宋体" w:cs="宋体"/>
          <w:szCs w:val="21"/>
          <w:highlight w:val="none"/>
        </w:rPr>
        <w:t>承包商提供的所有设备应是新颖、安全、可靠的，并且必需是为本工程生产的全新产品。任何已使用过的产品均将被拒收。</w:t>
      </w:r>
    </w:p>
    <w:p>
      <w:pPr>
        <w:tabs>
          <w:tab w:val="left" w:pos="1080"/>
          <w:tab w:val="left" w:pos="1260"/>
        </w:tabs>
        <w:spacing w:line="360" w:lineRule="auto"/>
        <w:ind w:firstLine="0" w:firstLineChars="0"/>
        <w:rPr>
          <w:rFonts w:ascii="宋体" w:hAnsi="宋体" w:cs="宋体"/>
          <w:szCs w:val="21"/>
          <w:highlight w:val="none"/>
        </w:rPr>
      </w:pPr>
      <w:r>
        <w:rPr>
          <w:rFonts w:ascii="宋体" w:hAnsi="宋体" w:cs="宋体"/>
          <w:szCs w:val="21"/>
          <w:highlight w:val="none"/>
        </w:rPr>
        <w:t xml:space="preserve">1.3 </w:t>
      </w:r>
      <w:r>
        <w:rPr>
          <w:rFonts w:hint="eastAsia" w:ascii="宋体" w:hAnsi="宋体" w:cs="宋体"/>
          <w:szCs w:val="21"/>
          <w:highlight w:val="none"/>
        </w:rPr>
        <w:t>所供设备材料均应经国家质量认证中心质量认定，质量报告至少应包括型式试验报告。</w:t>
      </w:r>
      <w:bookmarkStart w:id="182" w:name="_Toc211915302"/>
      <w:bookmarkStart w:id="183" w:name="_Toc204487307"/>
      <w:bookmarkStart w:id="184" w:name="_Toc206672677"/>
      <w:r>
        <w:rPr>
          <w:rFonts w:hint="eastAsia" w:ascii="宋体" w:hAnsi="宋体" w:cs="宋体"/>
          <w:szCs w:val="21"/>
          <w:highlight w:val="none"/>
        </w:rPr>
        <w:t>为提高配电设备的安全、可靠性本次高、低压开关柜选用性价比较高的西门子、</w:t>
      </w:r>
      <w:r>
        <w:rPr>
          <w:rFonts w:ascii="宋体" w:hAnsi="宋体" w:cs="宋体"/>
          <w:szCs w:val="21"/>
          <w:highlight w:val="none"/>
        </w:rPr>
        <w:t>ABB、施耐德授权品牌柜</w:t>
      </w:r>
      <w:r>
        <w:rPr>
          <w:rFonts w:hint="eastAsia" w:ascii="宋体" w:hAnsi="宋体" w:cs="宋体"/>
          <w:szCs w:val="21"/>
          <w:highlight w:val="none"/>
        </w:rPr>
        <w:t>等同等档次产品。</w:t>
      </w:r>
    </w:p>
    <w:p>
      <w:pPr>
        <w:tabs>
          <w:tab w:val="left" w:pos="720"/>
          <w:tab w:val="left" w:pos="1260"/>
        </w:tabs>
        <w:spacing w:line="360" w:lineRule="auto"/>
        <w:outlineLvl w:val="1"/>
        <w:rPr>
          <w:rFonts w:ascii="宋体" w:hAnsi="宋体" w:cs="宋体"/>
          <w:szCs w:val="21"/>
          <w:highlight w:val="none"/>
        </w:rPr>
      </w:pPr>
      <w:r>
        <w:rPr>
          <w:rFonts w:hint="eastAsia" w:ascii="宋体" w:hAnsi="宋体" w:cs="宋体"/>
          <w:szCs w:val="21"/>
          <w:highlight w:val="none"/>
        </w:rPr>
        <w:t>二、供货范围</w:t>
      </w:r>
    </w:p>
    <w:p>
      <w:pPr>
        <w:numPr>
          <w:ilvl w:val="0"/>
          <w:numId w:val="0"/>
        </w:numPr>
        <w:tabs>
          <w:tab w:val="left" w:pos="1080"/>
          <w:tab w:val="left" w:pos="1260"/>
        </w:tabs>
        <w:spacing w:line="360" w:lineRule="auto"/>
        <w:ind w:leftChars="115"/>
        <w:rPr>
          <w:rFonts w:ascii="宋体" w:hAnsi="宋体" w:cs="宋体"/>
          <w:szCs w:val="21"/>
          <w:highlight w:val="none"/>
        </w:rPr>
      </w:pPr>
      <w:bookmarkStart w:id="185" w:name="_Toc65856633"/>
      <w:bookmarkStart w:id="186" w:name="_Toc486829845"/>
      <w:bookmarkStart w:id="187" w:name="_Toc132379164"/>
      <w:bookmarkStart w:id="188" w:name="_Toc486824662"/>
      <w:bookmarkStart w:id="189" w:name="_Toc486750618"/>
      <w:bookmarkStart w:id="190" w:name="_Toc486749974"/>
      <w:bookmarkStart w:id="191" w:name="_Toc486750093"/>
      <w:r>
        <w:rPr>
          <w:rFonts w:hint="eastAsia" w:ascii="宋体" w:hAnsi="宋体" w:cs="宋体"/>
          <w:szCs w:val="21"/>
          <w:highlight w:val="none"/>
          <w:lang w:val="en-US" w:eastAsia="zh-CN"/>
        </w:rPr>
        <w:t>1、</w:t>
      </w:r>
      <w:r>
        <w:rPr>
          <w:rFonts w:hint="eastAsia" w:ascii="宋体" w:hAnsi="宋体" w:cs="宋体"/>
          <w:szCs w:val="21"/>
          <w:highlight w:val="none"/>
        </w:rPr>
        <w:t>西湖增压站：高压开关柜</w:t>
      </w:r>
      <w:r>
        <w:rPr>
          <w:rFonts w:ascii="宋体" w:hAnsi="宋体" w:cs="宋体"/>
          <w:szCs w:val="21"/>
          <w:highlight w:val="none"/>
        </w:rPr>
        <w:t>9台、低压开关柜9台。</w:t>
      </w:r>
    </w:p>
    <w:p>
      <w:pPr>
        <w:numPr>
          <w:ilvl w:val="0"/>
          <w:numId w:val="0"/>
        </w:numPr>
        <w:tabs>
          <w:tab w:val="left" w:pos="1080"/>
          <w:tab w:val="left" w:pos="1260"/>
        </w:tabs>
        <w:spacing w:line="360" w:lineRule="auto"/>
        <w:ind w:leftChars="115"/>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瓜州原水厂：低压开关柜</w:t>
      </w:r>
      <w:r>
        <w:rPr>
          <w:rFonts w:ascii="宋体" w:hAnsi="宋体" w:cs="宋体"/>
          <w:szCs w:val="21"/>
          <w:highlight w:val="none"/>
        </w:rPr>
        <w:t>7台</w:t>
      </w:r>
      <w:r>
        <w:rPr>
          <w:rFonts w:hint="eastAsia" w:ascii="宋体" w:hAnsi="宋体" w:cs="宋体"/>
          <w:szCs w:val="21"/>
          <w:highlight w:val="none"/>
          <w:lang w:eastAsia="zh-CN"/>
        </w:rPr>
        <w:t>（</w:t>
      </w:r>
      <w:r>
        <w:rPr>
          <w:rFonts w:hint="eastAsia" w:ascii="宋体" w:hAnsi="宋体" w:cs="宋体"/>
          <w:szCs w:val="21"/>
          <w:highlight w:val="none"/>
          <w:lang w:val="en-US" w:eastAsia="zh-CN"/>
        </w:rPr>
        <w:t>取水泵房2台，变电所5台</w:t>
      </w:r>
      <w:r>
        <w:rPr>
          <w:rFonts w:hint="eastAsia" w:ascii="宋体" w:hAnsi="宋体" w:cs="宋体"/>
          <w:szCs w:val="21"/>
          <w:highlight w:val="none"/>
          <w:lang w:eastAsia="zh-CN"/>
        </w:rPr>
        <w:t>）。</w:t>
      </w:r>
    </w:p>
    <w:p>
      <w:pPr>
        <w:tabs>
          <w:tab w:val="left" w:pos="720"/>
          <w:tab w:val="left" w:pos="1260"/>
        </w:tabs>
        <w:spacing w:line="360" w:lineRule="auto"/>
        <w:outlineLvl w:val="1"/>
        <w:rPr>
          <w:rFonts w:ascii="宋体" w:hAnsi="宋体" w:cs="宋体"/>
          <w:szCs w:val="21"/>
          <w:highlight w:val="none"/>
        </w:rPr>
      </w:pPr>
      <w:r>
        <w:rPr>
          <w:rFonts w:hint="eastAsia" w:ascii="宋体" w:hAnsi="宋体" w:cs="宋体"/>
          <w:szCs w:val="21"/>
          <w:highlight w:val="none"/>
        </w:rPr>
        <w:t>三、一般要求</w:t>
      </w:r>
      <w:bookmarkEnd w:id="185"/>
      <w:bookmarkEnd w:id="186"/>
      <w:bookmarkEnd w:id="187"/>
      <w:bookmarkEnd w:id="188"/>
      <w:bookmarkEnd w:id="189"/>
      <w:bookmarkEnd w:id="190"/>
      <w:bookmarkEnd w:id="191"/>
    </w:p>
    <w:p>
      <w:pPr>
        <w:tabs>
          <w:tab w:val="left" w:pos="1080"/>
          <w:tab w:val="left" w:pos="1260"/>
        </w:tabs>
        <w:spacing w:line="360" w:lineRule="auto"/>
        <w:ind w:left="-178" w:leftChars="-85"/>
        <w:outlineLvl w:val="2"/>
        <w:rPr>
          <w:rFonts w:ascii="宋体" w:hAnsi="宋体" w:cs="宋体"/>
          <w:szCs w:val="21"/>
          <w:highlight w:val="none"/>
        </w:rPr>
      </w:pPr>
      <w:r>
        <w:rPr>
          <w:rFonts w:hint="eastAsia" w:ascii="宋体" w:hAnsi="宋体" w:cs="宋体"/>
          <w:szCs w:val="21"/>
          <w:highlight w:val="none"/>
        </w:rPr>
        <w:t>（一）、高压开关柜</w:t>
      </w:r>
    </w:p>
    <w:p>
      <w:pPr>
        <w:tabs>
          <w:tab w:val="left" w:pos="1080"/>
          <w:tab w:val="left" w:pos="1260"/>
        </w:tabs>
        <w:spacing w:line="360" w:lineRule="auto"/>
        <w:ind w:left="2" w:leftChars="1" w:firstLine="157" w:firstLineChars="75"/>
        <w:rPr>
          <w:rFonts w:ascii="宋体" w:hAnsi="宋体" w:cs="宋体"/>
          <w:szCs w:val="21"/>
          <w:highlight w:val="none"/>
        </w:rPr>
      </w:pPr>
      <w:bookmarkStart w:id="192" w:name="_Toc132379166"/>
      <w:r>
        <w:rPr>
          <w:rFonts w:ascii="宋体" w:hAnsi="宋体" w:cs="宋体"/>
          <w:szCs w:val="21"/>
          <w:highlight w:val="none"/>
        </w:rPr>
        <w:t>1）</w:t>
      </w:r>
      <w:bookmarkEnd w:id="192"/>
      <w:bookmarkStart w:id="193" w:name="_Toc132379167"/>
      <w:r>
        <w:rPr>
          <w:rFonts w:hint="eastAsia" w:ascii="宋体" w:hAnsi="宋体" w:cs="宋体"/>
          <w:szCs w:val="21"/>
          <w:highlight w:val="none"/>
        </w:rPr>
        <w:t>参考标准</w:t>
      </w:r>
      <w:bookmarkEnd w:id="193"/>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除本标书提出的技术规定外，所有设备还应符合下列标准。</w:t>
      </w:r>
    </w:p>
    <w:p>
      <w:pPr>
        <w:tabs>
          <w:tab w:val="left" w:pos="1080"/>
          <w:tab w:val="left" w:pos="1260"/>
        </w:tabs>
        <w:spacing w:line="360" w:lineRule="auto"/>
        <w:ind w:left="193" w:leftChars="92"/>
        <w:rPr>
          <w:rFonts w:ascii="宋体" w:hAnsi="宋体" w:cs="宋体"/>
          <w:szCs w:val="21"/>
          <w:highlight w:val="none"/>
        </w:rPr>
      </w:pPr>
      <w:r>
        <w:rPr>
          <w:rFonts w:hint="eastAsia" w:ascii="宋体" w:hAnsi="宋体" w:cs="宋体"/>
          <w:szCs w:val="21"/>
          <w:highlight w:val="none"/>
        </w:rPr>
        <w:t>本节的有关标准包括但不限于以下的</w:t>
      </w:r>
      <w:r>
        <w:rPr>
          <w:rFonts w:ascii="宋体" w:hAnsi="宋体" w:cs="宋体"/>
          <w:szCs w:val="21"/>
          <w:highlight w:val="none"/>
        </w:rPr>
        <w:t>IEC标准和相应的GB标准。若IEC标准与GB标准有不同之处，则应符合其中标准较高的一个。</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GB311.1～6-83  </w:t>
      </w:r>
      <w:r>
        <w:rPr>
          <w:rFonts w:hint="eastAsia" w:ascii="宋体" w:hAnsi="宋体" w:cs="宋体"/>
          <w:szCs w:val="21"/>
          <w:highlight w:val="none"/>
        </w:rPr>
        <w:t>高压输变电设备的绝缘配合，高电压试验技术</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GB311.7-88  </w:t>
      </w:r>
      <w:r>
        <w:rPr>
          <w:rFonts w:hint="eastAsia" w:ascii="宋体" w:hAnsi="宋体" w:cs="宋体"/>
          <w:szCs w:val="21"/>
          <w:highlight w:val="none"/>
        </w:rPr>
        <w:t>高压输变电设备的绝缘配合使用导则</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GB1207-86  </w:t>
      </w:r>
      <w:r>
        <w:rPr>
          <w:rFonts w:hint="eastAsia" w:ascii="宋体" w:hAnsi="宋体" w:cs="宋体"/>
          <w:szCs w:val="21"/>
          <w:highlight w:val="none"/>
        </w:rPr>
        <w:t>电压互感器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GB1208-87  </w:t>
      </w:r>
      <w:r>
        <w:rPr>
          <w:rFonts w:hint="eastAsia" w:ascii="宋体" w:hAnsi="宋体" w:cs="宋体"/>
          <w:szCs w:val="21"/>
          <w:highlight w:val="none"/>
        </w:rPr>
        <w:t>电流互感器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GB1984-89  </w:t>
      </w:r>
      <w:r>
        <w:rPr>
          <w:rFonts w:hint="eastAsia" w:ascii="宋体" w:hAnsi="宋体" w:cs="宋体"/>
          <w:szCs w:val="21"/>
          <w:highlight w:val="none"/>
        </w:rPr>
        <w:t>交流高压断路器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GB1985-89  </w:t>
      </w:r>
      <w:r>
        <w:rPr>
          <w:rFonts w:hint="eastAsia" w:ascii="宋体" w:hAnsi="宋体" w:cs="宋体"/>
          <w:szCs w:val="21"/>
          <w:highlight w:val="none"/>
        </w:rPr>
        <w:t>交流高压隔离开关和接地开关</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GB3906-91  3～35kV交流金属封闭开关设备</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GB3983.2-89  </w:t>
      </w:r>
      <w:r>
        <w:rPr>
          <w:rFonts w:hint="eastAsia" w:ascii="宋体" w:hAnsi="宋体" w:cs="宋体"/>
          <w:szCs w:val="21"/>
          <w:highlight w:val="none"/>
        </w:rPr>
        <w:t>高电压并联电容器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GB4703-84  </w:t>
      </w:r>
      <w:r>
        <w:rPr>
          <w:rFonts w:hint="eastAsia" w:ascii="宋体" w:hAnsi="宋体" w:cs="宋体"/>
          <w:szCs w:val="21"/>
          <w:highlight w:val="none"/>
        </w:rPr>
        <w:t>电容式电压互感器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GB7261-87  </w:t>
      </w:r>
      <w:r>
        <w:rPr>
          <w:rFonts w:hint="eastAsia" w:ascii="宋体" w:hAnsi="宋体" w:cs="宋体"/>
          <w:szCs w:val="21"/>
          <w:highlight w:val="none"/>
        </w:rPr>
        <w:t>继电器及继电保护装置基本试验方法</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GB7327-87  </w:t>
      </w:r>
      <w:r>
        <w:rPr>
          <w:rFonts w:hint="eastAsia" w:ascii="宋体" w:hAnsi="宋体" w:cs="宋体"/>
          <w:szCs w:val="21"/>
          <w:highlight w:val="none"/>
        </w:rPr>
        <w:t>交流系统用碳化硅阀式避雷器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GB10231-88  </w:t>
      </w:r>
      <w:r>
        <w:rPr>
          <w:rFonts w:hint="eastAsia" w:ascii="宋体" w:hAnsi="宋体" w:cs="宋体"/>
          <w:szCs w:val="21"/>
          <w:highlight w:val="none"/>
        </w:rPr>
        <w:t>数字式综合保护继电装置的结构型式与基本技术导则</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GB11022-89  </w:t>
      </w:r>
      <w:r>
        <w:rPr>
          <w:rFonts w:hint="eastAsia" w:ascii="宋体" w:hAnsi="宋体" w:cs="宋体"/>
          <w:szCs w:val="21"/>
          <w:highlight w:val="none"/>
        </w:rPr>
        <w:t>高压开关设备通用技术条件</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GB11032-89  </w:t>
      </w:r>
      <w:r>
        <w:rPr>
          <w:rFonts w:hint="eastAsia" w:ascii="宋体" w:hAnsi="宋体" w:cs="宋体"/>
          <w:szCs w:val="21"/>
          <w:highlight w:val="none"/>
        </w:rPr>
        <w:t>交流无间隙金属氧化物避雷器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GB50150-91  </w:t>
      </w:r>
      <w:r>
        <w:rPr>
          <w:rFonts w:hint="eastAsia" w:ascii="宋体" w:hAnsi="宋体" w:cs="宋体"/>
          <w:szCs w:val="21"/>
          <w:highlight w:val="none"/>
        </w:rPr>
        <w:t>电气装置安装工程电气设备交接试验标准</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GB50168-92  </w:t>
      </w:r>
      <w:r>
        <w:rPr>
          <w:rFonts w:hint="eastAsia" w:ascii="宋体" w:hAnsi="宋体" w:cs="宋体"/>
          <w:szCs w:val="21"/>
          <w:highlight w:val="none"/>
        </w:rPr>
        <w:t>电气装置安装工程电缆线路施工及验收规范</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GB50169-92  </w:t>
      </w:r>
      <w:r>
        <w:rPr>
          <w:rFonts w:hint="eastAsia" w:ascii="宋体" w:hAnsi="宋体" w:cs="宋体"/>
          <w:szCs w:val="21"/>
          <w:highlight w:val="none"/>
        </w:rPr>
        <w:t>电气装置安装工程接地装置施工及验收规范</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GB50171-92  </w:t>
      </w:r>
      <w:r>
        <w:rPr>
          <w:rFonts w:hint="eastAsia" w:ascii="宋体" w:hAnsi="宋体" w:cs="宋体"/>
          <w:szCs w:val="21"/>
          <w:highlight w:val="none"/>
        </w:rPr>
        <w:t>电气装置安装工程盘，柜及二次回路结线施工及验收规范</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GBJ147-90  </w:t>
      </w:r>
      <w:r>
        <w:rPr>
          <w:rFonts w:hint="eastAsia" w:ascii="宋体" w:hAnsi="宋体" w:cs="宋体"/>
          <w:szCs w:val="21"/>
          <w:highlight w:val="none"/>
        </w:rPr>
        <w:t>电气装置安装工程高压电器施工及验收规范</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IEC51  </w:t>
      </w:r>
      <w:r>
        <w:rPr>
          <w:rFonts w:hint="eastAsia" w:ascii="宋体" w:hAnsi="宋体" w:cs="宋体"/>
          <w:szCs w:val="21"/>
          <w:highlight w:val="none"/>
        </w:rPr>
        <w:t>直接动作指示模拟电气测量仪器及其附件</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IEC56  </w:t>
      </w:r>
      <w:r>
        <w:rPr>
          <w:rFonts w:hint="eastAsia" w:ascii="宋体" w:hAnsi="宋体" w:cs="宋体"/>
          <w:szCs w:val="21"/>
          <w:highlight w:val="none"/>
        </w:rPr>
        <w:t>高压交流断路器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IEC99  </w:t>
      </w:r>
      <w:r>
        <w:rPr>
          <w:rFonts w:hint="eastAsia" w:ascii="宋体" w:hAnsi="宋体" w:cs="宋体"/>
          <w:szCs w:val="21"/>
          <w:highlight w:val="none"/>
        </w:rPr>
        <w:t>避雷器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IEC113  </w:t>
      </w:r>
      <w:r>
        <w:rPr>
          <w:rFonts w:hint="eastAsia" w:ascii="宋体" w:hAnsi="宋体" w:cs="宋体"/>
          <w:szCs w:val="21"/>
          <w:highlight w:val="none"/>
        </w:rPr>
        <w:t>图解、图表、表格</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IEC117  </w:t>
      </w:r>
      <w:r>
        <w:rPr>
          <w:rFonts w:hint="eastAsia" w:ascii="宋体" w:hAnsi="宋体" w:cs="宋体"/>
          <w:szCs w:val="21"/>
          <w:highlight w:val="none"/>
        </w:rPr>
        <w:t>电工技术图例</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IEC128  </w:t>
      </w:r>
      <w:r>
        <w:rPr>
          <w:rFonts w:hint="eastAsia" w:ascii="宋体" w:hAnsi="宋体" w:cs="宋体"/>
          <w:szCs w:val="21"/>
          <w:highlight w:val="none"/>
        </w:rPr>
        <w:t>技术图的一般原理</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IEC129  </w:t>
      </w:r>
      <w:r>
        <w:rPr>
          <w:rFonts w:hint="eastAsia" w:ascii="宋体" w:hAnsi="宋体" w:cs="宋体"/>
          <w:szCs w:val="21"/>
          <w:highlight w:val="none"/>
        </w:rPr>
        <w:t>交流隔离开关和接地开关</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IEC146  </w:t>
      </w:r>
      <w:r>
        <w:rPr>
          <w:rFonts w:hint="eastAsia" w:ascii="宋体" w:hAnsi="宋体" w:cs="宋体"/>
          <w:szCs w:val="21"/>
          <w:highlight w:val="none"/>
        </w:rPr>
        <w:t>半导体变流器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IEC185  </w:t>
      </w:r>
      <w:r>
        <w:rPr>
          <w:rFonts w:hint="eastAsia" w:ascii="宋体" w:hAnsi="宋体" w:cs="宋体"/>
          <w:szCs w:val="21"/>
          <w:highlight w:val="none"/>
        </w:rPr>
        <w:t>电流互感器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IEC186  </w:t>
      </w:r>
      <w:r>
        <w:rPr>
          <w:rFonts w:hint="eastAsia" w:ascii="宋体" w:hAnsi="宋体" w:cs="宋体"/>
          <w:szCs w:val="21"/>
          <w:highlight w:val="none"/>
        </w:rPr>
        <w:t>电压互感器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IEC255  </w:t>
      </w:r>
      <w:r>
        <w:rPr>
          <w:rFonts w:hint="eastAsia" w:ascii="宋体" w:hAnsi="宋体" w:cs="宋体"/>
          <w:szCs w:val="21"/>
          <w:highlight w:val="none"/>
        </w:rPr>
        <w:t>继电器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IEC265  </w:t>
      </w:r>
      <w:r>
        <w:rPr>
          <w:rFonts w:hint="eastAsia" w:ascii="宋体" w:hAnsi="宋体" w:cs="宋体"/>
          <w:szCs w:val="21"/>
          <w:highlight w:val="none"/>
        </w:rPr>
        <w:t>高压开关</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IEC282  </w:t>
      </w:r>
      <w:r>
        <w:rPr>
          <w:rFonts w:hint="eastAsia" w:ascii="宋体" w:hAnsi="宋体" w:cs="宋体"/>
          <w:szCs w:val="21"/>
          <w:highlight w:val="none"/>
        </w:rPr>
        <w:t>高压熔断器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IEC289  </w:t>
      </w:r>
      <w:r>
        <w:rPr>
          <w:rFonts w:hint="eastAsia" w:ascii="宋体" w:hAnsi="宋体" w:cs="宋体"/>
          <w:szCs w:val="21"/>
          <w:highlight w:val="none"/>
        </w:rPr>
        <w:t>电抗器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IEC298  </w:t>
      </w:r>
      <w:r>
        <w:rPr>
          <w:rFonts w:hint="eastAsia" w:ascii="宋体" w:hAnsi="宋体" w:cs="宋体"/>
          <w:szCs w:val="21"/>
          <w:highlight w:val="none"/>
        </w:rPr>
        <w:t>额定电压</w:t>
      </w:r>
      <w:r>
        <w:rPr>
          <w:rFonts w:ascii="宋体" w:hAnsi="宋体" w:cs="宋体"/>
          <w:szCs w:val="21"/>
          <w:highlight w:val="none"/>
        </w:rPr>
        <w:t xml:space="preserve">1kV以上至72.5kV(含)  </w:t>
      </w:r>
      <w:r>
        <w:rPr>
          <w:rFonts w:hint="eastAsia" w:ascii="宋体" w:hAnsi="宋体" w:cs="宋体"/>
          <w:szCs w:val="21"/>
          <w:highlight w:val="none"/>
        </w:rPr>
        <w:t>交流金属封闭开关设备和控制设备</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IEC420  </w:t>
      </w:r>
      <w:r>
        <w:rPr>
          <w:rFonts w:hint="eastAsia" w:ascii="宋体" w:hAnsi="宋体" w:cs="宋体"/>
          <w:szCs w:val="21"/>
          <w:highlight w:val="none"/>
        </w:rPr>
        <w:t>高压交流开关熔断器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IEC446  </w:t>
      </w:r>
      <w:r>
        <w:rPr>
          <w:rFonts w:hint="eastAsia" w:ascii="宋体" w:hAnsi="宋体" w:cs="宋体"/>
          <w:szCs w:val="21"/>
          <w:highlight w:val="none"/>
        </w:rPr>
        <w:t>根据颜色和数字鉴别导线</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IEC529  </w:t>
      </w:r>
      <w:r>
        <w:rPr>
          <w:rFonts w:hint="eastAsia" w:ascii="宋体" w:hAnsi="宋体" w:cs="宋体"/>
          <w:szCs w:val="21"/>
          <w:highlight w:val="none"/>
        </w:rPr>
        <w:t>外壳防护等级</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IEC688  </w:t>
      </w:r>
      <w:r>
        <w:rPr>
          <w:rFonts w:hint="eastAsia" w:ascii="宋体" w:hAnsi="宋体" w:cs="宋体"/>
          <w:szCs w:val="21"/>
          <w:highlight w:val="none"/>
        </w:rPr>
        <w:t>交流电量转换成模拟信号或数字信号用的电气测量换能器</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IEC694  </w:t>
      </w:r>
      <w:r>
        <w:rPr>
          <w:rFonts w:hint="eastAsia" w:ascii="宋体" w:hAnsi="宋体" w:cs="宋体"/>
          <w:szCs w:val="21"/>
          <w:highlight w:val="none"/>
        </w:rPr>
        <w:t>高压开关设备和控制设备的通用条款</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IEC871  </w:t>
      </w:r>
      <w:r>
        <w:rPr>
          <w:rFonts w:hint="eastAsia" w:ascii="宋体" w:hAnsi="宋体" w:cs="宋体"/>
          <w:szCs w:val="21"/>
          <w:highlight w:val="none"/>
        </w:rPr>
        <w:t>额定电压超过</w:t>
      </w:r>
      <w:r>
        <w:rPr>
          <w:rFonts w:ascii="宋体" w:hAnsi="宋体" w:cs="宋体"/>
          <w:szCs w:val="21"/>
          <w:highlight w:val="none"/>
        </w:rPr>
        <w:t>660V的交流电力系统用并联电容器</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上述所有的规范、标准应是投标前一个月的有效版本。</w:t>
      </w:r>
    </w:p>
    <w:p>
      <w:pPr>
        <w:spacing w:line="360" w:lineRule="auto"/>
        <w:rPr>
          <w:rFonts w:ascii="宋体" w:hAnsi="宋体" w:cs="宋体"/>
          <w:bCs/>
          <w:szCs w:val="21"/>
          <w:highlight w:val="none"/>
        </w:rPr>
      </w:pPr>
      <w:bookmarkStart w:id="194" w:name="_Toc132379168"/>
      <w:r>
        <w:rPr>
          <w:rFonts w:ascii="宋体" w:hAnsi="宋体" w:cs="宋体"/>
          <w:bCs/>
          <w:szCs w:val="21"/>
          <w:highlight w:val="none"/>
        </w:rPr>
        <w:t>2）真空可移开式高压开关柜的总体结构</w:t>
      </w:r>
      <w:bookmarkEnd w:id="194"/>
    </w:p>
    <w:p>
      <w:pPr>
        <w:tabs>
          <w:tab w:val="left" w:pos="1080"/>
          <w:tab w:val="left" w:pos="1260"/>
        </w:tabs>
        <w:spacing w:line="360" w:lineRule="auto"/>
        <w:ind w:firstLine="367" w:firstLineChars="175"/>
        <w:rPr>
          <w:rFonts w:ascii="宋体" w:hAnsi="宋体" w:cs="宋体"/>
          <w:szCs w:val="21"/>
          <w:highlight w:val="none"/>
        </w:rPr>
      </w:pPr>
      <w:r>
        <w:rPr>
          <w:rFonts w:hint="eastAsia" w:ascii="宋体" w:hAnsi="宋体" w:cs="宋体"/>
          <w:bCs/>
          <w:szCs w:val="21"/>
          <w:highlight w:val="none"/>
        </w:rPr>
        <w:t>真空可移开式高压</w:t>
      </w:r>
      <w:r>
        <w:rPr>
          <w:rFonts w:hint="eastAsia" w:ascii="宋体" w:hAnsi="宋体" w:cs="宋体"/>
          <w:szCs w:val="21"/>
          <w:highlight w:val="none"/>
        </w:rPr>
        <w:t>开关柜应按系统电压</w:t>
      </w:r>
      <w:r>
        <w:rPr>
          <w:rFonts w:ascii="宋体" w:hAnsi="宋体" w:cs="宋体"/>
          <w:szCs w:val="21"/>
          <w:highlight w:val="none"/>
        </w:rPr>
        <w:t>10kV设计，高压开关柜为中置式结构。高压开关柜的设计和结构应符合IEC298及694并且要符合工程当地供电部门的要求。高压开关柜的设计应包括功能单元、控制保护以及仪表设备，对每个装置要求留有适当的空间便于进线和出线电缆连接、扩展、固定件的维修及部分元件的调换，还要考虑到今后的调节和安装，高压开关柜应能承受在最大短路故障时安全运行，并应能承受由此引起的电气及机械应力。在故障条件下，压力释放通道不允许面向操作人员。</w:t>
      </w:r>
    </w:p>
    <w:p>
      <w:pPr>
        <w:tabs>
          <w:tab w:val="left" w:pos="1080"/>
          <w:tab w:val="left" w:pos="1260"/>
        </w:tabs>
        <w:spacing w:line="360" w:lineRule="auto"/>
        <w:ind w:firstLine="367" w:firstLineChars="175"/>
        <w:rPr>
          <w:rFonts w:ascii="宋体" w:hAnsi="宋体" w:cs="宋体"/>
          <w:szCs w:val="21"/>
          <w:highlight w:val="none"/>
        </w:rPr>
      </w:pPr>
      <w:r>
        <w:rPr>
          <w:rFonts w:ascii="宋体" w:hAnsi="宋体" w:cs="宋体"/>
          <w:szCs w:val="21"/>
          <w:highlight w:val="none"/>
        </w:rPr>
        <w:t>10kV高压开关柜应采用定型标准柜，全封闭型，中置滑架式，柜内每个装置应连续运行，其防护等级应符合IEC529要求的IP4X，高压开关柜应是优质进口敷铝锌钢板结构，厚度不小于2.5mm，型钢支架，以铆钉及螺丝拼合成坚固的一体。选型参见设计。</w:t>
      </w:r>
    </w:p>
    <w:p>
      <w:pPr>
        <w:tabs>
          <w:tab w:val="left" w:pos="1080"/>
          <w:tab w:val="left" w:pos="1260"/>
        </w:tabs>
        <w:spacing w:line="360" w:lineRule="auto"/>
        <w:ind w:firstLine="367" w:firstLineChars="175"/>
        <w:rPr>
          <w:rFonts w:ascii="宋体" w:hAnsi="宋体" w:cs="宋体"/>
          <w:szCs w:val="21"/>
          <w:highlight w:val="none"/>
        </w:rPr>
      </w:pPr>
      <w:r>
        <w:rPr>
          <w:rFonts w:ascii="宋体" w:hAnsi="宋体" w:cs="宋体"/>
          <w:szCs w:val="21"/>
          <w:highlight w:val="none"/>
        </w:rPr>
        <w:t>10kV开关柜－额定运行电压12kV；工频耐压不小于42kV1min（全进口产品不小于38kV1min，现场交接试验工频耐压不小于38kV1min），雷电冲击耐受电压不小于75kV峰值。</w:t>
      </w:r>
    </w:p>
    <w:p>
      <w:pPr>
        <w:tabs>
          <w:tab w:val="left" w:pos="1080"/>
          <w:tab w:val="left" w:pos="1260"/>
        </w:tabs>
        <w:spacing w:line="360" w:lineRule="auto"/>
        <w:ind w:firstLine="367" w:firstLineChars="175"/>
        <w:rPr>
          <w:rFonts w:ascii="宋体" w:hAnsi="宋体" w:cs="宋体"/>
          <w:szCs w:val="21"/>
          <w:highlight w:val="none"/>
        </w:rPr>
      </w:pPr>
      <w:r>
        <w:rPr>
          <w:rFonts w:hint="eastAsia" w:ascii="宋体" w:hAnsi="宋体" w:cs="宋体"/>
          <w:szCs w:val="21"/>
          <w:highlight w:val="none"/>
        </w:rPr>
        <w:t>外绝缘爬电比距不小于</w:t>
      </w:r>
      <w:r>
        <w:rPr>
          <w:rFonts w:ascii="宋体" w:hAnsi="宋体" w:cs="宋体"/>
          <w:szCs w:val="21"/>
          <w:highlight w:val="none"/>
        </w:rPr>
        <w:t>20mm/kV（按连续最高运行电压计）。</w:t>
      </w:r>
    </w:p>
    <w:p>
      <w:pPr>
        <w:tabs>
          <w:tab w:val="left" w:pos="1080"/>
          <w:tab w:val="left" w:pos="1260"/>
        </w:tabs>
        <w:spacing w:line="360" w:lineRule="auto"/>
        <w:ind w:firstLine="367" w:firstLineChars="175"/>
        <w:rPr>
          <w:rFonts w:ascii="宋体" w:hAnsi="宋体" w:cs="宋体"/>
          <w:szCs w:val="21"/>
          <w:highlight w:val="none"/>
        </w:rPr>
      </w:pPr>
      <w:r>
        <w:rPr>
          <w:rFonts w:hint="eastAsia" w:ascii="宋体" w:hAnsi="宋体" w:cs="宋体"/>
          <w:szCs w:val="21"/>
          <w:highlight w:val="none"/>
        </w:rPr>
        <w:t>元件板、门、罩子和框架的总装配应平滑、嵌装和无波纹出现，应提供所必须的肋和支架以减小撞击，保证功能单元装配既整齐又牢固。应避免出现未经加工的毛边，角和边缘都应呈园角形，焊接处和接地处要平滑，不允许出现裂缝接点和断裂。曲拐、手柄、表计和附件的切割处，应锐利平净，切到设备的边缘处，门应装有铰链和锁，铰链之间最大距离不超过</w:t>
      </w:r>
      <w:r>
        <w:rPr>
          <w:rFonts w:ascii="宋体" w:hAnsi="宋体" w:cs="宋体"/>
          <w:szCs w:val="21"/>
          <w:highlight w:val="none"/>
        </w:rPr>
        <w:t>600mm，装有设备的门不应由于重量或大小而引起下垂。可移动的门和框架应安装在铰链、销子或托架上，紧固件的固定应采用工具或钥匙操作。</w:t>
      </w:r>
    </w:p>
    <w:p>
      <w:pPr>
        <w:tabs>
          <w:tab w:val="left" w:pos="1080"/>
          <w:tab w:val="left" w:pos="1260"/>
        </w:tabs>
        <w:spacing w:line="360" w:lineRule="auto"/>
        <w:ind w:firstLine="367" w:firstLineChars="175"/>
        <w:rPr>
          <w:rFonts w:ascii="宋体" w:hAnsi="宋体" w:cs="宋体"/>
          <w:szCs w:val="21"/>
          <w:highlight w:val="none"/>
        </w:rPr>
      </w:pPr>
      <w:r>
        <w:rPr>
          <w:rFonts w:hint="eastAsia" w:ascii="宋体" w:hAnsi="宋体" w:cs="宋体"/>
          <w:szCs w:val="21"/>
          <w:highlight w:val="none"/>
        </w:rPr>
        <w:t>高压开关柜的母线室、开关室、电缆室、低压控制小室采用金属防护板分隔。并且具有各自独立的过压释放通道，过压释放应有可信的符合电力部门要求的试验证明（具有母线室、电缆室、断路器室燃弧试验报告）。开关柜在工作状态及进行维修时，应防止操作人员与带电部分接触。移开式断路器或接触器开断时，要具有带自动锁扣的金属防护板，可同时自动隔离电缆侧和母排侧。</w:t>
      </w:r>
    </w:p>
    <w:p>
      <w:pPr>
        <w:tabs>
          <w:tab w:val="left" w:pos="1080"/>
          <w:tab w:val="left" w:pos="1260"/>
        </w:tabs>
        <w:spacing w:line="360" w:lineRule="auto"/>
        <w:ind w:firstLine="157" w:firstLineChars="75"/>
        <w:rPr>
          <w:rFonts w:ascii="宋体" w:hAnsi="宋体" w:cs="宋体"/>
          <w:szCs w:val="21"/>
          <w:highlight w:val="none"/>
        </w:rPr>
      </w:pPr>
      <w:r>
        <w:rPr>
          <w:rFonts w:hint="eastAsia" w:ascii="宋体" w:hAnsi="宋体" w:cs="宋体"/>
          <w:szCs w:val="21"/>
          <w:highlight w:val="none"/>
        </w:rPr>
        <w:t>开关柜应进行包括温升试验在内的型式试验。</w:t>
      </w:r>
    </w:p>
    <w:p>
      <w:pPr>
        <w:tabs>
          <w:tab w:val="left" w:pos="1080"/>
          <w:tab w:val="left" w:pos="1260"/>
        </w:tabs>
        <w:spacing w:line="360" w:lineRule="auto"/>
        <w:ind w:firstLine="157" w:firstLineChars="75"/>
        <w:rPr>
          <w:rFonts w:ascii="宋体" w:hAnsi="宋体" w:cs="宋体"/>
          <w:szCs w:val="21"/>
          <w:highlight w:val="none"/>
        </w:rPr>
      </w:pPr>
      <w:r>
        <w:rPr>
          <w:rFonts w:hint="eastAsia" w:ascii="宋体" w:hAnsi="宋体" w:cs="宋体"/>
          <w:szCs w:val="21"/>
          <w:highlight w:val="none"/>
        </w:rPr>
        <w:t>开关柜具有可靠的防止误操作的联锁装置（简称“五防”要求），包括但不限于：</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•可防止误分、合断路器。</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•可防止带负荷推拉可移开部件。</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•可防止带电合接地开关。</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•可防止接地开关处在接地位置送电。</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•可防止误入带电间隔。</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a）金属部分的接地</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所有开关柜要采用铜的接地排并连成一体。铜接地排的截面应能承受</w:t>
      </w:r>
      <w:r>
        <w:rPr>
          <w:rFonts w:ascii="宋体" w:hAnsi="宋体" w:cs="宋体"/>
          <w:szCs w:val="21"/>
          <w:highlight w:val="none"/>
        </w:rPr>
        <w:t>3秒钟的短路电流。断路器手车应具有滑动触头，并在任何位置接入接地铜排，滑动触头与滑动触头座配合成套，触头座与主接地排采用铜材连接。</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b）隔离设施</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断路器可以手车分离，开断时母排和馈电回路之间应保证隔离。为了防止操作人员接近带电的固定触点应设置安全防护板，该防护板应能掩盖母排及馈电侧的三相固定触点，锁扣装置能将防护板闭锁。试验、运行位置的操作均应闭门进行。</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c）电缆终端盒设施</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电缆在开关柜后部或前部连接，接点高于地坪，一次电缆桩头安装高度应符合相关规定。电缆底部采用金属板，底板应适用于引入电缆及电缆终端盒的形式，底板上需备有锥体形橡皮密封垫及电缆夹件。所有馈线柜均采用下方引出的方式。</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电缆室门板一旦打开，就可以装、修电缆终端盒。电缆隔室的底板采用开孔钢板，橡胶护套防护孔满足三芯</w:t>
      </w:r>
      <w:r>
        <w:rPr>
          <w:rFonts w:ascii="宋体" w:hAnsi="宋体" w:cs="宋体"/>
          <w:szCs w:val="21"/>
          <w:highlight w:val="none"/>
        </w:rPr>
        <w:t>300mm</w:t>
      </w:r>
      <w:r>
        <w:rPr>
          <w:rFonts w:ascii="宋体" w:hAnsi="宋体" w:cs="宋体"/>
          <w:szCs w:val="21"/>
          <w:highlight w:val="none"/>
          <w:vertAlign w:val="superscript"/>
        </w:rPr>
        <w:t>2</w:t>
      </w:r>
      <w:r>
        <w:rPr>
          <w:rFonts w:hint="eastAsia" w:ascii="宋体" w:hAnsi="宋体" w:cs="宋体"/>
          <w:szCs w:val="21"/>
          <w:highlight w:val="none"/>
        </w:rPr>
        <w:t>截面电缆芯分叉进入，并具备</w:t>
      </w:r>
      <w:r>
        <w:rPr>
          <w:rFonts w:ascii="宋体" w:hAnsi="宋体" w:cs="宋体"/>
          <w:szCs w:val="21"/>
          <w:highlight w:val="none"/>
        </w:rPr>
        <w:t>IP3X防护等级，电缆头搭接应满足两个螺栓孔搭接的要求。</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d）开关装置的布置应便于进行监视，检查和维护，要求安装柜内照明。柜内要求加装除湿加热器，电源采用～220V。</w:t>
      </w:r>
    </w:p>
    <w:p>
      <w:pPr>
        <w:spacing w:line="360" w:lineRule="auto"/>
        <w:ind w:firstLine="422"/>
        <w:rPr>
          <w:rFonts w:ascii="宋体" w:hAnsi="宋体" w:cs="宋体"/>
          <w:b/>
          <w:szCs w:val="21"/>
          <w:highlight w:val="none"/>
        </w:rPr>
      </w:pPr>
      <w:bookmarkStart w:id="195" w:name="_Toc132379169"/>
      <w:r>
        <w:rPr>
          <w:rFonts w:ascii="宋体" w:hAnsi="宋体" w:cs="宋体"/>
          <w:b/>
          <w:szCs w:val="21"/>
          <w:highlight w:val="none"/>
        </w:rPr>
        <w:t>3）涂层</w:t>
      </w:r>
      <w:bookmarkEnd w:id="195"/>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高压开关柜和辅助柜应采用覆铝锌板或环氧树脂粉末喷涂，外壳颜色要得到业主同意，外壳涂覆层应能承受</w:t>
      </w:r>
      <w:r>
        <w:rPr>
          <w:rFonts w:ascii="宋体" w:hAnsi="宋体" w:cs="宋体"/>
          <w:szCs w:val="21"/>
          <w:highlight w:val="none"/>
        </w:rPr>
        <w:t>1000小时盐雾试验，所有镀锌零件应能满足500小时盐雾试验，并符合技术规定相应要求。</w:t>
      </w:r>
    </w:p>
    <w:p>
      <w:pPr>
        <w:spacing w:line="360" w:lineRule="auto"/>
        <w:ind w:firstLine="422"/>
        <w:rPr>
          <w:rFonts w:ascii="宋体" w:hAnsi="宋体" w:cs="宋体"/>
          <w:b/>
          <w:szCs w:val="21"/>
          <w:highlight w:val="none"/>
        </w:rPr>
      </w:pPr>
      <w:bookmarkStart w:id="196" w:name="_Toc132379170"/>
      <w:r>
        <w:rPr>
          <w:rFonts w:ascii="宋体" w:hAnsi="宋体" w:cs="宋体"/>
          <w:b/>
          <w:szCs w:val="21"/>
          <w:highlight w:val="none"/>
        </w:rPr>
        <w:t>4）高压开关柜内的动力线</w:t>
      </w:r>
      <w:bookmarkEnd w:id="196"/>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高压开关柜内的动力线应供有进线、出线的主回路、功能单元之间的相互联接，动力线系统应根据要求是母排或电缆，适应每个装置的额定电压、额定电流和最大故障条件。</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1）母排</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母排系统应符合</w:t>
      </w:r>
      <w:r>
        <w:rPr>
          <w:rFonts w:ascii="宋体" w:hAnsi="宋体" w:cs="宋体"/>
          <w:szCs w:val="21"/>
          <w:highlight w:val="none"/>
        </w:rPr>
        <w:t>IEC694并且全封闭，在高压开关柜的分舱内，所有母排采用热缩套管、环氧树脂等加强绝缘措施，符合高压开关柜的操作额定电压值。母排应是刚性、硬拉高导电的电解铜符合IEC431。每根母排的截面在整个长度内应均匀，其截面应能承载连续的负载电流和稳态要求。母排的接点应确保有效的导电和牢固地连接，不同金属的联接处应防止腐蚀。母排应于出厂前预先钻孔，母排的孔应钻得光洁，无毛口，母排的夹紧螺栓应采用高拉伸的不锈钢。母排不应由功能单元支撑，支持母排的绝缘子或其它材料应有合格的性能，以适应机械及电气的要求。高压开关柜和辅助柜母排的排列应便于电缆连接、观察及维修。母排的终端应钻孔并支撑，以能承受故障条件。</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三相母排分别为</w:t>
      </w:r>
      <w:r>
        <w:rPr>
          <w:rFonts w:ascii="宋体" w:hAnsi="宋体" w:cs="宋体"/>
          <w:szCs w:val="21"/>
          <w:highlight w:val="none"/>
        </w:rPr>
        <w:t>A、B、C，相色分别为A相黄色、B相绿色、C相红色。</w:t>
      </w:r>
    </w:p>
    <w:p>
      <w:pPr>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A、B、C三相母排的排列应该是：</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上下布置，由上到下排列为</w:t>
      </w:r>
      <w:r>
        <w:rPr>
          <w:rFonts w:ascii="宋体" w:hAnsi="宋体" w:cs="宋体"/>
          <w:szCs w:val="21"/>
          <w:highlight w:val="none"/>
        </w:rPr>
        <w:t>A、B、C相</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水平布置，由柜后向柜面排列为</w:t>
      </w:r>
      <w:r>
        <w:rPr>
          <w:rFonts w:ascii="宋体" w:hAnsi="宋体" w:cs="宋体"/>
          <w:szCs w:val="21"/>
          <w:highlight w:val="none"/>
        </w:rPr>
        <w:t>A、B、C相</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引下线布置，由左至右排列为</w:t>
      </w:r>
      <w:r>
        <w:rPr>
          <w:rFonts w:ascii="宋体" w:hAnsi="宋体" w:cs="宋体"/>
          <w:szCs w:val="21"/>
          <w:highlight w:val="none"/>
        </w:rPr>
        <w:t>A、B、C相</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2）电缆</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电缆指用于柜内的及组柜的开关柜之间的连结线，电缆应是硬拉的交联聚乙烯绝缘聚氯乙烯护套高导电的多股铜芯线，能耐高温并符合</w:t>
      </w:r>
      <w:r>
        <w:rPr>
          <w:rFonts w:ascii="宋体" w:hAnsi="宋体" w:cs="宋体"/>
          <w:szCs w:val="21"/>
          <w:highlight w:val="none"/>
        </w:rPr>
        <w:t>IEC502有关标准。电缆应整齐地排列和牢固地支撑，以承受指定的故障条件。</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3）中性和接地母排</w:t>
      </w:r>
    </w:p>
    <w:p>
      <w:pPr>
        <w:tabs>
          <w:tab w:val="left" w:pos="1080"/>
          <w:tab w:val="left" w:pos="1260"/>
        </w:tabs>
        <w:spacing w:line="360" w:lineRule="auto"/>
        <w:ind w:left="2" w:leftChars="1" w:firstLine="472" w:firstLineChars="225"/>
        <w:rPr>
          <w:rFonts w:ascii="宋体" w:hAnsi="宋体" w:cs="宋体"/>
          <w:szCs w:val="21"/>
          <w:highlight w:val="none"/>
        </w:rPr>
      </w:pPr>
      <w:r>
        <w:rPr>
          <w:rFonts w:hint="eastAsia" w:ascii="宋体" w:hAnsi="宋体" w:cs="宋体"/>
          <w:szCs w:val="21"/>
          <w:highlight w:val="none"/>
        </w:rPr>
        <w:t>提供满足系统要求的中性和接地母排，上述母排要出厂前预先钻孔，便于连接。</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4）色标</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在高压开关柜内的动力线采用相色识别，颜色可以是连续的或以有规律的间隔及动力线的两端漆</w:t>
      </w:r>
      <w:r>
        <w:rPr>
          <w:rFonts w:ascii="宋体" w:hAnsi="宋体" w:cs="宋体"/>
          <w:szCs w:val="21"/>
          <w:highlight w:val="none"/>
        </w:rPr>
        <w:t>50mm宽的色带。色标可油漆或正常绝缘的浸漆。</w:t>
      </w:r>
    </w:p>
    <w:p>
      <w:pPr>
        <w:spacing w:line="360" w:lineRule="auto"/>
        <w:ind w:firstLine="422"/>
        <w:rPr>
          <w:rFonts w:ascii="宋体" w:hAnsi="宋体" w:cs="宋体"/>
          <w:b/>
          <w:szCs w:val="21"/>
          <w:highlight w:val="none"/>
        </w:rPr>
      </w:pPr>
      <w:bookmarkStart w:id="197" w:name="_Toc132379171"/>
      <w:r>
        <w:rPr>
          <w:rFonts w:ascii="宋体" w:hAnsi="宋体" w:cs="宋体"/>
          <w:b/>
          <w:szCs w:val="21"/>
          <w:highlight w:val="none"/>
        </w:rPr>
        <w:t>5）高压开关柜内的辅助导线</w:t>
      </w:r>
      <w:bookmarkEnd w:id="197"/>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联接控制、保护及仪表设备的小线电流回路应为截面不小于</w:t>
      </w:r>
      <w:r>
        <w:rPr>
          <w:rFonts w:ascii="宋体" w:hAnsi="宋体" w:cs="宋体"/>
          <w:szCs w:val="21"/>
          <w:highlight w:val="none"/>
        </w:rPr>
        <w:t>2.5平方毫米的多股铜导线，电压回路应为截面不小于1.5平方毫米的多股铜导线，绝缘等级不低于0.6kV。柜内小线应整齐地排列夹紧。所有不与主回路连接的小线应采用同一种醒目的颜色并在端子处具有持久的标记符合IEC446标准。每一个功能单元或组件的柜内外小线必须在端子排上接口，并留有25％的备用端子。每根导线将固定在专用的端子上并可根据需要采用连接片进行多根导线端接。每项设备将从公共的中性排上单独引出一根中性线。</w:t>
      </w:r>
    </w:p>
    <w:p>
      <w:pPr>
        <w:spacing w:line="360" w:lineRule="auto"/>
        <w:ind w:firstLine="422"/>
        <w:rPr>
          <w:rFonts w:ascii="宋体" w:hAnsi="宋体" w:cs="宋体"/>
          <w:b/>
          <w:szCs w:val="21"/>
          <w:highlight w:val="none"/>
        </w:rPr>
      </w:pPr>
      <w:bookmarkStart w:id="198" w:name="_Toc132379172"/>
      <w:r>
        <w:rPr>
          <w:rFonts w:ascii="宋体" w:hAnsi="宋体" w:cs="宋体"/>
          <w:b/>
          <w:szCs w:val="21"/>
          <w:highlight w:val="none"/>
        </w:rPr>
        <w:t>6）高压开关柜的功能单元</w:t>
      </w:r>
      <w:bookmarkEnd w:id="198"/>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安装在高压柜内的设备应按特定用途选择并指出在工作条件下制造商保证的所需性能或性能范围。所有设备应为新颖的，为有关种类第一流的质量，产品必需由专业生产厂生产，保证质量及产品的合格额定值。</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所有设备在安装及运行后应具有标牌。标记牌上应说明容量，操作特性，型式及序号。</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所有设备应备有可靠的安全措施以防意外及设备的损坏。</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工作成为一体的装置应选用相似的设备，不允许有不必要复杂接口的设备。进线及出线的功能单元应适合所需的额定电压、电流、寿命、开关容量及短路故障容量，并结合所需的操作特点、辅件、联锁等。</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1）断路器</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断路器采用</w:t>
      </w:r>
      <w:r>
        <w:rPr>
          <w:rFonts w:ascii="宋体" w:hAnsi="宋体" w:cs="宋体"/>
          <w:szCs w:val="21"/>
          <w:highlight w:val="none"/>
        </w:rPr>
        <w:t>ABB公司VD4、施耐德公司EV12或西门子公司3AE系列真空型断路器符合IEC56。形式和额定容量值相同的断路器可互换使用，断路器要求内接闭锁器可防止误操作，并且可装钥匙锁。真空泡有效期≥20年，真空度出厂时≤1.32x10</w:t>
      </w:r>
      <w:r>
        <w:rPr>
          <w:rFonts w:ascii="宋体" w:hAnsi="宋体" w:cs="宋体"/>
          <w:szCs w:val="21"/>
          <w:highlight w:val="none"/>
          <w:vertAlign w:val="superscript"/>
        </w:rPr>
        <w:t>-5</w:t>
      </w:r>
      <w:r>
        <w:rPr>
          <w:rFonts w:hint="eastAsia" w:ascii="宋体" w:hAnsi="宋体" w:cs="宋体"/>
          <w:szCs w:val="21"/>
          <w:highlight w:val="none"/>
        </w:rPr>
        <w:t>帕，并注明出厂时间。</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不允许断路器闭合时推进或拉出，只有在工作或试验位置断路器才能合闸。断路器备有电动弹簧储能合闸操作机构，即备有伺服电动机，当断路器开断或闭合瞬间，重新储能（分</w:t>
      </w:r>
      <w:r>
        <w:rPr>
          <w:rFonts w:ascii="宋体" w:hAnsi="宋体" w:cs="宋体"/>
          <w:szCs w:val="21"/>
          <w:highlight w:val="none"/>
        </w:rPr>
        <w:t>0.3秒，合分3分钟再合分）。</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断路器工作寿命，额定电流下操作次数：</w:t>
      </w:r>
      <w:r>
        <w:rPr>
          <w:rFonts w:ascii="宋体" w:hAnsi="宋体" w:cs="宋体"/>
          <w:szCs w:val="21"/>
          <w:highlight w:val="none"/>
        </w:rPr>
        <w:t xml:space="preserve"> 10kV断路器不小于2万次；短路电流开断次数： 10kV断路器不少于100次。</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断路器应提供以下显示器和控制器。</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a）断路器开断及闭合状态的机械显示，开断及闭合位置应真实的反映断路器状况。</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b）伺服电动机储能状态的机械显示，可显示储能与否。</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c）就地手动弹簧释放装置。</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d）手操紧急弹簧储能装置。</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e）采用伺服电动机进行储能，面板上按钮操作。</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f）机械分合闸按钮。</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g）远动接口。</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h）带有不少于9副备用辅助触点（9常开9常闭）。</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合闸及跳闸机构的电源电压为直流</w:t>
      </w:r>
      <w:r>
        <w:rPr>
          <w:rFonts w:ascii="宋体" w:hAnsi="宋体" w:cs="宋体"/>
          <w:szCs w:val="21"/>
          <w:highlight w:val="none"/>
        </w:rPr>
        <w:t>220V。储能电机电压为直流220V。断路器在正常时或故障时的操作中根据相应规范或标准要求不宜出现操作过电压。若可能出现操作过电压，则承包商应提供防止内部操作过电压的组合氧化锌过电压保护器，把内部操作过电压限制在允许的范围内。</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2）高压熔断器</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符合</w:t>
      </w:r>
      <w:r>
        <w:rPr>
          <w:rFonts w:ascii="宋体" w:hAnsi="宋体" w:cs="宋体"/>
          <w:szCs w:val="21"/>
          <w:highlight w:val="none"/>
        </w:rPr>
        <w:t>IEC282标准的要求。熔断器为高遮断容量形式，其额定断流容量，应满足系统总的要求。熔断器采用高强度的电瓷材料制成，爬距满足相应电压等级的要求。</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3）隔离开关与接地开关</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隔离开关符合</w:t>
      </w:r>
      <w:r>
        <w:rPr>
          <w:rFonts w:ascii="宋体" w:hAnsi="宋体" w:cs="宋体"/>
          <w:szCs w:val="21"/>
          <w:highlight w:val="none"/>
        </w:rPr>
        <w:t>IEC129，应能承载连续的负载电流，并能承受指定的故障条件。隔离开关在开断时母排和馈电回路之间应保证隔离，并能承受试验电压。接地开关与隔离开关在开关柜前操作，接地开关应为快速接地开关，与操作人员的动作快慢无关，接地设备的容量在接地开关闭合时应能承受短路电流，接地开关在闭合，断开两个位置时均能锁扣，接地与否应能在柜前辨别。接地开关应具有机械联锁性能，以防止误操作，例如防止断路器闭合时闭合接地开关和接地开关闭合时推进断路器等。</w:t>
      </w:r>
    </w:p>
    <w:p>
      <w:pPr>
        <w:tabs>
          <w:tab w:val="left" w:pos="1080"/>
          <w:tab w:val="left" w:pos="1260"/>
        </w:tabs>
        <w:spacing w:line="360" w:lineRule="auto"/>
        <w:ind w:left="2" w:leftChars="1" w:firstLine="367" w:firstLineChars="175"/>
        <w:rPr>
          <w:rFonts w:ascii="宋体" w:hAnsi="宋体" w:cs="宋体"/>
          <w:szCs w:val="21"/>
          <w:highlight w:val="none"/>
        </w:rPr>
      </w:pP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4）浪涌抑制装置</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氧化锌浪涌抑制器，型式为硅橡胶无间隙金属氧化锌避雷器，硅聚合物外壳</w:t>
      </w:r>
      <w:r>
        <w:rPr>
          <w:rFonts w:ascii="宋体" w:hAnsi="宋体" w:cs="宋体"/>
          <w:szCs w:val="21"/>
          <w:highlight w:val="none"/>
        </w:rPr>
        <w:t>(直接浇注)，其最大持续运行电压应大于最高运行线电压。</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柜内型氧化锌浪涌抑制器应满足以下性能指标：</w:t>
      </w:r>
    </w:p>
    <w:tbl>
      <w:tblPr>
        <w:tblStyle w:val="33"/>
        <w:tblW w:w="499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36"/>
        <w:gridCol w:w="636"/>
        <w:gridCol w:w="796"/>
        <w:gridCol w:w="636"/>
        <w:gridCol w:w="691"/>
        <w:gridCol w:w="691"/>
        <w:gridCol w:w="874"/>
        <w:gridCol w:w="1004"/>
        <w:gridCol w:w="1004"/>
        <w:gridCol w:w="1109"/>
        <w:gridCol w:w="105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5" w:hRule="atLeast"/>
          <w:jc w:val="center"/>
        </w:trPr>
        <w:tc>
          <w:tcPr>
            <w:tcW w:w="368" w:type="pct"/>
            <w:tcBorders>
              <w:top w:val="single" w:color="auto" w:sz="12" w:space="0"/>
              <w:left w:val="single" w:color="auto" w:sz="4"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vertAlign w:val="subscript"/>
              </w:rPr>
            </w:pPr>
            <w:r>
              <w:rPr>
                <w:rFonts w:ascii="宋体" w:hAnsi="宋体" w:cs="宋体"/>
                <w:szCs w:val="21"/>
                <w:highlight w:val="none"/>
              </w:rPr>
              <w:t>U</w:t>
            </w:r>
            <w:r>
              <w:rPr>
                <w:rFonts w:ascii="宋体" w:hAnsi="宋体" w:cs="宋体"/>
                <w:szCs w:val="21"/>
                <w:highlight w:val="none"/>
                <w:vertAlign w:val="subscript"/>
              </w:rPr>
              <w:t>n</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(kV)</w:t>
            </w:r>
          </w:p>
        </w:tc>
        <w:tc>
          <w:tcPr>
            <w:tcW w:w="373"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vertAlign w:val="subscript"/>
              </w:rPr>
            </w:pPr>
            <w:r>
              <w:rPr>
                <w:rFonts w:ascii="宋体" w:hAnsi="宋体" w:cs="宋体"/>
                <w:szCs w:val="21"/>
                <w:highlight w:val="none"/>
              </w:rPr>
              <w:t>U</w:t>
            </w:r>
            <w:r>
              <w:rPr>
                <w:rFonts w:ascii="宋体" w:hAnsi="宋体" w:cs="宋体"/>
                <w:szCs w:val="21"/>
                <w:highlight w:val="none"/>
                <w:vertAlign w:val="subscript"/>
              </w:rPr>
              <w:t>c</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(kV)</w:t>
            </w:r>
          </w:p>
        </w:tc>
        <w:tc>
          <w:tcPr>
            <w:tcW w:w="368"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vertAlign w:val="subscript"/>
              </w:rPr>
            </w:pPr>
            <w:r>
              <w:rPr>
                <w:rFonts w:ascii="宋体" w:hAnsi="宋体" w:cs="宋体"/>
                <w:szCs w:val="21"/>
                <w:highlight w:val="none"/>
              </w:rPr>
              <w:t>U</w:t>
            </w:r>
            <w:r>
              <w:rPr>
                <w:rFonts w:ascii="宋体" w:hAnsi="宋体" w:cs="宋体"/>
                <w:szCs w:val="21"/>
                <w:highlight w:val="none"/>
                <w:vertAlign w:val="subscript"/>
              </w:rPr>
              <w:t>r</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(kV)</w:t>
            </w:r>
          </w:p>
        </w:tc>
        <w:tc>
          <w:tcPr>
            <w:tcW w:w="403"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vertAlign w:val="subscript"/>
              </w:rPr>
            </w:pPr>
            <w:r>
              <w:rPr>
                <w:rFonts w:ascii="宋体" w:hAnsi="宋体" w:cs="宋体"/>
                <w:szCs w:val="21"/>
                <w:highlight w:val="none"/>
              </w:rPr>
              <w:t>I</w:t>
            </w:r>
            <w:r>
              <w:rPr>
                <w:rFonts w:ascii="宋体" w:hAnsi="宋体" w:cs="宋体"/>
                <w:szCs w:val="21"/>
                <w:highlight w:val="none"/>
                <w:vertAlign w:val="subscript"/>
              </w:rPr>
              <w:t>n</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(kA)</w:t>
            </w:r>
          </w:p>
        </w:tc>
        <w:tc>
          <w:tcPr>
            <w:tcW w:w="370"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vertAlign w:val="subscript"/>
              </w:rPr>
            </w:pPr>
            <w:r>
              <w:rPr>
                <w:rFonts w:ascii="宋体" w:hAnsi="宋体" w:cs="宋体"/>
                <w:szCs w:val="21"/>
                <w:highlight w:val="none"/>
              </w:rPr>
              <w:t>I</w:t>
            </w:r>
            <w:r>
              <w:rPr>
                <w:rFonts w:ascii="宋体" w:hAnsi="宋体" w:cs="宋体"/>
                <w:szCs w:val="21"/>
                <w:highlight w:val="none"/>
                <w:vertAlign w:val="subscript"/>
              </w:rPr>
              <w:t>hc</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(kA)</w:t>
            </w:r>
          </w:p>
        </w:tc>
        <w:tc>
          <w:tcPr>
            <w:tcW w:w="338"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vertAlign w:val="subscript"/>
              </w:rPr>
            </w:pPr>
            <w:r>
              <w:rPr>
                <w:rFonts w:ascii="宋体" w:hAnsi="宋体" w:cs="宋体"/>
                <w:szCs w:val="21"/>
                <w:highlight w:val="none"/>
              </w:rPr>
              <w:t>I</w:t>
            </w:r>
            <w:r>
              <w:rPr>
                <w:rFonts w:ascii="宋体" w:hAnsi="宋体" w:cs="宋体"/>
                <w:szCs w:val="21"/>
                <w:highlight w:val="none"/>
                <w:vertAlign w:val="subscript"/>
              </w:rPr>
              <w:t>2ms</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(A)</w:t>
            </w:r>
          </w:p>
        </w:tc>
        <w:tc>
          <w:tcPr>
            <w:tcW w:w="526"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vertAlign w:val="subscript"/>
              </w:rPr>
            </w:pPr>
            <w:r>
              <w:rPr>
                <w:rFonts w:ascii="宋体" w:hAnsi="宋体" w:cs="宋体"/>
                <w:szCs w:val="21"/>
                <w:highlight w:val="none"/>
              </w:rPr>
              <w:t>U</w:t>
            </w:r>
            <w:r>
              <w:rPr>
                <w:rFonts w:ascii="宋体" w:hAnsi="宋体" w:cs="宋体"/>
                <w:szCs w:val="21"/>
                <w:highlight w:val="none"/>
                <w:vertAlign w:val="subscript"/>
              </w:rPr>
              <w:t>ref</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(1mA)</w:t>
            </w:r>
          </w:p>
        </w:tc>
        <w:tc>
          <w:tcPr>
            <w:tcW w:w="559"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U</w:t>
            </w:r>
            <w:r>
              <w:rPr>
                <w:rFonts w:ascii="宋体" w:hAnsi="宋体" w:cs="宋体"/>
                <w:szCs w:val="21"/>
                <w:highlight w:val="none"/>
                <w:vertAlign w:val="subscript"/>
              </w:rPr>
              <w:t>p</w:t>
            </w:r>
            <w:r>
              <w:rPr>
                <w:rFonts w:ascii="宋体" w:hAnsi="宋体" w:cs="宋体"/>
                <w:szCs w:val="21"/>
                <w:highlight w:val="none"/>
              </w:rPr>
              <w:t>(1/…)</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(5kA)</w:t>
            </w:r>
          </w:p>
        </w:tc>
        <w:tc>
          <w:tcPr>
            <w:tcW w:w="529"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U</w:t>
            </w:r>
            <w:r>
              <w:rPr>
                <w:rFonts w:ascii="宋体" w:hAnsi="宋体" w:cs="宋体"/>
                <w:szCs w:val="21"/>
                <w:highlight w:val="none"/>
                <w:vertAlign w:val="subscript"/>
              </w:rPr>
              <w:t>p</w:t>
            </w:r>
            <w:r>
              <w:rPr>
                <w:rFonts w:ascii="宋体" w:hAnsi="宋体" w:cs="宋体"/>
                <w:szCs w:val="21"/>
                <w:highlight w:val="none"/>
              </w:rPr>
              <w:t>(8/20)</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(5kA)</w:t>
            </w:r>
          </w:p>
        </w:tc>
        <w:tc>
          <w:tcPr>
            <w:tcW w:w="587" w:type="pct"/>
            <w:tcBorders>
              <w:top w:val="single" w:color="auto" w:sz="12" w:space="0"/>
              <w:left w:val="single" w:color="auto" w:sz="2" w:space="0"/>
              <w:bottom w:val="single" w:color="auto" w:sz="2" w:space="0"/>
              <w:right w:val="single" w:color="auto" w:sz="2"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U</w:t>
            </w:r>
            <w:r>
              <w:rPr>
                <w:rFonts w:ascii="宋体" w:hAnsi="宋体" w:cs="宋体"/>
                <w:szCs w:val="21"/>
                <w:highlight w:val="none"/>
                <w:vertAlign w:val="subscript"/>
              </w:rPr>
              <w:t>p</w:t>
            </w:r>
            <w:r>
              <w:rPr>
                <w:rFonts w:ascii="宋体" w:hAnsi="宋体" w:cs="宋体"/>
                <w:szCs w:val="21"/>
                <w:highlight w:val="none"/>
              </w:rPr>
              <w:t>(30/60)</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(100A)</w:t>
            </w:r>
          </w:p>
        </w:tc>
        <w:tc>
          <w:tcPr>
            <w:tcW w:w="573" w:type="pct"/>
            <w:tcBorders>
              <w:top w:val="single" w:color="auto" w:sz="12" w:space="0"/>
              <w:left w:val="single" w:color="auto" w:sz="2" w:space="0"/>
              <w:bottom w:val="single" w:color="auto" w:sz="2" w:space="0"/>
              <w:right w:val="single" w:color="auto" w:sz="4" w:space="0"/>
            </w:tcBorders>
            <w:vAlign w:val="center"/>
          </w:tcPr>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hint="eastAsia" w:ascii="宋体" w:hAnsi="宋体" w:cs="宋体"/>
                <w:szCs w:val="21"/>
                <w:highlight w:val="none"/>
              </w:rPr>
              <w:t>爬距</w:t>
            </w:r>
          </w:p>
          <w:p>
            <w:pPr>
              <w:tabs>
                <w:tab w:val="left" w:pos="1080"/>
                <w:tab w:val="left" w:pos="1260"/>
              </w:tabs>
              <w:adjustRightInd w:val="0"/>
              <w:snapToGrid w:val="0"/>
              <w:ind w:left="0" w:leftChars="0" w:firstLine="0" w:firstLineChars="0"/>
              <w:jc w:val="center"/>
              <w:rPr>
                <w:rFonts w:ascii="宋体" w:hAnsi="宋体" w:cs="宋体"/>
                <w:szCs w:val="21"/>
                <w:highlight w:val="none"/>
              </w:rPr>
            </w:pPr>
            <w:r>
              <w:rPr>
                <w:rFonts w:ascii="宋体" w:hAnsi="宋体" w:cs="宋体"/>
                <w:szCs w:val="21"/>
                <w:highlight w:val="none"/>
              </w:rPr>
              <w:t>(mm/kVm)</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368" w:type="pct"/>
            <w:tcBorders>
              <w:top w:val="single" w:color="auto" w:sz="2" w:space="0"/>
              <w:left w:val="single" w:color="auto" w:sz="4"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10</w:t>
            </w:r>
          </w:p>
        </w:tc>
        <w:tc>
          <w:tcPr>
            <w:tcW w:w="373"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14</w:t>
            </w:r>
          </w:p>
        </w:tc>
        <w:tc>
          <w:tcPr>
            <w:tcW w:w="368"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17.5</w:t>
            </w:r>
          </w:p>
        </w:tc>
        <w:tc>
          <w:tcPr>
            <w:tcW w:w="403"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10</w:t>
            </w:r>
          </w:p>
        </w:tc>
        <w:tc>
          <w:tcPr>
            <w:tcW w:w="370"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100</w:t>
            </w:r>
          </w:p>
        </w:tc>
        <w:tc>
          <w:tcPr>
            <w:tcW w:w="338"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550</w:t>
            </w:r>
          </w:p>
        </w:tc>
        <w:tc>
          <w:tcPr>
            <w:tcW w:w="526"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24.0</w:t>
            </w:r>
          </w:p>
        </w:tc>
        <w:tc>
          <w:tcPr>
            <w:tcW w:w="559"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44.9</w:t>
            </w:r>
          </w:p>
        </w:tc>
        <w:tc>
          <w:tcPr>
            <w:tcW w:w="529"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40.6</w:t>
            </w:r>
          </w:p>
        </w:tc>
        <w:tc>
          <w:tcPr>
            <w:tcW w:w="587" w:type="pct"/>
            <w:tcBorders>
              <w:top w:val="single" w:color="auto" w:sz="2" w:space="0"/>
              <w:left w:val="single" w:color="auto" w:sz="2" w:space="0"/>
              <w:bottom w:val="single" w:color="auto" w:sz="12" w:space="0"/>
              <w:right w:val="single" w:color="auto" w:sz="2"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34.4</w:t>
            </w:r>
          </w:p>
        </w:tc>
        <w:tc>
          <w:tcPr>
            <w:tcW w:w="573" w:type="pct"/>
            <w:tcBorders>
              <w:top w:val="single" w:color="auto" w:sz="2" w:space="0"/>
              <w:left w:val="single" w:color="auto" w:sz="2" w:space="0"/>
              <w:bottom w:val="single" w:color="auto" w:sz="12" w:space="0"/>
              <w:right w:val="single" w:color="auto" w:sz="4" w:space="0"/>
            </w:tcBorders>
            <w:vAlign w:val="center"/>
          </w:tcPr>
          <w:p>
            <w:pPr>
              <w:tabs>
                <w:tab w:val="left" w:pos="1080"/>
                <w:tab w:val="left" w:pos="1260"/>
              </w:tabs>
              <w:adjustRightInd w:val="0"/>
              <w:snapToGrid w:val="0"/>
              <w:ind w:left="2" w:leftChars="1" w:firstLine="157" w:firstLineChars="75"/>
              <w:jc w:val="center"/>
              <w:rPr>
                <w:rFonts w:ascii="宋体" w:hAnsi="宋体" w:cs="宋体"/>
                <w:szCs w:val="21"/>
                <w:highlight w:val="none"/>
              </w:rPr>
            </w:pPr>
            <w:r>
              <w:rPr>
                <w:rFonts w:ascii="宋体" w:hAnsi="宋体" w:cs="宋体"/>
                <w:szCs w:val="21"/>
                <w:highlight w:val="none"/>
              </w:rPr>
              <w:t>22</w:t>
            </w:r>
          </w:p>
        </w:tc>
      </w:tr>
    </w:tbl>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组合氧化锌过电压保护器应可同时保护相间和相地过电压。</w:t>
      </w:r>
    </w:p>
    <w:p>
      <w:pPr>
        <w:spacing w:line="360" w:lineRule="auto"/>
        <w:ind w:firstLine="422"/>
        <w:rPr>
          <w:rFonts w:ascii="宋体" w:hAnsi="宋体" w:cs="宋体"/>
          <w:b/>
          <w:szCs w:val="21"/>
          <w:highlight w:val="none"/>
        </w:rPr>
      </w:pPr>
      <w:bookmarkStart w:id="199" w:name="_Toc132379173"/>
      <w:r>
        <w:rPr>
          <w:rFonts w:ascii="宋体" w:hAnsi="宋体" w:cs="宋体"/>
          <w:b/>
          <w:szCs w:val="21"/>
          <w:highlight w:val="none"/>
        </w:rPr>
        <w:t>7）高压开关柜和辅助柜内的测量及保护元件</w:t>
      </w:r>
      <w:bookmarkEnd w:id="199"/>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1）电流互感器</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电流互感器应按</w:t>
      </w:r>
      <w:r>
        <w:rPr>
          <w:rFonts w:ascii="宋体" w:hAnsi="宋体" w:cs="宋体"/>
          <w:szCs w:val="21"/>
          <w:highlight w:val="none"/>
        </w:rPr>
        <w:t>IEC185标准的有关要求进行设计及选用，并考虑到每个装置的特殊要求。电流互感器采用国产一线品牌应满足初级额定短路电流及初级额定负载电流，除分段柜外，电流互感器均应装置在馈电回路侧。电流互感器采用环氧树脂型，应符合规定的电流比要求，其精度等级与负载应配合继电器、仪表仪器的运行要求且至少达到：10VA，0.5级/10VA，5P10。</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2）电压互感器</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电压互感器采用国产一线品牌应按</w:t>
      </w:r>
      <w:r>
        <w:rPr>
          <w:rFonts w:ascii="宋体" w:hAnsi="宋体" w:cs="宋体"/>
          <w:szCs w:val="21"/>
          <w:highlight w:val="none"/>
        </w:rPr>
        <w:t>IEC186标准的有关要求进行设计及选用，并考虑到每个装置的特殊要求。空气绝缘可移开式高压开关柜中电压互感器一般应为固定式环氧树脂型，差动区域外的电压互感器初级采用高压熔断器保护。要求可母排不断电调换熔丝。</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当提供插入式电压互感器时，在断开位置应用挂锁锁位，金属防护板应罩住所有带电元件，开启或关闭，熔断器处于断开位置。</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电压互感器接线组别为</w:t>
      </w:r>
      <w:r>
        <w:rPr>
          <w:rFonts w:ascii="宋体" w:hAnsi="宋体" w:cs="宋体"/>
          <w:szCs w:val="21"/>
          <w:highlight w:val="none"/>
        </w:rPr>
        <w:t xml:space="preserve"> V/V</w:t>
      </w:r>
      <w:r>
        <w:rPr>
          <w:rFonts w:ascii="宋体" w:hAnsi="宋体" w:cs="宋体"/>
          <w:szCs w:val="21"/>
          <w:highlight w:val="none"/>
          <w:vertAlign w:val="subscript"/>
        </w:rPr>
        <w:t>0</w:t>
      </w:r>
      <w:r>
        <w:rPr>
          <w:rFonts w:hint="eastAsia" w:ascii="宋体" w:hAnsi="宋体" w:cs="宋体"/>
          <w:szCs w:val="21"/>
          <w:highlight w:val="none"/>
        </w:rPr>
        <w:t>；</w:t>
      </w:r>
      <w:r>
        <w:rPr>
          <w:rFonts w:ascii="宋体" w:hAnsi="宋体" w:cs="宋体"/>
          <w:szCs w:val="21"/>
          <w:highlight w:val="none"/>
        </w:rPr>
        <w:t>Y/Y</w:t>
      </w:r>
      <w:r>
        <w:rPr>
          <w:rFonts w:ascii="宋体" w:hAnsi="宋体" w:cs="宋体"/>
          <w:szCs w:val="21"/>
          <w:highlight w:val="none"/>
          <w:vertAlign w:val="subscript"/>
        </w:rPr>
        <w:t>0</w:t>
      </w:r>
      <w:r>
        <w:rPr>
          <w:rFonts w:ascii="宋体" w:hAnsi="宋体" w:cs="宋体"/>
          <w:szCs w:val="21"/>
          <w:highlight w:val="none"/>
        </w:rPr>
        <w:t>/Δ</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负载及准确等级</w:t>
      </w:r>
      <w:r>
        <w:rPr>
          <w:rFonts w:ascii="宋体" w:hAnsi="宋体" w:cs="宋体"/>
          <w:szCs w:val="21"/>
          <w:highlight w:val="none"/>
        </w:rPr>
        <w:t xml:space="preserve">     75VA，0.5级</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最大热负载</w:t>
      </w:r>
      <w:r>
        <w:rPr>
          <w:rFonts w:ascii="宋体" w:hAnsi="宋体" w:cs="宋体"/>
          <w:szCs w:val="21"/>
          <w:highlight w:val="none"/>
        </w:rPr>
        <w:t xml:space="preserve">         250VA</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电压互感器的次级绕组有可靠的绝缘，并加熔断器或空气开关保护。</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电压互感器的额定电压因数要符合</w:t>
      </w:r>
      <w:r>
        <w:rPr>
          <w:rFonts w:ascii="宋体" w:hAnsi="宋体" w:cs="宋体"/>
          <w:szCs w:val="21"/>
          <w:highlight w:val="none"/>
        </w:rPr>
        <w:t>1.2倍Un长期运行和1.9倍Un运行8小时。</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3）仪表</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开关柜所有仪表采用斯菲尔或上海安科瑞数字式显示仪表，均采用液晶屏的仪表：电流，电压，电度，功率，功率因素等，其精度应经业主同意，为了隔离及仪表设备的保护，根据需要应提供电流互感器、熔断器等。多功能表通讯接口应支持</w:t>
      </w:r>
      <w:r>
        <w:rPr>
          <w:rFonts w:ascii="宋体" w:hAnsi="宋体" w:cs="宋体"/>
          <w:szCs w:val="21"/>
          <w:highlight w:val="none"/>
        </w:rPr>
        <w:t>MODBUS通讯协议。所有仪表设备、辅件及附件应按有关GB、IEC标准及规范制造并经型式及常规试验。</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3）数字式综合保护继电装置及后台系统</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数字式综合保护继电装置和后台系统选用南瑞继保</w:t>
      </w:r>
      <w:r>
        <w:rPr>
          <w:rFonts w:ascii="宋体" w:hAnsi="宋体" w:cs="宋体"/>
          <w:szCs w:val="21"/>
          <w:highlight w:val="none"/>
        </w:rPr>
        <w:t>RCS9000系列产品，综保系统厂家另外提供通讯接口供业主采集主要数据至自动化监控系统中。数字式综合保护继电装置应与每个装置的特殊要求相匹配，每种型式应符合IEC255标准的有关要求。数字式综合保护继电装置是高可靠性的微机型继电器，具有各类要求的保护功能、测量功能、单元自动操作功能以及通过通讯接口进行数据传输等功能，这些分布式单元可独立工作，也通过现场通讯总线与微机工作站构成完整的分布式监控系统。数字式综合保护继电装置至少具备以下性能：</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－所有分布式单元须是一个公司的系列产品，单元尺寸模数化。</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－分布式单元的辅助电源为直流</w:t>
      </w:r>
      <w:r>
        <w:rPr>
          <w:rFonts w:ascii="宋体" w:hAnsi="宋体" w:cs="宋体"/>
          <w:szCs w:val="21"/>
          <w:highlight w:val="none"/>
        </w:rPr>
        <w:t>220V。</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－每个模块都应有一次导体断线检测功能。</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－每个模块都应有自诊断功能。</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－监视功能：具有断路器失灵保护，断路器跳闸回路监视，及对断路器状态进行监视，并能记录故障期间</w:t>
      </w:r>
      <w:r>
        <w:rPr>
          <w:rFonts w:ascii="宋体" w:hAnsi="宋体" w:cs="宋体"/>
          <w:szCs w:val="21"/>
          <w:highlight w:val="none"/>
        </w:rPr>
        <w:t>I和I</w:t>
      </w:r>
      <w:r>
        <w:rPr>
          <w:rFonts w:ascii="宋体" w:hAnsi="宋体" w:cs="宋体"/>
          <w:szCs w:val="21"/>
          <w:highlight w:val="none"/>
          <w:vertAlign w:val="superscript"/>
        </w:rPr>
        <w:t>2</w:t>
      </w:r>
      <w:r>
        <w:rPr>
          <w:rFonts w:hint="eastAsia" w:ascii="宋体" w:hAnsi="宋体" w:cs="宋体"/>
          <w:szCs w:val="21"/>
          <w:highlight w:val="none"/>
        </w:rPr>
        <w:t>，以利于断路器的维护。</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－测量功能：广泛的测量功能，三相有功、无功，电能。</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－故障分析功能：事件记录和故障记录，故障录波。</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－继电器应具有逻辑编程功能，用户可编程保护方案逻辑。</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－通讯规约须是国际标准且具开放性。</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－单元的各项技术指标须满足</w:t>
      </w:r>
      <w:r>
        <w:rPr>
          <w:rFonts w:ascii="宋体" w:hAnsi="宋体" w:cs="宋体"/>
          <w:szCs w:val="21"/>
          <w:highlight w:val="none"/>
        </w:rPr>
        <w:t>IEC标准。系统的要求要满足原电力部的有关标准。</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－通过国内权威的测试报告（华东电网入网证）。</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继电保护</w:t>
      </w:r>
      <w:r>
        <w:rPr>
          <w:rFonts w:ascii="宋体" w:hAnsi="宋体" w:cs="宋体"/>
          <w:szCs w:val="21"/>
          <w:highlight w:val="none"/>
        </w:rPr>
        <w:t>----根据要求配置电流互感器与相应的数字式综合保护继电器(详见施工设计图纸)，除提供下列要求的保护功能外，还必须提供标准的通讯接口，与监控系统连接，通过该接口将回路的电流、电压、功率、功率因数、分合闸、报警、小车状态等传输给监控系统并接收监控系统的指令实施自动控制。</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其余部份详见施工设计图纸。</w:t>
      </w:r>
    </w:p>
    <w:p>
      <w:pPr>
        <w:spacing w:line="360" w:lineRule="auto"/>
        <w:ind w:firstLine="422"/>
        <w:rPr>
          <w:rFonts w:ascii="宋体" w:hAnsi="宋体" w:cs="宋体"/>
          <w:b/>
          <w:szCs w:val="21"/>
          <w:highlight w:val="none"/>
        </w:rPr>
      </w:pPr>
      <w:bookmarkStart w:id="200" w:name="_Toc132379174"/>
      <w:r>
        <w:rPr>
          <w:rFonts w:ascii="宋体" w:hAnsi="宋体" w:cs="宋体"/>
          <w:b/>
          <w:szCs w:val="21"/>
          <w:highlight w:val="none"/>
        </w:rPr>
        <w:t>8）高压开关柜内的低压辅助元件</w:t>
      </w:r>
      <w:bookmarkEnd w:id="200"/>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每台开关柜应设有低压室，内含仪器仪表、显示器及控制器，开关柜应装有高压带电显示器，选用优质产品，插拔式产品，方便更换。航空插头选用进口或合资产品。提供功能单元通断的指示灯，红灯表示闭合，绿灯表示断开。</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设置端子排，使低压小母线联成一体。端子应适合柜间分隔。各主要设备应配有永久性铭牌及标示牌，所有操作元件应有明确的、永久性的操作指示标志。开关柜柜面应有永久性主结线图，断路器、接地开关状态综合控制仪应能反映实际状态。</w:t>
      </w:r>
    </w:p>
    <w:p>
      <w:pPr>
        <w:tabs>
          <w:tab w:val="left" w:pos="1080"/>
          <w:tab w:val="left" w:pos="1260"/>
        </w:tabs>
        <w:spacing w:line="360" w:lineRule="auto"/>
        <w:ind w:left="2" w:leftChars="1" w:firstLine="157" w:firstLineChars="75"/>
        <w:rPr>
          <w:rFonts w:ascii="宋体" w:hAnsi="宋体" w:cs="宋体"/>
          <w:szCs w:val="21"/>
          <w:highlight w:val="none"/>
        </w:rPr>
      </w:pPr>
      <w:bookmarkStart w:id="201" w:name="_Toc132379175"/>
      <w:r>
        <w:rPr>
          <w:rFonts w:ascii="宋体" w:hAnsi="宋体" w:cs="宋体"/>
          <w:szCs w:val="21"/>
          <w:highlight w:val="none"/>
        </w:rPr>
        <w:t>9）</w:t>
      </w:r>
      <w:bookmarkEnd w:id="201"/>
      <w:bookmarkStart w:id="202" w:name="_Toc132379176"/>
      <w:r>
        <w:rPr>
          <w:rFonts w:hint="eastAsia" w:ascii="宋体" w:hAnsi="宋体" w:cs="宋体"/>
          <w:szCs w:val="21"/>
          <w:highlight w:val="none"/>
        </w:rPr>
        <w:t>在制造厂检查和试验</w:t>
      </w:r>
      <w:bookmarkEnd w:id="202"/>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所有的高压开关柜和辅助柜应按总要求在制造厂进行检查和试验以表明其运行性能以及设备、材料和结构在电气、机械上的完整性。</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1）检查的通知和试验所需的设备</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承包商发出工程进展及检查时间的通知，并且提供所需要的设备和业主的助手进行检查和现场试验。</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2）型式试验</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已经鉴定过的产品的型式试验报告可供业主复查和确认，所制造的高压开关柜和辅助柜与型式试验的设备具有相同的质量和标准。</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提供开关柜及元器件出厂试验报告，供买方审查。</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3）批准的证书</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在制造厂检查和试验以前，一切有关权力机构以及专业的试验实验室批准的证书，应提交业主研究。</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对开关柜的各项参数，供货商应列出可资证明的数据，并须经业主认可。</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4）试验的范围和方法</w:t>
      </w:r>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所有的高压开关柜和辅助柜均应按</w:t>
      </w:r>
      <w:r>
        <w:rPr>
          <w:rFonts w:ascii="宋体" w:hAnsi="宋体" w:cs="宋体"/>
          <w:szCs w:val="21"/>
          <w:highlight w:val="none"/>
        </w:rPr>
        <w:t>IEC298、IEC694和IEC规范的总要求以及有关每只部件的标准进行型式试验，所有的试验方法在上述IEC文件中已涉及到。</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5）常规检查和试验</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常规试验应包括但不限于：</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a）视觉检查——设备的质量、结构、防护等级总装配和涂层。</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b）所有手动机能、小车、导轨、插头系统、门板等的机械操作。</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c）所有控制、保护和监测设备的电气操作。</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d）所有保护系统在预定变化范围和整定值内的模拟试验(外加电压和电流)。</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e）功能性试验包括模拟操作和所有自动和可编程序控制的程序试验。</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f）熔断器的型式及额定值的视觉检查。</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g）高压工频和直流耐压试验。</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6）记录</w:t>
      </w:r>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所有的试验应按照预定的程序安排和进行，记录报告要由试验人员和制造厂质量控制人员签字。</w:t>
      </w:r>
      <w:bookmarkStart w:id="203" w:name="_Toc132379177"/>
    </w:p>
    <w:p>
      <w:pPr>
        <w:spacing w:line="360" w:lineRule="auto"/>
        <w:ind w:firstLine="422"/>
        <w:rPr>
          <w:rFonts w:ascii="宋体" w:hAnsi="宋体" w:cs="宋体"/>
          <w:b/>
          <w:szCs w:val="21"/>
          <w:highlight w:val="none"/>
        </w:rPr>
      </w:pPr>
      <w:r>
        <w:rPr>
          <w:rFonts w:ascii="宋体" w:hAnsi="宋体" w:cs="宋体"/>
          <w:b/>
          <w:szCs w:val="21"/>
          <w:highlight w:val="none"/>
        </w:rPr>
        <w:t>9）备件</w:t>
      </w:r>
      <w:bookmarkEnd w:id="203"/>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提供高压开关柜和辅助柜连续运行三年所需备件的推荐表，在备件表上要列出单价和确切的数量。</w:t>
      </w:r>
      <w:bookmarkStart w:id="204" w:name="_Toc132379178"/>
    </w:p>
    <w:p>
      <w:pPr>
        <w:spacing w:line="360" w:lineRule="auto"/>
        <w:ind w:firstLine="422"/>
        <w:rPr>
          <w:rFonts w:ascii="宋体" w:hAnsi="宋体" w:cs="宋体"/>
          <w:b/>
          <w:szCs w:val="21"/>
          <w:highlight w:val="none"/>
        </w:rPr>
      </w:pPr>
      <w:r>
        <w:rPr>
          <w:rFonts w:ascii="宋体" w:hAnsi="宋体" w:cs="宋体"/>
          <w:b/>
          <w:szCs w:val="21"/>
          <w:highlight w:val="none"/>
        </w:rPr>
        <w:t>10）制造厂证书</w:t>
      </w:r>
      <w:bookmarkEnd w:id="204"/>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在每台高压开关柜辅助柜最终试验和试运转以前，制造厂要提交安装完善的证书。</w:t>
      </w:r>
      <w:bookmarkStart w:id="205" w:name="_Toc132379179"/>
    </w:p>
    <w:p>
      <w:pPr>
        <w:spacing w:line="360" w:lineRule="auto"/>
        <w:ind w:firstLine="422"/>
        <w:rPr>
          <w:rFonts w:ascii="宋体" w:hAnsi="宋体" w:cs="宋体"/>
          <w:b/>
          <w:szCs w:val="21"/>
          <w:highlight w:val="none"/>
        </w:rPr>
      </w:pPr>
      <w:r>
        <w:rPr>
          <w:rFonts w:ascii="宋体" w:hAnsi="宋体" w:cs="宋体"/>
          <w:b/>
          <w:szCs w:val="21"/>
          <w:highlight w:val="none"/>
        </w:rPr>
        <w:t>11）安装、试验和试运转</w:t>
      </w:r>
      <w:bookmarkEnd w:id="205"/>
    </w:p>
    <w:p>
      <w:pPr>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当每台高压开关柜和辅助柜运送到现场后，承包商应负责设备就地安装就位并与电源、辅助设备、控制、保护和监测系统相连接。安装、试验和试运转应按照预定的安装、试验和调试进度进行，并按总要求实现。</w:t>
      </w:r>
      <w:bookmarkStart w:id="206" w:name="_Toc132379180"/>
    </w:p>
    <w:p>
      <w:pPr>
        <w:spacing w:line="360" w:lineRule="auto"/>
        <w:ind w:firstLine="422"/>
        <w:rPr>
          <w:rFonts w:ascii="宋体" w:hAnsi="宋体" w:cs="宋体"/>
          <w:b/>
          <w:szCs w:val="21"/>
          <w:highlight w:val="none"/>
        </w:rPr>
      </w:pPr>
      <w:r>
        <w:rPr>
          <w:rFonts w:ascii="宋体" w:hAnsi="宋体" w:cs="宋体"/>
          <w:b/>
          <w:szCs w:val="21"/>
          <w:highlight w:val="none"/>
        </w:rPr>
        <w:t>12）培训</w:t>
      </w:r>
      <w:bookmarkEnd w:id="206"/>
    </w:p>
    <w:p>
      <w:p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应按总要求，对业主职工进行高压开关柜和辅助柜的常规试验操作及维修的培训。</w:t>
      </w:r>
    </w:p>
    <w:p>
      <w:pPr>
        <w:spacing w:line="360" w:lineRule="auto"/>
        <w:ind w:firstLine="422"/>
        <w:rPr>
          <w:rFonts w:ascii="宋体" w:hAnsi="宋体" w:cs="宋体"/>
          <w:b/>
          <w:szCs w:val="21"/>
          <w:highlight w:val="none"/>
        </w:rPr>
      </w:pPr>
      <w:r>
        <w:rPr>
          <w:rFonts w:ascii="宋体" w:hAnsi="宋体" w:cs="宋体"/>
          <w:b/>
          <w:szCs w:val="21"/>
          <w:highlight w:val="none"/>
        </w:rPr>
        <w:t>13）提供资料</w:t>
      </w:r>
    </w:p>
    <w:p>
      <w:pPr>
        <w:numPr>
          <w:ilvl w:val="1"/>
          <w:numId w:val="36"/>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开关柜安装，使用，调试说明书；</w:t>
      </w:r>
    </w:p>
    <w:p>
      <w:pPr>
        <w:numPr>
          <w:ilvl w:val="1"/>
          <w:numId w:val="36"/>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开关柜内主要元件的安装使用说明书；</w:t>
      </w:r>
    </w:p>
    <w:p>
      <w:pPr>
        <w:numPr>
          <w:ilvl w:val="1"/>
          <w:numId w:val="36"/>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开关柜一，二次土建预埋件及开孔尺寸图；</w:t>
      </w:r>
    </w:p>
    <w:p>
      <w:pPr>
        <w:numPr>
          <w:ilvl w:val="1"/>
          <w:numId w:val="36"/>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一次设备电气参数及不同外形三维尺寸图；</w:t>
      </w:r>
    </w:p>
    <w:p>
      <w:pPr>
        <w:numPr>
          <w:ilvl w:val="1"/>
          <w:numId w:val="36"/>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二次控制，信号回路全图等；</w:t>
      </w:r>
    </w:p>
    <w:p>
      <w:pPr>
        <w:numPr>
          <w:ilvl w:val="1"/>
          <w:numId w:val="36"/>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1）－（5）项全部中文资料，中文版图纸的AUTOCAD版U盘；</w:t>
      </w:r>
    </w:p>
    <w:p>
      <w:pPr>
        <w:numPr>
          <w:ilvl w:val="1"/>
          <w:numId w:val="36"/>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备品备件，专用工具清单。</w:t>
      </w:r>
    </w:p>
    <w:p>
      <w:pPr>
        <w:widowControl/>
        <w:tabs>
          <w:tab w:val="left" w:pos="1080"/>
          <w:tab w:val="left" w:pos="1260"/>
        </w:tabs>
        <w:spacing w:line="360" w:lineRule="auto"/>
        <w:ind w:left="2" w:leftChars="1" w:firstLine="158" w:firstLineChars="75"/>
        <w:jc w:val="left"/>
        <w:outlineLvl w:val="2"/>
        <w:rPr>
          <w:rFonts w:ascii="宋体" w:hAnsi="宋体" w:cs="宋体"/>
          <w:szCs w:val="21"/>
          <w:highlight w:val="none"/>
        </w:rPr>
      </w:pPr>
      <w:r>
        <w:rPr>
          <w:rFonts w:hint="eastAsia" w:ascii="宋体" w:hAnsi="宋体" w:cs="宋体"/>
          <w:b/>
          <w:szCs w:val="21"/>
          <w:highlight w:val="none"/>
        </w:rPr>
        <w:t>（二）、低压开关柜，技术条款</w:t>
      </w:r>
    </w:p>
    <w:p>
      <w:pPr>
        <w:widowControl/>
        <w:tabs>
          <w:tab w:val="left" w:pos="1080"/>
          <w:tab w:val="left" w:pos="1260"/>
        </w:tabs>
        <w:spacing w:line="360" w:lineRule="auto"/>
        <w:ind w:firstLine="157" w:firstLineChars="75"/>
        <w:outlineLvl w:val="2"/>
        <w:rPr>
          <w:rFonts w:ascii="宋体" w:hAnsi="宋体" w:cs="宋体"/>
          <w:szCs w:val="21"/>
          <w:highlight w:val="none"/>
        </w:rPr>
      </w:pPr>
      <w:r>
        <w:rPr>
          <w:rFonts w:ascii="宋体" w:hAnsi="宋体" w:cs="宋体"/>
          <w:szCs w:val="21"/>
          <w:highlight w:val="none"/>
        </w:rPr>
        <w:t xml:space="preserve">2.1 </w:t>
      </w:r>
      <w:r>
        <w:rPr>
          <w:rFonts w:hint="eastAsia" w:ascii="宋体" w:hAnsi="宋体" w:cs="宋体"/>
          <w:szCs w:val="21"/>
          <w:highlight w:val="none"/>
        </w:rPr>
        <w:t>低压开关柜</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2.1.1  </w:t>
      </w:r>
      <w:r>
        <w:rPr>
          <w:rFonts w:hint="eastAsia" w:ascii="宋体" w:hAnsi="宋体" w:cs="宋体"/>
          <w:szCs w:val="21"/>
          <w:highlight w:val="none"/>
        </w:rPr>
        <w:t>范围</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本章节涉及到本标书低压开关柜的设计、制造、供应和指导安装的总要求。</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2.1.2  </w:t>
      </w:r>
      <w:r>
        <w:rPr>
          <w:rFonts w:hint="eastAsia" w:ascii="宋体" w:hAnsi="宋体" w:cs="宋体"/>
          <w:szCs w:val="21"/>
          <w:highlight w:val="none"/>
        </w:rPr>
        <w:t>参考标准</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除本标书提出的技术规定外，所有设备还应符合下列标准。</w:t>
      </w:r>
    </w:p>
    <w:p>
      <w:pPr>
        <w:widowControl/>
        <w:tabs>
          <w:tab w:val="left" w:pos="1080"/>
          <w:tab w:val="left" w:pos="1260"/>
        </w:tabs>
        <w:spacing w:line="360" w:lineRule="auto"/>
        <w:ind w:left="122" w:leftChars="58" w:firstLine="52" w:firstLineChars="25"/>
        <w:rPr>
          <w:rFonts w:ascii="宋体" w:hAnsi="宋体" w:cs="宋体"/>
          <w:szCs w:val="21"/>
          <w:highlight w:val="none"/>
        </w:rPr>
      </w:pPr>
      <w:r>
        <w:rPr>
          <w:rFonts w:hint="eastAsia" w:ascii="宋体" w:hAnsi="宋体" w:cs="宋体"/>
          <w:szCs w:val="21"/>
          <w:highlight w:val="none"/>
        </w:rPr>
        <w:t>本节的有关标准包括但不限于以下的</w:t>
      </w:r>
      <w:r>
        <w:rPr>
          <w:rFonts w:ascii="宋体" w:hAnsi="宋体" w:cs="宋体"/>
          <w:szCs w:val="21"/>
          <w:highlight w:val="none"/>
        </w:rPr>
        <w:t>IEC标准和相应的GB标准。若IEC标准与GB标准有不同之处，则应符合其中标准较高的一个。</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GB1207-86  </w:t>
      </w:r>
      <w:r>
        <w:rPr>
          <w:rFonts w:hint="eastAsia" w:ascii="宋体" w:hAnsi="宋体" w:cs="宋体"/>
          <w:szCs w:val="21"/>
          <w:highlight w:val="none"/>
        </w:rPr>
        <w:t>电压互感器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GB1208-87  </w:t>
      </w:r>
      <w:r>
        <w:rPr>
          <w:rFonts w:hint="eastAsia" w:ascii="宋体" w:hAnsi="宋体" w:cs="宋体"/>
          <w:szCs w:val="21"/>
          <w:highlight w:val="none"/>
        </w:rPr>
        <w:t>电流互感器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GB3983.1-89  </w:t>
      </w:r>
      <w:r>
        <w:rPr>
          <w:rFonts w:hint="eastAsia" w:ascii="宋体" w:hAnsi="宋体" w:cs="宋体"/>
          <w:szCs w:val="21"/>
          <w:highlight w:val="none"/>
        </w:rPr>
        <w:t>低电压并联电容器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GB4942.2-93  </w:t>
      </w:r>
      <w:r>
        <w:rPr>
          <w:rFonts w:hint="eastAsia" w:ascii="宋体" w:hAnsi="宋体" w:cs="宋体"/>
          <w:szCs w:val="21"/>
          <w:highlight w:val="none"/>
        </w:rPr>
        <w:t>低压电器外壳防护等级</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GB7251-87  </w:t>
      </w:r>
      <w:r>
        <w:rPr>
          <w:rFonts w:hint="eastAsia" w:ascii="宋体" w:hAnsi="宋体" w:cs="宋体"/>
          <w:szCs w:val="21"/>
          <w:highlight w:val="none"/>
        </w:rPr>
        <w:t>低压成套开关设备</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GB7261-87  </w:t>
      </w:r>
      <w:r>
        <w:rPr>
          <w:rFonts w:hint="eastAsia" w:ascii="宋体" w:hAnsi="宋体" w:cs="宋体"/>
          <w:szCs w:val="21"/>
          <w:highlight w:val="none"/>
        </w:rPr>
        <w:t>继电器及继电保护装置基本试验方法</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GB9466  </w:t>
      </w:r>
      <w:r>
        <w:rPr>
          <w:rFonts w:hint="eastAsia" w:ascii="宋体" w:hAnsi="宋体" w:cs="宋体"/>
          <w:szCs w:val="21"/>
          <w:highlight w:val="none"/>
        </w:rPr>
        <w:t>低压成套开关设备基本试验方法</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GB10231-88  </w:t>
      </w:r>
      <w:r>
        <w:rPr>
          <w:rFonts w:hint="eastAsia" w:ascii="宋体" w:hAnsi="宋体" w:cs="宋体"/>
          <w:szCs w:val="21"/>
          <w:highlight w:val="none"/>
        </w:rPr>
        <w:t>保护继电器的结构型式与基本技术导则</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GB13539-92  </w:t>
      </w:r>
      <w:r>
        <w:rPr>
          <w:rFonts w:hint="eastAsia" w:ascii="宋体" w:hAnsi="宋体" w:cs="宋体"/>
          <w:szCs w:val="21"/>
          <w:highlight w:val="none"/>
        </w:rPr>
        <w:t>低压熔断器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GB/T14041.1.5.1-93  </w:t>
      </w:r>
      <w:r>
        <w:rPr>
          <w:rFonts w:hint="eastAsia" w:ascii="宋体" w:hAnsi="宋体" w:cs="宋体"/>
          <w:szCs w:val="21"/>
          <w:highlight w:val="none"/>
        </w:rPr>
        <w:t>低压开关设备和控制设备</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GB50150-91  </w:t>
      </w:r>
      <w:r>
        <w:rPr>
          <w:rFonts w:hint="eastAsia" w:ascii="宋体" w:hAnsi="宋体" w:cs="宋体"/>
          <w:szCs w:val="21"/>
          <w:highlight w:val="none"/>
        </w:rPr>
        <w:t>电气装置安装工程电气设备交接试验标准</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GB50168-92  </w:t>
      </w:r>
      <w:r>
        <w:rPr>
          <w:rFonts w:hint="eastAsia" w:ascii="宋体" w:hAnsi="宋体" w:cs="宋体"/>
          <w:szCs w:val="21"/>
          <w:highlight w:val="none"/>
        </w:rPr>
        <w:t>电气装置安装工程电缆线路施工及验收规范</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GB50169-92  </w:t>
      </w:r>
      <w:r>
        <w:rPr>
          <w:rFonts w:hint="eastAsia" w:ascii="宋体" w:hAnsi="宋体" w:cs="宋体"/>
          <w:szCs w:val="21"/>
          <w:highlight w:val="none"/>
        </w:rPr>
        <w:t>电气装置安装工程接地装置施工及验收规范</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GB50171-92  </w:t>
      </w:r>
      <w:r>
        <w:rPr>
          <w:rFonts w:hint="eastAsia" w:ascii="宋体" w:hAnsi="宋体" w:cs="宋体"/>
          <w:szCs w:val="21"/>
          <w:highlight w:val="none"/>
        </w:rPr>
        <w:t>电气装置安装工程盘、柜及二次回路结线施工及验收规范</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IEC51  </w:t>
      </w:r>
      <w:r>
        <w:rPr>
          <w:rFonts w:hint="eastAsia" w:ascii="宋体" w:hAnsi="宋体" w:cs="宋体"/>
          <w:szCs w:val="21"/>
          <w:highlight w:val="none"/>
        </w:rPr>
        <w:t>直接动作指示模拟电气测量仪器及其附件</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IEC113  </w:t>
      </w:r>
      <w:r>
        <w:rPr>
          <w:rFonts w:hint="eastAsia" w:ascii="宋体" w:hAnsi="宋体" w:cs="宋体"/>
          <w:szCs w:val="21"/>
          <w:highlight w:val="none"/>
        </w:rPr>
        <w:t>图解、图表、表格</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IEC117  </w:t>
      </w:r>
      <w:r>
        <w:rPr>
          <w:rFonts w:hint="eastAsia" w:ascii="宋体" w:hAnsi="宋体" w:cs="宋体"/>
          <w:szCs w:val="21"/>
          <w:highlight w:val="none"/>
        </w:rPr>
        <w:t>电工技术图例</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IEC128  </w:t>
      </w:r>
      <w:r>
        <w:rPr>
          <w:rFonts w:hint="eastAsia" w:ascii="宋体" w:hAnsi="宋体" w:cs="宋体"/>
          <w:szCs w:val="21"/>
          <w:highlight w:val="none"/>
        </w:rPr>
        <w:t>技术图的一般原理</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IEC129  </w:t>
      </w:r>
      <w:r>
        <w:rPr>
          <w:rFonts w:hint="eastAsia" w:ascii="宋体" w:hAnsi="宋体" w:cs="宋体"/>
          <w:szCs w:val="21"/>
          <w:highlight w:val="none"/>
        </w:rPr>
        <w:t>交流断路器和接地开关</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IEC185  </w:t>
      </w:r>
      <w:r>
        <w:rPr>
          <w:rFonts w:hint="eastAsia" w:ascii="宋体" w:hAnsi="宋体" w:cs="宋体"/>
          <w:szCs w:val="21"/>
          <w:highlight w:val="none"/>
        </w:rPr>
        <w:t>电流互感器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IEC186  </w:t>
      </w:r>
      <w:r>
        <w:rPr>
          <w:rFonts w:hint="eastAsia" w:ascii="宋体" w:hAnsi="宋体" w:cs="宋体"/>
          <w:szCs w:val="21"/>
          <w:highlight w:val="none"/>
        </w:rPr>
        <w:t>电压互感器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IEC255  </w:t>
      </w:r>
      <w:r>
        <w:rPr>
          <w:rFonts w:hint="eastAsia" w:ascii="宋体" w:hAnsi="宋体" w:cs="宋体"/>
          <w:szCs w:val="21"/>
          <w:highlight w:val="none"/>
        </w:rPr>
        <w:t>继电器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IEC269  </w:t>
      </w:r>
      <w:r>
        <w:rPr>
          <w:rFonts w:hint="eastAsia" w:ascii="宋体" w:hAnsi="宋体" w:cs="宋体"/>
          <w:szCs w:val="21"/>
          <w:highlight w:val="none"/>
        </w:rPr>
        <w:t>低压熔断器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IEC439  </w:t>
      </w:r>
      <w:r>
        <w:rPr>
          <w:rFonts w:hint="eastAsia" w:ascii="宋体" w:hAnsi="宋体" w:cs="宋体"/>
          <w:szCs w:val="21"/>
          <w:highlight w:val="none"/>
        </w:rPr>
        <w:t>低压开关设备和控制设备成套装置</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 446 </w:t>
      </w:r>
      <w:r>
        <w:rPr>
          <w:rFonts w:hint="eastAsia" w:ascii="宋体" w:hAnsi="宋体" w:cs="宋体"/>
          <w:szCs w:val="21"/>
          <w:highlight w:val="none"/>
        </w:rPr>
        <w:t>绝缘和非绝缘导体的色标</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 73  </w:t>
      </w:r>
      <w:r>
        <w:rPr>
          <w:rFonts w:hint="eastAsia" w:ascii="宋体" w:hAnsi="宋体" w:cs="宋体"/>
          <w:szCs w:val="21"/>
          <w:highlight w:val="none"/>
        </w:rPr>
        <w:t>指示灯和按钮的色标</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IEC529  </w:t>
      </w:r>
      <w:r>
        <w:rPr>
          <w:rFonts w:hint="eastAsia" w:ascii="宋体" w:hAnsi="宋体" w:cs="宋体"/>
          <w:szCs w:val="21"/>
          <w:highlight w:val="none"/>
        </w:rPr>
        <w:t>外壳防护等级</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IEC688  </w:t>
      </w:r>
      <w:r>
        <w:rPr>
          <w:rFonts w:hint="eastAsia" w:ascii="宋体" w:hAnsi="宋体" w:cs="宋体"/>
          <w:szCs w:val="21"/>
          <w:highlight w:val="none"/>
        </w:rPr>
        <w:t>交流电量转换成模拟信号或数字信号用的电气测量换能器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IEC947  </w:t>
      </w:r>
      <w:r>
        <w:rPr>
          <w:rFonts w:hint="eastAsia" w:ascii="宋体" w:hAnsi="宋体" w:cs="宋体"/>
          <w:szCs w:val="21"/>
          <w:highlight w:val="none"/>
        </w:rPr>
        <w:t>低压开关设备和控制设备</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IEC890  </w:t>
      </w:r>
      <w:r>
        <w:rPr>
          <w:rFonts w:hint="eastAsia" w:ascii="宋体" w:hAnsi="宋体" w:cs="宋体"/>
          <w:szCs w:val="21"/>
          <w:highlight w:val="none"/>
        </w:rPr>
        <w:t>用于低压开关设备和控制设备通过部分型式试验的成套设备</w:t>
      </w:r>
      <w:r>
        <w:rPr>
          <w:rFonts w:ascii="宋体" w:hAnsi="宋体" w:cs="宋体"/>
          <w:szCs w:val="21"/>
          <w:highlight w:val="none"/>
        </w:rPr>
        <w:t>(PTTA)的一种温升外推法</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上述所有的规范、标准应是投标前一个月的有效版本。</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2.1.3  </w:t>
      </w:r>
      <w:r>
        <w:rPr>
          <w:rFonts w:hint="eastAsia" w:ascii="宋体" w:hAnsi="宋体" w:cs="宋体"/>
          <w:szCs w:val="21"/>
          <w:highlight w:val="none"/>
        </w:rPr>
        <w:t>低压开关柜的技术要求及总体结构</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低压开关柜技术要求：</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额定工作电压</w:t>
      </w:r>
      <w:r>
        <w:rPr>
          <w:rFonts w:ascii="宋体" w:hAnsi="宋体" w:cs="宋体"/>
          <w:szCs w:val="21"/>
          <w:highlight w:val="none"/>
        </w:rPr>
        <w:t xml:space="preserve">                   380V</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额定绝缘电压</w:t>
      </w:r>
      <w:r>
        <w:rPr>
          <w:rFonts w:ascii="宋体" w:hAnsi="宋体" w:cs="宋体"/>
          <w:szCs w:val="21"/>
          <w:highlight w:val="none"/>
        </w:rPr>
        <w:t xml:space="preserve">                   660V</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额定频率</w:t>
      </w:r>
      <w:r>
        <w:rPr>
          <w:rFonts w:ascii="宋体" w:hAnsi="宋体" w:cs="宋体"/>
          <w:szCs w:val="21"/>
          <w:highlight w:val="none"/>
        </w:rPr>
        <w:t xml:space="preserve">                       50HZ</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低压开关柜应按</w:t>
      </w:r>
      <w:r>
        <w:rPr>
          <w:rFonts w:ascii="宋体" w:hAnsi="宋体" w:cs="宋体"/>
          <w:szCs w:val="21"/>
          <w:highlight w:val="none"/>
        </w:rPr>
        <w:t>IEC439及当地电业部门的要求进行设计。</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低压开关柜的设计应包括功能单元，控制保护以及仪表设备，对每个装置留有适当的空间便于进线和出线电缆的接线、扩展、固定件的维修及部分元件的调换，还要考虑到今后的调试和安装。</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低压开关柜在最大短路故障时应能承受由此引起的电气、热及机械应力。在故障条件下所产生的气体通过压力释放口排放，压力释放口的位置不允许朝向操作人员。</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进出线采用电缆下进下出形式，柜体可前后开门检修。柜体做成易于吊运及易于铲入底部运输的形式。每个开关柜的主母线室、支母线室、功能单元室和电缆室以及功能单元室之间均应严格分隔，保证当一个开关发生故障时，电弧不会扩展而影响其它单元，该试验应得到国家权威部门的试验报告确认。</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低压开关柜柜内每个装置应连续运行，其防护等级应符合</w:t>
      </w:r>
      <w:r>
        <w:rPr>
          <w:rFonts w:ascii="宋体" w:hAnsi="宋体" w:cs="宋体"/>
          <w:szCs w:val="21"/>
          <w:highlight w:val="none"/>
        </w:rPr>
        <w:t>GB4942.2-93、IEC529要求的IP4X，垂直母线不外露，且达到IP20。</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低压开关柜结构选用组合式开关柜。</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低压开关柜应是优质敷铝锌钢板结构、型钢支架，板厚度不小于</w:t>
      </w:r>
      <w:r>
        <w:rPr>
          <w:rFonts w:ascii="宋体" w:hAnsi="宋体" w:cs="宋体"/>
          <w:szCs w:val="21"/>
          <w:highlight w:val="none"/>
        </w:rPr>
        <w:t>2mm，以铆钉、螺丝结合成坚固的整体，柜内部零部件尺寸、隔室尺寸实行模数化。</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元件板、门、罩子和饰框的总装配应平滑、嵌装和无波纹出现，应提供所必须的肋和支架以减小撞击，保证功能单元装配既整齐又牢固。</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应避免出现未经加工的毛边，角和边缘都应是园角形，焊接处和接地处要平滑，不允许出现裂缝接点和断裂。</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曲拐、手柄、表计和附件的切割应锐利、干净、切到设备的边缘，门应装有铰链和锁，铰链之间最大距离不超过</w:t>
      </w:r>
      <w:r>
        <w:rPr>
          <w:rFonts w:ascii="宋体" w:hAnsi="宋体" w:cs="宋体"/>
          <w:szCs w:val="21"/>
          <w:highlight w:val="none"/>
        </w:rPr>
        <w:t>600mm，装有设备的门不应由于重量或大小而引起下垂。</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可移动的门和饰框应安装在铰链、销子或托架上，并且采用工具或钥匙操作的紧固件来固定。</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为确保操作程序以及维修时的人身安全，低压开关柜应具有但不限于以下联锁功能：</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a)  </w:t>
      </w:r>
      <w:r>
        <w:rPr>
          <w:rFonts w:hint="eastAsia" w:ascii="宋体" w:hAnsi="宋体" w:cs="宋体"/>
          <w:szCs w:val="21"/>
          <w:highlight w:val="none"/>
        </w:rPr>
        <w:t>二个进线单元的主开关与母联开关的操作相互联锁，任何情况下三个开关只能合上二个，采用电气联锁。</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b)  </w:t>
      </w:r>
      <w:r>
        <w:rPr>
          <w:rFonts w:hint="eastAsia" w:ascii="宋体" w:hAnsi="宋体" w:cs="宋体"/>
          <w:szCs w:val="21"/>
          <w:highlight w:val="none"/>
        </w:rPr>
        <w:t>馈电单元与单元门须设置机械联锁，当开关处于分断位置，门才能打开，否则门不得打开。</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c)  </w:t>
      </w:r>
      <w:r>
        <w:rPr>
          <w:rFonts w:hint="eastAsia" w:ascii="宋体" w:hAnsi="宋体" w:cs="宋体"/>
          <w:szCs w:val="21"/>
          <w:highlight w:val="none"/>
        </w:rPr>
        <w:t>只有在主开关处于分断位置时，功能单元才能抽出或插入。</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2.1.4  </w:t>
      </w:r>
      <w:r>
        <w:rPr>
          <w:rFonts w:hint="eastAsia" w:ascii="宋体" w:hAnsi="宋体" w:cs="宋体"/>
          <w:szCs w:val="21"/>
          <w:highlight w:val="none"/>
        </w:rPr>
        <w:t>涂层</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每台低压开关柜内外应采用环氧树脂粉末喷涂，喷涂层不小于</w:t>
      </w:r>
      <w:r>
        <w:rPr>
          <w:rFonts w:ascii="宋体" w:hAnsi="宋体" w:cs="宋体"/>
          <w:szCs w:val="21"/>
          <w:highlight w:val="none"/>
        </w:rPr>
        <w:t>40微米，喷涂前应进行除油、除锈或磷化处理，涂层颜色要得到业主同意。</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2.1.5  </w:t>
      </w:r>
      <w:r>
        <w:rPr>
          <w:rFonts w:hint="eastAsia" w:ascii="宋体" w:hAnsi="宋体" w:cs="宋体"/>
          <w:szCs w:val="21"/>
          <w:highlight w:val="none"/>
        </w:rPr>
        <w:t>低压开关柜内的动力线</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低压开关柜的动力线应有进线、出线的主回路、功能单元之间的相互连接，动力线应根据要求采用母排或电缆并适应每个装置的额定电压额定电流和最大故障条件。</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(a)  </w:t>
      </w:r>
      <w:r>
        <w:rPr>
          <w:rFonts w:hint="eastAsia" w:ascii="宋体" w:hAnsi="宋体" w:cs="宋体"/>
          <w:szCs w:val="21"/>
          <w:highlight w:val="none"/>
        </w:rPr>
        <w:t>母排</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母排系统应符合</w:t>
      </w:r>
      <w:r>
        <w:rPr>
          <w:rFonts w:ascii="宋体" w:hAnsi="宋体" w:cs="宋体"/>
          <w:szCs w:val="21"/>
          <w:highlight w:val="none"/>
        </w:rPr>
        <w:t>ZBK36001-81.1.6IEC439并且全封闭在低压开关柜的分舱内。</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母排绝缘符合开关柜的工作电压。母排应按</w:t>
      </w:r>
      <w:r>
        <w:rPr>
          <w:rFonts w:ascii="宋体" w:hAnsi="宋体" w:cs="宋体"/>
          <w:szCs w:val="21"/>
          <w:highlight w:val="none"/>
        </w:rPr>
        <w:t>IEC431采用刚性硬拉高导电的电解铜，母排的截面在整个长度内应均匀，其截面应能承载连续的负载电流。</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母排的接点应确保有效的导电和牢固地连接，不同金属的联接处应防止腐蚀。</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母排留孔应在制造厂内预先钻好，钻孔应光洁，母排的夹紧螺栓应采用高拉伸的不锈钢。</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母排不应由功能单元支撑，支持母排的绝缘子或其它材料应有合格的性能，以适应机械及电气的要求。</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三相母排分别为</w:t>
      </w:r>
      <w:r>
        <w:rPr>
          <w:rFonts w:ascii="宋体" w:hAnsi="宋体" w:cs="宋体"/>
          <w:szCs w:val="21"/>
          <w:highlight w:val="none"/>
        </w:rPr>
        <w:t>A、B、C，相色分别为A相黄色，B相绿色，C相红色。</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ascii="宋体" w:hAnsi="宋体" w:cs="宋体"/>
          <w:szCs w:val="21"/>
          <w:highlight w:val="none"/>
        </w:rPr>
        <w:t>A、B、C三相母排的排列应该是：</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上下布置，由上而下排列为</w:t>
      </w:r>
      <w:r>
        <w:rPr>
          <w:rFonts w:ascii="宋体" w:hAnsi="宋体" w:cs="宋体"/>
          <w:szCs w:val="21"/>
          <w:highlight w:val="none"/>
        </w:rPr>
        <w:t>A、B、C相。</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水平布置，由柜后向柜前排列为</w:t>
      </w:r>
      <w:r>
        <w:rPr>
          <w:rFonts w:ascii="宋体" w:hAnsi="宋体" w:cs="宋体"/>
          <w:szCs w:val="21"/>
          <w:highlight w:val="none"/>
        </w:rPr>
        <w:t>A、B、C相。</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引下线布置，由左至右排列为</w:t>
      </w:r>
      <w:r>
        <w:rPr>
          <w:rFonts w:ascii="宋体" w:hAnsi="宋体" w:cs="宋体"/>
          <w:szCs w:val="21"/>
          <w:highlight w:val="none"/>
        </w:rPr>
        <w:t>A、B、C相。</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低压开关柜母排的排列应便于电缆连接，检查及维修。为便于发展，母排的终端应钻孔，并支撑，以能承受故障条件。</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(b)  </w:t>
      </w:r>
      <w:r>
        <w:rPr>
          <w:rFonts w:hint="eastAsia" w:ascii="宋体" w:hAnsi="宋体" w:cs="宋体"/>
          <w:szCs w:val="21"/>
          <w:highlight w:val="none"/>
        </w:rPr>
        <w:t>电缆</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电缆仅用于低压开关柜内动力线并要得到业主书面同意，电缆应是交联阻燃聚乙烯绝缘硬拉的高导电的多股铜芯线，符合</w:t>
      </w:r>
      <w:r>
        <w:rPr>
          <w:rFonts w:ascii="宋体" w:hAnsi="宋体" w:cs="宋体"/>
          <w:szCs w:val="21"/>
          <w:highlight w:val="none"/>
        </w:rPr>
        <w:t>IEC60502和GB12706的有关标准。</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电缆应整齐地排列和牢固地支撑以承受指定的故障条件。</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(c)  </w:t>
      </w:r>
      <w:r>
        <w:rPr>
          <w:rFonts w:hint="eastAsia" w:ascii="宋体" w:hAnsi="宋体" w:cs="宋体"/>
          <w:szCs w:val="21"/>
          <w:highlight w:val="none"/>
        </w:rPr>
        <w:t>中性和接地母排</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提供满足系统要求的中性和接地母排，上述母排要预先钻孔便于连接。</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(d)  </w:t>
      </w:r>
      <w:r>
        <w:rPr>
          <w:rFonts w:hint="eastAsia" w:ascii="宋体" w:hAnsi="宋体" w:cs="宋体"/>
          <w:szCs w:val="21"/>
          <w:highlight w:val="none"/>
        </w:rPr>
        <w:t>色标</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在低压开关柜内的动力线采用相色识别，颜色可以是连续的或以有规律的间隔及动力线两端漆</w:t>
      </w:r>
      <w:r>
        <w:rPr>
          <w:rFonts w:ascii="宋体" w:hAnsi="宋体" w:cs="宋体"/>
          <w:szCs w:val="21"/>
          <w:highlight w:val="none"/>
        </w:rPr>
        <w:t>50毫米宽的色带。</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色标应涂漆或注入标准绝缘漆。</w:t>
      </w:r>
    </w:p>
    <w:p>
      <w:pPr>
        <w:widowControl/>
        <w:tabs>
          <w:tab w:val="left" w:pos="1080"/>
          <w:tab w:val="left" w:pos="1260"/>
        </w:tabs>
        <w:spacing w:line="360" w:lineRule="auto"/>
        <w:outlineLvl w:val="3"/>
        <w:rPr>
          <w:rFonts w:ascii="宋体" w:hAnsi="宋体" w:cs="宋体"/>
          <w:szCs w:val="21"/>
          <w:highlight w:val="none"/>
        </w:rPr>
      </w:pPr>
      <w:r>
        <w:rPr>
          <w:rFonts w:ascii="宋体" w:hAnsi="宋体" w:cs="宋体"/>
          <w:szCs w:val="21"/>
          <w:highlight w:val="none"/>
        </w:rPr>
        <w:t xml:space="preserve">2.1.6  </w:t>
      </w:r>
      <w:r>
        <w:rPr>
          <w:rFonts w:hint="eastAsia" w:ascii="宋体" w:hAnsi="宋体" w:cs="宋体"/>
          <w:szCs w:val="21"/>
          <w:highlight w:val="none"/>
        </w:rPr>
        <w:t>低压开关柜的辅助导线</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连接控制、保护及仪表设备的小线，电流回路应为截面不小于</w:t>
      </w:r>
      <w:r>
        <w:rPr>
          <w:rFonts w:ascii="宋体" w:hAnsi="宋体" w:cs="宋体"/>
          <w:szCs w:val="21"/>
          <w:highlight w:val="none"/>
        </w:rPr>
        <w:t>2.5平方毫米的铜导线，其他回路应为截面不小于1.5平方毫米的铜导线，绝缘等级为0.6kV。</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辅助导线必须有单独的通道，不得敷设在母线仓内。</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柜内小线应整齐地排列夹紧。</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所有不与主回路连接的小线应采用同一种醒目的颜色并在端子处具有持久的标记符合</w:t>
      </w:r>
      <w:r>
        <w:rPr>
          <w:rFonts w:ascii="宋体" w:hAnsi="宋体" w:cs="宋体"/>
          <w:szCs w:val="21"/>
          <w:highlight w:val="none"/>
        </w:rPr>
        <w:t>IEC446标准。</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每一功能单元或组件的柜内外小线必须在端子排上接口，带电的端子应标识以示安全，柜内留有</w:t>
      </w:r>
      <w:r>
        <w:rPr>
          <w:rFonts w:ascii="宋体" w:hAnsi="宋体" w:cs="宋体"/>
          <w:szCs w:val="21"/>
          <w:highlight w:val="none"/>
        </w:rPr>
        <w:t>25％的备用端子，每根导线将固定在专用的端子上，复式端子利用连接片，每项设备将从公共的中性排上单独引出一根中性线。</w:t>
      </w:r>
    </w:p>
    <w:p>
      <w:pPr>
        <w:widowControl/>
        <w:tabs>
          <w:tab w:val="left" w:pos="1080"/>
          <w:tab w:val="left" w:pos="1260"/>
        </w:tabs>
        <w:spacing w:line="360" w:lineRule="auto"/>
        <w:outlineLvl w:val="3"/>
        <w:rPr>
          <w:rFonts w:ascii="宋体" w:hAnsi="宋体" w:cs="宋体"/>
          <w:szCs w:val="21"/>
          <w:highlight w:val="none"/>
        </w:rPr>
      </w:pPr>
      <w:r>
        <w:rPr>
          <w:rFonts w:ascii="宋体" w:hAnsi="宋体" w:cs="宋体"/>
          <w:szCs w:val="21"/>
          <w:highlight w:val="none"/>
        </w:rPr>
        <w:t xml:space="preserve">2.1.7  </w:t>
      </w:r>
      <w:r>
        <w:rPr>
          <w:rFonts w:hint="eastAsia" w:ascii="宋体" w:hAnsi="宋体" w:cs="宋体"/>
          <w:szCs w:val="21"/>
          <w:highlight w:val="none"/>
        </w:rPr>
        <w:t>低压开关柜的功能单元</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安装在低压开关柜内的设备应根据设计图选择相应用途并指出在工作条件下制造商保证的所需性能或性能范围。</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所有设备应为新颖的，具有同类产品的一流质量，产品应由专业厂生产，保证质量且符合产品的合格额定值要求。</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所有设备在安装及运行后应具有标记牌，标记牌上应说明容量，操作特性，型式及序号。</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工作成为一体的装置应选用相似的设备，不允许有不必要复杂接口的设备。</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进线及出线功能单元应适合所需的额定电压、电流、寿命、开关容量及短路故障容量。并结合所需的操作特点、辅件、联锁等。</w:t>
      </w:r>
    </w:p>
    <w:p>
      <w:pPr>
        <w:widowControl/>
        <w:tabs>
          <w:tab w:val="left" w:pos="1080"/>
          <w:tab w:val="left" w:pos="1260"/>
        </w:tabs>
        <w:spacing w:line="360" w:lineRule="auto"/>
        <w:outlineLvl w:val="4"/>
        <w:rPr>
          <w:rFonts w:ascii="宋体" w:hAnsi="宋体" w:cs="宋体"/>
          <w:szCs w:val="21"/>
          <w:highlight w:val="none"/>
        </w:rPr>
      </w:pPr>
      <w:r>
        <w:rPr>
          <w:rFonts w:ascii="宋体" w:hAnsi="宋体" w:cs="宋体"/>
          <w:szCs w:val="21"/>
          <w:highlight w:val="none"/>
        </w:rPr>
        <w:t xml:space="preserve">2.1.7.1  </w:t>
      </w:r>
      <w:r>
        <w:rPr>
          <w:rFonts w:hint="eastAsia" w:ascii="宋体" w:hAnsi="宋体" w:cs="宋体"/>
          <w:szCs w:val="21"/>
          <w:highlight w:val="none"/>
        </w:rPr>
        <w:t>低压万能式断路器</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低压万能式断路器采用</w:t>
      </w:r>
      <w:r>
        <w:rPr>
          <w:rFonts w:ascii="宋体" w:hAnsi="宋体" w:cs="宋体"/>
          <w:szCs w:val="21"/>
          <w:highlight w:val="none"/>
        </w:rPr>
        <w:t>ABB公司Emax、施耐德公司MT系列或西门子公司3WL系列框架断路器，应按GB14041.1.5.2、IEC947/2的要求设计与制造并符合每台低压开关柜的操作要求。</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(a)  </w:t>
      </w:r>
      <w:r>
        <w:rPr>
          <w:rFonts w:hint="eastAsia" w:ascii="宋体" w:hAnsi="宋体" w:cs="宋体"/>
          <w:szCs w:val="21"/>
          <w:highlight w:val="none"/>
        </w:rPr>
        <w:t>操作机构应为手动和电动储能型。</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(b)  </w:t>
      </w:r>
      <w:r>
        <w:rPr>
          <w:rFonts w:hint="eastAsia" w:ascii="宋体" w:hAnsi="宋体" w:cs="宋体"/>
          <w:szCs w:val="21"/>
          <w:highlight w:val="none"/>
        </w:rPr>
        <w:t>采用手动闭合及分励脱扣器断开。</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(c)  </w:t>
      </w:r>
      <w:r>
        <w:rPr>
          <w:rFonts w:hint="eastAsia" w:ascii="宋体" w:hAnsi="宋体" w:cs="宋体"/>
          <w:szCs w:val="21"/>
          <w:highlight w:val="none"/>
        </w:rPr>
        <w:t>断路器保护特性应满足规范要求。</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(d)  </w:t>
      </w:r>
      <w:r>
        <w:rPr>
          <w:rFonts w:hint="eastAsia" w:ascii="宋体" w:hAnsi="宋体" w:cs="宋体"/>
          <w:szCs w:val="21"/>
          <w:highlight w:val="none"/>
        </w:rPr>
        <w:t>每台断路器以抽出方式允许在隔离条件下调换、试验及维修。应联锁防止断路器在闭合位置时推拉并允许安全试验及维修。</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(e)  </w:t>
      </w:r>
      <w:r>
        <w:rPr>
          <w:rFonts w:hint="eastAsia" w:ascii="宋体" w:hAnsi="宋体" w:cs="宋体"/>
          <w:szCs w:val="21"/>
          <w:highlight w:val="none"/>
        </w:rPr>
        <w:t>每个装置应提供闭锁继电器及附件并应与主断路器的设计及额定值相一致。</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(f)  </w:t>
      </w:r>
      <w:r>
        <w:rPr>
          <w:rFonts w:hint="eastAsia" w:ascii="宋体" w:hAnsi="宋体" w:cs="宋体"/>
          <w:szCs w:val="21"/>
          <w:highlight w:val="none"/>
        </w:rPr>
        <w:t>断路器具有速断、长延时、短延时保护功能。</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(g)  </w:t>
      </w:r>
      <w:r>
        <w:rPr>
          <w:rFonts w:hint="eastAsia" w:ascii="宋体" w:hAnsi="宋体" w:cs="宋体"/>
          <w:szCs w:val="21"/>
          <w:highlight w:val="none"/>
        </w:rPr>
        <w:t>所有提供的断路器机械寿命与电气寿命不小于以下数值：</w:t>
      </w:r>
    </w:p>
    <w:tbl>
      <w:tblPr>
        <w:tblStyle w:val="33"/>
        <w:tblW w:w="7875" w:type="dxa"/>
        <w:tblInd w:w="5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625"/>
        <w:gridCol w:w="2625"/>
        <w:gridCol w:w="26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25" w:type="dxa"/>
            <w:tcBorders>
              <w:top w:val="single" w:color="auto" w:sz="12" w:space="0"/>
              <w:left w:val="single" w:color="auto" w:sz="12" w:space="0"/>
              <w:bottom w:val="single" w:color="auto" w:sz="6" w:space="0"/>
              <w:right w:val="single" w:color="auto" w:sz="6" w:space="0"/>
            </w:tcBorders>
            <w:vAlign w:val="center"/>
          </w:tcPr>
          <w:p>
            <w:pPr>
              <w:tabs>
                <w:tab w:val="left" w:pos="1080"/>
                <w:tab w:val="left" w:pos="1260"/>
              </w:tabs>
              <w:ind w:left="2" w:leftChars="1" w:firstLine="157" w:firstLineChars="75"/>
              <w:jc w:val="center"/>
              <w:rPr>
                <w:rFonts w:ascii="宋体" w:hAnsi="宋体" w:cs="宋体"/>
                <w:szCs w:val="21"/>
                <w:highlight w:val="none"/>
              </w:rPr>
            </w:pPr>
            <w:r>
              <w:rPr>
                <w:rFonts w:hint="eastAsia" w:ascii="宋体" w:hAnsi="宋体" w:cs="宋体"/>
                <w:szCs w:val="21"/>
                <w:highlight w:val="none"/>
              </w:rPr>
              <w:t>额定电流</w:t>
            </w:r>
          </w:p>
          <w:p>
            <w:pPr>
              <w:tabs>
                <w:tab w:val="left" w:pos="1080"/>
                <w:tab w:val="left" w:pos="1260"/>
              </w:tabs>
              <w:ind w:left="2" w:leftChars="1" w:firstLine="157" w:firstLineChars="75"/>
              <w:jc w:val="center"/>
              <w:rPr>
                <w:rFonts w:ascii="宋体" w:hAnsi="宋体" w:cs="宋体"/>
                <w:szCs w:val="21"/>
                <w:highlight w:val="none"/>
              </w:rPr>
            </w:pPr>
            <w:r>
              <w:rPr>
                <w:rFonts w:ascii="宋体" w:hAnsi="宋体" w:cs="宋体"/>
                <w:szCs w:val="21"/>
                <w:highlight w:val="none"/>
              </w:rPr>
              <w:t>(A)</w:t>
            </w:r>
          </w:p>
        </w:tc>
        <w:tc>
          <w:tcPr>
            <w:tcW w:w="2625" w:type="dxa"/>
            <w:tcBorders>
              <w:top w:val="single" w:color="auto" w:sz="12" w:space="0"/>
              <w:left w:val="single" w:color="auto" w:sz="6" w:space="0"/>
              <w:bottom w:val="single" w:color="auto" w:sz="6" w:space="0"/>
              <w:right w:val="single" w:color="auto" w:sz="6" w:space="0"/>
            </w:tcBorders>
            <w:vAlign w:val="center"/>
          </w:tcPr>
          <w:p>
            <w:pPr>
              <w:tabs>
                <w:tab w:val="left" w:pos="1080"/>
                <w:tab w:val="left" w:pos="1260"/>
              </w:tabs>
              <w:ind w:left="2" w:leftChars="1" w:right="227" w:firstLine="157" w:firstLineChars="75"/>
              <w:jc w:val="center"/>
              <w:rPr>
                <w:rFonts w:ascii="宋体" w:hAnsi="宋体" w:cs="宋体"/>
                <w:szCs w:val="21"/>
                <w:highlight w:val="none"/>
              </w:rPr>
            </w:pPr>
            <w:r>
              <w:rPr>
                <w:rFonts w:hint="eastAsia" w:ascii="宋体" w:hAnsi="宋体" w:cs="宋体"/>
                <w:szCs w:val="21"/>
                <w:highlight w:val="none"/>
              </w:rPr>
              <w:t>机械操作次数</w:t>
            </w:r>
          </w:p>
          <w:p>
            <w:pPr>
              <w:tabs>
                <w:tab w:val="left" w:pos="1080"/>
                <w:tab w:val="left" w:pos="1260"/>
              </w:tabs>
              <w:ind w:left="2" w:leftChars="1" w:right="227" w:firstLine="157" w:firstLineChars="75"/>
              <w:jc w:val="center"/>
              <w:rPr>
                <w:rFonts w:ascii="宋体" w:hAnsi="宋体" w:cs="宋体"/>
                <w:szCs w:val="21"/>
                <w:highlight w:val="none"/>
              </w:rPr>
            </w:pPr>
            <w:r>
              <w:rPr>
                <w:rFonts w:ascii="宋体" w:hAnsi="宋体" w:cs="宋体"/>
                <w:szCs w:val="21"/>
                <w:highlight w:val="none"/>
              </w:rPr>
              <w:t>(有维护)</w:t>
            </w:r>
          </w:p>
          <w:p>
            <w:pPr>
              <w:tabs>
                <w:tab w:val="left" w:pos="1080"/>
                <w:tab w:val="left" w:pos="1260"/>
              </w:tabs>
              <w:ind w:left="2" w:leftChars="1" w:right="227" w:firstLine="157" w:firstLineChars="75"/>
              <w:jc w:val="center"/>
              <w:rPr>
                <w:rFonts w:ascii="宋体" w:hAnsi="宋体" w:cs="宋体"/>
                <w:szCs w:val="21"/>
                <w:highlight w:val="none"/>
              </w:rPr>
            </w:pPr>
            <w:r>
              <w:rPr>
                <w:rFonts w:ascii="宋体" w:hAnsi="宋体" w:cs="宋体"/>
                <w:szCs w:val="21"/>
                <w:highlight w:val="none"/>
              </w:rPr>
              <w:t>(次)</w:t>
            </w:r>
          </w:p>
        </w:tc>
        <w:tc>
          <w:tcPr>
            <w:tcW w:w="2625" w:type="dxa"/>
            <w:tcBorders>
              <w:top w:val="single" w:color="auto" w:sz="12" w:space="0"/>
              <w:left w:val="single" w:color="auto" w:sz="6" w:space="0"/>
              <w:bottom w:val="single" w:color="auto" w:sz="6" w:space="0"/>
              <w:right w:val="single" w:color="auto" w:sz="12" w:space="0"/>
            </w:tcBorders>
            <w:vAlign w:val="center"/>
          </w:tcPr>
          <w:p>
            <w:pPr>
              <w:tabs>
                <w:tab w:val="left" w:pos="1080"/>
                <w:tab w:val="left" w:pos="1260"/>
              </w:tabs>
              <w:ind w:left="2" w:leftChars="1" w:right="227" w:firstLine="157" w:firstLineChars="75"/>
              <w:jc w:val="center"/>
              <w:rPr>
                <w:rFonts w:ascii="宋体" w:hAnsi="宋体" w:cs="宋体"/>
                <w:szCs w:val="21"/>
                <w:highlight w:val="none"/>
              </w:rPr>
            </w:pPr>
            <w:r>
              <w:rPr>
                <w:rFonts w:hint="eastAsia" w:ascii="宋体" w:hAnsi="宋体" w:cs="宋体"/>
                <w:szCs w:val="21"/>
                <w:highlight w:val="none"/>
              </w:rPr>
              <w:t>电气操作次数</w:t>
            </w:r>
          </w:p>
          <w:p>
            <w:pPr>
              <w:tabs>
                <w:tab w:val="left" w:pos="1080"/>
                <w:tab w:val="left" w:pos="1260"/>
              </w:tabs>
              <w:ind w:left="2" w:leftChars="1" w:right="227" w:firstLine="157" w:firstLineChars="75"/>
              <w:jc w:val="center"/>
              <w:rPr>
                <w:rFonts w:ascii="宋体" w:hAnsi="宋体" w:cs="宋体"/>
                <w:szCs w:val="21"/>
                <w:highlight w:val="none"/>
              </w:rPr>
            </w:pPr>
            <w:r>
              <w:rPr>
                <w:rFonts w:ascii="宋体" w:hAnsi="宋体" w:cs="宋体"/>
                <w:szCs w:val="21"/>
                <w:highlight w:val="none"/>
              </w:rPr>
              <w:t>(免维护)</w:t>
            </w:r>
          </w:p>
          <w:p>
            <w:pPr>
              <w:tabs>
                <w:tab w:val="left" w:pos="1080"/>
                <w:tab w:val="left" w:pos="1260"/>
              </w:tabs>
              <w:ind w:left="2" w:leftChars="1" w:right="227" w:firstLine="157" w:firstLineChars="75"/>
              <w:jc w:val="center"/>
              <w:rPr>
                <w:rFonts w:ascii="宋体" w:hAnsi="宋体" w:cs="宋体"/>
                <w:szCs w:val="21"/>
                <w:highlight w:val="none"/>
              </w:rPr>
            </w:pPr>
            <w:r>
              <w:rPr>
                <w:rFonts w:ascii="宋体" w:hAnsi="宋体" w:cs="宋体"/>
                <w:szCs w:val="21"/>
                <w:highlight w:val="none"/>
              </w:rPr>
              <w:t>(额定电流时) (次)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2625" w:type="dxa"/>
            <w:tcBorders>
              <w:top w:val="single" w:color="auto" w:sz="6" w:space="0"/>
              <w:left w:val="single" w:color="auto" w:sz="12" w:space="0"/>
              <w:bottom w:val="single" w:color="auto" w:sz="12" w:space="0"/>
              <w:right w:val="single" w:color="auto" w:sz="6" w:space="0"/>
            </w:tcBorders>
            <w:vAlign w:val="center"/>
          </w:tcPr>
          <w:p>
            <w:pPr>
              <w:tabs>
                <w:tab w:val="left" w:pos="1080"/>
                <w:tab w:val="left" w:pos="1260"/>
              </w:tabs>
              <w:ind w:left="2" w:leftChars="1" w:firstLine="157" w:firstLineChars="75"/>
              <w:jc w:val="center"/>
              <w:rPr>
                <w:rFonts w:ascii="宋体" w:hAnsi="宋体" w:cs="宋体"/>
                <w:szCs w:val="21"/>
                <w:highlight w:val="none"/>
              </w:rPr>
            </w:pPr>
            <w:r>
              <w:rPr>
                <w:rFonts w:ascii="宋体" w:hAnsi="宋体" w:cs="宋体"/>
                <w:szCs w:val="21"/>
                <w:highlight w:val="none"/>
              </w:rPr>
              <w:t>630～4000</w:t>
            </w:r>
          </w:p>
        </w:tc>
        <w:tc>
          <w:tcPr>
            <w:tcW w:w="2625" w:type="dxa"/>
            <w:tcBorders>
              <w:top w:val="single" w:color="auto" w:sz="6" w:space="0"/>
              <w:left w:val="single" w:color="auto" w:sz="6" w:space="0"/>
              <w:bottom w:val="single" w:color="auto" w:sz="12" w:space="0"/>
              <w:right w:val="single" w:color="auto" w:sz="6" w:space="0"/>
            </w:tcBorders>
            <w:vAlign w:val="center"/>
          </w:tcPr>
          <w:p>
            <w:pPr>
              <w:tabs>
                <w:tab w:val="left" w:pos="1080"/>
                <w:tab w:val="left" w:pos="1260"/>
              </w:tabs>
              <w:ind w:left="2" w:leftChars="1" w:right="227" w:firstLine="157" w:firstLineChars="75"/>
              <w:jc w:val="center"/>
              <w:rPr>
                <w:rFonts w:ascii="宋体" w:hAnsi="宋体" w:cs="宋体"/>
                <w:szCs w:val="21"/>
                <w:highlight w:val="none"/>
              </w:rPr>
            </w:pPr>
            <w:r>
              <w:rPr>
                <w:rFonts w:ascii="宋体" w:hAnsi="宋体" w:cs="宋体"/>
                <w:szCs w:val="21"/>
                <w:highlight w:val="none"/>
              </w:rPr>
              <w:t>20000</w:t>
            </w:r>
          </w:p>
        </w:tc>
        <w:tc>
          <w:tcPr>
            <w:tcW w:w="2625" w:type="dxa"/>
            <w:tcBorders>
              <w:top w:val="single" w:color="auto" w:sz="6" w:space="0"/>
              <w:left w:val="single" w:color="auto" w:sz="6" w:space="0"/>
              <w:bottom w:val="single" w:color="auto" w:sz="12" w:space="0"/>
              <w:right w:val="single" w:color="auto" w:sz="12" w:space="0"/>
            </w:tcBorders>
            <w:vAlign w:val="center"/>
          </w:tcPr>
          <w:p>
            <w:pPr>
              <w:tabs>
                <w:tab w:val="left" w:pos="1080"/>
                <w:tab w:val="left" w:pos="1260"/>
              </w:tabs>
              <w:ind w:left="2" w:leftChars="1" w:right="227" w:firstLine="157" w:firstLineChars="75"/>
              <w:jc w:val="center"/>
              <w:rPr>
                <w:rFonts w:ascii="宋体" w:hAnsi="宋体" w:cs="宋体"/>
                <w:szCs w:val="21"/>
                <w:highlight w:val="none"/>
              </w:rPr>
            </w:pPr>
            <w:r>
              <w:rPr>
                <w:rFonts w:ascii="宋体" w:hAnsi="宋体" w:cs="宋体"/>
                <w:szCs w:val="21"/>
                <w:highlight w:val="none"/>
              </w:rPr>
              <w:t>10000</w:t>
            </w:r>
          </w:p>
        </w:tc>
      </w:tr>
    </w:tbl>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 (h) 模块化设计。</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2.1.7.2  </w:t>
      </w:r>
      <w:r>
        <w:rPr>
          <w:rFonts w:hint="eastAsia" w:ascii="宋体" w:hAnsi="宋体" w:cs="宋体"/>
          <w:szCs w:val="21"/>
          <w:highlight w:val="none"/>
        </w:rPr>
        <w:t>低压塑壳断路器</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低压塑壳断路器采用</w:t>
      </w:r>
      <w:r>
        <w:rPr>
          <w:rFonts w:ascii="宋体" w:hAnsi="宋体" w:cs="宋体"/>
          <w:szCs w:val="21"/>
          <w:highlight w:val="none"/>
        </w:rPr>
        <w:t>ABB公司Tmax、施耐德公司NSX系列或西门子公司3VA系列塑壳断路器，每台低压塑壳断路器应按GB14041.1.5.2、IEC947-2的标准设计与制造并符合操作要求包括:</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带有复合热过载及短路瞬时脱扣器，整定可调。大于或等于</w:t>
      </w:r>
      <w:r>
        <w:rPr>
          <w:rFonts w:ascii="宋体" w:hAnsi="宋体" w:cs="宋体"/>
          <w:szCs w:val="21"/>
          <w:highlight w:val="none"/>
        </w:rPr>
        <w:t>250A的塑壳断路器选用电子脱扣器。</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固定件及接头应适合低压开关柜的尺寸。</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2.1.7.3  </w:t>
      </w:r>
      <w:r>
        <w:rPr>
          <w:rFonts w:hint="eastAsia" w:ascii="宋体" w:hAnsi="宋体" w:cs="宋体"/>
          <w:szCs w:val="21"/>
          <w:highlight w:val="none"/>
        </w:rPr>
        <w:t>接触器</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接触器应按</w:t>
      </w:r>
      <w:r>
        <w:rPr>
          <w:rFonts w:ascii="宋体" w:hAnsi="宋体" w:cs="宋体"/>
          <w:szCs w:val="21"/>
          <w:highlight w:val="none"/>
        </w:rPr>
        <w:t>GB14041.1.5.4、IEC947.4标准设计与制造并符合每台低压开关柜的操作要求。</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(a)  </w:t>
      </w:r>
      <w:r>
        <w:rPr>
          <w:rFonts w:hint="eastAsia" w:ascii="宋体" w:hAnsi="宋体" w:cs="宋体"/>
          <w:szCs w:val="21"/>
          <w:highlight w:val="none"/>
        </w:rPr>
        <w:t>使用类别至少为</w:t>
      </w:r>
      <w:r>
        <w:rPr>
          <w:rFonts w:ascii="宋体" w:hAnsi="宋体" w:cs="宋体"/>
          <w:szCs w:val="21"/>
          <w:highlight w:val="none"/>
        </w:rPr>
        <w:t>AC-3，其机械寿命不小于1千万次、电气寿命不小于120万次。控制电容器的接触器为AC-6B。</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(b)  </w:t>
      </w:r>
      <w:r>
        <w:rPr>
          <w:rFonts w:hint="eastAsia" w:ascii="宋体" w:hAnsi="宋体" w:cs="宋体"/>
          <w:szCs w:val="21"/>
          <w:highlight w:val="none"/>
        </w:rPr>
        <w:t>每台接触器装有足够的辅助接点及附件以便其它用途。</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2.1.7.4  </w:t>
      </w:r>
      <w:r>
        <w:rPr>
          <w:rFonts w:hint="eastAsia" w:ascii="宋体" w:hAnsi="宋体" w:cs="宋体"/>
          <w:szCs w:val="21"/>
          <w:highlight w:val="none"/>
        </w:rPr>
        <w:t>仪表及指示器</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低压开关柜仪表及指示设备，采用斯菲尔或上海安科瑞系列仪表，其精度应经业主同意，为了隔离及仪表设备的保护，根据需要应提供电流互感器、熔断器等。</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所有仪表设备、辅件及附件应按有关</w:t>
      </w:r>
      <w:r>
        <w:rPr>
          <w:rFonts w:ascii="宋体" w:hAnsi="宋体" w:cs="宋体"/>
          <w:szCs w:val="21"/>
          <w:highlight w:val="none"/>
        </w:rPr>
        <w:t>GB、IEC标准及规范制造并经型式及常规试验。</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2.1.7.5  </w:t>
      </w:r>
      <w:r>
        <w:rPr>
          <w:rFonts w:hint="eastAsia" w:ascii="宋体" w:hAnsi="宋体" w:cs="宋体"/>
          <w:szCs w:val="21"/>
          <w:highlight w:val="none"/>
        </w:rPr>
        <w:t>控制设备</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所有控制、保护及仪表回路应与主回路隔离，低压开关柜控制回路电压采用交流</w:t>
      </w:r>
      <w:r>
        <w:rPr>
          <w:rFonts w:ascii="宋体" w:hAnsi="宋体" w:cs="宋体"/>
          <w:szCs w:val="21"/>
          <w:highlight w:val="none"/>
        </w:rPr>
        <w:t>220V并加性能可靠的SCPD(短路保护装置)。</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控制及保护回路应与仪表回路分开，主开关控制回路单独采用熔丝保护，所有按钮、指示器、选择器必须匹配，定型设计易于维修并考虑余量。</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2.1.7.6  </w:t>
      </w:r>
      <w:r>
        <w:rPr>
          <w:rFonts w:hint="eastAsia" w:ascii="宋体" w:hAnsi="宋体" w:cs="宋体"/>
          <w:szCs w:val="21"/>
          <w:highlight w:val="none"/>
        </w:rPr>
        <w:t>功率因数补偿电容器及其控制器</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功率因数补偿装置采用带谐波吸收功能（电容</w:t>
      </w:r>
      <w:r>
        <w:rPr>
          <w:rFonts w:ascii="宋体" w:hAnsi="宋体" w:cs="宋体"/>
          <w:szCs w:val="21"/>
          <w:highlight w:val="none"/>
        </w:rPr>
        <w:t>+7%电抗）补偿装置，选用艾博白云电气技术（扬州）有限公司、卡德斯尔电气（济南）有限公司，施杰电气（上海）有限公司系列产品。</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标准：符合</w:t>
      </w:r>
      <w:r>
        <w:rPr>
          <w:rFonts w:ascii="宋体" w:hAnsi="宋体" w:cs="宋体"/>
          <w:szCs w:val="21"/>
          <w:highlight w:val="none"/>
        </w:rPr>
        <w:t>IEC831-1，2</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形式：干式自愈型</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额定电压：</w:t>
      </w:r>
      <w:r>
        <w:rPr>
          <w:rFonts w:ascii="宋体" w:hAnsi="宋体" w:cs="宋体"/>
          <w:szCs w:val="21"/>
          <w:highlight w:val="none"/>
        </w:rPr>
        <w:t>400V  AC</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额定频率：</w:t>
      </w:r>
      <w:r>
        <w:rPr>
          <w:rFonts w:ascii="宋体" w:hAnsi="宋体" w:cs="宋体"/>
          <w:szCs w:val="21"/>
          <w:highlight w:val="none"/>
        </w:rPr>
        <w:t>50 HZ</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放电电阻：永久连接内装放电电阻器，放电一分钟后电压</w:t>
      </w:r>
      <w:r>
        <w:rPr>
          <w:rFonts w:ascii="宋体" w:hAnsi="宋体" w:cs="宋体"/>
          <w:szCs w:val="21"/>
          <w:highlight w:val="none"/>
        </w:rPr>
        <w:t xml:space="preserve">  </w:t>
      </w:r>
      <w:r>
        <w:rPr>
          <w:rFonts w:ascii="宋体" w:hAnsi="宋体" w:cs="宋体"/>
          <w:szCs w:val="21"/>
          <w:highlight w:val="none"/>
        </w:rPr>
        <w:sym w:font="Symbol" w:char="00A3"/>
      </w:r>
      <w:r>
        <w:rPr>
          <w:rFonts w:ascii="宋体" w:hAnsi="宋体" w:cs="宋体"/>
          <w:szCs w:val="21"/>
          <w:highlight w:val="none"/>
        </w:rPr>
        <w:t xml:space="preserve"> 50V</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介质损耗</w:t>
      </w:r>
      <w:r>
        <w:rPr>
          <w:rFonts w:ascii="宋体" w:hAnsi="宋体" w:cs="宋体"/>
          <w:szCs w:val="21"/>
          <w:highlight w:val="none"/>
        </w:rPr>
        <w:t>(包括放电电阻)：</w:t>
      </w:r>
      <w:r>
        <w:rPr>
          <w:rFonts w:ascii="宋体" w:hAnsi="宋体" w:cs="宋体"/>
          <w:szCs w:val="21"/>
          <w:highlight w:val="none"/>
        </w:rPr>
        <w:sym w:font="Symbol" w:char="00A3"/>
      </w:r>
      <w:r>
        <w:rPr>
          <w:rFonts w:ascii="宋体" w:hAnsi="宋体" w:cs="宋体"/>
          <w:szCs w:val="21"/>
          <w:highlight w:val="none"/>
        </w:rPr>
        <w:t xml:space="preserve"> 0.5W/kV</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耐压测试：端子间</w:t>
      </w:r>
      <w:r>
        <w:rPr>
          <w:rFonts w:ascii="宋体" w:hAnsi="宋体" w:cs="宋体"/>
          <w:szCs w:val="21"/>
          <w:highlight w:val="none"/>
        </w:rPr>
        <w:t xml:space="preserve"> 2.15Un，测试10秒</w:t>
      </w:r>
    </w:p>
    <w:p>
      <w:pPr>
        <w:widowControl/>
        <w:numPr>
          <w:ilvl w:val="0"/>
          <w:numId w:val="37"/>
        </w:numPr>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连接：三相</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承包商提供的补偿柜，应具有与中控室的通讯口，在中控室应能对其进行监控，同时具有自动</w:t>
      </w:r>
      <w:r>
        <w:rPr>
          <w:rFonts w:ascii="宋体" w:hAnsi="宋体" w:cs="宋体"/>
          <w:szCs w:val="21"/>
          <w:highlight w:val="none"/>
        </w:rPr>
        <w:t>/手动切换、可编程控制、有12个或以上的输出继电器、相序自动适应、三相/单相的功率因数控制、报警状态继电器、并有电压、电流、视在功率、无功功率、功率因数、报警状态、状态记录等监视与测量功能。控制器应满足以下性能指标：</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工作电压：</w:t>
      </w:r>
      <w:r>
        <w:rPr>
          <w:rFonts w:ascii="宋体" w:hAnsi="宋体" w:cs="宋体"/>
          <w:szCs w:val="21"/>
          <w:highlight w:val="none"/>
        </w:rPr>
        <w:t>220V AC</w:t>
      </w:r>
      <w:r>
        <w:rPr>
          <w:rFonts w:ascii="宋体" w:hAnsi="宋体" w:cs="宋体"/>
          <w:szCs w:val="21"/>
          <w:highlight w:val="none"/>
        </w:rPr>
        <w:sym w:font="Symbol" w:char="00B1"/>
      </w:r>
      <w:r>
        <w:rPr>
          <w:rFonts w:ascii="宋体" w:hAnsi="宋体" w:cs="宋体"/>
          <w:szCs w:val="21"/>
          <w:highlight w:val="none"/>
        </w:rPr>
        <w:t>10%</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频率范围：</w:t>
      </w:r>
      <w:r>
        <w:rPr>
          <w:rFonts w:ascii="宋体" w:hAnsi="宋体" w:cs="宋体"/>
          <w:szCs w:val="21"/>
          <w:highlight w:val="none"/>
        </w:rPr>
        <w:t>50Hz</w:t>
      </w:r>
      <w:r>
        <w:rPr>
          <w:rFonts w:ascii="宋体" w:hAnsi="宋体" w:cs="宋体"/>
          <w:szCs w:val="21"/>
          <w:highlight w:val="none"/>
        </w:rPr>
        <w:sym w:font="Symbol" w:char="00B1"/>
      </w:r>
      <w:r>
        <w:rPr>
          <w:rFonts w:ascii="宋体" w:hAnsi="宋体" w:cs="宋体"/>
          <w:szCs w:val="21"/>
          <w:highlight w:val="none"/>
        </w:rPr>
        <w:t>5%</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输出接点：电压</w:t>
      </w:r>
      <w:r>
        <w:rPr>
          <w:rFonts w:ascii="宋体" w:hAnsi="宋体" w:cs="宋体"/>
          <w:szCs w:val="21"/>
          <w:highlight w:val="none"/>
        </w:rPr>
        <w:sym w:font="Symbol" w:char="00B3"/>
      </w:r>
      <w:r>
        <w:rPr>
          <w:rFonts w:ascii="宋体" w:hAnsi="宋体" w:cs="宋体"/>
          <w:szCs w:val="21"/>
          <w:highlight w:val="none"/>
        </w:rPr>
        <w:t xml:space="preserve">380V  </w:t>
      </w:r>
      <w:r>
        <w:rPr>
          <w:rFonts w:hint="eastAsia" w:ascii="宋体" w:hAnsi="宋体" w:cs="宋体"/>
          <w:szCs w:val="21"/>
          <w:highlight w:val="none"/>
        </w:rPr>
        <w:t>电流</w:t>
      </w:r>
      <w:r>
        <w:rPr>
          <w:rFonts w:ascii="宋体" w:hAnsi="宋体" w:cs="宋体"/>
          <w:szCs w:val="21"/>
          <w:highlight w:val="none"/>
        </w:rPr>
        <w:sym w:font="Symbol" w:char="00B3"/>
      </w:r>
      <w:r>
        <w:rPr>
          <w:rFonts w:ascii="宋体" w:hAnsi="宋体" w:cs="宋体"/>
          <w:szCs w:val="21"/>
          <w:highlight w:val="none"/>
        </w:rPr>
        <w:t>1.5A</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ascii="宋体" w:hAnsi="宋体" w:cs="宋体"/>
          <w:szCs w:val="21"/>
          <w:highlight w:val="none"/>
        </w:rPr>
        <w:t>cos</w:t>
      </w:r>
      <w:r>
        <w:rPr>
          <w:rFonts w:ascii="宋体" w:hAnsi="宋体" w:cs="宋体"/>
          <w:szCs w:val="21"/>
          <w:highlight w:val="none"/>
        </w:rPr>
        <w:sym w:font="Symbol" w:char="006A"/>
      </w:r>
      <w:r>
        <w:rPr>
          <w:rFonts w:hint="eastAsia" w:ascii="宋体" w:hAnsi="宋体" w:cs="宋体"/>
          <w:szCs w:val="21"/>
          <w:highlight w:val="none"/>
        </w:rPr>
        <w:t>设定范围：</w:t>
      </w:r>
      <w:r>
        <w:rPr>
          <w:rFonts w:ascii="宋体" w:hAnsi="宋体" w:cs="宋体"/>
          <w:szCs w:val="21"/>
          <w:highlight w:val="none"/>
        </w:rPr>
        <w:t>0.7感性至0.7容性</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补偿后</w:t>
      </w:r>
      <w:r>
        <w:rPr>
          <w:rFonts w:ascii="宋体" w:hAnsi="宋体" w:cs="宋体"/>
          <w:szCs w:val="21"/>
          <w:highlight w:val="none"/>
        </w:rPr>
        <w:t>cos</w:t>
      </w:r>
      <w:r>
        <w:rPr>
          <w:rFonts w:ascii="宋体" w:hAnsi="宋体" w:cs="宋体"/>
          <w:szCs w:val="21"/>
          <w:highlight w:val="none"/>
        </w:rPr>
        <w:sym w:font="Symbol" w:char="0066"/>
      </w:r>
      <w:r>
        <w:rPr>
          <w:rFonts w:ascii="宋体" w:hAnsi="宋体" w:cs="宋体"/>
          <w:szCs w:val="21"/>
          <w:highlight w:val="none"/>
        </w:rPr>
        <w:t xml:space="preserve"> </w:t>
      </w:r>
      <w:r>
        <w:rPr>
          <w:rFonts w:ascii="宋体" w:hAnsi="宋体" w:cs="宋体"/>
          <w:szCs w:val="21"/>
          <w:highlight w:val="none"/>
        </w:rPr>
        <w:sym w:font="Symbol" w:char="00B3"/>
      </w:r>
      <w:r>
        <w:rPr>
          <w:rFonts w:ascii="宋体" w:hAnsi="宋体" w:cs="宋体"/>
          <w:szCs w:val="21"/>
          <w:highlight w:val="none"/>
        </w:rPr>
        <w:t>0.95</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可变输出回路：</w:t>
      </w:r>
      <w:r>
        <w:rPr>
          <w:rFonts w:ascii="宋体" w:hAnsi="宋体" w:cs="宋体"/>
          <w:szCs w:val="21"/>
          <w:highlight w:val="none"/>
        </w:rPr>
        <w:t>1～12</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切换延迟时间：</w:t>
      </w:r>
      <w:r>
        <w:rPr>
          <w:rFonts w:ascii="宋体" w:hAnsi="宋体" w:cs="宋体"/>
          <w:szCs w:val="21"/>
          <w:highlight w:val="none"/>
        </w:rPr>
        <w:t>1～120秒可调</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掉电释放延时：</w:t>
      </w:r>
      <w:r>
        <w:rPr>
          <w:rFonts w:ascii="宋体" w:hAnsi="宋体" w:cs="宋体"/>
          <w:szCs w:val="21"/>
          <w:highlight w:val="none"/>
        </w:rPr>
        <w:t>1～120秒可调</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对谐波不敏感</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防护等级：</w:t>
      </w:r>
      <w:r>
        <w:rPr>
          <w:rFonts w:ascii="宋体" w:hAnsi="宋体" w:cs="宋体"/>
          <w:szCs w:val="21"/>
          <w:highlight w:val="none"/>
        </w:rPr>
        <w:t>IP20</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2.1.8  </w:t>
      </w:r>
      <w:r>
        <w:rPr>
          <w:rFonts w:hint="eastAsia" w:ascii="宋体" w:hAnsi="宋体" w:cs="宋体"/>
          <w:szCs w:val="21"/>
          <w:highlight w:val="none"/>
        </w:rPr>
        <w:t>在制造厂检查和试验</w:t>
      </w:r>
    </w:p>
    <w:p>
      <w:pPr>
        <w:widowControl/>
        <w:tabs>
          <w:tab w:val="left" w:pos="1080"/>
          <w:tab w:val="left" w:pos="1260"/>
        </w:tabs>
        <w:spacing w:line="360" w:lineRule="auto"/>
        <w:ind w:left="2" w:leftChars="1" w:firstLine="367" w:firstLineChars="175"/>
        <w:rPr>
          <w:rFonts w:ascii="宋体" w:hAnsi="宋体" w:cs="宋体"/>
          <w:szCs w:val="21"/>
          <w:highlight w:val="none"/>
        </w:rPr>
      </w:pPr>
      <w:r>
        <w:rPr>
          <w:rFonts w:hint="eastAsia" w:ascii="宋体" w:hAnsi="宋体" w:cs="宋体"/>
          <w:szCs w:val="21"/>
          <w:highlight w:val="none"/>
        </w:rPr>
        <w:t>所有的低压开关柜应按总要求在制造厂检查和试验，以表明其运行性能以及设备，材料和结构在电气、机械上的完整性。</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2.1.8.1  </w:t>
      </w:r>
      <w:r>
        <w:rPr>
          <w:rFonts w:hint="eastAsia" w:ascii="宋体" w:hAnsi="宋体" w:cs="宋体"/>
          <w:szCs w:val="21"/>
          <w:highlight w:val="none"/>
        </w:rPr>
        <w:t>检查的通知和试验所需的设备</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承包商应发出工程进展和检查时间的通知并提供所需要的设备，由业主代表进行检查和现场试验。</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2.1.8.2  </w:t>
      </w:r>
      <w:r>
        <w:rPr>
          <w:rFonts w:hint="eastAsia" w:ascii="宋体" w:hAnsi="宋体" w:cs="宋体"/>
          <w:szCs w:val="21"/>
          <w:highlight w:val="none"/>
        </w:rPr>
        <w:t>型式试验</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产品的型式试验应提供给业主复查和确认，所提供的低压开关柜与型式试验的开关柜应具有相同的质量和标准。</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2.1.8.3  </w:t>
      </w:r>
      <w:r>
        <w:rPr>
          <w:rFonts w:hint="eastAsia" w:ascii="宋体" w:hAnsi="宋体" w:cs="宋体"/>
          <w:szCs w:val="21"/>
          <w:highlight w:val="none"/>
        </w:rPr>
        <w:t>批准的证书</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在制造厂检查和试验以前，一切有关权力机构以及专业的试验实验室批准的证书应提交业主研究。</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2.1.8.4  </w:t>
      </w:r>
      <w:r>
        <w:rPr>
          <w:rFonts w:hint="eastAsia" w:ascii="宋体" w:hAnsi="宋体" w:cs="宋体"/>
          <w:szCs w:val="21"/>
          <w:highlight w:val="none"/>
        </w:rPr>
        <w:t>试验的范围和方法</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所有的低压开关控制柜均应按</w:t>
      </w:r>
      <w:r>
        <w:rPr>
          <w:rFonts w:ascii="宋体" w:hAnsi="宋体" w:cs="宋体"/>
          <w:szCs w:val="21"/>
          <w:highlight w:val="none"/>
        </w:rPr>
        <w:t>GB7211.1.6GB9466、IEC439和GB、IEC规范的总要求以及每只部件有关标准进行试验，所有的试验方法已在上述IEC文件中涉及到。</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2.1.8.5  </w:t>
      </w:r>
      <w:r>
        <w:rPr>
          <w:rFonts w:hint="eastAsia" w:ascii="宋体" w:hAnsi="宋体" w:cs="宋体"/>
          <w:szCs w:val="21"/>
          <w:highlight w:val="none"/>
        </w:rPr>
        <w:t>常规检查和试验</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常规试验应包括但不限于</w:t>
      </w:r>
      <w:r>
        <w:rPr>
          <w:rFonts w:ascii="宋体" w:hAnsi="宋体" w:cs="宋体"/>
          <w:szCs w:val="21"/>
          <w:highlight w:val="none"/>
        </w:rPr>
        <w:t>:</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(a)  </w:t>
      </w:r>
      <w:r>
        <w:rPr>
          <w:rFonts w:hint="eastAsia" w:ascii="宋体" w:hAnsi="宋体" w:cs="宋体"/>
          <w:szCs w:val="21"/>
          <w:highlight w:val="none"/>
        </w:rPr>
        <w:t>视觉检查——设备的质量、结构、防护等级和涂层。</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(b)  </w:t>
      </w:r>
      <w:r>
        <w:rPr>
          <w:rFonts w:hint="eastAsia" w:ascii="宋体" w:hAnsi="宋体" w:cs="宋体"/>
          <w:szCs w:val="21"/>
          <w:highlight w:val="none"/>
        </w:rPr>
        <w:t>所有手动功能、导轨、插头系统、门板等等的机械操作。</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(c)  </w:t>
      </w:r>
      <w:r>
        <w:rPr>
          <w:rFonts w:hint="eastAsia" w:ascii="宋体" w:hAnsi="宋体" w:cs="宋体"/>
          <w:szCs w:val="21"/>
          <w:highlight w:val="none"/>
        </w:rPr>
        <w:t>所有控制、保护和监测设备的电器操作。</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(d)  </w:t>
      </w:r>
      <w:r>
        <w:rPr>
          <w:rFonts w:hint="eastAsia" w:ascii="宋体" w:hAnsi="宋体" w:cs="宋体"/>
          <w:szCs w:val="21"/>
          <w:highlight w:val="none"/>
        </w:rPr>
        <w:t>可能进行的保护系统在预定变化范围和整定值内的模拟试验</w:t>
      </w:r>
      <w:r>
        <w:rPr>
          <w:rFonts w:ascii="宋体" w:hAnsi="宋体" w:cs="宋体"/>
          <w:szCs w:val="21"/>
          <w:highlight w:val="none"/>
        </w:rPr>
        <w:t>(外加电压和电流)。</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(e)  </w:t>
      </w:r>
      <w:r>
        <w:rPr>
          <w:rFonts w:hint="eastAsia" w:ascii="宋体" w:hAnsi="宋体" w:cs="宋体"/>
          <w:szCs w:val="21"/>
          <w:highlight w:val="none"/>
        </w:rPr>
        <w:t>功能性试验包括模拟操作和所有自动和可编程序控制的程序试验。</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ascii="宋体" w:hAnsi="宋体" w:cs="宋体"/>
          <w:szCs w:val="21"/>
          <w:highlight w:val="none"/>
        </w:rPr>
        <w:t xml:space="preserve">(f)  </w:t>
      </w:r>
      <w:r>
        <w:rPr>
          <w:rFonts w:hint="eastAsia" w:ascii="宋体" w:hAnsi="宋体" w:cs="宋体"/>
          <w:szCs w:val="21"/>
          <w:highlight w:val="none"/>
        </w:rPr>
        <w:t>熔断器的型式及额定值的视觉检查。</w:t>
      </w:r>
    </w:p>
    <w:p>
      <w:pPr>
        <w:widowControl/>
        <w:tabs>
          <w:tab w:val="left" w:pos="1080"/>
          <w:tab w:val="left" w:pos="1260"/>
        </w:tabs>
        <w:spacing w:line="360" w:lineRule="auto"/>
        <w:ind w:left="2" w:leftChars="1" w:firstLine="157" w:firstLineChars="75"/>
        <w:outlineLvl w:val="4"/>
        <w:rPr>
          <w:rFonts w:ascii="宋体" w:hAnsi="宋体" w:cs="宋体"/>
          <w:szCs w:val="21"/>
          <w:highlight w:val="none"/>
        </w:rPr>
      </w:pPr>
      <w:r>
        <w:rPr>
          <w:rFonts w:ascii="宋体" w:hAnsi="宋体" w:cs="宋体"/>
          <w:szCs w:val="21"/>
          <w:highlight w:val="none"/>
        </w:rPr>
        <w:t xml:space="preserve">2.1.8.6  </w:t>
      </w:r>
      <w:r>
        <w:rPr>
          <w:rFonts w:hint="eastAsia" w:ascii="宋体" w:hAnsi="宋体" w:cs="宋体"/>
          <w:szCs w:val="21"/>
          <w:highlight w:val="none"/>
        </w:rPr>
        <w:t>记录</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所有的试验应按预定的程序安排和进行，记录报告要由试验人员和制造厂质量控制人员签字。</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2.1.9  </w:t>
      </w:r>
      <w:r>
        <w:rPr>
          <w:rFonts w:hint="eastAsia" w:ascii="宋体" w:hAnsi="宋体" w:cs="宋体"/>
          <w:szCs w:val="21"/>
          <w:highlight w:val="none"/>
        </w:rPr>
        <w:t>制造厂证书</w:t>
      </w:r>
    </w:p>
    <w:p>
      <w:pPr>
        <w:widowControl/>
        <w:tabs>
          <w:tab w:val="left" w:pos="1080"/>
          <w:tab w:val="left" w:pos="1260"/>
        </w:tabs>
        <w:spacing w:line="360" w:lineRule="auto"/>
        <w:ind w:left="2" w:leftChars="1" w:firstLine="157" w:firstLineChars="75"/>
        <w:rPr>
          <w:rFonts w:ascii="宋体" w:hAnsi="宋体" w:cs="宋体"/>
          <w:szCs w:val="21"/>
          <w:highlight w:val="none"/>
        </w:rPr>
      </w:pPr>
      <w:r>
        <w:rPr>
          <w:rFonts w:hint="eastAsia" w:ascii="宋体" w:hAnsi="宋体" w:cs="宋体"/>
          <w:szCs w:val="21"/>
          <w:highlight w:val="none"/>
        </w:rPr>
        <w:t>在每台低压开关控制柜最终试验和试运转以前，制造厂要提供安装完善的证书。</w:t>
      </w:r>
    </w:p>
    <w:p>
      <w:pPr>
        <w:widowControl/>
        <w:tabs>
          <w:tab w:val="left" w:pos="1080"/>
          <w:tab w:val="left" w:pos="1260"/>
        </w:tabs>
        <w:spacing w:line="360" w:lineRule="auto"/>
        <w:ind w:left="2" w:leftChars="1" w:firstLine="157" w:firstLineChars="75"/>
        <w:outlineLvl w:val="3"/>
        <w:rPr>
          <w:rFonts w:ascii="宋体" w:hAnsi="宋体" w:cs="宋体"/>
          <w:szCs w:val="21"/>
          <w:highlight w:val="none"/>
        </w:rPr>
      </w:pPr>
      <w:r>
        <w:rPr>
          <w:rFonts w:ascii="宋体" w:hAnsi="宋体" w:cs="宋体"/>
          <w:szCs w:val="21"/>
          <w:highlight w:val="none"/>
        </w:rPr>
        <w:t xml:space="preserve">2.1.10  </w:t>
      </w:r>
      <w:r>
        <w:rPr>
          <w:rFonts w:hint="eastAsia" w:ascii="宋体" w:hAnsi="宋体" w:cs="宋体"/>
          <w:szCs w:val="21"/>
          <w:highlight w:val="none"/>
        </w:rPr>
        <w:t>培训</w:t>
      </w:r>
    </w:p>
    <w:p>
      <w:pPr>
        <w:widowControl/>
        <w:tabs>
          <w:tab w:val="left" w:pos="1080"/>
          <w:tab w:val="left" w:pos="1260"/>
        </w:tabs>
        <w:spacing w:line="360" w:lineRule="auto"/>
        <w:ind w:firstLine="157" w:firstLineChars="75"/>
        <w:rPr>
          <w:rFonts w:ascii="宋体" w:hAnsi="宋体"/>
          <w:b/>
          <w:szCs w:val="21"/>
          <w:highlight w:val="none"/>
        </w:rPr>
      </w:pPr>
      <w:r>
        <w:rPr>
          <w:rFonts w:hint="eastAsia" w:ascii="宋体" w:hAnsi="宋体" w:cs="宋体"/>
          <w:szCs w:val="21"/>
          <w:highlight w:val="none"/>
        </w:rPr>
        <w:t>应按总要求，对业主职工进行低压开关柜和控制柜的常规试验，操作及维修的培训。</w:t>
      </w:r>
    </w:p>
    <w:p>
      <w:pPr>
        <w:pStyle w:val="27"/>
        <w:spacing w:line="480" w:lineRule="exact"/>
        <w:ind w:firstLine="422"/>
        <w:rPr>
          <w:rFonts w:ascii="宋体" w:hAnsi="宋体" w:cs="宋体"/>
          <w:szCs w:val="21"/>
          <w:highlight w:val="none"/>
        </w:rPr>
      </w:pPr>
      <w:r>
        <w:rPr>
          <w:rFonts w:ascii="宋体" w:hAnsi="宋体"/>
          <w:b/>
          <w:szCs w:val="21"/>
          <w:highlight w:val="none"/>
        </w:rPr>
        <w:t>3.材质及质量要求：</w:t>
      </w:r>
    </w:p>
    <w:p>
      <w:pPr>
        <w:pStyle w:val="27"/>
        <w:spacing w:line="480" w:lineRule="exact"/>
        <w:ind w:left="630" w:leftChars="300" w:firstLine="210" w:firstLineChars="100"/>
        <w:rPr>
          <w:rFonts w:ascii="宋体" w:hAnsi="宋体" w:cs="宋体"/>
          <w:szCs w:val="21"/>
          <w:highlight w:val="none"/>
        </w:rPr>
      </w:pPr>
      <w:r>
        <w:rPr>
          <w:rFonts w:ascii="宋体" w:hAnsi="宋体" w:cs="宋体"/>
          <w:szCs w:val="21"/>
          <w:highlight w:val="none"/>
        </w:rPr>
        <w:t xml:space="preserve">3.1 </w:t>
      </w:r>
      <w:r>
        <w:rPr>
          <w:rFonts w:hint="eastAsia" w:ascii="宋体" w:hAnsi="宋体" w:cs="宋体"/>
          <w:szCs w:val="21"/>
          <w:highlight w:val="none"/>
        </w:rPr>
        <w:t>投标人依据自身产品、管理及本次招标要求编制报价表格；</w:t>
      </w:r>
    </w:p>
    <w:p>
      <w:pPr>
        <w:autoSpaceDE w:val="0"/>
        <w:autoSpaceDN w:val="0"/>
        <w:adjustRightInd w:val="0"/>
        <w:snapToGrid w:val="0"/>
        <w:spacing w:line="480" w:lineRule="exact"/>
        <w:rPr>
          <w:rFonts w:ascii="宋体" w:hAnsi="宋体"/>
          <w:szCs w:val="21"/>
          <w:highlight w:val="none"/>
        </w:rPr>
      </w:pPr>
      <w:r>
        <w:rPr>
          <w:rFonts w:ascii="宋体" w:hAnsi="宋体"/>
          <w:szCs w:val="21"/>
          <w:highlight w:val="none"/>
        </w:rPr>
        <w:t>4.包装要求：</w:t>
      </w:r>
    </w:p>
    <w:p>
      <w:pPr>
        <w:autoSpaceDE w:val="0"/>
        <w:autoSpaceDN w:val="0"/>
        <w:adjustRightInd w:val="0"/>
        <w:snapToGrid w:val="0"/>
        <w:spacing w:line="480" w:lineRule="exact"/>
        <w:rPr>
          <w:rFonts w:ascii="宋体" w:hAnsi="宋体"/>
          <w:szCs w:val="21"/>
          <w:highlight w:val="none"/>
        </w:rPr>
      </w:pPr>
      <w:r>
        <w:rPr>
          <w:rFonts w:hint="eastAsia" w:ascii="宋体" w:hAnsi="宋体"/>
          <w:szCs w:val="21"/>
          <w:highlight w:val="none"/>
        </w:rPr>
        <w:t>所有包装必须经得起陆上</w:t>
      </w:r>
      <w:r>
        <w:rPr>
          <w:rFonts w:ascii="宋体" w:hAnsi="宋体"/>
          <w:szCs w:val="21"/>
          <w:highlight w:val="none"/>
        </w:rPr>
        <w:t>,水上的运输，卖方应对包装的所供货物负责，使其到达目的地后完整无缺，卖方负责提供所有的包装（注明免费）。</w:t>
      </w:r>
    </w:p>
    <w:bookmarkEnd w:id="182"/>
    <w:bookmarkEnd w:id="183"/>
    <w:bookmarkEnd w:id="184"/>
    <w:p>
      <w:pPr>
        <w:pStyle w:val="39"/>
        <w:ind w:firstLine="0" w:firstLineChars="0"/>
        <w:rPr>
          <w:kern w:val="0"/>
          <w:highlight w:val="none"/>
        </w:rPr>
      </w:pPr>
      <w:bookmarkStart w:id="207" w:name="_Toc12926"/>
    </w:p>
    <w:p>
      <w:pPr>
        <w:pStyle w:val="3"/>
        <w:snapToGrid w:val="0"/>
        <w:spacing w:before="0" w:after="0" w:line="360" w:lineRule="auto"/>
        <w:rPr>
          <w:kern w:val="0"/>
          <w:highlight w:val="none"/>
        </w:rPr>
      </w:pPr>
    </w:p>
    <w:p>
      <w:pPr>
        <w:pStyle w:val="3"/>
        <w:snapToGrid w:val="0"/>
        <w:spacing w:before="0" w:after="0" w:line="360" w:lineRule="auto"/>
        <w:rPr>
          <w:kern w:val="0"/>
          <w:highlight w:val="none"/>
        </w:rPr>
      </w:pPr>
    </w:p>
    <w:p>
      <w:pPr>
        <w:pStyle w:val="3"/>
        <w:snapToGrid w:val="0"/>
        <w:spacing w:before="0" w:after="0" w:line="360" w:lineRule="auto"/>
        <w:rPr>
          <w:kern w:val="0"/>
          <w:highlight w:val="none"/>
        </w:rPr>
      </w:pPr>
    </w:p>
    <w:p>
      <w:pPr>
        <w:pStyle w:val="3"/>
        <w:snapToGrid w:val="0"/>
        <w:spacing w:before="0" w:after="0" w:line="360" w:lineRule="auto"/>
        <w:rPr>
          <w:kern w:val="0"/>
          <w:highlight w:val="none"/>
        </w:rPr>
      </w:pPr>
    </w:p>
    <w:p>
      <w:pPr>
        <w:rPr>
          <w:kern w:val="0"/>
          <w:highlight w:val="none"/>
        </w:rPr>
      </w:pPr>
    </w:p>
    <w:p>
      <w:pPr>
        <w:pStyle w:val="39"/>
        <w:ind w:firstLine="420"/>
        <w:rPr>
          <w:kern w:val="0"/>
          <w:highlight w:val="none"/>
        </w:rPr>
      </w:pPr>
    </w:p>
    <w:p>
      <w:pPr>
        <w:pStyle w:val="39"/>
        <w:ind w:firstLine="420"/>
        <w:rPr>
          <w:kern w:val="0"/>
          <w:highlight w:val="none"/>
        </w:rPr>
      </w:pPr>
    </w:p>
    <w:p>
      <w:pPr>
        <w:pStyle w:val="39"/>
        <w:ind w:firstLine="420"/>
        <w:rPr>
          <w:kern w:val="0"/>
          <w:highlight w:val="none"/>
        </w:rPr>
      </w:pPr>
    </w:p>
    <w:p>
      <w:pPr>
        <w:pStyle w:val="39"/>
        <w:ind w:firstLine="420"/>
        <w:rPr>
          <w:kern w:val="0"/>
          <w:highlight w:val="none"/>
        </w:rPr>
      </w:pPr>
    </w:p>
    <w:p>
      <w:pPr>
        <w:pStyle w:val="39"/>
        <w:ind w:firstLine="420"/>
        <w:rPr>
          <w:kern w:val="0"/>
          <w:highlight w:val="none"/>
        </w:rPr>
      </w:pPr>
    </w:p>
    <w:p>
      <w:pPr>
        <w:pStyle w:val="39"/>
        <w:ind w:firstLine="420"/>
        <w:rPr>
          <w:kern w:val="0"/>
          <w:highlight w:val="none"/>
        </w:rPr>
      </w:pPr>
    </w:p>
    <w:p>
      <w:pPr>
        <w:pStyle w:val="39"/>
        <w:ind w:firstLine="420"/>
        <w:rPr>
          <w:kern w:val="0"/>
          <w:highlight w:val="none"/>
        </w:rPr>
      </w:pPr>
    </w:p>
    <w:p>
      <w:pPr>
        <w:pStyle w:val="39"/>
        <w:ind w:firstLine="420"/>
        <w:rPr>
          <w:kern w:val="0"/>
          <w:highlight w:val="none"/>
        </w:rPr>
      </w:pPr>
    </w:p>
    <w:p>
      <w:pPr>
        <w:pStyle w:val="39"/>
        <w:ind w:firstLine="420"/>
        <w:rPr>
          <w:kern w:val="0"/>
          <w:highlight w:val="none"/>
        </w:rPr>
      </w:pPr>
    </w:p>
    <w:p>
      <w:pPr>
        <w:pStyle w:val="3"/>
        <w:snapToGrid w:val="0"/>
        <w:spacing w:before="0" w:after="0" w:line="360" w:lineRule="auto"/>
        <w:jc w:val="both"/>
        <w:rPr>
          <w:kern w:val="0"/>
          <w:highlight w:val="none"/>
        </w:rPr>
      </w:pPr>
    </w:p>
    <w:p>
      <w:pPr>
        <w:rPr>
          <w:kern w:val="0"/>
          <w:highlight w:val="none"/>
        </w:rPr>
      </w:pPr>
    </w:p>
    <w:p>
      <w:pPr>
        <w:pStyle w:val="39"/>
        <w:ind w:firstLine="420"/>
        <w:rPr>
          <w:highlight w:val="none"/>
        </w:rPr>
      </w:pPr>
    </w:p>
    <w:p>
      <w:pPr>
        <w:pStyle w:val="3"/>
        <w:snapToGrid w:val="0"/>
        <w:spacing w:before="0" w:after="0" w:line="360" w:lineRule="auto"/>
        <w:rPr>
          <w:kern w:val="0"/>
          <w:highlight w:val="none"/>
        </w:rPr>
      </w:pPr>
      <w:r>
        <w:rPr>
          <w:rFonts w:hint="eastAsia"/>
          <w:kern w:val="0"/>
          <w:highlight w:val="none"/>
        </w:rPr>
        <w:t>第六章</w:t>
      </w:r>
      <w:r>
        <w:rPr>
          <w:kern w:val="0"/>
          <w:highlight w:val="none"/>
        </w:rPr>
        <w:t xml:space="preserve"> </w:t>
      </w:r>
      <w:r>
        <w:rPr>
          <w:rFonts w:hint="eastAsia"/>
          <w:kern w:val="0"/>
          <w:highlight w:val="none"/>
        </w:rPr>
        <w:t>投标文件格式</w:t>
      </w:r>
    </w:p>
    <w:p>
      <w:pPr>
        <w:pStyle w:val="6"/>
        <w:snapToGrid w:val="0"/>
        <w:spacing w:before="0" w:after="0" w:line="360" w:lineRule="auto"/>
        <w:jc w:val="center"/>
        <w:rPr>
          <w:highlight w:val="none"/>
        </w:rPr>
      </w:pPr>
      <w:r>
        <w:rPr>
          <w:rFonts w:hint="eastAsia"/>
          <w:highlight w:val="none"/>
        </w:rPr>
        <w:t>封面</w:t>
      </w:r>
      <w:bookmarkEnd w:id="207"/>
    </w:p>
    <w:p>
      <w:pPr>
        <w:snapToGrid w:val="0"/>
        <w:spacing w:line="360" w:lineRule="auto"/>
        <w:jc w:val="right"/>
        <w:rPr>
          <w:rFonts w:ascii="宋体" w:hAnsi="宋体" w:cs="宋体"/>
          <w:kern w:val="0"/>
          <w:highlight w:val="none"/>
        </w:rPr>
      </w:pPr>
      <w:r>
        <w:rPr>
          <w:rFonts w:hint="eastAsia" w:ascii="宋体" w:hAnsi="宋体" w:cs="宋体"/>
          <w:kern w:val="0"/>
          <w:highlight w:val="none"/>
        </w:rPr>
        <w:t>正本</w:t>
      </w:r>
      <w:r>
        <w:rPr>
          <w:rFonts w:ascii="宋体" w:hAnsi="宋体" w:cs="宋体"/>
          <w:kern w:val="0"/>
          <w:highlight w:val="none"/>
        </w:rPr>
        <w:t>/副本</w:t>
      </w: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ind w:firstLine="0" w:firstLineChars="0"/>
        <w:jc w:val="center"/>
        <w:rPr>
          <w:rFonts w:ascii="宋体" w:hAnsi="宋体" w:cs="宋体"/>
          <w:b/>
          <w:kern w:val="0"/>
          <w:sz w:val="36"/>
          <w:szCs w:val="36"/>
          <w:highlight w:val="none"/>
        </w:rPr>
      </w:pPr>
      <w:r>
        <w:rPr>
          <w:rFonts w:hint="eastAsia" w:ascii="宋体" w:hAnsi="宋体" w:cs="宋体"/>
          <w:b/>
          <w:kern w:val="0"/>
          <w:sz w:val="36"/>
          <w:szCs w:val="36"/>
          <w:highlight w:val="none"/>
        </w:rPr>
        <w:t>江苏长江水务股份有限公司</w:t>
      </w:r>
      <w:r>
        <w:rPr>
          <w:rFonts w:ascii="宋体" w:hAnsi="宋体" w:cs="宋体"/>
          <w:b/>
          <w:kern w:val="0"/>
          <w:sz w:val="36"/>
          <w:szCs w:val="36"/>
          <w:highlight w:val="none"/>
        </w:rPr>
        <w:t>2021年电气技改项目</w:t>
      </w:r>
    </w:p>
    <w:p>
      <w:pPr>
        <w:snapToGrid w:val="0"/>
        <w:spacing w:line="360" w:lineRule="auto"/>
        <w:ind w:firstLine="0" w:firstLineChars="0"/>
        <w:jc w:val="center"/>
        <w:rPr>
          <w:rFonts w:ascii="宋体" w:hAnsi="宋体" w:cs="宋体"/>
          <w:kern w:val="0"/>
          <w:sz w:val="36"/>
          <w:szCs w:val="36"/>
          <w:highlight w:val="none"/>
          <w:u w:val="single"/>
        </w:rPr>
      </w:pPr>
      <w:r>
        <w:rPr>
          <w:rFonts w:hint="eastAsia" w:ascii="宋体" w:hAnsi="宋体" w:cs="宋体"/>
          <w:b/>
          <w:kern w:val="0"/>
          <w:sz w:val="36"/>
          <w:szCs w:val="36"/>
          <w:highlight w:val="none"/>
        </w:rPr>
        <w:t>（西湖增压站、瓜州原水厂）</w:t>
      </w: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ind w:left="560" w:firstLine="0" w:firstLineChars="0"/>
        <w:jc w:val="center"/>
        <w:outlineLvl w:val="0"/>
        <w:rPr>
          <w:rFonts w:ascii="宋体" w:hAnsi="宋体" w:cs="宋体"/>
          <w:b/>
          <w:kern w:val="0"/>
          <w:sz w:val="56"/>
          <w:szCs w:val="56"/>
          <w:highlight w:val="none"/>
        </w:rPr>
      </w:pPr>
      <w:r>
        <w:rPr>
          <w:rFonts w:hint="eastAsia" w:ascii="宋体" w:hAnsi="宋体" w:cs="宋体"/>
          <w:b/>
          <w:kern w:val="0"/>
          <w:sz w:val="56"/>
          <w:szCs w:val="56"/>
          <w:highlight w:val="none"/>
        </w:rPr>
        <w:t>投标文件</w:t>
      </w:r>
    </w:p>
    <w:p>
      <w:pPr>
        <w:snapToGrid w:val="0"/>
        <w:spacing w:line="360" w:lineRule="auto"/>
        <w:ind w:firstLine="0" w:firstLineChars="0"/>
        <w:jc w:val="center"/>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ind w:firstLine="0" w:firstLineChars="0"/>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ind w:firstLine="1260" w:firstLineChars="600"/>
        <w:rPr>
          <w:rFonts w:ascii="宋体" w:hAnsi="宋体" w:cs="宋体"/>
          <w:kern w:val="0"/>
          <w:highlight w:val="none"/>
        </w:rPr>
      </w:pPr>
      <w:r>
        <w:rPr>
          <w:rFonts w:hint="eastAsia" w:ascii="宋体" w:hAnsi="宋体" w:cs="宋体"/>
          <w:kern w:val="0"/>
          <w:highlight w:val="none"/>
        </w:rPr>
        <w:t>投标人：</w:t>
      </w:r>
      <w:r>
        <w:rPr>
          <w:rFonts w:ascii="宋体" w:hAnsi="宋体" w:cs="宋体"/>
          <w:kern w:val="0"/>
          <w:highlight w:val="none"/>
          <w:u w:val="single"/>
        </w:rPr>
        <w:t xml:space="preserve">  </w:t>
      </w:r>
      <w:r>
        <w:rPr>
          <w:rFonts w:ascii="宋体" w:hAnsi="宋体" w:cs="宋体"/>
          <w:kern w:val="0"/>
          <w:highlight w:val="none"/>
          <w:u w:val="single"/>
        </w:rPr>
        <w:tab/>
      </w:r>
      <w:r>
        <w:rPr>
          <w:rFonts w:ascii="宋体" w:hAnsi="宋体" w:cs="宋体"/>
          <w:kern w:val="0"/>
          <w:highlight w:val="none"/>
          <w:u w:val="single"/>
        </w:rPr>
        <w:t xml:space="preserve">                                  </w:t>
      </w:r>
      <w:r>
        <w:rPr>
          <w:rFonts w:hint="eastAsia" w:ascii="宋体" w:hAnsi="宋体" w:cs="宋体"/>
          <w:kern w:val="0"/>
          <w:highlight w:val="none"/>
        </w:rPr>
        <w:t>（盖单位章）</w:t>
      </w:r>
    </w:p>
    <w:p>
      <w:pPr>
        <w:pStyle w:val="11"/>
        <w:rPr>
          <w:highlight w:val="none"/>
        </w:rPr>
      </w:pPr>
    </w:p>
    <w:p>
      <w:pPr>
        <w:snapToGrid w:val="0"/>
        <w:spacing w:line="360" w:lineRule="auto"/>
        <w:ind w:firstLine="0" w:firstLineChars="0"/>
        <w:jc w:val="center"/>
        <w:outlineLvl w:val="0"/>
        <w:rPr>
          <w:rFonts w:ascii="宋体" w:hAnsi="宋体" w:cs="宋体"/>
          <w:kern w:val="0"/>
          <w:highlight w:val="none"/>
        </w:rPr>
      </w:pPr>
      <w:r>
        <w:rPr>
          <w:rFonts w:hint="eastAsia" w:ascii="宋体" w:hAnsi="宋体" w:cs="宋体"/>
          <w:kern w:val="0"/>
          <w:highlight w:val="none"/>
        </w:rPr>
        <w:t>法定代表人（单位负责人）或其委托代理人：</w:t>
      </w:r>
      <w:r>
        <w:rPr>
          <w:rFonts w:ascii="宋体" w:hAnsi="宋体" w:cs="宋体"/>
          <w:kern w:val="0"/>
          <w:highlight w:val="none"/>
          <w:u w:val="single"/>
        </w:rPr>
        <w:tab/>
      </w:r>
      <w:r>
        <w:rPr>
          <w:rFonts w:ascii="宋体" w:hAnsi="宋体" w:cs="宋体"/>
          <w:kern w:val="0"/>
          <w:highlight w:val="none"/>
          <w:u w:val="single"/>
        </w:rPr>
        <w:tab/>
      </w:r>
      <w:r>
        <w:rPr>
          <w:rFonts w:ascii="宋体" w:hAnsi="宋体" w:cs="宋体"/>
          <w:kern w:val="0"/>
          <w:highlight w:val="none"/>
          <w:u w:val="single"/>
        </w:rPr>
        <w:t xml:space="preserve">  </w:t>
      </w:r>
      <w:r>
        <w:rPr>
          <w:rFonts w:hint="eastAsia" w:ascii="宋体" w:hAnsi="宋体" w:cs="宋体"/>
          <w:kern w:val="0"/>
          <w:highlight w:val="none"/>
        </w:rPr>
        <w:t>（签字）</w:t>
      </w:r>
    </w:p>
    <w:p>
      <w:pPr>
        <w:pStyle w:val="11"/>
        <w:rPr>
          <w:highlight w:val="none"/>
        </w:rPr>
      </w:pPr>
    </w:p>
    <w:p>
      <w:pPr>
        <w:snapToGrid w:val="0"/>
        <w:spacing w:line="360" w:lineRule="auto"/>
        <w:ind w:firstLine="3150" w:firstLineChars="1500"/>
        <w:rPr>
          <w:rFonts w:ascii="宋体" w:hAnsi="宋体" w:cs="宋体"/>
          <w:kern w:val="0"/>
          <w:highlight w:val="none"/>
        </w:rPr>
      </w:pPr>
      <w:r>
        <w:rPr>
          <w:rFonts w:hint="eastAsia" w:ascii="宋体" w:hAnsi="宋体" w:cs="宋体"/>
          <w:kern w:val="0"/>
          <w:highlight w:val="none"/>
        </w:rPr>
        <w:t>年</w:t>
      </w:r>
      <w:r>
        <w:rPr>
          <w:rFonts w:ascii="宋体" w:hAnsi="宋体" w:cs="宋体"/>
          <w:kern w:val="0"/>
          <w:highlight w:val="none"/>
        </w:rPr>
        <w:tab/>
      </w:r>
      <w:r>
        <w:rPr>
          <w:rFonts w:ascii="宋体" w:hAnsi="宋体" w:cs="宋体"/>
          <w:kern w:val="0"/>
          <w:highlight w:val="none"/>
        </w:rPr>
        <w:t xml:space="preserve">    月</w:t>
      </w:r>
      <w:r>
        <w:rPr>
          <w:rFonts w:ascii="宋体" w:hAnsi="宋体" w:cs="宋体"/>
          <w:kern w:val="0"/>
          <w:highlight w:val="none"/>
        </w:rPr>
        <w:tab/>
      </w:r>
      <w:r>
        <w:rPr>
          <w:rFonts w:ascii="宋体" w:hAnsi="宋体" w:cs="宋体"/>
          <w:kern w:val="0"/>
          <w:highlight w:val="none"/>
        </w:rPr>
        <w:t xml:space="preserve">      日</w:t>
      </w:r>
    </w:p>
    <w:p>
      <w:pPr>
        <w:snapToGrid w:val="0"/>
        <w:spacing w:line="360" w:lineRule="auto"/>
        <w:jc w:val="center"/>
        <w:rPr>
          <w:rFonts w:ascii="宋体" w:hAnsi="宋体" w:cs="宋体"/>
          <w:kern w:val="0"/>
          <w:highlight w:val="none"/>
        </w:rPr>
      </w:pPr>
    </w:p>
    <w:p>
      <w:pPr>
        <w:snapToGrid w:val="0"/>
        <w:spacing w:line="360" w:lineRule="auto"/>
        <w:jc w:val="center"/>
        <w:rPr>
          <w:rFonts w:ascii="宋体" w:hAnsi="宋体" w:cs="宋体"/>
          <w:kern w:val="0"/>
          <w:highlight w:val="none"/>
        </w:rPr>
      </w:pPr>
    </w:p>
    <w:p>
      <w:pPr>
        <w:snapToGrid w:val="0"/>
        <w:spacing w:line="360" w:lineRule="auto"/>
        <w:jc w:val="center"/>
        <w:rPr>
          <w:rFonts w:ascii="宋体" w:hAnsi="宋体" w:cs="宋体"/>
          <w:kern w:val="0"/>
          <w:sz w:val="36"/>
          <w:szCs w:val="36"/>
          <w:highlight w:val="none"/>
        </w:rPr>
      </w:pPr>
      <w:r>
        <w:rPr>
          <w:rFonts w:ascii="宋体" w:hAnsi="宋体" w:cs="宋体"/>
          <w:kern w:val="0"/>
          <w:highlight w:val="none"/>
        </w:rPr>
        <w:br w:type="page"/>
      </w:r>
      <w:r>
        <w:rPr>
          <w:rFonts w:hint="eastAsia" w:ascii="宋体" w:hAnsi="宋体" w:cs="宋体"/>
          <w:kern w:val="0"/>
          <w:sz w:val="36"/>
          <w:szCs w:val="36"/>
          <w:highlight w:val="none"/>
        </w:rPr>
        <w:t>评分表</w:t>
      </w:r>
    </w:p>
    <w:tbl>
      <w:tblPr>
        <w:tblStyle w:val="3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2"/>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22"/>
              <w:jc w:val="center"/>
              <w:rPr>
                <w:rFonts w:ascii="宋体" w:hAnsi="宋体"/>
                <w:b/>
                <w:bCs/>
                <w:kern w:val="2"/>
                <w:sz w:val="21"/>
                <w:szCs w:val="21"/>
                <w:highlight w:val="none"/>
                <w:lang w:eastAsia="zh-CN"/>
              </w:rPr>
            </w:pPr>
            <w:r>
              <w:rPr>
                <w:rFonts w:hint="eastAsia" w:ascii="宋体" w:hAnsi="宋体"/>
                <w:b/>
                <w:kern w:val="2"/>
                <w:sz w:val="21"/>
                <w:szCs w:val="21"/>
                <w:highlight w:val="none"/>
              </w:rPr>
              <w:t>评分项目</w:t>
            </w:r>
          </w:p>
        </w:tc>
        <w:tc>
          <w:tcPr>
            <w:tcW w:w="3268" w:type="dxa"/>
            <w:tcBorders>
              <w:top w:val="single" w:color="auto" w:sz="4" w:space="0"/>
              <w:left w:val="single" w:color="auto" w:sz="4" w:space="0"/>
              <w:bottom w:val="single" w:color="auto" w:sz="4" w:space="0"/>
              <w:right w:val="single" w:color="auto" w:sz="4" w:space="0"/>
            </w:tcBorders>
            <w:vAlign w:val="center"/>
          </w:tcPr>
          <w:p>
            <w:pPr>
              <w:ind w:firstLine="422"/>
              <w:jc w:val="center"/>
              <w:rPr>
                <w:highlight w:val="none"/>
              </w:rPr>
            </w:pPr>
            <w:r>
              <w:rPr>
                <w:rFonts w:hint="eastAsia" w:ascii="宋体" w:hAnsi="宋体"/>
                <w:b/>
                <w:szCs w:val="21"/>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2"/>
              <w:jc w:val="center"/>
              <w:rPr>
                <w:rFonts w:ascii="宋体" w:hAnsi="宋体"/>
                <w:b/>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ind w:firstLine="482"/>
              <w:jc w:val="center"/>
              <w:rPr>
                <w:rFonts w:ascii="宋体" w:hAnsi="宋体"/>
                <w:b/>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460" w:type="dxa"/>
            <w:gridSpan w:val="2"/>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0" w:type="dxa"/>
            <w:gridSpan w:val="2"/>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60" w:type="dxa"/>
            <w:gridSpan w:val="2"/>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2"/>
              <w:jc w:val="center"/>
              <w:rPr>
                <w:rFonts w:ascii="宋体" w:hAnsi="宋体"/>
                <w:b/>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2"/>
              <w:jc w:val="center"/>
              <w:rPr>
                <w:rFonts w:ascii="宋体" w:hAnsi="宋体"/>
                <w:b/>
                <w:bCs/>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2"/>
              <w:jc w:val="center"/>
              <w:rPr>
                <w:rFonts w:ascii="宋体" w:hAnsi="宋体"/>
                <w:b/>
                <w:bCs/>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460" w:type="dxa"/>
            <w:gridSpan w:val="2"/>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420" w:firstLine="482"/>
              <w:jc w:val="center"/>
              <w:rPr>
                <w:rFonts w:ascii="宋体" w:hAnsi="宋体"/>
                <w:b/>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0" w:firstLine="480"/>
              <w:jc w:val="center"/>
              <w:rPr>
                <w:rFonts w:ascii="宋体" w:hAnsi="宋体"/>
                <w:kern w:val="2"/>
                <w:szCs w:val="21"/>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192" w:type="dxa"/>
            <w:tcBorders>
              <w:top w:val="single" w:color="auto" w:sz="4" w:space="0"/>
              <w:left w:val="single" w:color="auto" w:sz="4" w:space="0"/>
              <w:bottom w:val="single" w:color="auto" w:sz="4" w:space="0"/>
              <w:right w:val="single" w:color="auto" w:sz="4" w:space="0"/>
            </w:tcBorders>
            <w:vAlign w:val="center"/>
          </w:tcPr>
          <w:p>
            <w:pPr>
              <w:pStyle w:val="84"/>
              <w:shd w:val="clear" w:color="auto" w:fill="FFFFFF"/>
              <w:spacing w:line="265" w:lineRule="atLeast"/>
              <w:ind w:left="0" w:firstLine="480"/>
              <w:jc w:val="center"/>
              <w:rPr>
                <w:rFonts w:ascii="宋体" w:hAnsi="宋体"/>
                <w:kern w:val="2"/>
                <w:highlight w:val="none"/>
                <w:lang w:eastAsia="zh-CN"/>
              </w:rPr>
            </w:pPr>
          </w:p>
        </w:tc>
        <w:tc>
          <w:tcPr>
            <w:tcW w:w="3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highlight w:val="none"/>
              </w:rPr>
            </w:pPr>
          </w:p>
        </w:tc>
      </w:tr>
    </w:tbl>
    <w:p>
      <w:pPr>
        <w:spacing w:line="980" w:lineRule="exact"/>
        <w:ind w:firstLine="3150" w:firstLineChars="1500"/>
        <w:rPr>
          <w:rFonts w:ascii="黑体" w:eastAsia="黑体"/>
          <w:sz w:val="30"/>
          <w:highlight w:val="none"/>
        </w:rPr>
      </w:pPr>
      <w:r>
        <w:rPr>
          <w:highlight w:val="none"/>
        </w:rPr>
        <w:br w:type="column"/>
      </w:r>
      <w:r>
        <w:rPr>
          <w:highlight w:val="none"/>
        </w:rPr>
        <w:t xml:space="preserve">       </w:t>
      </w:r>
      <w:r>
        <w:rPr>
          <w:rFonts w:hint="eastAsia" w:ascii="黑体" w:eastAsia="黑体"/>
          <w:sz w:val="30"/>
          <w:highlight w:val="none"/>
        </w:rPr>
        <w:t>目</w:t>
      </w:r>
      <w:r>
        <w:rPr>
          <w:rFonts w:ascii="黑体" w:eastAsia="黑体"/>
          <w:sz w:val="30"/>
          <w:highlight w:val="none"/>
        </w:rPr>
        <w:t xml:space="preserve">   </w:t>
      </w:r>
      <w:r>
        <w:rPr>
          <w:rFonts w:hint="eastAsia" w:ascii="黑体" w:eastAsia="黑体"/>
          <w:sz w:val="30"/>
          <w:highlight w:val="none"/>
        </w:rPr>
        <w:t>录</w:t>
      </w:r>
    </w:p>
    <w:p>
      <w:pPr>
        <w:pStyle w:val="6"/>
        <w:snapToGrid w:val="0"/>
        <w:spacing w:before="0" w:after="0" w:line="360" w:lineRule="auto"/>
        <w:rPr>
          <w:highlight w:val="none"/>
        </w:rPr>
      </w:pPr>
    </w:p>
    <w:p>
      <w:pPr>
        <w:pStyle w:val="68"/>
        <w:snapToGrid w:val="0"/>
        <w:spacing w:line="360" w:lineRule="auto"/>
        <w:jc w:val="center"/>
        <w:rPr>
          <w:rFonts w:ascii="宋体" w:hAnsi="宋体" w:cs="宋体"/>
          <w:kern w:val="0"/>
          <w:highlight w:val="none"/>
        </w:rPr>
      </w:pPr>
      <w:r>
        <w:rPr>
          <w:rFonts w:hint="eastAsia" w:ascii="宋体" w:hAnsi="宋体" w:cs="宋体"/>
          <w:kern w:val="0"/>
          <w:highlight w:val="none"/>
        </w:rPr>
        <w:t>（投标人应详细编写目录并自动生成页码）</w:t>
      </w:r>
    </w:p>
    <w:p>
      <w:pPr>
        <w:pStyle w:val="68"/>
        <w:snapToGrid w:val="0"/>
        <w:spacing w:line="360" w:lineRule="auto"/>
        <w:jc w:val="center"/>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jc w:val="center"/>
        <w:rPr>
          <w:rFonts w:ascii="宋体" w:hAnsi="宋体" w:cs="宋体"/>
          <w:kern w:val="0"/>
          <w:highlight w:val="none"/>
        </w:rPr>
      </w:pPr>
    </w:p>
    <w:p>
      <w:pPr>
        <w:snapToGrid w:val="0"/>
        <w:spacing w:line="360" w:lineRule="auto"/>
        <w:ind w:firstLine="0" w:firstLineChars="0"/>
        <w:rPr>
          <w:rFonts w:ascii="宋体" w:hAnsi="宋体" w:cs="宋体"/>
          <w:kern w:val="0"/>
          <w:highlight w:val="none"/>
        </w:rPr>
      </w:pPr>
    </w:p>
    <w:p>
      <w:pPr>
        <w:numPr>
          <w:ilvl w:val="0"/>
          <w:numId w:val="38"/>
        </w:numPr>
        <w:spacing w:line="560" w:lineRule="exact"/>
        <w:ind w:firstLine="880"/>
        <w:jc w:val="center"/>
        <w:outlineLvl w:val="0"/>
        <w:rPr>
          <w:rFonts w:ascii="楷体_GB2312" w:eastAsia="楷体_GB2312"/>
          <w:b/>
          <w:sz w:val="44"/>
          <w:highlight w:val="none"/>
        </w:rPr>
      </w:pPr>
      <w:r>
        <w:rPr>
          <w:rFonts w:hint="eastAsia" w:ascii="楷体_GB2312" w:eastAsia="楷体_GB2312"/>
          <w:b/>
          <w:sz w:val="44"/>
          <w:highlight w:val="none"/>
        </w:rPr>
        <w:t>投标人资格证明文件</w:t>
      </w:r>
    </w:p>
    <w:p>
      <w:pPr>
        <w:pStyle w:val="39"/>
        <w:ind w:firstLine="0" w:firstLineChars="0"/>
        <w:rPr>
          <w:highlight w:val="none"/>
        </w:rPr>
      </w:pPr>
    </w:p>
    <w:p>
      <w:pPr>
        <w:snapToGrid w:val="0"/>
        <w:spacing w:line="360" w:lineRule="auto"/>
        <w:ind w:left="420" w:leftChars="200" w:firstLine="0" w:firstLineChars="0"/>
        <w:outlineLvl w:val="0"/>
        <w:rPr>
          <w:rFonts w:ascii="宋体" w:hAnsi="宋体"/>
          <w:highlight w:val="none"/>
        </w:rPr>
      </w:pPr>
      <w:r>
        <w:rPr>
          <w:rFonts w:hint="eastAsia" w:ascii="宋体" w:hAnsi="宋体"/>
          <w:szCs w:val="21"/>
          <w:highlight w:val="none"/>
        </w:rPr>
        <w:t>本项目的投标人资格要求，</w:t>
      </w:r>
      <w:r>
        <w:rPr>
          <w:rFonts w:hint="eastAsia" w:ascii="宋体" w:hAnsi="宋体"/>
          <w:highlight w:val="none"/>
        </w:rPr>
        <w:t>并提供下列材料：</w:t>
      </w:r>
    </w:p>
    <w:p>
      <w:pPr>
        <w:snapToGrid w:val="0"/>
        <w:spacing w:line="360" w:lineRule="auto"/>
        <w:ind w:left="420" w:leftChars="200" w:firstLine="0" w:firstLineChars="0"/>
        <w:outlineLvl w:val="0"/>
        <w:rPr>
          <w:rFonts w:ascii="宋体" w:hAnsi="宋体"/>
          <w:highlight w:val="none"/>
        </w:rPr>
      </w:pPr>
      <w:r>
        <w:rPr>
          <w:rFonts w:ascii="宋体" w:hAnsi="宋体"/>
          <w:highlight w:val="none"/>
        </w:rPr>
        <w:t>1、投标函（原件）</w:t>
      </w:r>
    </w:p>
    <w:p>
      <w:pPr>
        <w:snapToGrid w:val="0"/>
        <w:spacing w:line="360" w:lineRule="auto"/>
        <w:ind w:left="420" w:leftChars="200" w:firstLine="0" w:firstLineChars="0"/>
        <w:outlineLvl w:val="0"/>
        <w:rPr>
          <w:rFonts w:ascii="宋体" w:hAnsi="宋体"/>
          <w:highlight w:val="none"/>
        </w:rPr>
      </w:pPr>
      <w:r>
        <w:rPr>
          <w:rFonts w:ascii="宋体" w:hAnsi="宋体"/>
          <w:highlight w:val="none"/>
        </w:rPr>
        <w:t xml:space="preserve">2、若法定代表人参加磋商的，须提供本人身份证复印件(原件备查)；若授权代表参加的，须提供《法人授权书》原件和授权代表身份证复印件（原件备查） </w:t>
      </w:r>
    </w:p>
    <w:p>
      <w:pPr>
        <w:snapToGrid w:val="0"/>
        <w:spacing w:line="360" w:lineRule="auto"/>
        <w:ind w:left="420" w:leftChars="200" w:firstLine="0" w:firstLineChars="0"/>
        <w:outlineLvl w:val="0"/>
        <w:rPr>
          <w:rFonts w:ascii="宋体" w:hAnsi="宋体"/>
          <w:highlight w:val="none"/>
        </w:rPr>
      </w:pPr>
      <w:r>
        <w:rPr>
          <w:rFonts w:ascii="宋体" w:hAnsi="宋体"/>
          <w:highlight w:val="none"/>
        </w:rPr>
        <w:t xml:space="preserve">3、 </w:t>
      </w:r>
      <w:r>
        <w:rPr>
          <w:rFonts w:hint="eastAsia" w:ascii="宋体" w:hAnsi="宋体"/>
          <w:highlight w:val="none"/>
        </w:rPr>
        <w:t>投标人必须是中华人民共和国境内注册的企业法人</w:t>
      </w:r>
      <w:r>
        <w:rPr>
          <w:rFonts w:ascii="宋体" w:hAnsi="宋体"/>
          <w:highlight w:val="none"/>
        </w:rPr>
        <w:t>,具有独立法人资格。提供营业执照副本。（复印件加盖投标人公章）</w:t>
      </w:r>
    </w:p>
    <w:p>
      <w:pPr>
        <w:snapToGrid w:val="0"/>
        <w:spacing w:line="360" w:lineRule="auto"/>
        <w:ind w:left="420" w:leftChars="200" w:firstLine="0" w:firstLineChars="0"/>
        <w:outlineLvl w:val="0"/>
        <w:rPr>
          <w:rFonts w:ascii="宋体" w:hAnsi="宋体"/>
          <w:highlight w:val="none"/>
        </w:rPr>
      </w:pPr>
      <w:r>
        <w:rPr>
          <w:rFonts w:ascii="宋体" w:hAnsi="宋体"/>
          <w:highlight w:val="none"/>
        </w:rPr>
        <w:t>4、投标单位必须是高低压成套设备制造商，具有国家权威部门高压柜的型式试验报告同时必须是扬州广源实业投资有限公司（供电部门）2021年度承接工程-10kV及以下开关柜入围单位。（提供高压柜的型式试验报告复印件加盖投标人公章、入围单位名单复印件）</w:t>
      </w:r>
    </w:p>
    <w:p>
      <w:pPr>
        <w:snapToGrid w:val="0"/>
        <w:spacing w:line="360" w:lineRule="auto"/>
        <w:ind w:left="420" w:leftChars="200" w:firstLine="0" w:firstLineChars="0"/>
        <w:outlineLvl w:val="0"/>
        <w:rPr>
          <w:rFonts w:ascii="宋体" w:hAnsi="宋体"/>
          <w:highlight w:val="none"/>
        </w:rPr>
      </w:pPr>
      <w:r>
        <w:rPr>
          <w:rFonts w:ascii="宋体" w:hAnsi="宋体"/>
          <w:highlight w:val="none"/>
        </w:rPr>
        <w:t>5、投标单位近三年内（2018年1月1日至今）（以合同签订时间为准）应具备同类货物供货业绩,单份合同总价金额≥100万元人民币。（提供合同复印件，原件备查）</w:t>
      </w:r>
    </w:p>
    <w:p>
      <w:pPr>
        <w:snapToGrid w:val="0"/>
        <w:spacing w:line="360" w:lineRule="auto"/>
        <w:ind w:left="420" w:leftChars="200" w:firstLine="0" w:firstLineChars="0"/>
        <w:outlineLvl w:val="0"/>
        <w:rPr>
          <w:rFonts w:ascii="宋体" w:hAnsi="宋体"/>
          <w:highlight w:val="none"/>
        </w:rPr>
      </w:pPr>
      <w:r>
        <w:rPr>
          <w:rFonts w:ascii="宋体" w:hAnsi="宋体"/>
          <w:highlight w:val="none"/>
        </w:rPr>
        <w:t>6、如国家有相关强制性规定的，投标人须满足所有相关强制性规定。（提供国家强制性产品认证试验报告）</w:t>
      </w:r>
    </w:p>
    <w:p>
      <w:pPr>
        <w:snapToGrid w:val="0"/>
        <w:spacing w:line="360" w:lineRule="auto"/>
        <w:ind w:left="420" w:leftChars="200" w:firstLine="0" w:firstLineChars="0"/>
        <w:outlineLvl w:val="0"/>
        <w:rPr>
          <w:rFonts w:ascii="黑体"/>
          <w:sz w:val="36"/>
          <w:highlight w:val="none"/>
        </w:rPr>
      </w:pPr>
      <w:r>
        <w:rPr>
          <w:rFonts w:ascii="宋体" w:hAnsi="宋体"/>
          <w:highlight w:val="none"/>
        </w:rPr>
        <w:t>7、投标人企业财务和经营状况良好，具备履行合同能力，近三年内无不良经营行为（提供承诺书，格式自拟）</w:t>
      </w:r>
      <w:r>
        <w:rPr>
          <w:rFonts w:ascii="宋体" w:hAnsi="宋体"/>
          <w:highlight w:val="none"/>
        </w:rPr>
        <w:br w:type="page"/>
      </w:r>
      <w:bookmarkStart w:id="208" w:name="_Toc20884"/>
      <w:bookmarkStart w:id="209" w:name="_Toc40699940"/>
      <w:bookmarkStart w:id="210" w:name="_Toc25917"/>
    </w:p>
    <w:p>
      <w:pPr>
        <w:spacing w:after="240" w:line="360" w:lineRule="auto"/>
        <w:ind w:firstLine="643"/>
        <w:jc w:val="center"/>
        <w:rPr>
          <w:rFonts w:ascii="宋体" w:hAnsi="宋体"/>
          <w:b/>
          <w:sz w:val="32"/>
          <w:highlight w:val="none"/>
        </w:rPr>
      </w:pPr>
      <w:r>
        <w:rPr>
          <w:rFonts w:hint="eastAsia" w:ascii="宋体" w:hAnsi="宋体"/>
          <w:b/>
          <w:sz w:val="32"/>
          <w:highlight w:val="none"/>
        </w:rPr>
        <w:t>投标函</w:t>
      </w:r>
    </w:p>
    <w:p>
      <w:pPr>
        <w:spacing w:line="480" w:lineRule="exact"/>
        <w:ind w:firstLine="592"/>
        <w:rPr>
          <w:rFonts w:ascii="楷体_GB2312" w:eastAsia="楷体_GB2312"/>
          <w:sz w:val="24"/>
          <w:highlight w:val="none"/>
        </w:rPr>
      </w:pPr>
      <w:r>
        <w:rPr>
          <w:rFonts w:hint="eastAsia" w:ascii="宋体" w:hAnsi="宋体"/>
          <w:spacing w:val="28"/>
          <w:sz w:val="24"/>
          <w:highlight w:val="none"/>
        </w:rPr>
        <w:t>江苏长江水务股份有限公司</w:t>
      </w:r>
      <w:r>
        <w:rPr>
          <w:rFonts w:hint="eastAsia" w:ascii="楷体_GB2312" w:eastAsia="楷体_GB2312"/>
          <w:sz w:val="24"/>
          <w:highlight w:val="none"/>
        </w:rPr>
        <w:t>：</w:t>
      </w:r>
    </w:p>
    <w:p>
      <w:pPr>
        <w:spacing w:line="480" w:lineRule="exact"/>
        <w:ind w:firstLine="480"/>
        <w:rPr>
          <w:rFonts w:ascii="宋体" w:hAnsi="宋体"/>
          <w:sz w:val="24"/>
          <w:highlight w:val="none"/>
        </w:rPr>
      </w:pPr>
      <w:r>
        <w:rPr>
          <w:rFonts w:hint="eastAsia" w:ascii="宋体" w:hAnsi="宋体"/>
          <w:sz w:val="24"/>
          <w:highlight w:val="none"/>
        </w:rPr>
        <w:t>你们</w:t>
      </w:r>
      <w:r>
        <w:rPr>
          <w:rFonts w:ascii="宋体" w:hAnsi="宋体"/>
          <w:sz w:val="24"/>
          <w:highlight w:val="none"/>
          <w:u w:val="single"/>
        </w:rPr>
        <w:t xml:space="preserve">         </w:t>
      </w:r>
      <w:r>
        <w:rPr>
          <w:rFonts w:ascii="宋体" w:hAnsi="宋体"/>
          <w:sz w:val="24"/>
          <w:highlight w:val="none"/>
        </w:rPr>
        <w:t xml:space="preserve"> 招标文件（包括补充文件，如果有的话）收悉，我们经详细审阅和研究，现决定参加投标。</w:t>
      </w:r>
    </w:p>
    <w:p>
      <w:pPr>
        <w:spacing w:line="480" w:lineRule="exact"/>
        <w:ind w:firstLine="480"/>
        <w:rPr>
          <w:rFonts w:ascii="宋体" w:hAnsi="宋体"/>
          <w:sz w:val="24"/>
          <w:highlight w:val="none"/>
        </w:rPr>
      </w:pPr>
      <w:r>
        <w:rPr>
          <w:rFonts w:ascii="宋体" w:hAnsi="宋体"/>
          <w:sz w:val="24"/>
          <w:highlight w:val="none"/>
        </w:rPr>
        <w:t xml:space="preserve">    1.我们愿按照招标文件中的条款、要求，提供所需的招标货物及一切相关的服务，投标价为</w:t>
      </w:r>
      <w:r>
        <w:rPr>
          <w:rFonts w:hint="eastAsia" w:ascii="宋体" w:hAnsi="宋体"/>
          <w:sz w:val="24"/>
          <w:highlight w:val="none"/>
          <w:u w:val="single"/>
        </w:rPr>
        <w:t>（币种及金额）</w:t>
      </w:r>
      <w:r>
        <w:rPr>
          <w:rFonts w:ascii="宋体" w:hAnsi="宋体"/>
          <w:sz w:val="24"/>
          <w:highlight w:val="none"/>
          <w:u w:val="single"/>
        </w:rPr>
        <w:t xml:space="preserve"> </w:t>
      </w:r>
      <w:r>
        <w:rPr>
          <w:rFonts w:hint="eastAsia" w:ascii="宋体" w:hAnsi="宋体"/>
          <w:sz w:val="24"/>
          <w:highlight w:val="none"/>
        </w:rPr>
        <w:t>。</w:t>
      </w:r>
    </w:p>
    <w:p>
      <w:pPr>
        <w:spacing w:line="480" w:lineRule="exact"/>
        <w:ind w:firstLine="480"/>
        <w:rPr>
          <w:rFonts w:ascii="宋体" w:hAnsi="宋体"/>
          <w:sz w:val="24"/>
          <w:highlight w:val="none"/>
        </w:rPr>
      </w:pPr>
      <w:r>
        <w:rPr>
          <w:rFonts w:ascii="宋体" w:hAnsi="宋体"/>
          <w:sz w:val="24"/>
          <w:highlight w:val="none"/>
        </w:rPr>
        <w:t>2.如果我们中标，我们将在</w:t>
      </w:r>
      <w:r>
        <w:rPr>
          <w:rFonts w:ascii="宋体" w:hAnsi="宋体"/>
          <w:sz w:val="24"/>
          <w:highlight w:val="none"/>
          <w:u w:val="single"/>
        </w:rPr>
        <w:t xml:space="preserve">           </w:t>
      </w:r>
      <w:r>
        <w:rPr>
          <w:rFonts w:hint="eastAsia" w:ascii="宋体" w:hAnsi="宋体"/>
          <w:sz w:val="24"/>
          <w:highlight w:val="none"/>
        </w:rPr>
        <w:t>之后的</w:t>
      </w:r>
      <w:r>
        <w:rPr>
          <w:rFonts w:ascii="宋体" w:hAnsi="宋体"/>
          <w:sz w:val="24"/>
          <w:highlight w:val="none"/>
          <w:u w:val="single"/>
        </w:rPr>
        <w:t xml:space="preserve">       </w:t>
      </w:r>
      <w:r>
        <w:rPr>
          <w:rFonts w:hint="eastAsia" w:ascii="宋体" w:hAnsi="宋体"/>
          <w:sz w:val="24"/>
          <w:highlight w:val="none"/>
        </w:rPr>
        <w:t>天内交货。</w:t>
      </w:r>
    </w:p>
    <w:p>
      <w:pPr>
        <w:spacing w:line="480" w:lineRule="exact"/>
        <w:ind w:firstLine="480"/>
        <w:rPr>
          <w:rFonts w:ascii="宋体" w:hAnsi="宋体"/>
          <w:sz w:val="24"/>
          <w:highlight w:val="none"/>
        </w:rPr>
      </w:pPr>
      <w:r>
        <w:rPr>
          <w:rFonts w:ascii="宋体" w:hAnsi="宋体"/>
          <w:sz w:val="24"/>
          <w:highlight w:val="none"/>
        </w:rPr>
        <w:t xml:space="preserve">3.我们同意招标文件 </w:t>
      </w:r>
      <w:r>
        <w:rPr>
          <w:rFonts w:hint="eastAsia" w:ascii="宋体" w:hAnsi="宋体"/>
          <w:sz w:val="24"/>
          <w:highlight w:val="none"/>
        </w:rPr>
        <w:t>“投标人须知”的规定，本投标文件在有效期内，将始终对我们具有约束力，并可随时被接受。如果我们入围，本投标文件在此期间之后将继续保持有效，直至合同生效。</w:t>
      </w:r>
    </w:p>
    <w:p>
      <w:pPr>
        <w:spacing w:line="480" w:lineRule="exact"/>
        <w:ind w:firstLine="480"/>
        <w:rPr>
          <w:rFonts w:ascii="宋体" w:hAnsi="宋体"/>
          <w:sz w:val="24"/>
          <w:highlight w:val="none"/>
        </w:rPr>
      </w:pPr>
      <w:r>
        <w:rPr>
          <w:rFonts w:ascii="宋体" w:hAnsi="宋体"/>
          <w:sz w:val="24"/>
          <w:highlight w:val="none"/>
        </w:rPr>
        <w:t xml:space="preserve"> 4.我们同意提供招标人要求的有关本次招标的所有资料。</w:t>
      </w:r>
    </w:p>
    <w:p>
      <w:pPr>
        <w:spacing w:line="480" w:lineRule="exact"/>
        <w:ind w:firstLine="480"/>
        <w:rPr>
          <w:rFonts w:ascii="宋体" w:hAnsi="宋体"/>
          <w:sz w:val="24"/>
          <w:highlight w:val="none"/>
        </w:rPr>
      </w:pPr>
      <w:r>
        <w:rPr>
          <w:rFonts w:ascii="宋体" w:hAnsi="宋体"/>
          <w:sz w:val="24"/>
          <w:highlight w:val="none"/>
        </w:rPr>
        <w:t>5.我们理解，你们无义务必须接受投标价最低的投标，并有权拒绝所有的投标。</w:t>
      </w:r>
    </w:p>
    <w:p>
      <w:pPr>
        <w:spacing w:line="480" w:lineRule="exact"/>
        <w:ind w:firstLine="480"/>
        <w:rPr>
          <w:rFonts w:ascii="宋体" w:hAnsi="宋体"/>
          <w:sz w:val="24"/>
          <w:highlight w:val="none"/>
        </w:rPr>
      </w:pPr>
      <w:r>
        <w:rPr>
          <w:rFonts w:ascii="宋体" w:hAnsi="宋体"/>
          <w:sz w:val="24"/>
          <w:highlight w:val="none"/>
        </w:rPr>
        <w:t>6.如果我们中标，为执行合同，我们将按招标文件的要求提供必要的履约保证。</w:t>
      </w:r>
    </w:p>
    <w:p>
      <w:pPr>
        <w:spacing w:line="480" w:lineRule="exact"/>
        <w:ind w:firstLine="480"/>
        <w:rPr>
          <w:rFonts w:ascii="楷体_GB2312" w:eastAsia="楷体_GB2312"/>
          <w:sz w:val="24"/>
          <w:highlight w:val="none"/>
        </w:rPr>
      </w:pPr>
    </w:p>
    <w:p>
      <w:pPr>
        <w:spacing w:line="480" w:lineRule="exact"/>
        <w:ind w:firstLine="480"/>
        <w:rPr>
          <w:rFonts w:ascii="楷体_GB2312" w:eastAsia="楷体_GB2312"/>
          <w:sz w:val="24"/>
          <w:highlight w:val="none"/>
        </w:rPr>
      </w:pPr>
    </w:p>
    <w:p>
      <w:pPr>
        <w:spacing w:line="480" w:lineRule="exact"/>
        <w:ind w:firstLine="480"/>
        <w:rPr>
          <w:rFonts w:ascii="楷体_GB2312" w:eastAsia="楷体_GB2312"/>
          <w:sz w:val="24"/>
          <w:highlight w:val="none"/>
        </w:rPr>
      </w:pPr>
      <w:r>
        <w:rPr>
          <w:rFonts w:ascii="楷体_GB2312" w:eastAsia="楷体_GB2312"/>
          <w:sz w:val="24"/>
          <w:highlight w:val="none"/>
        </w:rPr>
        <w:t xml:space="preserve">                     </w:t>
      </w:r>
    </w:p>
    <w:p>
      <w:pPr>
        <w:spacing w:line="480" w:lineRule="exact"/>
        <w:ind w:firstLine="480"/>
        <w:jc w:val="center"/>
        <w:rPr>
          <w:rFonts w:ascii="宋体" w:hAnsi="宋体"/>
          <w:sz w:val="24"/>
          <w:highlight w:val="none"/>
        </w:rPr>
      </w:pPr>
      <w:r>
        <w:rPr>
          <w:rFonts w:ascii="宋体" w:hAnsi="宋体"/>
          <w:sz w:val="24"/>
          <w:highlight w:val="none"/>
        </w:rPr>
        <w:t xml:space="preserve">  投标人名称：</w:t>
      </w:r>
    </w:p>
    <w:p>
      <w:pPr>
        <w:spacing w:line="480" w:lineRule="exact"/>
        <w:ind w:firstLine="480"/>
        <w:rPr>
          <w:rFonts w:ascii="宋体" w:hAnsi="宋体"/>
          <w:sz w:val="24"/>
          <w:highlight w:val="none"/>
        </w:rPr>
      </w:pPr>
      <w:r>
        <w:rPr>
          <w:rFonts w:ascii="宋体" w:hAnsi="宋体"/>
          <w:sz w:val="24"/>
          <w:highlight w:val="none"/>
        </w:rPr>
        <w:t xml:space="preserve">                             （盖章）</w:t>
      </w:r>
    </w:p>
    <w:p>
      <w:pPr>
        <w:spacing w:line="480" w:lineRule="exact"/>
        <w:ind w:firstLine="480"/>
        <w:rPr>
          <w:rFonts w:ascii="宋体" w:hAnsi="宋体"/>
          <w:sz w:val="24"/>
          <w:highlight w:val="none"/>
        </w:rPr>
      </w:pPr>
      <w:r>
        <w:rPr>
          <w:rFonts w:ascii="宋体" w:hAnsi="宋体"/>
          <w:sz w:val="24"/>
          <w:highlight w:val="none"/>
        </w:rPr>
        <w:t xml:space="preserve">                              地址：               邮编：</w:t>
      </w:r>
    </w:p>
    <w:p>
      <w:pPr>
        <w:spacing w:line="480" w:lineRule="exact"/>
        <w:ind w:firstLine="480"/>
        <w:rPr>
          <w:rFonts w:ascii="宋体" w:hAnsi="宋体"/>
          <w:sz w:val="24"/>
          <w:highlight w:val="none"/>
        </w:rPr>
      </w:pPr>
      <w:r>
        <w:rPr>
          <w:rFonts w:ascii="宋体" w:hAnsi="宋体"/>
          <w:sz w:val="24"/>
          <w:highlight w:val="none"/>
        </w:rPr>
        <w:t xml:space="preserve">                              电话：               传真：</w:t>
      </w:r>
    </w:p>
    <w:p>
      <w:pPr>
        <w:spacing w:line="480" w:lineRule="exact"/>
        <w:ind w:firstLine="480"/>
        <w:rPr>
          <w:rFonts w:ascii="宋体" w:hAnsi="宋体"/>
          <w:sz w:val="24"/>
          <w:highlight w:val="none"/>
        </w:rPr>
      </w:pPr>
      <w:r>
        <w:rPr>
          <w:rFonts w:ascii="宋体" w:hAnsi="宋体"/>
          <w:sz w:val="24"/>
          <w:highlight w:val="none"/>
        </w:rPr>
        <w:t xml:space="preserve">                              授权代表签字：</w:t>
      </w:r>
    </w:p>
    <w:p>
      <w:pPr>
        <w:spacing w:line="480" w:lineRule="exact"/>
        <w:ind w:firstLine="480"/>
        <w:rPr>
          <w:rFonts w:ascii="宋体" w:hAnsi="宋体"/>
          <w:sz w:val="24"/>
          <w:highlight w:val="none"/>
        </w:rPr>
      </w:pPr>
      <w:r>
        <w:rPr>
          <w:rFonts w:ascii="宋体" w:hAnsi="宋体"/>
          <w:sz w:val="24"/>
          <w:highlight w:val="none"/>
        </w:rPr>
        <w:t xml:space="preserve">                              职务：</w:t>
      </w:r>
    </w:p>
    <w:p>
      <w:pPr>
        <w:spacing w:line="480" w:lineRule="exact"/>
        <w:ind w:firstLine="480"/>
        <w:rPr>
          <w:rFonts w:ascii="宋体" w:hAnsi="宋体"/>
          <w:sz w:val="24"/>
          <w:highlight w:val="none"/>
        </w:rPr>
      </w:pPr>
      <w:r>
        <w:rPr>
          <w:rFonts w:ascii="宋体" w:hAnsi="宋体"/>
          <w:sz w:val="24"/>
          <w:highlight w:val="none"/>
        </w:rPr>
        <w:t xml:space="preserve">                              日期：</w:t>
      </w: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spacing w:after="240" w:line="360" w:lineRule="auto"/>
        <w:ind w:firstLine="643"/>
        <w:jc w:val="center"/>
        <w:rPr>
          <w:rFonts w:ascii="宋体" w:hAnsi="宋体"/>
          <w:b/>
          <w:sz w:val="32"/>
          <w:highlight w:val="none"/>
        </w:rPr>
      </w:pPr>
      <w:r>
        <w:rPr>
          <w:rFonts w:hint="eastAsia" w:ascii="宋体" w:hAnsi="宋体"/>
          <w:b/>
          <w:sz w:val="32"/>
          <w:highlight w:val="none"/>
        </w:rPr>
        <w:t>授</w:t>
      </w:r>
      <w:r>
        <w:rPr>
          <w:rFonts w:ascii="宋体" w:hAnsi="宋体"/>
          <w:b/>
          <w:sz w:val="32"/>
          <w:highlight w:val="none"/>
        </w:rPr>
        <w:t xml:space="preserve"> </w:t>
      </w:r>
      <w:r>
        <w:rPr>
          <w:rFonts w:hint="eastAsia" w:ascii="宋体" w:hAnsi="宋体"/>
          <w:b/>
          <w:sz w:val="32"/>
          <w:highlight w:val="none"/>
        </w:rPr>
        <w:t>权</w:t>
      </w:r>
      <w:r>
        <w:rPr>
          <w:rFonts w:ascii="宋体" w:hAnsi="宋体"/>
          <w:b/>
          <w:sz w:val="32"/>
          <w:highlight w:val="none"/>
        </w:rPr>
        <w:t xml:space="preserve"> </w:t>
      </w:r>
      <w:r>
        <w:rPr>
          <w:rFonts w:hint="eastAsia" w:ascii="宋体" w:hAnsi="宋体"/>
          <w:b/>
          <w:sz w:val="32"/>
          <w:highlight w:val="none"/>
        </w:rPr>
        <w:t>委</w:t>
      </w:r>
      <w:r>
        <w:rPr>
          <w:rFonts w:ascii="宋体" w:hAnsi="宋体"/>
          <w:b/>
          <w:sz w:val="32"/>
          <w:highlight w:val="none"/>
        </w:rPr>
        <w:t xml:space="preserve"> </w:t>
      </w:r>
      <w:r>
        <w:rPr>
          <w:rFonts w:hint="eastAsia" w:ascii="宋体" w:hAnsi="宋体"/>
          <w:b/>
          <w:sz w:val="32"/>
          <w:highlight w:val="none"/>
        </w:rPr>
        <w:t>托</w:t>
      </w:r>
      <w:r>
        <w:rPr>
          <w:rFonts w:ascii="宋体" w:hAnsi="宋体"/>
          <w:b/>
          <w:sz w:val="32"/>
          <w:highlight w:val="none"/>
        </w:rPr>
        <w:t xml:space="preserve"> </w:t>
      </w:r>
      <w:r>
        <w:rPr>
          <w:rFonts w:hint="eastAsia" w:ascii="宋体" w:hAnsi="宋体"/>
          <w:b/>
          <w:sz w:val="32"/>
          <w:highlight w:val="none"/>
        </w:rPr>
        <w:t>书</w:t>
      </w:r>
    </w:p>
    <w:p>
      <w:pPr>
        <w:topLinePunct/>
        <w:spacing w:line="360" w:lineRule="auto"/>
        <w:ind w:firstLine="480"/>
        <w:rPr>
          <w:sz w:val="24"/>
          <w:highlight w:val="none"/>
          <w:u w:val="single"/>
        </w:rPr>
      </w:pPr>
      <w:r>
        <w:rPr>
          <w:rFonts w:hint="eastAsia"/>
          <w:sz w:val="24"/>
          <w:highlight w:val="none"/>
        </w:rPr>
        <w:t>本人</w:t>
      </w:r>
      <w:r>
        <w:rPr>
          <w:sz w:val="24"/>
          <w:highlight w:val="none"/>
          <w:u w:val="single"/>
        </w:rPr>
        <w:t xml:space="preserve">       </w:t>
      </w:r>
      <w:r>
        <w:rPr>
          <w:rFonts w:hint="eastAsia"/>
          <w:sz w:val="24"/>
          <w:highlight w:val="none"/>
        </w:rPr>
        <w:t>（姓名）系</w:t>
      </w:r>
      <w:r>
        <w:rPr>
          <w:sz w:val="24"/>
          <w:highlight w:val="none"/>
          <w:u w:val="single"/>
        </w:rPr>
        <w:t xml:space="preserve">        </w:t>
      </w:r>
      <w:r>
        <w:rPr>
          <w:rFonts w:hint="eastAsia"/>
          <w:sz w:val="24"/>
          <w:highlight w:val="none"/>
        </w:rPr>
        <w:t>（投标人名称）的法定代表人，现委托</w:t>
      </w:r>
      <w:r>
        <w:rPr>
          <w:sz w:val="24"/>
          <w:highlight w:val="none"/>
          <w:u w:val="single"/>
        </w:rPr>
        <w:t xml:space="preserve">         </w:t>
      </w:r>
    </w:p>
    <w:p>
      <w:pPr>
        <w:topLinePunct/>
        <w:spacing w:line="360" w:lineRule="auto"/>
        <w:ind w:firstLine="480"/>
        <w:rPr>
          <w:sz w:val="24"/>
          <w:highlight w:val="none"/>
        </w:rPr>
      </w:pPr>
      <w:r>
        <w:rPr>
          <w:rFonts w:hint="eastAsia"/>
          <w:sz w:val="24"/>
          <w:highlight w:val="none"/>
        </w:rPr>
        <w:t>（姓名）为我方代理人。代理人根据授权，以我方名义签署、澄清、说明、补正、递交、撤回、修改</w:t>
      </w:r>
      <w:r>
        <w:rPr>
          <w:sz w:val="24"/>
          <w:highlight w:val="none"/>
          <w:u w:val="single"/>
        </w:rPr>
        <w:t xml:space="preserve">           </w:t>
      </w:r>
      <w:r>
        <w:rPr>
          <w:rFonts w:hint="eastAsia" w:ascii="宋体" w:hAnsi="宋体"/>
          <w:sz w:val="24"/>
          <w:highlight w:val="none"/>
        </w:rPr>
        <w:t>项目（项目名称）</w:t>
      </w:r>
      <w:r>
        <w:rPr>
          <w:rFonts w:hint="eastAsia"/>
          <w:sz w:val="24"/>
          <w:highlight w:val="none"/>
        </w:rPr>
        <w:t>投标文件、签订合同和处理有关事宜，其法律后果由我方承担。</w:t>
      </w:r>
    </w:p>
    <w:p>
      <w:pPr>
        <w:spacing w:line="360" w:lineRule="auto"/>
        <w:ind w:firstLine="480"/>
        <w:rPr>
          <w:sz w:val="24"/>
          <w:highlight w:val="none"/>
        </w:rPr>
      </w:pPr>
      <w:r>
        <w:rPr>
          <w:sz w:val="24"/>
          <w:highlight w:val="none"/>
        </w:rPr>
        <w:t xml:space="preserve">    </w:t>
      </w:r>
      <w:r>
        <w:rPr>
          <w:rFonts w:hint="eastAsia"/>
          <w:sz w:val="24"/>
          <w:highlight w:val="none"/>
        </w:rPr>
        <w:t>代理人无转委托权。</w:t>
      </w:r>
    </w:p>
    <w:p>
      <w:pPr>
        <w:spacing w:line="360" w:lineRule="auto"/>
        <w:ind w:firstLine="480"/>
        <w:rPr>
          <w:sz w:val="24"/>
          <w:highlight w:val="none"/>
        </w:rPr>
      </w:pPr>
    </w:p>
    <w:p>
      <w:pPr>
        <w:spacing w:line="440" w:lineRule="exact"/>
        <w:ind w:firstLine="480"/>
        <w:rPr>
          <w:sz w:val="24"/>
          <w:highlight w:val="none"/>
        </w:rPr>
      </w:pPr>
      <w:r>
        <w:rPr>
          <w:rFonts w:hint="eastAsia"/>
          <w:sz w:val="24"/>
          <w:highlight w:val="none"/>
        </w:rPr>
        <w:t>投标人：</w:t>
      </w:r>
      <w:r>
        <w:rPr>
          <w:sz w:val="24"/>
          <w:highlight w:val="none"/>
          <w:u w:val="single"/>
        </w:rPr>
        <w:t xml:space="preserve">                               </w:t>
      </w:r>
      <w:r>
        <w:rPr>
          <w:rFonts w:hint="eastAsia"/>
          <w:sz w:val="24"/>
          <w:highlight w:val="none"/>
        </w:rPr>
        <w:t>（盖单位章）</w:t>
      </w:r>
    </w:p>
    <w:p>
      <w:pPr>
        <w:spacing w:line="440" w:lineRule="exact"/>
        <w:ind w:firstLine="480"/>
        <w:rPr>
          <w:sz w:val="24"/>
          <w:highlight w:val="none"/>
        </w:rPr>
      </w:pPr>
    </w:p>
    <w:p>
      <w:pPr>
        <w:spacing w:line="440" w:lineRule="exact"/>
        <w:ind w:firstLine="480"/>
        <w:rPr>
          <w:sz w:val="24"/>
          <w:highlight w:val="none"/>
        </w:rPr>
      </w:pPr>
      <w:r>
        <w:rPr>
          <w:rFonts w:hint="eastAsia"/>
          <w:sz w:val="24"/>
          <w:highlight w:val="none"/>
        </w:rPr>
        <w:t>法定代表人：</w:t>
      </w:r>
      <w:r>
        <w:rPr>
          <w:sz w:val="24"/>
          <w:highlight w:val="none"/>
          <w:u w:val="single"/>
        </w:rPr>
        <w:t xml:space="preserve">                               </w:t>
      </w:r>
      <w:r>
        <w:rPr>
          <w:rFonts w:hint="eastAsia"/>
          <w:sz w:val="24"/>
          <w:highlight w:val="none"/>
        </w:rPr>
        <w:t>（签字）</w:t>
      </w:r>
    </w:p>
    <w:p>
      <w:pPr>
        <w:spacing w:line="440" w:lineRule="exact"/>
        <w:ind w:firstLine="480"/>
        <w:rPr>
          <w:sz w:val="24"/>
          <w:highlight w:val="none"/>
        </w:rPr>
      </w:pPr>
    </w:p>
    <w:p>
      <w:pPr>
        <w:spacing w:line="440" w:lineRule="exact"/>
        <w:ind w:firstLine="480"/>
        <w:rPr>
          <w:sz w:val="24"/>
          <w:highlight w:val="none"/>
        </w:rPr>
      </w:pPr>
      <w:r>
        <w:rPr>
          <w:rFonts w:hint="eastAsia"/>
          <w:sz w:val="24"/>
          <w:highlight w:val="none"/>
        </w:rPr>
        <w:t>身份证号码：</w:t>
      </w:r>
      <w:r>
        <w:rPr>
          <w:sz w:val="24"/>
          <w:highlight w:val="none"/>
          <w:u w:val="single"/>
        </w:rPr>
        <w:t xml:space="preserve">                                     </w:t>
      </w:r>
    </w:p>
    <w:p>
      <w:pPr>
        <w:spacing w:line="440" w:lineRule="exact"/>
        <w:ind w:firstLine="480"/>
        <w:rPr>
          <w:sz w:val="24"/>
          <w:highlight w:val="none"/>
        </w:rPr>
      </w:pPr>
    </w:p>
    <w:p>
      <w:pPr>
        <w:spacing w:line="440" w:lineRule="exact"/>
        <w:ind w:firstLine="480"/>
        <w:rPr>
          <w:sz w:val="24"/>
          <w:highlight w:val="none"/>
        </w:rPr>
      </w:pPr>
      <w:r>
        <w:rPr>
          <w:rFonts w:hint="eastAsia"/>
          <w:sz w:val="24"/>
          <w:highlight w:val="none"/>
        </w:rPr>
        <w:t>委托代理人：</w:t>
      </w:r>
      <w:r>
        <w:rPr>
          <w:sz w:val="24"/>
          <w:highlight w:val="none"/>
          <w:u w:val="single"/>
        </w:rPr>
        <w:t xml:space="preserve">                                   </w:t>
      </w:r>
      <w:r>
        <w:rPr>
          <w:rFonts w:hint="eastAsia"/>
          <w:sz w:val="24"/>
          <w:highlight w:val="none"/>
        </w:rPr>
        <w:t>（签字）</w:t>
      </w:r>
      <w:r>
        <w:rPr>
          <w:sz w:val="24"/>
          <w:highlight w:val="none"/>
        </w:rPr>
        <w:t xml:space="preserve"> </w:t>
      </w:r>
    </w:p>
    <w:p>
      <w:pPr>
        <w:spacing w:line="440" w:lineRule="exact"/>
        <w:ind w:firstLine="480"/>
        <w:rPr>
          <w:sz w:val="24"/>
          <w:highlight w:val="none"/>
        </w:rPr>
      </w:pPr>
    </w:p>
    <w:p>
      <w:pPr>
        <w:spacing w:line="440" w:lineRule="exact"/>
        <w:ind w:firstLine="480"/>
        <w:rPr>
          <w:sz w:val="24"/>
          <w:highlight w:val="none"/>
        </w:rPr>
      </w:pPr>
      <w:r>
        <w:rPr>
          <w:rFonts w:hint="eastAsia"/>
          <w:sz w:val="24"/>
          <w:highlight w:val="none"/>
        </w:rPr>
        <w:t>身份证号码：</w:t>
      </w:r>
      <w:r>
        <w:rPr>
          <w:sz w:val="24"/>
          <w:highlight w:val="none"/>
          <w:u w:val="single"/>
        </w:rPr>
        <w:t xml:space="preserve">                            </w:t>
      </w:r>
      <w:r>
        <w:rPr>
          <w:rFonts w:hint="eastAsia"/>
          <w:sz w:val="24"/>
          <w:highlight w:val="none"/>
        </w:rPr>
        <w:t>附身份证复印件</w:t>
      </w:r>
    </w:p>
    <w:p>
      <w:pPr>
        <w:spacing w:line="440" w:lineRule="exact"/>
        <w:ind w:firstLine="480"/>
        <w:rPr>
          <w:sz w:val="24"/>
          <w:highlight w:val="none"/>
        </w:rPr>
      </w:pPr>
    </w:p>
    <w:p>
      <w:pPr>
        <w:spacing w:line="440" w:lineRule="exact"/>
        <w:ind w:firstLine="480"/>
        <w:rPr>
          <w:sz w:val="24"/>
          <w:highlight w:val="none"/>
        </w:rPr>
      </w:pPr>
    </w:p>
    <w:p>
      <w:pPr>
        <w:spacing w:line="560" w:lineRule="exact"/>
        <w:ind w:firstLine="480"/>
        <w:rPr>
          <w:rFonts w:ascii="楷体_GB2312" w:eastAsia="楷体_GB2312"/>
          <w:sz w:val="24"/>
          <w:highlight w:val="none"/>
        </w:rPr>
      </w:pPr>
      <w:r>
        <w:rPr>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sz w:val="24"/>
          <w:highlight w:val="none"/>
          <w:u w:val="single"/>
        </w:rPr>
        <w:t xml:space="preserve">       </w:t>
      </w:r>
      <w:r>
        <w:rPr>
          <w:rFonts w:hint="eastAsia"/>
          <w:sz w:val="24"/>
          <w:highlight w:val="none"/>
        </w:rPr>
        <w:t>日</w:t>
      </w:r>
    </w:p>
    <w:p>
      <w:pPr>
        <w:spacing w:line="560" w:lineRule="exact"/>
        <w:ind w:firstLine="480"/>
        <w:rPr>
          <w:rFonts w:ascii="楷体_GB2312" w:eastAsia="楷体_GB2312"/>
          <w:sz w:val="24"/>
          <w:highlight w:val="none"/>
        </w:rPr>
      </w:pPr>
    </w:p>
    <w:p>
      <w:pPr>
        <w:spacing w:line="560" w:lineRule="exact"/>
        <w:ind w:firstLine="480"/>
        <w:rPr>
          <w:rFonts w:ascii="楷体_GB2312" w:eastAsia="楷体_GB2312"/>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rPr>
          <w:rFonts w:ascii="宋体" w:hAnsi="宋体"/>
          <w:sz w:val="24"/>
          <w:highlight w:val="none"/>
        </w:rPr>
      </w:pPr>
    </w:p>
    <w:p>
      <w:pPr>
        <w:pStyle w:val="39"/>
        <w:ind w:firstLine="880"/>
        <w:jc w:val="center"/>
        <w:rPr>
          <w:rFonts w:ascii="宋体" w:hAnsi="宋体"/>
          <w:sz w:val="24"/>
          <w:highlight w:val="none"/>
        </w:rPr>
      </w:pPr>
      <w:r>
        <w:rPr>
          <w:rFonts w:hint="eastAsia" w:ascii="楷体_GB2312" w:eastAsia="楷体_GB2312"/>
          <w:b/>
          <w:sz w:val="44"/>
          <w:highlight w:val="none"/>
        </w:rPr>
        <w:t>二、报价表</w:t>
      </w:r>
    </w:p>
    <w:p>
      <w:pPr>
        <w:pStyle w:val="39"/>
        <w:rPr>
          <w:rFonts w:ascii="宋体" w:hAnsi="宋体"/>
          <w:sz w:val="24"/>
          <w:highlight w:val="none"/>
        </w:rPr>
      </w:pPr>
    </w:p>
    <w:p>
      <w:pPr>
        <w:pStyle w:val="17"/>
        <w:spacing w:line="360" w:lineRule="auto"/>
        <w:ind w:firstLine="315" w:firstLineChars="150"/>
        <w:rPr>
          <w:rFonts w:ascii="宋体" w:hAnsi="宋体" w:cs="宋体"/>
          <w:szCs w:val="21"/>
          <w:highlight w:val="none"/>
        </w:rPr>
      </w:pPr>
      <w:r>
        <w:rPr>
          <w:rFonts w:hint="eastAsia" w:ascii="宋体" w:hAnsi="宋体" w:cs="宋体"/>
          <w:szCs w:val="21"/>
          <w:highlight w:val="none"/>
        </w:rPr>
        <w:t>项目名称：</w:t>
      </w:r>
      <w:r>
        <w:rPr>
          <w:rFonts w:ascii="宋体" w:hAnsi="宋体" w:cs="宋体"/>
          <w:szCs w:val="21"/>
          <w:highlight w:val="none"/>
        </w:rPr>
        <w:t xml:space="preserve"> </w:t>
      </w: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项目编号：</w:t>
      </w:r>
      <w:r>
        <w:rPr>
          <w:rFonts w:ascii="宋体" w:hAnsi="宋体" w:cs="宋体"/>
          <w:szCs w:val="21"/>
          <w:highlight w:val="none"/>
        </w:rPr>
        <w:t xml:space="preserve">                                                      </w:t>
      </w:r>
    </w:p>
    <w:tbl>
      <w:tblPr>
        <w:tblStyle w:val="3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338"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jc w:val="center"/>
              <w:rPr>
                <w:rFonts w:ascii="宋体" w:hAnsi="宋体" w:cs="宋体"/>
                <w:kern w:val="2"/>
                <w:sz w:val="21"/>
                <w:szCs w:val="21"/>
                <w:highlight w:val="none"/>
              </w:rPr>
            </w:pPr>
            <w:r>
              <w:rPr>
                <w:rFonts w:hint="eastAsia" w:ascii="宋体" w:hAnsi="宋体" w:cs="宋体"/>
                <w:kern w:val="2"/>
                <w:sz w:val="21"/>
                <w:szCs w:val="21"/>
                <w:highlight w:val="none"/>
              </w:rPr>
              <w:t>项目名称</w:t>
            </w:r>
          </w:p>
        </w:tc>
        <w:tc>
          <w:tcPr>
            <w:tcW w:w="60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szCs w:val="21"/>
                <w:highlight w:val="none"/>
              </w:rPr>
            </w:pPr>
            <w:r>
              <w:rPr>
                <w:rFonts w:hint="eastAsia" w:ascii="宋体" w:hAnsi="宋体" w:cs="宋体"/>
                <w:szCs w:val="21"/>
                <w:highlight w:val="none"/>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2338"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rPr>
                <w:rFonts w:ascii="宋体" w:hAnsi="宋体" w:cs="宋体"/>
                <w:kern w:val="2"/>
                <w:sz w:val="21"/>
                <w:szCs w:val="21"/>
                <w:highlight w:val="none"/>
              </w:rPr>
            </w:pPr>
          </w:p>
        </w:tc>
        <w:tc>
          <w:tcPr>
            <w:tcW w:w="6037"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大写：</w:t>
            </w:r>
          </w:p>
          <w:p>
            <w:pPr>
              <w:pStyle w:val="85"/>
              <w:spacing w:before="0" w:after="0" w:line="500" w:lineRule="exact"/>
              <w:ind w:firstLine="420"/>
              <w:rPr>
                <w:rFonts w:ascii="宋体" w:hAnsi="宋体" w:cs="宋体"/>
                <w:kern w:val="2"/>
                <w:sz w:val="21"/>
                <w:szCs w:val="21"/>
                <w:highlight w:val="none"/>
              </w:rPr>
            </w:pPr>
            <w:r>
              <w:rPr>
                <w:rFonts w:hint="eastAsia" w:ascii="宋体" w:hAnsi="宋体" w:cs="宋体"/>
                <w:sz w:val="21"/>
                <w:szCs w:val="21"/>
                <w:highlight w:val="none"/>
              </w:rPr>
              <w:t>小写：</w:t>
            </w:r>
            <w:r>
              <w:rPr>
                <w:rFonts w:ascii="宋体" w:hAnsi="宋体" w:cs="宋体"/>
                <w:sz w:val="21"/>
                <w:szCs w:val="21"/>
                <w:highlight w:val="none"/>
              </w:rPr>
              <w:t xml:space="preserve">                             </w:t>
            </w:r>
            <w:r>
              <w:rPr>
                <w:rFonts w:hint="eastAsia" w:ascii="宋体" w:hAnsi="宋体" w:cs="宋体"/>
                <w:sz w:val="21"/>
                <w:szCs w:val="21"/>
                <w:highlight w:val="none"/>
              </w:rPr>
              <w:t>（人民币）</w:t>
            </w:r>
          </w:p>
        </w:tc>
      </w:tr>
    </w:tbl>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法定代表人或者授权代表（签字或盖章）：</w:t>
      </w:r>
      <w:r>
        <w:rPr>
          <w:rFonts w:ascii="宋体" w:hAnsi="宋体" w:cs="宋体"/>
          <w:szCs w:val="21"/>
          <w:highlight w:val="none"/>
        </w:rPr>
        <w:t xml:space="preserve">                    </w:t>
      </w:r>
    </w:p>
    <w:p>
      <w:pPr>
        <w:spacing w:line="360" w:lineRule="auto"/>
        <w:rPr>
          <w:rFonts w:ascii="宋体" w:hAnsi="宋体" w:cs="宋体"/>
          <w:szCs w:val="21"/>
          <w:highlight w:val="none"/>
          <w:u w:val="single"/>
        </w:rPr>
      </w:pPr>
      <w:r>
        <w:rPr>
          <w:rFonts w:hint="eastAsia" w:ascii="宋体" w:hAnsi="宋体" w:cs="宋体"/>
          <w:szCs w:val="21"/>
          <w:highlight w:val="none"/>
        </w:rPr>
        <w:t>投标人全称（盖章）：</w:t>
      </w:r>
      <w:r>
        <w:rPr>
          <w:rFonts w:ascii="宋体" w:hAnsi="宋体" w:cs="宋体"/>
          <w:szCs w:val="21"/>
          <w:highlight w:val="none"/>
          <w:u w:val="single"/>
        </w:rPr>
        <w:t xml:space="preserve">                         </w:t>
      </w:r>
    </w:p>
    <w:p>
      <w:pPr>
        <w:spacing w:line="360" w:lineRule="auto"/>
        <w:rPr>
          <w:rFonts w:ascii="宋体" w:hAnsi="宋体" w:cs="宋体"/>
          <w:szCs w:val="21"/>
          <w:highlight w:val="none"/>
        </w:rPr>
      </w:pPr>
      <w:r>
        <w:rPr>
          <w:rFonts w:ascii="宋体" w:hAnsi="宋体" w:cs="宋体"/>
          <w:szCs w:val="21"/>
          <w:highlight w:val="none"/>
        </w:rPr>
        <w:t xml:space="preserve">                                               日期：    年   月    日</w:t>
      </w:r>
    </w:p>
    <w:p>
      <w:pPr>
        <w:spacing w:line="360" w:lineRule="auto"/>
        <w:ind w:firstLine="422"/>
        <w:jc w:val="left"/>
        <w:rPr>
          <w:rFonts w:ascii="宋体" w:hAnsi="宋体"/>
          <w:b/>
          <w:szCs w:val="21"/>
          <w:highlight w:val="none"/>
        </w:rPr>
      </w:pPr>
    </w:p>
    <w:p>
      <w:pPr>
        <w:spacing w:line="360" w:lineRule="auto"/>
        <w:ind w:firstLine="422"/>
        <w:jc w:val="left"/>
        <w:rPr>
          <w:rFonts w:ascii="宋体" w:hAnsi="宋体"/>
          <w:b/>
          <w:i/>
          <w:szCs w:val="21"/>
          <w:highlight w:val="none"/>
        </w:rPr>
      </w:pPr>
      <w:r>
        <w:rPr>
          <w:rFonts w:hint="eastAsia" w:ascii="宋体" w:hAnsi="宋体"/>
          <w:b/>
          <w:szCs w:val="21"/>
          <w:highlight w:val="none"/>
        </w:rPr>
        <w:t>备注：</w:t>
      </w:r>
      <w:r>
        <w:rPr>
          <w:rFonts w:ascii="宋体" w:hAnsi="宋体"/>
          <w:i/>
          <w:szCs w:val="21"/>
          <w:highlight w:val="none"/>
        </w:rPr>
        <w:t>1、</w:t>
      </w:r>
      <w:r>
        <w:rPr>
          <w:rFonts w:hint="eastAsia" w:ascii="宋体" w:hAnsi="宋体"/>
          <w:b/>
          <w:bCs/>
          <w:i/>
          <w:iCs/>
          <w:szCs w:val="21"/>
          <w:highlight w:val="none"/>
          <w:u w:val="single"/>
        </w:rPr>
        <w:t>报价表必须加盖投标人公章（复印件无效）</w:t>
      </w:r>
      <w:r>
        <w:rPr>
          <w:rFonts w:hint="eastAsia" w:ascii="宋体" w:hAnsi="宋体"/>
          <w:b/>
          <w:i/>
          <w:szCs w:val="21"/>
          <w:highlight w:val="none"/>
        </w:rPr>
        <w:t>。</w:t>
      </w:r>
    </w:p>
    <w:p>
      <w:pPr>
        <w:spacing w:line="360" w:lineRule="auto"/>
        <w:ind w:firstLine="1054" w:firstLineChars="500"/>
        <w:jc w:val="left"/>
        <w:rPr>
          <w:rFonts w:ascii="宋体" w:hAnsi="宋体"/>
          <w:b/>
          <w:bCs/>
          <w:i/>
          <w:iCs/>
          <w:szCs w:val="21"/>
          <w:highlight w:val="none"/>
          <w:u w:val="single"/>
        </w:rPr>
      </w:pPr>
      <w:r>
        <w:rPr>
          <w:rFonts w:ascii="宋体" w:hAnsi="宋体"/>
          <w:b/>
          <w:bCs/>
          <w:i/>
          <w:iCs/>
          <w:szCs w:val="21"/>
          <w:highlight w:val="none"/>
          <w:u w:val="single"/>
        </w:rPr>
        <w:t xml:space="preserve">2、不得填报选择性报价方案； </w:t>
      </w:r>
    </w:p>
    <w:p>
      <w:pPr>
        <w:spacing w:line="360" w:lineRule="auto"/>
        <w:ind w:firstLine="1054" w:firstLineChars="500"/>
        <w:jc w:val="left"/>
        <w:rPr>
          <w:rFonts w:ascii="宋体" w:hAnsi="宋体"/>
          <w:b/>
          <w:bCs/>
          <w:i/>
          <w:iCs/>
          <w:szCs w:val="21"/>
          <w:highlight w:val="none"/>
          <w:u w:val="single"/>
        </w:rPr>
      </w:pPr>
      <w:r>
        <w:rPr>
          <w:rFonts w:ascii="宋体" w:hAnsi="宋体"/>
          <w:b/>
          <w:bCs/>
          <w:i/>
          <w:iCs/>
          <w:szCs w:val="21"/>
          <w:highlight w:val="none"/>
          <w:u w:val="single"/>
        </w:rPr>
        <w:t>3、如因投标人填写有误，导致无法唱标，责任由投标人自负。</w:t>
      </w:r>
    </w:p>
    <w:p>
      <w:pPr>
        <w:pStyle w:val="39"/>
        <w:ind w:firstLine="420"/>
        <w:rPr>
          <w:highlight w:val="none"/>
        </w:rPr>
      </w:pPr>
    </w:p>
    <w:p>
      <w:pPr>
        <w:spacing w:line="360" w:lineRule="auto"/>
        <w:ind w:firstLine="422"/>
        <w:rPr>
          <w:rFonts w:ascii="宋体" w:hAnsi="宋体"/>
          <w:b/>
          <w:szCs w:val="21"/>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rPr>
          <w:rFonts w:ascii="宋体" w:hAnsi="宋体"/>
          <w:sz w:val="24"/>
          <w:highlight w:val="none"/>
        </w:rPr>
      </w:pPr>
    </w:p>
    <w:p>
      <w:pPr>
        <w:pStyle w:val="39"/>
        <w:ind w:firstLine="0" w:firstLineChars="0"/>
        <w:jc w:val="center"/>
        <w:rPr>
          <w:rFonts w:ascii="宋体" w:hAnsi="宋体"/>
          <w:sz w:val="40"/>
          <w:szCs w:val="36"/>
          <w:highlight w:val="none"/>
        </w:rPr>
      </w:pPr>
      <w:r>
        <w:rPr>
          <w:rFonts w:ascii="宋体" w:hAnsi="宋体" w:cs="宋体"/>
          <w:kern w:val="0"/>
          <w:sz w:val="32"/>
          <w:szCs w:val="32"/>
          <w:highlight w:val="none"/>
        </w:rPr>
        <w:t>1、西湖增压站配电房改造工程</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1）投标报价汇总表</w:t>
      </w:r>
    </w:p>
    <w:tbl>
      <w:tblPr>
        <w:tblStyle w:val="33"/>
        <w:tblW w:w="8639" w:type="dxa"/>
        <w:jc w:val="center"/>
        <w:tblLayout w:type="fixed"/>
        <w:tblCellMar>
          <w:top w:w="0" w:type="dxa"/>
          <w:left w:w="30" w:type="dxa"/>
          <w:bottom w:w="0" w:type="dxa"/>
          <w:right w:w="30" w:type="dxa"/>
        </w:tblCellMar>
      </w:tblPr>
      <w:tblGrid>
        <w:gridCol w:w="985"/>
        <w:gridCol w:w="1107"/>
        <w:gridCol w:w="1107"/>
        <w:gridCol w:w="2798"/>
        <w:gridCol w:w="2642"/>
      </w:tblGrid>
      <w:tr>
        <w:tblPrEx>
          <w:tblCellMar>
            <w:top w:w="0" w:type="dxa"/>
            <w:left w:w="30" w:type="dxa"/>
            <w:bottom w:w="0" w:type="dxa"/>
            <w:right w:w="30" w:type="dxa"/>
          </w:tblCellMar>
        </w:tblPrEx>
        <w:trPr>
          <w:trHeight w:val="41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序号</w:t>
            </w:r>
          </w:p>
        </w:tc>
        <w:tc>
          <w:tcPr>
            <w:tcW w:w="2214"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内容</w:t>
            </w:r>
          </w:p>
        </w:tc>
        <w:tc>
          <w:tcPr>
            <w:tcW w:w="279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价格（元）</w:t>
            </w:r>
          </w:p>
        </w:tc>
        <w:tc>
          <w:tcPr>
            <w:tcW w:w="26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备注</w:t>
            </w:r>
          </w:p>
        </w:tc>
      </w:tr>
      <w:tr>
        <w:tblPrEx>
          <w:tblCellMar>
            <w:top w:w="0" w:type="dxa"/>
            <w:left w:w="30" w:type="dxa"/>
            <w:bottom w:w="0" w:type="dxa"/>
            <w:right w:w="30" w:type="dxa"/>
          </w:tblCellMar>
        </w:tblPrEx>
        <w:trPr>
          <w:trHeight w:val="41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ascii="宋体" w:hAnsi="宋体" w:cs="宋体"/>
                <w:kern w:val="0"/>
                <w:highlight w:val="none"/>
              </w:rPr>
              <w:t>1</w:t>
            </w:r>
          </w:p>
        </w:tc>
        <w:tc>
          <w:tcPr>
            <w:tcW w:w="2214"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设备分项报价表</w:t>
            </w:r>
          </w:p>
        </w:tc>
        <w:tc>
          <w:tcPr>
            <w:tcW w:w="2798"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w:t>
            </w:r>
          </w:p>
        </w:tc>
        <w:tc>
          <w:tcPr>
            <w:tcW w:w="2214"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安装费报价表</w:t>
            </w:r>
          </w:p>
        </w:tc>
        <w:tc>
          <w:tcPr>
            <w:tcW w:w="2798"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宋体" w:hAnsi="宋体" w:eastAsia="宋体" w:cs="宋体"/>
                <w:kern w:val="0"/>
                <w:highlight w:val="none"/>
                <w:lang w:eastAsia="zh-CN"/>
              </w:rPr>
            </w:pPr>
            <w:r>
              <w:rPr>
                <w:rFonts w:hint="eastAsia" w:ascii="宋体" w:hAnsi="宋体" w:cs="宋体"/>
                <w:kern w:val="0"/>
                <w:highlight w:val="none"/>
                <w:lang w:val="en-US" w:eastAsia="zh-CN"/>
              </w:rPr>
              <w:t>3</w:t>
            </w:r>
          </w:p>
        </w:tc>
        <w:tc>
          <w:tcPr>
            <w:tcW w:w="2214"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其它分项报价表</w:t>
            </w:r>
          </w:p>
        </w:tc>
        <w:tc>
          <w:tcPr>
            <w:tcW w:w="2798"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91" w:hRule="atLeast"/>
          <w:jc w:val="center"/>
        </w:trPr>
        <w:tc>
          <w:tcPr>
            <w:tcW w:w="985" w:type="dxa"/>
            <w:vMerge w:val="restart"/>
            <w:tcBorders>
              <w:top w:val="single" w:color="auto" w:sz="6" w:space="0"/>
              <w:left w:val="single" w:color="auto" w:sz="6" w:space="0"/>
              <w:right w:val="single" w:color="auto" w:sz="6" w:space="0"/>
            </w:tcBorders>
            <w:vAlign w:val="center"/>
          </w:tcPr>
          <w:p>
            <w:pPr>
              <w:snapToGrid w:val="0"/>
              <w:spacing w:line="360" w:lineRule="auto"/>
              <w:rPr>
                <w:rFonts w:hint="eastAsia" w:ascii="宋体" w:hAnsi="宋体" w:eastAsia="宋体" w:cs="宋体"/>
                <w:kern w:val="0"/>
                <w:highlight w:val="none"/>
                <w:lang w:eastAsia="zh-CN"/>
              </w:rPr>
            </w:pPr>
            <w:r>
              <w:rPr>
                <w:rFonts w:hint="eastAsia" w:ascii="宋体" w:hAnsi="宋体" w:cs="宋体"/>
                <w:kern w:val="0"/>
                <w:highlight w:val="none"/>
                <w:lang w:val="en-US" w:eastAsia="zh-CN"/>
              </w:rPr>
              <w:t>4</w:t>
            </w:r>
          </w:p>
        </w:tc>
        <w:tc>
          <w:tcPr>
            <w:tcW w:w="1107" w:type="dxa"/>
            <w:vMerge w:val="restart"/>
            <w:tcBorders>
              <w:top w:val="single" w:color="auto" w:sz="6" w:space="0"/>
              <w:left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其它</w:t>
            </w:r>
          </w:p>
        </w:tc>
        <w:tc>
          <w:tcPr>
            <w:tcW w:w="1107" w:type="dxa"/>
            <w:tcBorders>
              <w:top w:val="single" w:color="auto" w:sz="6" w:space="0"/>
              <w:left w:val="single" w:color="auto" w:sz="6"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90" w:hRule="atLeast"/>
          <w:jc w:val="center"/>
        </w:trPr>
        <w:tc>
          <w:tcPr>
            <w:tcW w:w="985" w:type="dxa"/>
            <w:vMerge w:val="continue"/>
            <w:tcBorders>
              <w:left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vMerge w:val="continue"/>
            <w:tcBorders>
              <w:left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tcBorders>
              <w:top w:val="single" w:color="auto" w:sz="6" w:space="0"/>
              <w:left w:val="single" w:color="auto" w:sz="6"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985" w:type="dxa"/>
            <w:vMerge w:val="restart"/>
            <w:tcBorders>
              <w:top w:val="single" w:color="auto" w:sz="6" w:space="0"/>
              <w:left w:val="single" w:color="auto" w:sz="6" w:space="0"/>
              <w:right w:val="single" w:color="auto" w:sz="6" w:space="0"/>
            </w:tcBorders>
            <w:vAlign w:val="center"/>
          </w:tcPr>
          <w:p>
            <w:pPr>
              <w:snapToGrid w:val="0"/>
              <w:spacing w:line="360" w:lineRule="auto"/>
              <w:rPr>
                <w:rFonts w:hint="eastAsia" w:ascii="宋体" w:hAnsi="宋体" w:eastAsia="宋体" w:cs="宋体"/>
                <w:kern w:val="0"/>
                <w:highlight w:val="none"/>
                <w:lang w:eastAsia="zh-CN"/>
              </w:rPr>
            </w:pPr>
            <w:r>
              <w:rPr>
                <w:rFonts w:hint="eastAsia" w:ascii="宋体" w:hAnsi="宋体" w:cs="宋体"/>
                <w:kern w:val="0"/>
                <w:highlight w:val="none"/>
                <w:lang w:val="en-US" w:eastAsia="zh-CN"/>
              </w:rPr>
              <w:t>5</w:t>
            </w:r>
          </w:p>
        </w:tc>
        <w:tc>
          <w:tcPr>
            <w:tcW w:w="1107" w:type="dxa"/>
            <w:vMerge w:val="restart"/>
            <w:tcBorders>
              <w:top w:val="single" w:color="auto" w:sz="6" w:space="0"/>
              <w:left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税费</w:t>
            </w:r>
          </w:p>
        </w:tc>
        <w:tc>
          <w:tcPr>
            <w:tcW w:w="1107"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985" w:type="dxa"/>
            <w:vMerge w:val="continue"/>
            <w:tcBorders>
              <w:top w:val="single" w:color="auto" w:sz="6" w:space="0"/>
              <w:left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vMerge w:val="continue"/>
            <w:tcBorders>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319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合计报价（万元）</w:t>
            </w:r>
          </w:p>
          <w:p>
            <w:pPr>
              <w:snapToGrid w:val="0"/>
              <w:spacing w:line="360" w:lineRule="auto"/>
              <w:ind w:left="0" w:leftChars="0" w:firstLine="0" w:firstLineChars="0"/>
              <w:rPr>
                <w:rFonts w:ascii="宋体" w:hAnsi="宋体" w:cs="宋体"/>
                <w:kern w:val="0"/>
                <w:highlight w:val="none"/>
              </w:rPr>
            </w:pPr>
            <w:r>
              <w:rPr>
                <w:rFonts w:hint="eastAsia" w:ascii="宋体" w:hAnsi="宋体" w:cs="宋体"/>
                <w:kern w:val="0"/>
                <w:highlight w:val="none"/>
              </w:rPr>
              <w:t>（为本表序号</w:t>
            </w:r>
            <w:r>
              <w:rPr>
                <w:rFonts w:ascii="宋体" w:hAnsi="宋体" w:cs="宋体"/>
                <w:kern w:val="0"/>
                <w:highlight w:val="none"/>
              </w:rPr>
              <w:t>1+2+3+4</w:t>
            </w:r>
            <w:r>
              <w:rPr>
                <w:rFonts w:hint="eastAsia" w:ascii="宋体" w:hAnsi="宋体" w:cs="宋体"/>
                <w:kern w:val="0"/>
                <w:highlight w:val="none"/>
                <w:lang w:val="en-US" w:eastAsia="zh-CN"/>
              </w:rPr>
              <w:t>+5</w:t>
            </w:r>
            <w:r>
              <w:rPr>
                <w:rFonts w:ascii="宋体" w:hAnsi="宋体" w:cs="宋体"/>
                <w:kern w:val="0"/>
                <w:highlight w:val="none"/>
              </w:rPr>
              <w:t>之和）</w:t>
            </w:r>
          </w:p>
        </w:tc>
        <w:tc>
          <w:tcPr>
            <w:tcW w:w="279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r>
    </w:tbl>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hint="eastAsia" w:ascii="宋体" w:hAnsi="宋体" w:cs="宋体"/>
          <w:kern w:val="0"/>
          <w:highlight w:val="none"/>
        </w:rPr>
        <w:t>交付地点：</w:t>
      </w:r>
    </w:p>
    <w:p>
      <w:pPr>
        <w:snapToGrid w:val="0"/>
        <w:spacing w:line="360" w:lineRule="auto"/>
        <w:rPr>
          <w:rFonts w:ascii="宋体" w:hAnsi="宋体" w:cs="宋体"/>
          <w:kern w:val="0"/>
          <w:highlight w:val="none"/>
        </w:rPr>
      </w:pPr>
      <w:r>
        <w:rPr>
          <w:rFonts w:hint="eastAsia" w:ascii="宋体" w:hAnsi="宋体" w:cs="宋体"/>
          <w:kern w:val="0"/>
          <w:highlight w:val="none"/>
        </w:rPr>
        <w:t>交付期：</w:t>
      </w: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2）设备分项报价表</w:t>
      </w:r>
    </w:p>
    <w:p>
      <w:pPr>
        <w:snapToGrid w:val="0"/>
        <w:spacing w:line="360" w:lineRule="auto"/>
        <w:rPr>
          <w:rFonts w:ascii="宋体" w:hAnsi="宋体" w:cs="宋体"/>
          <w:kern w:val="0"/>
          <w:highlight w:val="none"/>
        </w:rPr>
      </w:pPr>
      <w:r>
        <w:rPr>
          <w:rFonts w:hint="eastAsia" w:ascii="宋体" w:hAnsi="宋体" w:cs="宋体"/>
          <w:kern w:val="0"/>
          <w:highlight w:val="none"/>
        </w:rPr>
        <w:t>单位：人民币元</w:t>
      </w:r>
    </w:p>
    <w:tbl>
      <w:tblPr>
        <w:tblStyle w:val="33"/>
        <w:tblW w:w="9811" w:type="dxa"/>
        <w:jc w:val="center"/>
        <w:tblLayout w:type="fixed"/>
        <w:tblCellMar>
          <w:top w:w="0" w:type="dxa"/>
          <w:left w:w="108" w:type="dxa"/>
          <w:bottom w:w="0" w:type="dxa"/>
          <w:right w:w="108" w:type="dxa"/>
        </w:tblCellMar>
      </w:tblPr>
      <w:tblGrid>
        <w:gridCol w:w="658"/>
        <w:gridCol w:w="1450"/>
        <w:gridCol w:w="924"/>
        <w:gridCol w:w="924"/>
        <w:gridCol w:w="853"/>
        <w:gridCol w:w="1253"/>
        <w:gridCol w:w="1319"/>
        <w:gridCol w:w="1579"/>
        <w:gridCol w:w="851"/>
      </w:tblGrid>
      <w:tr>
        <w:tblPrEx>
          <w:tblCellMar>
            <w:top w:w="0" w:type="dxa"/>
            <w:left w:w="108" w:type="dxa"/>
            <w:bottom w:w="0" w:type="dxa"/>
            <w:right w:w="108" w:type="dxa"/>
          </w:tblCellMar>
        </w:tblPrEx>
        <w:trPr>
          <w:trHeight w:val="457"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序号</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设备分项名称</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规格</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单位</w:t>
            </w: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数量</w:t>
            </w: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品牌及产地</w:t>
            </w: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单价（元）</w:t>
            </w: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金额（元）</w:t>
            </w: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备注</w:t>
            </w:r>
          </w:p>
        </w:tc>
      </w:tr>
      <w:tr>
        <w:tblPrEx>
          <w:tblCellMar>
            <w:top w:w="0" w:type="dxa"/>
            <w:left w:w="108" w:type="dxa"/>
            <w:bottom w:w="0" w:type="dxa"/>
            <w:right w:w="108" w:type="dxa"/>
          </w:tblCellMar>
        </w:tblPrEx>
        <w:trPr>
          <w:trHeight w:val="410"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1</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2</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3</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4</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5</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bl>
    <w:p>
      <w:pPr>
        <w:snapToGrid w:val="0"/>
        <w:spacing w:line="360" w:lineRule="auto"/>
        <w:rPr>
          <w:rFonts w:ascii="宋体" w:hAnsi="宋体" w:cs="宋体"/>
          <w:kern w:val="0"/>
          <w:highlight w:val="none"/>
        </w:rPr>
      </w:pPr>
      <w:r>
        <w:rPr>
          <w:rFonts w:hint="eastAsia" w:ascii="宋体" w:hAnsi="宋体" w:cs="宋体"/>
          <w:kern w:val="0"/>
          <w:highlight w:val="none"/>
        </w:rPr>
        <w:t>设备分项报价合计（元）：</w:t>
      </w:r>
    </w:p>
    <w:p>
      <w:pPr>
        <w:snapToGrid w:val="0"/>
        <w:spacing w:line="360" w:lineRule="auto"/>
        <w:rPr>
          <w:rFonts w:ascii="宋体" w:hAnsi="宋体" w:cs="宋体"/>
          <w:kern w:val="0"/>
          <w:highlight w:val="none"/>
        </w:rPr>
      </w:pPr>
      <w:r>
        <w:rPr>
          <w:rFonts w:hint="eastAsia" w:ascii="宋体" w:hAnsi="宋体" w:cs="宋体"/>
          <w:kern w:val="0"/>
          <w:highlight w:val="none"/>
        </w:rPr>
        <w:t>数量合计：</w:t>
      </w: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ascii="宋体" w:hAnsi="宋体" w:cs="宋体"/>
          <w:kern w:val="0"/>
          <w:highlight w:val="none"/>
        </w:rPr>
        <w:br w:type="page"/>
      </w:r>
      <w:r>
        <w:rPr>
          <w:rFonts w:hint="eastAsia" w:ascii="宋体" w:hAnsi="宋体" w:cs="宋体"/>
          <w:kern w:val="0"/>
          <w:highlight w:val="none"/>
        </w:rPr>
        <w:t>（</w:t>
      </w:r>
      <w:r>
        <w:rPr>
          <w:rFonts w:ascii="宋体" w:hAnsi="宋体" w:cs="宋体"/>
          <w:kern w:val="0"/>
          <w:highlight w:val="none"/>
        </w:rPr>
        <w:t>3）其它分项报价表</w:t>
      </w:r>
    </w:p>
    <w:p>
      <w:pPr>
        <w:snapToGrid w:val="0"/>
        <w:spacing w:line="360" w:lineRule="auto"/>
        <w:rPr>
          <w:rFonts w:ascii="宋体" w:hAnsi="宋体" w:cs="宋体"/>
          <w:kern w:val="0"/>
          <w:highlight w:val="none"/>
        </w:rPr>
      </w:pPr>
      <w:r>
        <w:rPr>
          <w:rFonts w:hint="eastAsia" w:ascii="宋体" w:hAnsi="宋体" w:cs="宋体"/>
          <w:kern w:val="0"/>
          <w:highlight w:val="none"/>
        </w:rPr>
        <w:t>单位：人民币元</w:t>
      </w:r>
    </w:p>
    <w:tbl>
      <w:tblPr>
        <w:tblStyle w:val="33"/>
        <w:tblW w:w="7834" w:type="dxa"/>
        <w:jc w:val="center"/>
        <w:tblLayout w:type="fixed"/>
        <w:tblCellMar>
          <w:top w:w="0" w:type="dxa"/>
          <w:left w:w="108" w:type="dxa"/>
          <w:bottom w:w="0" w:type="dxa"/>
          <w:right w:w="108" w:type="dxa"/>
        </w:tblCellMar>
      </w:tblPr>
      <w:tblGrid>
        <w:gridCol w:w="658"/>
        <w:gridCol w:w="1450"/>
        <w:gridCol w:w="924"/>
        <w:gridCol w:w="1053"/>
        <w:gridCol w:w="1319"/>
        <w:gridCol w:w="1579"/>
        <w:gridCol w:w="851"/>
      </w:tblGrid>
      <w:tr>
        <w:tblPrEx>
          <w:tblCellMar>
            <w:top w:w="0" w:type="dxa"/>
            <w:left w:w="108" w:type="dxa"/>
            <w:bottom w:w="0" w:type="dxa"/>
            <w:right w:w="108" w:type="dxa"/>
          </w:tblCellMar>
        </w:tblPrEx>
        <w:trPr>
          <w:trHeight w:val="427"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序号</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其它分项名称</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单位</w:t>
            </w: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数量</w:t>
            </w: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单价（元）</w:t>
            </w: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金额（元）</w:t>
            </w: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备注</w:t>
            </w:r>
          </w:p>
        </w:tc>
      </w:tr>
      <w:tr>
        <w:tblPrEx>
          <w:tblCellMar>
            <w:top w:w="0" w:type="dxa"/>
            <w:left w:w="108" w:type="dxa"/>
            <w:bottom w:w="0" w:type="dxa"/>
            <w:right w:w="108" w:type="dxa"/>
          </w:tblCellMar>
        </w:tblPrEx>
        <w:trPr>
          <w:trHeight w:val="410"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1</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2</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3</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4</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5</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bl>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hint="eastAsia" w:ascii="宋体" w:hAnsi="宋体" w:cs="宋体"/>
          <w:kern w:val="0"/>
          <w:highlight w:val="none"/>
        </w:rPr>
        <w:t>其它分项报价合计（元）：</w:t>
      </w:r>
    </w:p>
    <w:p>
      <w:pPr>
        <w:snapToGrid w:val="0"/>
        <w:spacing w:line="360" w:lineRule="auto"/>
        <w:rPr>
          <w:rFonts w:ascii="宋体" w:hAnsi="宋体" w:cs="宋体"/>
          <w:kern w:val="0"/>
          <w:highlight w:val="none"/>
        </w:rPr>
      </w:pPr>
      <w:r>
        <w:rPr>
          <w:rFonts w:hint="eastAsia" w:ascii="宋体" w:hAnsi="宋体" w:cs="宋体"/>
          <w:kern w:val="0"/>
          <w:highlight w:val="none"/>
        </w:rPr>
        <w:t>数量合计：</w:t>
      </w:r>
    </w:p>
    <w:p>
      <w:pPr>
        <w:snapToGrid w:val="0"/>
        <w:spacing w:line="360" w:lineRule="auto"/>
        <w:rPr>
          <w:rFonts w:ascii="宋体" w:hAnsi="宋体" w:cs="宋体"/>
          <w:kern w:val="0"/>
          <w:highlight w:val="none"/>
        </w:rPr>
      </w:pPr>
    </w:p>
    <w:p>
      <w:pPr>
        <w:pStyle w:val="39"/>
        <w:ind w:firstLine="0" w:firstLineChars="0"/>
        <w:rPr>
          <w:rFonts w:ascii="宋体" w:hAnsi="宋体" w:cs="宋体"/>
          <w:kern w:val="0"/>
          <w:highlight w:val="none"/>
        </w:rPr>
      </w:pPr>
      <w:r>
        <w:rPr>
          <w:rFonts w:ascii="宋体" w:hAnsi="宋体" w:cs="宋体"/>
          <w:kern w:val="0"/>
          <w:highlight w:val="none"/>
        </w:rPr>
        <w:br w:type="page"/>
      </w:r>
    </w:p>
    <w:p>
      <w:pPr>
        <w:pStyle w:val="39"/>
        <w:ind w:firstLine="0" w:firstLineChars="0"/>
        <w:jc w:val="center"/>
        <w:rPr>
          <w:rFonts w:ascii="宋体" w:hAnsi="宋体" w:cs="宋体"/>
          <w:kern w:val="0"/>
          <w:sz w:val="32"/>
          <w:szCs w:val="32"/>
          <w:highlight w:val="none"/>
        </w:rPr>
      </w:pPr>
      <w:r>
        <w:rPr>
          <w:rFonts w:ascii="宋体" w:hAnsi="宋体" w:cs="宋体"/>
          <w:kern w:val="0"/>
          <w:sz w:val="32"/>
          <w:szCs w:val="32"/>
          <w:highlight w:val="none"/>
        </w:rPr>
        <w:t>2、瓜州原水厂配电房改造工程</w:t>
      </w: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1）投标报价汇总表</w:t>
      </w:r>
    </w:p>
    <w:tbl>
      <w:tblPr>
        <w:tblStyle w:val="33"/>
        <w:tblW w:w="8639" w:type="dxa"/>
        <w:jc w:val="center"/>
        <w:tblLayout w:type="fixed"/>
        <w:tblCellMar>
          <w:top w:w="0" w:type="dxa"/>
          <w:left w:w="30" w:type="dxa"/>
          <w:bottom w:w="0" w:type="dxa"/>
          <w:right w:w="30" w:type="dxa"/>
        </w:tblCellMar>
      </w:tblPr>
      <w:tblGrid>
        <w:gridCol w:w="985"/>
        <w:gridCol w:w="1107"/>
        <w:gridCol w:w="1107"/>
        <w:gridCol w:w="2798"/>
        <w:gridCol w:w="2642"/>
      </w:tblGrid>
      <w:tr>
        <w:tblPrEx>
          <w:tblCellMar>
            <w:top w:w="0" w:type="dxa"/>
            <w:left w:w="30" w:type="dxa"/>
            <w:bottom w:w="0" w:type="dxa"/>
            <w:right w:w="30" w:type="dxa"/>
          </w:tblCellMar>
        </w:tblPrEx>
        <w:trPr>
          <w:trHeight w:val="41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序号</w:t>
            </w:r>
          </w:p>
        </w:tc>
        <w:tc>
          <w:tcPr>
            <w:tcW w:w="2214"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内容</w:t>
            </w:r>
          </w:p>
        </w:tc>
        <w:tc>
          <w:tcPr>
            <w:tcW w:w="279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价格（元）</w:t>
            </w:r>
          </w:p>
        </w:tc>
        <w:tc>
          <w:tcPr>
            <w:tcW w:w="26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备注</w:t>
            </w:r>
          </w:p>
        </w:tc>
      </w:tr>
      <w:tr>
        <w:tblPrEx>
          <w:tblCellMar>
            <w:top w:w="0" w:type="dxa"/>
            <w:left w:w="30" w:type="dxa"/>
            <w:bottom w:w="0" w:type="dxa"/>
            <w:right w:w="30" w:type="dxa"/>
          </w:tblCellMar>
        </w:tblPrEx>
        <w:trPr>
          <w:trHeight w:val="41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ascii="宋体" w:hAnsi="宋体" w:cs="宋体"/>
                <w:kern w:val="0"/>
                <w:highlight w:val="none"/>
              </w:rPr>
              <w:t>1</w:t>
            </w:r>
          </w:p>
        </w:tc>
        <w:tc>
          <w:tcPr>
            <w:tcW w:w="2214"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设备分项报价表</w:t>
            </w:r>
          </w:p>
        </w:tc>
        <w:tc>
          <w:tcPr>
            <w:tcW w:w="2798"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ascii="宋体" w:hAnsi="宋体" w:cs="宋体"/>
                <w:kern w:val="0"/>
                <w:highlight w:val="none"/>
              </w:rPr>
              <w:t>2</w:t>
            </w:r>
          </w:p>
        </w:tc>
        <w:tc>
          <w:tcPr>
            <w:tcW w:w="2214"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安装费报价表</w:t>
            </w:r>
          </w:p>
        </w:tc>
        <w:tc>
          <w:tcPr>
            <w:tcW w:w="2798"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p/>
        </w:tc>
        <w:tc>
          <w:tcPr>
            <w:tcW w:w="2642"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91" w:hRule="atLeast"/>
          <w:jc w:val="center"/>
        </w:trPr>
        <w:tc>
          <w:tcPr>
            <w:tcW w:w="985" w:type="dxa"/>
            <w:tcBorders>
              <w:top w:val="single" w:color="auto" w:sz="6" w:space="0"/>
              <w:left w:val="single" w:color="auto" w:sz="6" w:space="0"/>
              <w:right w:val="single" w:color="auto" w:sz="6" w:space="0"/>
            </w:tcBorders>
            <w:vAlign w:val="center"/>
          </w:tcPr>
          <w:p>
            <w:pPr>
              <w:snapToGrid w:val="0"/>
              <w:spacing w:line="360" w:lineRule="auto"/>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3</w:t>
            </w:r>
          </w:p>
        </w:tc>
        <w:tc>
          <w:tcPr>
            <w:tcW w:w="2214" w:type="dxa"/>
            <w:gridSpan w:val="2"/>
            <w:tcBorders>
              <w:top w:val="single" w:color="auto" w:sz="6" w:space="0"/>
              <w:left w:val="single" w:color="auto" w:sz="6" w:space="0"/>
              <w:right w:val="single" w:color="auto" w:sz="4" w:space="0"/>
            </w:tcBorders>
            <w:vAlign w:val="center"/>
          </w:tcPr>
          <w:p>
            <w:pPr>
              <w:snapToGrid w:val="0"/>
              <w:spacing w:line="360" w:lineRule="auto"/>
              <w:rPr>
                <w:rFonts w:hint="eastAsia" w:ascii="宋体" w:hAnsi="宋体" w:cs="宋体"/>
                <w:kern w:val="0"/>
                <w:highlight w:val="none"/>
              </w:rPr>
            </w:pPr>
            <w:r>
              <w:rPr>
                <w:rFonts w:hint="eastAsia" w:ascii="宋体" w:hAnsi="宋体" w:cs="宋体"/>
                <w:kern w:val="0"/>
                <w:highlight w:val="none"/>
              </w:rPr>
              <w:t>其它分项报价表</w:t>
            </w:r>
          </w:p>
        </w:tc>
        <w:tc>
          <w:tcPr>
            <w:tcW w:w="27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91" w:hRule="atLeast"/>
          <w:jc w:val="center"/>
        </w:trPr>
        <w:tc>
          <w:tcPr>
            <w:tcW w:w="985" w:type="dxa"/>
            <w:vMerge w:val="restart"/>
            <w:tcBorders>
              <w:top w:val="single" w:color="auto" w:sz="6" w:space="0"/>
              <w:left w:val="single" w:color="auto" w:sz="6" w:space="0"/>
              <w:right w:val="single" w:color="auto" w:sz="6" w:space="0"/>
            </w:tcBorders>
            <w:vAlign w:val="center"/>
          </w:tcPr>
          <w:p>
            <w:pPr>
              <w:snapToGrid w:val="0"/>
              <w:spacing w:line="360" w:lineRule="auto"/>
              <w:rPr>
                <w:rFonts w:hint="eastAsia" w:ascii="宋体" w:hAnsi="宋体" w:eastAsia="宋体" w:cs="宋体"/>
                <w:kern w:val="0"/>
                <w:highlight w:val="none"/>
                <w:lang w:eastAsia="zh-CN"/>
              </w:rPr>
            </w:pPr>
            <w:r>
              <w:rPr>
                <w:rFonts w:hint="eastAsia" w:ascii="宋体" w:hAnsi="宋体" w:cs="宋体"/>
                <w:kern w:val="0"/>
                <w:highlight w:val="none"/>
                <w:lang w:val="en-US" w:eastAsia="zh-CN"/>
              </w:rPr>
              <w:t>4</w:t>
            </w:r>
          </w:p>
        </w:tc>
        <w:tc>
          <w:tcPr>
            <w:tcW w:w="1107" w:type="dxa"/>
            <w:vMerge w:val="restart"/>
            <w:tcBorders>
              <w:top w:val="single" w:color="auto" w:sz="6" w:space="0"/>
              <w:left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其它</w:t>
            </w:r>
          </w:p>
        </w:tc>
        <w:tc>
          <w:tcPr>
            <w:tcW w:w="1107" w:type="dxa"/>
            <w:tcBorders>
              <w:top w:val="single" w:color="auto" w:sz="6" w:space="0"/>
              <w:left w:val="single" w:color="auto" w:sz="6"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90" w:hRule="atLeast"/>
          <w:jc w:val="center"/>
        </w:trPr>
        <w:tc>
          <w:tcPr>
            <w:tcW w:w="985" w:type="dxa"/>
            <w:vMerge w:val="continue"/>
            <w:tcBorders>
              <w:left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vMerge w:val="continue"/>
            <w:tcBorders>
              <w:left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tcBorders>
              <w:top w:val="single" w:color="auto" w:sz="6" w:space="0"/>
              <w:left w:val="single" w:color="auto" w:sz="6"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985" w:type="dxa"/>
            <w:vMerge w:val="restart"/>
            <w:tcBorders>
              <w:top w:val="single" w:color="auto" w:sz="6" w:space="0"/>
              <w:left w:val="single" w:color="auto" w:sz="6" w:space="0"/>
              <w:right w:val="single" w:color="auto" w:sz="6" w:space="0"/>
            </w:tcBorders>
            <w:vAlign w:val="center"/>
          </w:tcPr>
          <w:p>
            <w:pPr>
              <w:snapToGrid w:val="0"/>
              <w:spacing w:line="360" w:lineRule="auto"/>
              <w:rPr>
                <w:rFonts w:hint="eastAsia" w:ascii="宋体" w:hAnsi="宋体" w:eastAsia="宋体" w:cs="宋体"/>
                <w:kern w:val="0"/>
                <w:highlight w:val="none"/>
                <w:lang w:eastAsia="zh-CN"/>
              </w:rPr>
            </w:pPr>
            <w:r>
              <w:rPr>
                <w:rFonts w:hint="eastAsia" w:ascii="宋体" w:hAnsi="宋体" w:cs="宋体"/>
                <w:kern w:val="0"/>
                <w:highlight w:val="none"/>
                <w:lang w:val="en-US" w:eastAsia="zh-CN"/>
              </w:rPr>
              <w:t>5</w:t>
            </w:r>
          </w:p>
        </w:tc>
        <w:tc>
          <w:tcPr>
            <w:tcW w:w="1107" w:type="dxa"/>
            <w:vMerge w:val="restart"/>
            <w:tcBorders>
              <w:top w:val="single" w:color="auto" w:sz="6" w:space="0"/>
              <w:left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税费</w:t>
            </w:r>
          </w:p>
        </w:tc>
        <w:tc>
          <w:tcPr>
            <w:tcW w:w="1107"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985" w:type="dxa"/>
            <w:vMerge w:val="continue"/>
            <w:tcBorders>
              <w:top w:val="single" w:color="auto" w:sz="6" w:space="0"/>
              <w:left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vMerge w:val="continue"/>
            <w:tcBorders>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1107"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2798"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4"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r>
      <w:tr>
        <w:tblPrEx>
          <w:tblCellMar>
            <w:top w:w="0" w:type="dxa"/>
            <w:left w:w="30" w:type="dxa"/>
            <w:bottom w:w="0" w:type="dxa"/>
            <w:right w:w="30" w:type="dxa"/>
          </w:tblCellMar>
        </w:tblPrEx>
        <w:trPr>
          <w:trHeight w:val="410" w:hRule="atLeast"/>
          <w:jc w:val="center"/>
        </w:trPr>
        <w:tc>
          <w:tcPr>
            <w:tcW w:w="319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合计报价（万元）</w:t>
            </w:r>
          </w:p>
          <w:p>
            <w:pPr>
              <w:snapToGrid w:val="0"/>
              <w:spacing w:line="360" w:lineRule="auto"/>
              <w:ind w:left="0" w:leftChars="0" w:firstLine="0" w:firstLineChars="0"/>
              <w:rPr>
                <w:rFonts w:ascii="宋体" w:hAnsi="宋体" w:cs="宋体"/>
                <w:kern w:val="0"/>
                <w:highlight w:val="none"/>
              </w:rPr>
            </w:pPr>
            <w:r>
              <w:rPr>
                <w:rFonts w:hint="eastAsia" w:ascii="宋体" w:hAnsi="宋体" w:cs="宋体"/>
                <w:kern w:val="0"/>
                <w:highlight w:val="none"/>
              </w:rPr>
              <w:t>（为本表序号</w:t>
            </w:r>
            <w:r>
              <w:rPr>
                <w:rFonts w:ascii="宋体" w:hAnsi="宋体" w:cs="宋体"/>
                <w:kern w:val="0"/>
                <w:highlight w:val="none"/>
              </w:rPr>
              <w:t>1+2+3+4</w:t>
            </w:r>
            <w:r>
              <w:rPr>
                <w:rFonts w:hint="eastAsia" w:ascii="宋体" w:hAnsi="宋体" w:cs="宋体"/>
                <w:kern w:val="0"/>
                <w:highlight w:val="none"/>
                <w:lang w:val="en-US" w:eastAsia="zh-CN"/>
              </w:rPr>
              <w:t>+5</w:t>
            </w:r>
            <w:r>
              <w:rPr>
                <w:rFonts w:ascii="宋体" w:hAnsi="宋体" w:cs="宋体"/>
                <w:kern w:val="0"/>
                <w:highlight w:val="none"/>
              </w:rPr>
              <w:t>之和）</w:t>
            </w:r>
          </w:p>
        </w:tc>
        <w:tc>
          <w:tcPr>
            <w:tcW w:w="279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c>
          <w:tcPr>
            <w:tcW w:w="26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s="宋体"/>
                <w:kern w:val="0"/>
                <w:highlight w:val="none"/>
              </w:rPr>
            </w:pPr>
          </w:p>
        </w:tc>
      </w:tr>
    </w:tbl>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hint="eastAsia" w:ascii="宋体" w:hAnsi="宋体" w:cs="宋体"/>
          <w:kern w:val="0"/>
          <w:highlight w:val="none"/>
        </w:rPr>
        <w:t>交付地点：</w:t>
      </w:r>
    </w:p>
    <w:p>
      <w:pPr>
        <w:snapToGrid w:val="0"/>
        <w:spacing w:line="360" w:lineRule="auto"/>
        <w:rPr>
          <w:rFonts w:ascii="宋体" w:hAnsi="宋体" w:cs="宋体"/>
          <w:kern w:val="0"/>
          <w:highlight w:val="none"/>
        </w:rPr>
      </w:pPr>
      <w:r>
        <w:rPr>
          <w:rFonts w:hint="eastAsia" w:ascii="宋体" w:hAnsi="宋体" w:cs="宋体"/>
          <w:kern w:val="0"/>
          <w:highlight w:val="none"/>
        </w:rPr>
        <w:t>交付期：</w:t>
      </w: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hint="eastAsia" w:ascii="宋体" w:hAnsi="宋体" w:cs="宋体"/>
          <w:kern w:val="0"/>
          <w:highlight w:val="none"/>
        </w:rPr>
        <w:t>（</w:t>
      </w:r>
      <w:r>
        <w:rPr>
          <w:rFonts w:ascii="宋体" w:hAnsi="宋体" w:cs="宋体"/>
          <w:kern w:val="0"/>
          <w:highlight w:val="none"/>
        </w:rPr>
        <w:t>2）设备分项报价表</w:t>
      </w:r>
    </w:p>
    <w:p>
      <w:pPr>
        <w:snapToGrid w:val="0"/>
        <w:spacing w:line="360" w:lineRule="auto"/>
        <w:rPr>
          <w:rFonts w:ascii="宋体" w:hAnsi="宋体" w:cs="宋体"/>
          <w:kern w:val="0"/>
          <w:highlight w:val="none"/>
        </w:rPr>
      </w:pPr>
      <w:r>
        <w:rPr>
          <w:rFonts w:hint="eastAsia" w:ascii="宋体" w:hAnsi="宋体" w:cs="宋体"/>
          <w:kern w:val="0"/>
          <w:highlight w:val="none"/>
        </w:rPr>
        <w:t>单位：人民币元</w:t>
      </w:r>
    </w:p>
    <w:tbl>
      <w:tblPr>
        <w:tblStyle w:val="33"/>
        <w:tblW w:w="9811" w:type="dxa"/>
        <w:jc w:val="center"/>
        <w:tblLayout w:type="fixed"/>
        <w:tblCellMar>
          <w:top w:w="0" w:type="dxa"/>
          <w:left w:w="108" w:type="dxa"/>
          <w:bottom w:w="0" w:type="dxa"/>
          <w:right w:w="108" w:type="dxa"/>
        </w:tblCellMar>
      </w:tblPr>
      <w:tblGrid>
        <w:gridCol w:w="658"/>
        <w:gridCol w:w="1450"/>
        <w:gridCol w:w="924"/>
        <w:gridCol w:w="924"/>
        <w:gridCol w:w="853"/>
        <w:gridCol w:w="1253"/>
        <w:gridCol w:w="1319"/>
        <w:gridCol w:w="1579"/>
        <w:gridCol w:w="851"/>
      </w:tblGrid>
      <w:tr>
        <w:tblPrEx>
          <w:tblCellMar>
            <w:top w:w="0" w:type="dxa"/>
            <w:left w:w="108" w:type="dxa"/>
            <w:bottom w:w="0" w:type="dxa"/>
            <w:right w:w="108" w:type="dxa"/>
          </w:tblCellMar>
        </w:tblPrEx>
        <w:trPr>
          <w:trHeight w:val="457"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序号</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设备分项名称</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规格</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单位</w:t>
            </w: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数量</w:t>
            </w: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品牌及产地</w:t>
            </w: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单价（元）</w:t>
            </w: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金额（元）</w:t>
            </w: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备注</w:t>
            </w:r>
          </w:p>
        </w:tc>
      </w:tr>
      <w:tr>
        <w:tblPrEx>
          <w:tblCellMar>
            <w:top w:w="0" w:type="dxa"/>
            <w:left w:w="108" w:type="dxa"/>
            <w:bottom w:w="0" w:type="dxa"/>
            <w:right w:w="108" w:type="dxa"/>
          </w:tblCellMar>
        </w:tblPrEx>
        <w:trPr>
          <w:trHeight w:val="410"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1</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2</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3</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4</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5</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2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bl>
    <w:p>
      <w:pPr>
        <w:snapToGrid w:val="0"/>
        <w:spacing w:line="360" w:lineRule="auto"/>
        <w:rPr>
          <w:rFonts w:ascii="宋体" w:hAnsi="宋体" w:cs="宋体"/>
          <w:kern w:val="0"/>
          <w:highlight w:val="none"/>
        </w:rPr>
      </w:pPr>
      <w:r>
        <w:rPr>
          <w:rFonts w:hint="eastAsia" w:ascii="宋体" w:hAnsi="宋体" w:cs="宋体"/>
          <w:kern w:val="0"/>
          <w:highlight w:val="none"/>
        </w:rPr>
        <w:t>设备分项报价合计（元）：</w:t>
      </w:r>
    </w:p>
    <w:p>
      <w:pPr>
        <w:snapToGrid w:val="0"/>
        <w:spacing w:line="360" w:lineRule="auto"/>
        <w:rPr>
          <w:rFonts w:ascii="宋体" w:hAnsi="宋体" w:cs="宋体"/>
          <w:kern w:val="0"/>
          <w:highlight w:val="none"/>
        </w:rPr>
      </w:pPr>
      <w:r>
        <w:rPr>
          <w:rFonts w:hint="eastAsia" w:ascii="宋体" w:hAnsi="宋体" w:cs="宋体"/>
          <w:kern w:val="0"/>
          <w:highlight w:val="none"/>
        </w:rPr>
        <w:t>数量合计：</w:t>
      </w: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ascii="宋体" w:hAnsi="宋体" w:cs="宋体"/>
          <w:kern w:val="0"/>
          <w:highlight w:val="none"/>
        </w:rPr>
        <w:br w:type="page"/>
      </w:r>
      <w:r>
        <w:rPr>
          <w:rFonts w:hint="eastAsia" w:ascii="宋体" w:hAnsi="宋体" w:cs="宋体"/>
          <w:kern w:val="0"/>
          <w:highlight w:val="none"/>
        </w:rPr>
        <w:t>（</w:t>
      </w:r>
      <w:r>
        <w:rPr>
          <w:rFonts w:ascii="宋体" w:hAnsi="宋体" w:cs="宋体"/>
          <w:kern w:val="0"/>
          <w:highlight w:val="none"/>
        </w:rPr>
        <w:t>3）其它分项报价表</w:t>
      </w:r>
    </w:p>
    <w:p>
      <w:pPr>
        <w:snapToGrid w:val="0"/>
        <w:spacing w:line="360" w:lineRule="auto"/>
        <w:rPr>
          <w:rFonts w:ascii="宋体" w:hAnsi="宋体" w:cs="宋体"/>
          <w:kern w:val="0"/>
          <w:highlight w:val="none"/>
        </w:rPr>
      </w:pPr>
      <w:r>
        <w:rPr>
          <w:rFonts w:hint="eastAsia" w:ascii="宋体" w:hAnsi="宋体" w:cs="宋体"/>
          <w:kern w:val="0"/>
          <w:highlight w:val="none"/>
        </w:rPr>
        <w:t>单位：人民币元</w:t>
      </w:r>
    </w:p>
    <w:tbl>
      <w:tblPr>
        <w:tblStyle w:val="33"/>
        <w:tblW w:w="7834" w:type="dxa"/>
        <w:jc w:val="center"/>
        <w:tblLayout w:type="fixed"/>
        <w:tblCellMar>
          <w:top w:w="0" w:type="dxa"/>
          <w:left w:w="108" w:type="dxa"/>
          <w:bottom w:w="0" w:type="dxa"/>
          <w:right w:w="108" w:type="dxa"/>
        </w:tblCellMar>
      </w:tblPr>
      <w:tblGrid>
        <w:gridCol w:w="658"/>
        <w:gridCol w:w="1450"/>
        <w:gridCol w:w="924"/>
        <w:gridCol w:w="1053"/>
        <w:gridCol w:w="1319"/>
        <w:gridCol w:w="1579"/>
        <w:gridCol w:w="851"/>
      </w:tblGrid>
      <w:tr>
        <w:tblPrEx>
          <w:tblCellMar>
            <w:top w:w="0" w:type="dxa"/>
            <w:left w:w="108" w:type="dxa"/>
            <w:bottom w:w="0" w:type="dxa"/>
            <w:right w:w="108" w:type="dxa"/>
          </w:tblCellMar>
        </w:tblPrEx>
        <w:trPr>
          <w:trHeight w:val="427"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序号</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其它分项名称</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单位</w:t>
            </w: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数量</w:t>
            </w: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单价（元）</w:t>
            </w: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金额（元）</w:t>
            </w: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备注</w:t>
            </w:r>
          </w:p>
        </w:tc>
      </w:tr>
      <w:tr>
        <w:tblPrEx>
          <w:tblCellMar>
            <w:top w:w="0" w:type="dxa"/>
            <w:left w:w="108" w:type="dxa"/>
            <w:bottom w:w="0" w:type="dxa"/>
            <w:right w:w="108" w:type="dxa"/>
          </w:tblCellMar>
        </w:tblPrEx>
        <w:trPr>
          <w:trHeight w:val="410"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1</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2</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3</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4</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ascii="宋体" w:hAnsi="宋体" w:cs="宋体"/>
                <w:kern w:val="0"/>
                <w:highlight w:val="none"/>
              </w:rPr>
              <w:t>5</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r>
              <w:rPr>
                <w:rFonts w:hint="eastAsia" w:ascii="宋体" w:hAnsi="宋体" w:cs="宋体"/>
                <w:kern w:val="0"/>
                <w:highlight w:val="none"/>
              </w:rPr>
              <w:t>……</w:t>
            </w: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r>
        <w:tblPrEx>
          <w:tblCellMar>
            <w:top w:w="0" w:type="dxa"/>
            <w:left w:w="108" w:type="dxa"/>
            <w:bottom w:w="0" w:type="dxa"/>
            <w:right w:w="108" w:type="dxa"/>
          </w:tblCellMar>
        </w:tblPrEx>
        <w:trPr>
          <w:trHeight w:val="409" w:hRule="exact"/>
          <w:jc w:val="center"/>
        </w:trPr>
        <w:tc>
          <w:tcPr>
            <w:tcW w:w="658"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450"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924"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053"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31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1579"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c>
          <w:tcPr>
            <w:tcW w:w="851" w:type="dxa"/>
            <w:tcBorders>
              <w:top w:val="single" w:color="000000" w:sz="6" w:space="0"/>
              <w:left w:val="single" w:color="000000" w:sz="6" w:space="0"/>
              <w:bottom w:val="single" w:color="000000" w:sz="6" w:space="0"/>
              <w:right w:val="single" w:color="000000" w:sz="6" w:space="0"/>
            </w:tcBorders>
            <w:tcMar>
              <w:left w:w="0" w:type="dxa"/>
              <w:right w:w="0" w:type="dxa"/>
            </w:tcMar>
          </w:tcPr>
          <w:p>
            <w:pPr>
              <w:snapToGrid w:val="0"/>
              <w:spacing w:line="360" w:lineRule="auto"/>
              <w:rPr>
                <w:rFonts w:ascii="宋体" w:hAnsi="宋体" w:cs="宋体"/>
                <w:kern w:val="0"/>
                <w:highlight w:val="none"/>
              </w:rPr>
            </w:pPr>
          </w:p>
        </w:tc>
      </w:tr>
    </w:tbl>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pPr>
      <w:r>
        <w:rPr>
          <w:rFonts w:hint="eastAsia" w:ascii="宋体" w:hAnsi="宋体" w:cs="宋体"/>
          <w:kern w:val="0"/>
          <w:highlight w:val="none"/>
        </w:rPr>
        <w:t>其它分项报价合计（元）：</w:t>
      </w:r>
    </w:p>
    <w:p>
      <w:pPr>
        <w:snapToGrid w:val="0"/>
        <w:spacing w:line="360" w:lineRule="auto"/>
        <w:rPr>
          <w:rFonts w:ascii="宋体" w:hAnsi="宋体" w:cs="宋体"/>
          <w:kern w:val="0"/>
          <w:highlight w:val="none"/>
        </w:rPr>
      </w:pPr>
      <w:r>
        <w:rPr>
          <w:rFonts w:hint="eastAsia" w:ascii="宋体" w:hAnsi="宋体" w:cs="宋体"/>
          <w:kern w:val="0"/>
          <w:highlight w:val="none"/>
        </w:rPr>
        <w:t>数量合计：</w:t>
      </w:r>
    </w:p>
    <w:p>
      <w:pPr>
        <w:snapToGrid w:val="0"/>
        <w:spacing w:line="360" w:lineRule="auto"/>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rPr>
          <w:rFonts w:ascii="宋体" w:hAnsi="宋体" w:cs="宋体"/>
          <w:kern w:val="0"/>
          <w:highlight w:val="none"/>
        </w:rPr>
      </w:pPr>
    </w:p>
    <w:p>
      <w:pPr>
        <w:pStyle w:val="39"/>
        <w:ind w:firstLine="0" w:firstLineChars="0"/>
        <w:jc w:val="center"/>
        <w:rPr>
          <w:rFonts w:ascii="宋体" w:hAnsi="宋体" w:cs="宋体"/>
          <w:kern w:val="0"/>
          <w:highlight w:val="none"/>
        </w:rPr>
      </w:pPr>
    </w:p>
    <w:p>
      <w:pPr>
        <w:pStyle w:val="39"/>
        <w:ind w:firstLine="0" w:firstLineChars="0"/>
        <w:jc w:val="center"/>
        <w:rPr>
          <w:rFonts w:ascii="楷体_GB2312" w:eastAsia="楷体_GB2312"/>
          <w:b/>
          <w:sz w:val="44"/>
          <w:highlight w:val="none"/>
        </w:rPr>
      </w:pPr>
      <w:r>
        <w:rPr>
          <w:rFonts w:hint="eastAsia" w:ascii="楷体_GB2312" w:eastAsia="楷体_GB2312"/>
          <w:b/>
          <w:sz w:val="44"/>
          <w:highlight w:val="none"/>
        </w:rPr>
        <w:t>三、企业资信</w:t>
      </w: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rPr>
          <w:rFonts w:ascii="楷体_GB2312" w:eastAsia="楷体_GB2312"/>
          <w:b/>
          <w:sz w:val="44"/>
          <w:highlight w:val="none"/>
        </w:rPr>
      </w:pPr>
    </w:p>
    <w:p>
      <w:pPr>
        <w:pStyle w:val="39"/>
        <w:ind w:firstLine="0" w:firstLineChars="0"/>
        <w:rPr>
          <w:rFonts w:ascii="楷体_GB2312" w:eastAsia="楷体_GB2312"/>
          <w:b/>
          <w:sz w:val="44"/>
          <w:highlight w:val="none"/>
        </w:rPr>
      </w:pPr>
    </w:p>
    <w:p>
      <w:pPr>
        <w:pStyle w:val="39"/>
        <w:ind w:left="420" w:leftChars="200" w:firstLine="0" w:firstLineChars="0"/>
        <w:jc w:val="center"/>
        <w:rPr>
          <w:rFonts w:ascii="楷体_GB2312" w:eastAsia="楷体_GB2312"/>
          <w:b/>
          <w:sz w:val="44"/>
          <w:highlight w:val="none"/>
        </w:rPr>
      </w:pPr>
      <w:r>
        <w:rPr>
          <w:rFonts w:hint="eastAsia" w:ascii="楷体_GB2312" w:eastAsia="楷体_GB2312"/>
          <w:b/>
          <w:sz w:val="44"/>
          <w:highlight w:val="none"/>
        </w:rPr>
        <w:t>四、业绩</w:t>
      </w:r>
    </w:p>
    <w:p>
      <w:pPr>
        <w:pStyle w:val="4"/>
        <w:snapToGrid w:val="0"/>
        <w:spacing w:before="0" w:after="0" w:line="360" w:lineRule="auto"/>
        <w:rPr>
          <w:rFonts w:ascii="宋体" w:hAnsi="宋体"/>
          <w:szCs w:val="21"/>
          <w:highlight w:val="none"/>
        </w:rPr>
      </w:pPr>
      <w:r>
        <w:rPr>
          <w:rFonts w:ascii="宋体" w:hAnsi="宋体"/>
          <w:szCs w:val="21"/>
          <w:highlight w:val="none"/>
        </w:rPr>
        <w:t>2018年1月1日以来承担过类似项目业绩情况表</w:t>
      </w:r>
    </w:p>
    <w:tbl>
      <w:tblPr>
        <w:tblStyle w:val="33"/>
        <w:tblW w:w="8176" w:type="dxa"/>
        <w:jc w:val="center"/>
        <w:tblLayout w:type="fixed"/>
        <w:tblCellMar>
          <w:top w:w="0" w:type="dxa"/>
          <w:left w:w="0" w:type="dxa"/>
          <w:bottom w:w="0" w:type="dxa"/>
          <w:right w:w="0" w:type="dxa"/>
        </w:tblCellMar>
      </w:tblPr>
      <w:tblGrid>
        <w:gridCol w:w="2883"/>
        <w:gridCol w:w="5293"/>
      </w:tblGrid>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rPr>
            </w:pPr>
          </w:p>
          <w:p>
            <w:pPr>
              <w:snapToGrid w:val="0"/>
              <w:spacing w:line="360" w:lineRule="auto"/>
              <w:ind w:firstLine="0" w:firstLineChars="0"/>
              <w:jc w:val="center"/>
              <w:rPr>
                <w:rFonts w:ascii="宋体" w:hAnsi="宋体" w:cs="宋体"/>
                <w:kern w:val="0"/>
                <w:sz w:val="22"/>
                <w:highlight w:val="none"/>
              </w:rPr>
            </w:pPr>
            <w:r>
              <w:rPr>
                <w:rFonts w:hint="eastAsia" w:ascii="宋体" w:hAnsi="宋体" w:cs="宋体"/>
                <w:kern w:val="0"/>
                <w:sz w:val="22"/>
                <w:highlight w:val="none"/>
              </w:rPr>
              <w:t>产品名称</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p>
            <w:pPr>
              <w:snapToGrid w:val="0"/>
              <w:spacing w:line="360" w:lineRule="auto"/>
              <w:ind w:firstLine="0" w:firstLineChars="0"/>
              <w:jc w:val="center"/>
              <w:rPr>
                <w:rFonts w:ascii="宋体" w:hAnsi="宋体" w:cs="宋体"/>
                <w:kern w:val="0"/>
                <w:sz w:val="22"/>
                <w:highlight w:val="none"/>
                <w:lang w:eastAsia="en-US"/>
              </w:rPr>
            </w:pPr>
            <w:r>
              <w:rPr>
                <w:rFonts w:hint="eastAsia" w:ascii="宋体" w:hAnsi="宋体" w:cs="宋体"/>
                <w:kern w:val="0"/>
                <w:sz w:val="22"/>
                <w:highlight w:val="none"/>
                <w:lang w:eastAsia="en-US"/>
              </w:rPr>
              <w:t>规格和型号</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0" w:firstLineChars="0"/>
              <w:jc w:val="center"/>
              <w:rPr>
                <w:rFonts w:ascii="宋体" w:hAnsi="宋体" w:cs="宋体"/>
                <w:kern w:val="0"/>
                <w:sz w:val="22"/>
                <w:highlight w:val="none"/>
                <w:lang w:eastAsia="en-US"/>
              </w:rPr>
            </w:pPr>
          </w:p>
          <w:p>
            <w:pPr>
              <w:snapToGrid w:val="0"/>
              <w:spacing w:line="360" w:lineRule="auto"/>
              <w:ind w:firstLine="0" w:firstLineChars="0"/>
              <w:jc w:val="center"/>
              <w:rPr>
                <w:rFonts w:ascii="宋体" w:hAnsi="宋体" w:cs="宋体"/>
                <w:kern w:val="0"/>
                <w:sz w:val="22"/>
                <w:highlight w:val="none"/>
                <w:lang w:eastAsia="en-US"/>
              </w:rPr>
            </w:pPr>
            <w:r>
              <w:rPr>
                <w:rFonts w:hint="eastAsia" w:ascii="宋体" w:hAnsi="宋体" w:cs="宋体"/>
                <w:kern w:val="0"/>
                <w:sz w:val="22"/>
                <w:highlight w:val="none"/>
                <w:lang w:eastAsia="en-US"/>
              </w:rPr>
              <w:t>项目名称</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p>
            <w:pPr>
              <w:snapToGrid w:val="0"/>
              <w:spacing w:line="360" w:lineRule="auto"/>
              <w:ind w:firstLine="0" w:firstLineChars="0"/>
              <w:jc w:val="center"/>
              <w:rPr>
                <w:rFonts w:ascii="宋体" w:hAnsi="宋体" w:cs="宋体"/>
                <w:kern w:val="0"/>
                <w:sz w:val="22"/>
                <w:highlight w:val="none"/>
                <w:lang w:eastAsia="en-US"/>
              </w:rPr>
            </w:pPr>
            <w:r>
              <w:rPr>
                <w:rFonts w:hint="eastAsia" w:ascii="宋体" w:hAnsi="宋体" w:cs="宋体"/>
                <w:kern w:val="0"/>
                <w:sz w:val="22"/>
                <w:highlight w:val="none"/>
                <w:lang w:eastAsia="en-US"/>
              </w:rPr>
              <w:t>买方名称</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p>
            <w:pPr>
              <w:snapToGrid w:val="0"/>
              <w:spacing w:line="360" w:lineRule="auto"/>
              <w:ind w:firstLine="0" w:firstLineChars="0"/>
              <w:jc w:val="center"/>
              <w:rPr>
                <w:rFonts w:ascii="宋体" w:hAnsi="宋体" w:cs="宋体"/>
                <w:kern w:val="0"/>
                <w:sz w:val="22"/>
                <w:highlight w:val="none"/>
                <w:lang w:eastAsia="en-US"/>
              </w:rPr>
            </w:pPr>
            <w:r>
              <w:rPr>
                <w:rFonts w:hint="eastAsia" w:ascii="宋体" w:hAnsi="宋体" w:cs="宋体"/>
                <w:kern w:val="0"/>
                <w:sz w:val="22"/>
                <w:highlight w:val="none"/>
                <w:lang w:eastAsia="en-US"/>
              </w:rPr>
              <w:t>买方联系人及电话</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p>
            <w:pPr>
              <w:snapToGrid w:val="0"/>
              <w:spacing w:line="360" w:lineRule="auto"/>
              <w:ind w:firstLine="0" w:firstLineChars="0"/>
              <w:jc w:val="center"/>
              <w:rPr>
                <w:rFonts w:ascii="宋体" w:hAnsi="宋体" w:cs="宋体"/>
                <w:kern w:val="0"/>
                <w:sz w:val="22"/>
                <w:highlight w:val="none"/>
                <w:lang w:eastAsia="en-US"/>
              </w:rPr>
            </w:pPr>
            <w:r>
              <w:rPr>
                <w:rFonts w:hint="eastAsia" w:ascii="宋体" w:hAnsi="宋体" w:cs="宋体"/>
                <w:kern w:val="0"/>
                <w:sz w:val="22"/>
                <w:highlight w:val="none"/>
                <w:lang w:eastAsia="en-US"/>
              </w:rPr>
              <w:t>合同价格</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tc>
      </w:tr>
      <w:tr>
        <w:tblPrEx>
          <w:tblCellMar>
            <w:top w:w="0" w:type="dxa"/>
            <w:left w:w="0" w:type="dxa"/>
            <w:bottom w:w="0" w:type="dxa"/>
            <w:right w:w="0" w:type="dxa"/>
          </w:tblCellMar>
        </w:tblPrEx>
        <w:trPr>
          <w:trHeight w:val="904"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0" w:firstLineChars="0"/>
              <w:jc w:val="center"/>
              <w:rPr>
                <w:rFonts w:ascii="宋体" w:hAnsi="宋体" w:cs="宋体"/>
                <w:kern w:val="0"/>
                <w:sz w:val="22"/>
                <w:highlight w:val="none"/>
              </w:rPr>
            </w:pPr>
            <w:r>
              <w:rPr>
                <w:rFonts w:hint="eastAsia" w:ascii="宋体" w:hAnsi="宋体" w:cs="宋体"/>
                <w:kern w:val="0"/>
                <w:sz w:val="22"/>
                <w:highlight w:val="none"/>
              </w:rPr>
              <w:t>项目概况及投标人履约情况</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rPr>
            </w:pPr>
          </w:p>
          <w:p>
            <w:pPr>
              <w:snapToGrid w:val="0"/>
              <w:spacing w:line="360" w:lineRule="auto"/>
              <w:ind w:firstLine="0" w:firstLineChars="0"/>
              <w:jc w:val="center"/>
              <w:rPr>
                <w:rFonts w:ascii="宋体" w:hAnsi="宋体" w:cs="宋体"/>
                <w:kern w:val="0"/>
                <w:sz w:val="22"/>
                <w:highlight w:val="none"/>
                <w:lang w:eastAsia="en-US"/>
              </w:rPr>
            </w:pPr>
            <w:r>
              <w:rPr>
                <w:rFonts w:hint="eastAsia" w:ascii="宋体" w:hAnsi="宋体" w:cs="宋体"/>
                <w:kern w:val="0"/>
                <w:sz w:val="22"/>
                <w:highlight w:val="none"/>
                <w:lang w:eastAsia="en-US"/>
              </w:rPr>
              <w:t>备注</w:t>
            </w:r>
          </w:p>
        </w:tc>
        <w:tc>
          <w:tcPr>
            <w:tcW w:w="52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40"/>
              <w:jc w:val="center"/>
              <w:rPr>
                <w:rFonts w:ascii="宋体" w:hAnsi="宋体" w:cs="宋体"/>
                <w:kern w:val="0"/>
                <w:sz w:val="22"/>
                <w:highlight w:val="none"/>
                <w:lang w:eastAsia="en-US"/>
              </w:rPr>
            </w:pPr>
          </w:p>
        </w:tc>
      </w:tr>
    </w:tbl>
    <w:p>
      <w:pPr>
        <w:snapToGrid w:val="0"/>
        <w:spacing w:line="360" w:lineRule="auto"/>
        <w:rPr>
          <w:rFonts w:ascii="宋体" w:hAnsi="宋体" w:cs="宋体"/>
          <w:kern w:val="0"/>
          <w:highlight w:val="none"/>
        </w:rPr>
      </w:pPr>
      <w:r>
        <w:rPr>
          <w:rFonts w:hint="eastAsia" w:ascii="宋体" w:hAnsi="宋体" w:cs="宋体"/>
          <w:kern w:val="0"/>
          <w:highlight w:val="none"/>
        </w:rPr>
        <w:t>注：</w:t>
      </w:r>
      <w:r>
        <w:rPr>
          <w:rFonts w:ascii="宋体" w:hAnsi="宋体" w:cs="宋体"/>
          <w:kern w:val="0"/>
          <w:highlight w:val="none"/>
        </w:rPr>
        <w:t>1.本表后应附相关证明材料：</w:t>
      </w:r>
      <w:r>
        <w:rPr>
          <w:rFonts w:hint="eastAsia" w:ascii="宋体" w:hAnsi="宋体"/>
          <w:szCs w:val="21"/>
          <w:highlight w:val="none"/>
        </w:rPr>
        <w:t>合同复印件</w:t>
      </w:r>
      <w:r>
        <w:rPr>
          <w:rFonts w:hint="eastAsia" w:ascii="宋体" w:hAnsi="宋体" w:cs="宋体"/>
          <w:kern w:val="0"/>
          <w:highlight w:val="none"/>
        </w:rPr>
        <w:t>，具体要求见第三章评标办法。</w:t>
      </w:r>
    </w:p>
    <w:p>
      <w:pPr>
        <w:snapToGrid w:val="0"/>
        <w:spacing w:line="360" w:lineRule="auto"/>
        <w:rPr>
          <w:rFonts w:ascii="宋体" w:hAnsi="宋体" w:cs="宋体"/>
          <w:kern w:val="0"/>
          <w:highlight w:val="none"/>
        </w:rPr>
      </w:pPr>
      <w:r>
        <w:rPr>
          <w:rFonts w:ascii="宋体" w:hAnsi="宋体" w:cs="宋体"/>
          <w:kern w:val="0"/>
          <w:highlight w:val="none"/>
        </w:rPr>
        <w:t>2.每张表格只填写一个项目，并标明序号。</w:t>
      </w: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4"/>
        <w:snapToGrid w:val="0"/>
        <w:spacing w:before="0" w:after="0" w:line="360" w:lineRule="auto"/>
        <w:rPr>
          <w:rFonts w:ascii="宋体" w:hAnsi="宋体"/>
          <w:sz w:val="44"/>
          <w:szCs w:val="44"/>
          <w:highlight w:val="none"/>
        </w:rPr>
      </w:pPr>
      <w:bookmarkStart w:id="211" w:name="_Toc8481"/>
      <w:bookmarkStart w:id="212" w:name="_Toc40699943"/>
      <w:bookmarkStart w:id="213" w:name="_Toc7381"/>
      <w:bookmarkStart w:id="214" w:name="_Toc5984"/>
      <w:r>
        <w:rPr>
          <w:rFonts w:hint="eastAsia" w:ascii="宋体" w:hAnsi="宋体"/>
          <w:sz w:val="44"/>
          <w:szCs w:val="44"/>
          <w:highlight w:val="none"/>
        </w:rPr>
        <w:t>五、商务和技术偏差表</w:t>
      </w:r>
      <w:bookmarkEnd w:id="211"/>
      <w:bookmarkEnd w:id="212"/>
      <w:bookmarkEnd w:id="213"/>
      <w:bookmarkEnd w:id="214"/>
    </w:p>
    <w:tbl>
      <w:tblPr>
        <w:tblStyle w:val="33"/>
        <w:tblW w:w="7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505"/>
        <w:gridCol w:w="2505"/>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r>
              <w:rPr>
                <w:rFonts w:hint="eastAsia" w:ascii="宋体" w:hAnsi="宋体" w:cs="宋体"/>
                <w:bCs/>
                <w:kern w:val="0"/>
                <w:highlight w:val="none"/>
              </w:rPr>
              <w:t>序号</w:t>
            </w:r>
          </w:p>
        </w:tc>
        <w:tc>
          <w:tcPr>
            <w:tcW w:w="25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bCs/>
                <w:kern w:val="0"/>
                <w:highlight w:val="none"/>
              </w:rPr>
            </w:pPr>
            <w:r>
              <w:rPr>
                <w:rFonts w:hint="eastAsia" w:ascii="宋体" w:hAnsi="宋体" w:cs="宋体"/>
                <w:b/>
                <w:kern w:val="0"/>
                <w:highlight w:val="none"/>
              </w:rPr>
              <w:t>招标文件章节及条款号</w:t>
            </w:r>
          </w:p>
        </w:tc>
        <w:tc>
          <w:tcPr>
            <w:tcW w:w="25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bCs/>
                <w:kern w:val="0"/>
                <w:highlight w:val="none"/>
              </w:rPr>
            </w:pPr>
            <w:r>
              <w:rPr>
                <w:rFonts w:hint="eastAsia" w:ascii="宋体" w:hAnsi="宋体" w:cs="宋体"/>
                <w:b/>
                <w:kern w:val="0"/>
                <w:highlight w:val="none"/>
              </w:rPr>
              <w:t>投标文件章节及条款号</w:t>
            </w:r>
          </w:p>
        </w:tc>
        <w:tc>
          <w:tcPr>
            <w:tcW w:w="16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bCs/>
                <w:kern w:val="0"/>
                <w:highlight w:val="none"/>
              </w:rPr>
            </w:pPr>
            <w:r>
              <w:rPr>
                <w:rFonts w:hint="eastAsia" w:ascii="宋体" w:hAnsi="宋体" w:cs="宋体"/>
                <w:b/>
                <w:kern w:val="0"/>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r>
              <w:rPr>
                <w:rFonts w:ascii="宋体" w:hAnsi="宋体" w:cs="宋体"/>
                <w:bCs/>
                <w:kern w:val="0"/>
                <w:highlight w:val="none"/>
              </w:rPr>
              <w:t>1</w:t>
            </w: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r>
              <w:rPr>
                <w:rFonts w:ascii="宋体" w:hAnsi="宋体" w:cs="宋体"/>
                <w:bCs/>
                <w:kern w:val="0"/>
                <w:highlight w:val="none"/>
              </w:rPr>
              <w:t>2</w:t>
            </w: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r>
              <w:rPr>
                <w:rFonts w:ascii="宋体" w:hAnsi="宋体" w:cs="宋体"/>
                <w:bCs/>
                <w:kern w:val="0"/>
                <w:highlight w:val="none"/>
              </w:rPr>
              <w:t>3</w:t>
            </w: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r>
              <w:rPr>
                <w:rFonts w:ascii="宋体" w:hAnsi="宋体" w:cs="宋体"/>
                <w:bCs/>
                <w:kern w:val="0"/>
                <w:highlight w:val="none"/>
              </w:rPr>
              <w:t>4</w:t>
            </w: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r>
              <w:rPr>
                <w:rFonts w:ascii="宋体" w:hAnsi="宋体" w:cs="宋体"/>
                <w:bCs/>
                <w:kern w:val="0"/>
                <w:highlight w:val="none"/>
              </w:rPr>
              <w:t>5</w:t>
            </w: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r>
              <w:rPr>
                <w:rFonts w:hint="eastAsia" w:ascii="宋体" w:hAnsi="宋体" w:cs="宋体"/>
                <w:bCs/>
                <w:kern w:val="0"/>
                <w:highlight w:val="none"/>
              </w:rPr>
              <w:t>……</w:t>
            </w: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ascii="宋体" w:hAnsi="宋体" w:cs="宋体"/>
                <w:bCs/>
                <w:kern w:val="0"/>
                <w:highlight w:val="none"/>
              </w:rPr>
            </w:pPr>
          </w:p>
        </w:tc>
      </w:tr>
    </w:tbl>
    <w:p>
      <w:pPr>
        <w:snapToGrid w:val="0"/>
        <w:spacing w:line="360" w:lineRule="auto"/>
        <w:rPr>
          <w:rFonts w:ascii="宋体" w:hAnsi="宋体" w:cs="宋体"/>
          <w:kern w:val="0"/>
          <w:highlight w:val="none"/>
        </w:rPr>
      </w:pPr>
    </w:p>
    <w:p>
      <w:pPr>
        <w:snapToGrid w:val="0"/>
        <w:spacing w:line="360" w:lineRule="auto"/>
        <w:rPr>
          <w:rFonts w:ascii="宋体" w:hAnsi="宋体" w:cs="宋体"/>
          <w:kern w:val="0"/>
          <w:highlight w:val="none"/>
        </w:rPr>
        <w:sectPr>
          <w:headerReference r:id="rId9" w:type="default"/>
          <w:footerReference r:id="rId10" w:type="default"/>
          <w:pgSz w:w="11906" w:h="16838"/>
          <w:pgMar w:top="935" w:right="1406" w:bottom="1091" w:left="1575" w:header="851" w:footer="992" w:gutter="0"/>
          <w:cols w:space="720" w:num="1"/>
          <w:docGrid w:type="lines" w:linePitch="312" w:charSpace="0"/>
        </w:sectPr>
      </w:pPr>
      <w:r>
        <w:rPr>
          <w:rFonts w:hint="eastAsia" w:ascii="宋体" w:hAnsi="宋体" w:cs="宋体"/>
          <w:kern w:val="0"/>
          <w:highlight w:val="none"/>
        </w:rPr>
        <w:t>投标人保证：除商务和技术偏差表列出的偏差外，投标人响应招标文件的全部要求。</w:t>
      </w:r>
    </w:p>
    <w:p>
      <w:pPr>
        <w:pStyle w:val="4"/>
        <w:snapToGrid w:val="0"/>
        <w:spacing w:before="0" w:after="0" w:line="360" w:lineRule="auto"/>
        <w:rPr>
          <w:rFonts w:ascii="宋体" w:hAnsi="宋体"/>
          <w:sz w:val="44"/>
          <w:szCs w:val="44"/>
          <w:highlight w:val="none"/>
        </w:rPr>
      </w:pPr>
      <w:r>
        <w:rPr>
          <w:rFonts w:hint="eastAsia" w:ascii="宋体" w:hAnsi="宋体"/>
          <w:sz w:val="44"/>
          <w:szCs w:val="44"/>
          <w:highlight w:val="none"/>
        </w:rPr>
        <w:t>六、投标货物技术性能指标的详细描述</w:t>
      </w:r>
    </w:p>
    <w:tbl>
      <w:tblPr>
        <w:tblStyle w:val="3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12"/>
        <w:gridCol w:w="2693"/>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0" w:type="dxa"/>
            <w:tcBorders>
              <w:top w:val="single" w:color="auto" w:sz="4" w:space="0"/>
              <w:left w:val="single" w:color="auto" w:sz="4" w:space="0"/>
              <w:bottom w:val="single" w:color="auto" w:sz="4" w:space="0"/>
              <w:right w:val="single" w:color="auto" w:sz="4" w:space="0"/>
            </w:tcBorders>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序号</w:t>
            </w:r>
          </w:p>
        </w:tc>
        <w:tc>
          <w:tcPr>
            <w:tcW w:w="2012" w:type="dxa"/>
            <w:tcBorders>
              <w:top w:val="single" w:color="auto" w:sz="4" w:space="0"/>
              <w:left w:val="single" w:color="auto" w:sz="4" w:space="0"/>
              <w:bottom w:val="single" w:color="auto" w:sz="4" w:space="0"/>
              <w:right w:val="single" w:color="auto" w:sz="4" w:space="0"/>
            </w:tcBorders>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名称</w:t>
            </w:r>
          </w:p>
        </w:tc>
        <w:tc>
          <w:tcPr>
            <w:tcW w:w="2693" w:type="dxa"/>
            <w:tcBorders>
              <w:top w:val="single" w:color="auto" w:sz="4" w:space="0"/>
              <w:left w:val="single" w:color="auto" w:sz="4" w:space="0"/>
              <w:bottom w:val="single" w:color="auto" w:sz="4" w:space="0"/>
              <w:right w:val="single" w:color="auto" w:sz="4" w:space="0"/>
            </w:tcBorders>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招标技术参数及要求</w:t>
            </w:r>
          </w:p>
        </w:tc>
        <w:tc>
          <w:tcPr>
            <w:tcW w:w="3804" w:type="dxa"/>
            <w:tcBorders>
              <w:top w:val="single" w:color="auto" w:sz="4" w:space="0"/>
              <w:left w:val="single" w:color="auto" w:sz="4" w:space="0"/>
              <w:bottom w:val="single" w:color="auto" w:sz="4" w:space="0"/>
              <w:right w:val="single" w:color="auto" w:sz="4" w:space="0"/>
            </w:tcBorders>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投标设备技术性能指标的详细描述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0" w:type="dxa"/>
            <w:tcBorders>
              <w:top w:val="single" w:color="auto" w:sz="4" w:space="0"/>
              <w:left w:val="single" w:color="auto" w:sz="4" w:space="0"/>
              <w:bottom w:val="single" w:color="auto" w:sz="4" w:space="0"/>
              <w:right w:val="single" w:color="auto" w:sz="4" w:space="0"/>
            </w:tcBorders>
          </w:tcPr>
          <w:p>
            <w:pPr>
              <w:snapToGrid w:val="0"/>
              <w:spacing w:line="360" w:lineRule="auto"/>
              <w:ind w:firstLine="0" w:firstLineChars="0"/>
              <w:jc w:val="center"/>
              <w:rPr>
                <w:rFonts w:ascii="宋体" w:hAnsi="宋体" w:cs="宋体"/>
                <w:kern w:val="0"/>
                <w:highlight w:val="none"/>
              </w:rPr>
            </w:pPr>
            <w:r>
              <w:rPr>
                <w:rFonts w:ascii="宋体" w:hAnsi="宋体" w:cs="宋体"/>
                <w:kern w:val="0"/>
                <w:highlight w:val="none"/>
              </w:rPr>
              <w:t>1</w:t>
            </w:r>
          </w:p>
        </w:tc>
        <w:tc>
          <w:tcPr>
            <w:tcW w:w="201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c>
          <w:tcPr>
            <w:tcW w:w="269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c>
          <w:tcPr>
            <w:tcW w:w="38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0" w:type="dxa"/>
            <w:tcBorders>
              <w:top w:val="single" w:color="auto" w:sz="4" w:space="0"/>
              <w:left w:val="single" w:color="auto" w:sz="4" w:space="0"/>
              <w:bottom w:val="single" w:color="auto" w:sz="4" w:space="0"/>
              <w:right w:val="single" w:color="auto" w:sz="4" w:space="0"/>
            </w:tcBorders>
          </w:tcPr>
          <w:p>
            <w:pPr>
              <w:snapToGrid w:val="0"/>
              <w:spacing w:line="360" w:lineRule="auto"/>
              <w:ind w:firstLine="0" w:firstLineChars="0"/>
              <w:jc w:val="center"/>
              <w:rPr>
                <w:rFonts w:ascii="宋体" w:hAnsi="宋体" w:cs="宋体"/>
                <w:kern w:val="0"/>
                <w:highlight w:val="none"/>
              </w:rPr>
            </w:pPr>
            <w:r>
              <w:rPr>
                <w:rFonts w:ascii="宋体" w:hAnsi="宋体" w:cs="宋体"/>
                <w:kern w:val="0"/>
                <w:highlight w:val="none"/>
              </w:rPr>
              <w:t>2</w:t>
            </w:r>
          </w:p>
        </w:tc>
        <w:tc>
          <w:tcPr>
            <w:tcW w:w="201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c>
          <w:tcPr>
            <w:tcW w:w="269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c>
          <w:tcPr>
            <w:tcW w:w="38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90" w:type="dxa"/>
            <w:tcBorders>
              <w:top w:val="single" w:color="auto" w:sz="4" w:space="0"/>
              <w:left w:val="single" w:color="auto" w:sz="4" w:space="0"/>
              <w:bottom w:val="single" w:color="auto" w:sz="4" w:space="0"/>
              <w:right w:val="single" w:color="auto" w:sz="4" w:space="0"/>
            </w:tcBorders>
          </w:tcPr>
          <w:p>
            <w:pPr>
              <w:snapToGrid w:val="0"/>
              <w:spacing w:line="360" w:lineRule="auto"/>
              <w:ind w:firstLine="0" w:firstLineChars="0"/>
              <w:jc w:val="center"/>
              <w:rPr>
                <w:rFonts w:ascii="宋体" w:hAnsi="宋体" w:cs="宋体"/>
                <w:kern w:val="0"/>
                <w:highlight w:val="none"/>
              </w:rPr>
            </w:pPr>
            <w:r>
              <w:rPr>
                <w:rFonts w:hint="eastAsia" w:ascii="宋体" w:hAnsi="宋体" w:cs="宋体"/>
                <w:kern w:val="0"/>
                <w:highlight w:val="none"/>
              </w:rPr>
              <w:t>…</w:t>
            </w:r>
          </w:p>
        </w:tc>
        <w:tc>
          <w:tcPr>
            <w:tcW w:w="201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c>
          <w:tcPr>
            <w:tcW w:w="269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c>
          <w:tcPr>
            <w:tcW w:w="38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kern w:val="0"/>
                <w:highlight w:val="none"/>
              </w:rPr>
            </w:pPr>
          </w:p>
        </w:tc>
      </w:tr>
    </w:tbl>
    <w:p>
      <w:pPr>
        <w:snapToGrid w:val="0"/>
        <w:spacing w:line="360" w:lineRule="auto"/>
        <w:rPr>
          <w:rFonts w:ascii="宋体" w:hAnsi="宋体" w:cs="宋体"/>
          <w:kern w:val="0"/>
          <w:highlight w:val="none"/>
        </w:rPr>
      </w:pPr>
      <w:r>
        <w:rPr>
          <w:rFonts w:hint="eastAsia" w:ascii="宋体" w:hAnsi="宋体" w:cs="宋体"/>
          <w:kern w:val="0"/>
          <w:highlight w:val="none"/>
        </w:rPr>
        <w:t>注：本表后应附相关证明材料，具体要求见第三章评标办法。</w:t>
      </w: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jc w:val="center"/>
        <w:rPr>
          <w:rFonts w:ascii="楷体_GB2312" w:eastAsia="楷体_GB2312"/>
          <w:b/>
          <w:sz w:val="44"/>
          <w:highlight w:val="none"/>
        </w:rPr>
      </w:pPr>
    </w:p>
    <w:p>
      <w:pPr>
        <w:pStyle w:val="39"/>
        <w:ind w:firstLine="0" w:firstLineChars="0"/>
        <w:rPr>
          <w:rFonts w:ascii="楷体_GB2312" w:eastAsia="楷体_GB2312"/>
          <w:b/>
          <w:sz w:val="44"/>
          <w:highlight w:val="none"/>
        </w:rPr>
      </w:pPr>
    </w:p>
    <w:p>
      <w:pPr>
        <w:pStyle w:val="39"/>
        <w:ind w:firstLine="880"/>
        <w:jc w:val="center"/>
        <w:rPr>
          <w:rFonts w:ascii="楷体_GB2312" w:eastAsia="楷体_GB2312"/>
          <w:b/>
          <w:sz w:val="44"/>
          <w:highlight w:val="none"/>
        </w:rPr>
      </w:pPr>
      <w:r>
        <w:rPr>
          <w:rFonts w:hint="eastAsia" w:ascii="楷体_GB2312" w:eastAsia="楷体_GB2312"/>
          <w:b/>
          <w:sz w:val="44"/>
          <w:highlight w:val="none"/>
        </w:rPr>
        <w:t>七、项目方案</w:t>
      </w:r>
    </w:p>
    <w:p>
      <w:pPr>
        <w:pStyle w:val="39"/>
        <w:ind w:firstLine="880"/>
        <w:jc w:val="center"/>
        <w:rPr>
          <w:rFonts w:ascii="楷体_GB2312" w:eastAsia="楷体_GB2312"/>
          <w:b/>
          <w:sz w:val="44"/>
          <w:highlight w:val="none"/>
        </w:rPr>
      </w:pPr>
    </w:p>
    <w:p>
      <w:pPr>
        <w:pStyle w:val="39"/>
        <w:ind w:firstLine="880"/>
        <w:jc w:val="center"/>
        <w:rPr>
          <w:rFonts w:ascii="楷体_GB2312" w:eastAsia="楷体_GB2312"/>
          <w:b/>
          <w:sz w:val="44"/>
          <w:highlight w:val="none"/>
        </w:rPr>
      </w:pPr>
      <w:r>
        <w:rPr>
          <w:rFonts w:ascii="楷体_GB2312" w:eastAsia="楷体_GB2312"/>
          <w:b/>
          <w:sz w:val="44"/>
          <w:highlight w:val="none"/>
        </w:rPr>
        <w:t xml:space="preserve">    </w:t>
      </w:r>
    </w:p>
    <w:p>
      <w:pPr>
        <w:pStyle w:val="39"/>
        <w:ind w:firstLine="720"/>
        <w:rPr>
          <w:rFonts w:ascii="黑体" w:eastAsia="黑体"/>
          <w:sz w:val="36"/>
          <w:highlight w:val="none"/>
        </w:rPr>
      </w:pPr>
    </w:p>
    <w:p>
      <w:pPr>
        <w:spacing w:line="560" w:lineRule="exact"/>
        <w:ind w:firstLine="720"/>
        <w:jc w:val="center"/>
        <w:rPr>
          <w:rFonts w:ascii="黑体" w:eastAsia="黑体"/>
          <w:sz w:val="36"/>
          <w:highlight w:val="none"/>
        </w:rPr>
      </w:pPr>
    </w:p>
    <w:p>
      <w:pPr>
        <w:spacing w:line="560" w:lineRule="exact"/>
        <w:ind w:firstLine="720"/>
        <w:jc w:val="center"/>
        <w:rPr>
          <w:rFonts w:ascii="黑体" w:eastAsia="黑体"/>
          <w:sz w:val="36"/>
          <w:highlight w:val="none"/>
        </w:rPr>
      </w:pPr>
    </w:p>
    <w:p>
      <w:pPr>
        <w:spacing w:line="560" w:lineRule="exact"/>
        <w:ind w:firstLine="720"/>
        <w:jc w:val="center"/>
        <w:rPr>
          <w:rFonts w:ascii="黑体" w:eastAsia="黑体"/>
          <w:sz w:val="36"/>
          <w:highlight w:val="none"/>
        </w:rPr>
      </w:pPr>
    </w:p>
    <w:bookmarkEnd w:id="208"/>
    <w:bookmarkEnd w:id="209"/>
    <w:bookmarkEnd w:id="210"/>
    <w:p>
      <w:pPr>
        <w:spacing w:line="560" w:lineRule="exact"/>
        <w:jc w:val="center"/>
        <w:rPr>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fldChar w:fldCharType="begin"/>
    </w:r>
    <w:r>
      <w:instrText xml:space="preserve"> PAGE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a:effectLst/>
                    </wps:spPr>
                    <wps:txbx>
                      <w:txbxContent>
                        <w:p>
                          <w:pPr>
                            <w:pStyle w:val="20"/>
                            <w:ind w:firstLine="360"/>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Nhl/0QAAAAMBAAAPAAAAAAAAAAEAIAAAACIAAABkcnMv&#10;ZG93bnJldi54bWxQSwECFAAUAAAACACHTuJAknAABNEBAAClAwAADgAAAAAAAAABACAAAAAgAQAA&#10;ZHJzL2Uyb0RvYy54bWxQSwUGAAAAAAYABgBZAQAAYwUAAAAA&#10;">
              <v:fill on="f" focussize="0,0"/>
              <v:stroke on="f"/>
              <v:imagedata o:title=""/>
              <o:lock v:ext="edit" aspectratio="f"/>
              <v:textbox inset="0mm,0mm,0mm,0mm" style="mso-fit-shape-to-text:t;">
                <w:txbxContent>
                  <w:p>
                    <w:pPr>
                      <w:pStyle w:val="20"/>
                      <w:ind w:firstLine="360"/>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a:effectLst/>
                    </wps:spPr>
                    <wps:txbx>
                      <w:txbxContent>
                        <w:p>
                          <w:pPr>
                            <w:pStyle w:val="20"/>
                            <w:ind w:firstLine="360"/>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Nhl/0QAAAAMBAAAPAAAAAAAAAAEAIAAAACIAAABkcnMv&#10;ZG93bnJldi54bWxQSwECFAAUAAAACACHTuJAj+fKsNEBAAClAwAADgAAAAAAAAABACAAAAAgAQAA&#10;ZHJzL2Uyb0RvYy54bWxQSwUGAAAAAAYABgBZAQAAYwUAAAAA&#10;">
              <v:fill on="f" focussize="0,0"/>
              <v:stroke on="f"/>
              <v:imagedata o:title=""/>
              <o:lock v:ext="edit" aspectratio="f"/>
              <v:textbox inset="0mm,0mm,0mm,0mm" style="mso-fit-shape-to-text:t;">
                <w:txbxContent>
                  <w:p>
                    <w:pPr>
                      <w:pStyle w:val="20"/>
                      <w:ind w:firstLine="360"/>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6C26"/>
    <w:multiLevelType w:val="singleLevel"/>
    <w:tmpl w:val="81D16C26"/>
    <w:lvl w:ilvl="0" w:tentative="0">
      <w:start w:val="1"/>
      <w:numFmt w:val="decimal"/>
      <w:lvlText w:val="(%1)"/>
      <w:lvlJc w:val="left"/>
      <w:pPr>
        <w:ind w:left="425" w:hanging="425"/>
      </w:pPr>
      <w:rPr>
        <w:rFonts w:cs="Times New Roman"/>
      </w:rPr>
    </w:lvl>
  </w:abstractNum>
  <w:abstractNum w:abstractNumId="1">
    <w:nsid w:val="8A7FCE54"/>
    <w:multiLevelType w:val="singleLevel"/>
    <w:tmpl w:val="8A7FCE54"/>
    <w:lvl w:ilvl="0" w:tentative="0">
      <w:start w:val="1"/>
      <w:numFmt w:val="chineseCounting"/>
      <w:suff w:val="space"/>
      <w:lvlText w:val="第%1章"/>
      <w:lvlJc w:val="left"/>
      <w:rPr>
        <w:rFonts w:hint="eastAsia"/>
      </w:rPr>
    </w:lvl>
  </w:abstractNum>
  <w:abstractNum w:abstractNumId="2">
    <w:nsid w:val="C4B227D5"/>
    <w:multiLevelType w:val="singleLevel"/>
    <w:tmpl w:val="C4B227D5"/>
    <w:lvl w:ilvl="0" w:tentative="0">
      <w:start w:val="1"/>
      <w:numFmt w:val="chineseCounting"/>
      <w:suff w:val="nothing"/>
      <w:lvlText w:val="%1、"/>
      <w:lvlJc w:val="left"/>
      <w:rPr>
        <w:rFonts w:hint="eastAsia"/>
      </w:rPr>
    </w:lvl>
  </w:abstractNum>
  <w:abstractNum w:abstractNumId="3">
    <w:nsid w:val="D9AAF3E8"/>
    <w:multiLevelType w:val="singleLevel"/>
    <w:tmpl w:val="D9AAF3E8"/>
    <w:lvl w:ilvl="0" w:tentative="0">
      <w:start w:val="1"/>
      <w:numFmt w:val="decimal"/>
      <w:lvlText w:val="(%1)"/>
      <w:lvlJc w:val="left"/>
      <w:pPr>
        <w:ind w:left="425" w:hanging="425"/>
      </w:pPr>
      <w:rPr>
        <w:rFonts w:cs="Times New Roman"/>
      </w:rPr>
    </w:lvl>
  </w:abstractNum>
  <w:abstractNum w:abstractNumId="4">
    <w:nsid w:val="F20EAA0D"/>
    <w:multiLevelType w:val="singleLevel"/>
    <w:tmpl w:val="F20EAA0D"/>
    <w:lvl w:ilvl="0" w:tentative="0">
      <w:start w:val="1"/>
      <w:numFmt w:val="decimal"/>
      <w:suff w:val="nothing"/>
      <w:lvlText w:val="%1、"/>
      <w:lvlJc w:val="left"/>
    </w:lvl>
  </w:abstractNum>
  <w:abstractNum w:abstractNumId="5">
    <w:nsid w:val="F8AE12EB"/>
    <w:multiLevelType w:val="singleLevel"/>
    <w:tmpl w:val="F8AE12EB"/>
    <w:lvl w:ilvl="0" w:tentative="0">
      <w:start w:val="1"/>
      <w:numFmt w:val="decimal"/>
      <w:lvlText w:val="(%1)"/>
      <w:lvlJc w:val="left"/>
      <w:pPr>
        <w:ind w:left="425" w:hanging="425"/>
      </w:pPr>
      <w:rPr>
        <w:rFonts w:cs="Times New Roman"/>
      </w:rPr>
    </w:lvl>
  </w:abstractNum>
  <w:abstractNum w:abstractNumId="6">
    <w:nsid w:val="0000000B"/>
    <w:multiLevelType w:val="multilevel"/>
    <w:tmpl w:val="0000000B"/>
    <w:lvl w:ilvl="0" w:tentative="0">
      <w:start w:val="1"/>
      <w:numFmt w:val="decimal"/>
      <w:lvlText w:val="19.%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lvlText w:val="15.1.%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D"/>
    <w:multiLevelType w:val="multilevel"/>
    <w:tmpl w:val="0000000D"/>
    <w:lvl w:ilvl="0" w:tentative="0">
      <w:start w:val="1"/>
      <w:numFmt w:val="decimal"/>
      <w:lvlText w:val="7.%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lvlText w:val="10.%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decimal"/>
      <w:lvlText w:val="8.%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11">
    <w:nsid w:val="00000015"/>
    <w:multiLevelType w:val="multilevel"/>
    <w:tmpl w:val="00000015"/>
    <w:lvl w:ilvl="0" w:tentative="0">
      <w:start w:val="1"/>
      <w:numFmt w:val="decimal"/>
      <w:lvlText w:val="18.%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6"/>
    <w:multiLevelType w:val="multilevel"/>
    <w:tmpl w:val="00000016"/>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3">
    <w:nsid w:val="00000017"/>
    <w:multiLevelType w:val="multilevel"/>
    <w:tmpl w:val="00000017"/>
    <w:lvl w:ilvl="0" w:tentative="0">
      <w:start w:val="1"/>
      <w:numFmt w:val="decimal"/>
      <w:lvlText w:val="17.%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A"/>
    <w:multiLevelType w:val="multilevel"/>
    <w:tmpl w:val="0000001A"/>
    <w:lvl w:ilvl="0" w:tentative="0">
      <w:start w:val="1"/>
      <w:numFmt w:val="decimal"/>
      <w:lvlText w:val="16.%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E"/>
    <w:multiLevelType w:val="multilevel"/>
    <w:tmpl w:val="0000001E"/>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6">
    <w:nsid w:val="00000020"/>
    <w:multiLevelType w:val="multilevel"/>
    <w:tmpl w:val="00000020"/>
    <w:lvl w:ilvl="0" w:tentative="0">
      <w:start w:val="1"/>
      <w:numFmt w:val="decimal"/>
      <w:lvlText w:val="13.%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decimal"/>
      <w:lvlText w:val="4.%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5"/>
    <w:multiLevelType w:val="multilevel"/>
    <w:tmpl w:val="00000025"/>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9">
    <w:nsid w:val="00000028"/>
    <w:multiLevelType w:val="multilevel"/>
    <w:tmpl w:val="00000028"/>
    <w:lvl w:ilvl="0" w:tentative="0">
      <w:start w:val="1"/>
      <w:numFmt w:val="decimal"/>
      <w:lvlText w:val="14.%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E"/>
    <w:multiLevelType w:val="multilevel"/>
    <w:tmpl w:val="0000002E"/>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F"/>
    <w:multiLevelType w:val="multilevel"/>
    <w:tmpl w:val="0000002F"/>
    <w:lvl w:ilvl="0" w:tentative="0">
      <w:start w:val="1"/>
      <w:numFmt w:val="decimal"/>
      <w:lvlText w:val="11.%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30"/>
    <w:multiLevelType w:val="multilevel"/>
    <w:tmpl w:val="00000030"/>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1"/>
    <w:multiLevelType w:val="multilevel"/>
    <w:tmpl w:val="00000031"/>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4">
    <w:nsid w:val="00000034"/>
    <w:multiLevelType w:val="multilevel"/>
    <w:tmpl w:val="00000034"/>
    <w:lvl w:ilvl="0" w:tentative="0">
      <w:start w:val="1"/>
      <w:numFmt w:val="decimal"/>
      <w:lvlText w:val="15.%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5"/>
    <w:multiLevelType w:val="multilevel"/>
    <w:tmpl w:val="00000035"/>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6">
    <w:nsid w:val="00000036"/>
    <w:multiLevelType w:val="multilevel"/>
    <w:tmpl w:val="00000036"/>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679"/>
        </w:tabs>
        <w:ind w:left="679" w:hanging="420"/>
      </w:pPr>
    </w:lvl>
    <w:lvl w:ilvl="2" w:tentative="0">
      <w:start w:val="1"/>
      <w:numFmt w:val="lowerRoman"/>
      <w:lvlText w:val="%3."/>
      <w:lvlJc w:val="right"/>
      <w:pPr>
        <w:tabs>
          <w:tab w:val="left" w:pos="1099"/>
        </w:tabs>
        <w:ind w:left="1099" w:hanging="420"/>
      </w:pPr>
    </w:lvl>
    <w:lvl w:ilvl="3" w:tentative="0">
      <w:start w:val="1"/>
      <w:numFmt w:val="decimal"/>
      <w:lvlText w:val="%4."/>
      <w:lvlJc w:val="left"/>
      <w:pPr>
        <w:tabs>
          <w:tab w:val="left" w:pos="1519"/>
        </w:tabs>
        <w:ind w:left="1519" w:hanging="420"/>
      </w:pPr>
    </w:lvl>
    <w:lvl w:ilvl="4" w:tentative="0">
      <w:start w:val="1"/>
      <w:numFmt w:val="lowerLetter"/>
      <w:lvlText w:val="%5)"/>
      <w:lvlJc w:val="left"/>
      <w:pPr>
        <w:tabs>
          <w:tab w:val="left" w:pos="1939"/>
        </w:tabs>
        <w:ind w:left="1939" w:hanging="420"/>
      </w:pPr>
    </w:lvl>
    <w:lvl w:ilvl="5" w:tentative="0">
      <w:start w:val="1"/>
      <w:numFmt w:val="lowerRoman"/>
      <w:lvlText w:val="%6."/>
      <w:lvlJc w:val="right"/>
      <w:pPr>
        <w:tabs>
          <w:tab w:val="left" w:pos="2359"/>
        </w:tabs>
        <w:ind w:left="2359" w:hanging="420"/>
      </w:pPr>
    </w:lvl>
    <w:lvl w:ilvl="6" w:tentative="0">
      <w:start w:val="1"/>
      <w:numFmt w:val="decimal"/>
      <w:lvlText w:val="%7."/>
      <w:lvlJc w:val="left"/>
      <w:pPr>
        <w:tabs>
          <w:tab w:val="left" w:pos="2779"/>
        </w:tabs>
        <w:ind w:left="2779" w:hanging="420"/>
      </w:pPr>
    </w:lvl>
    <w:lvl w:ilvl="7" w:tentative="0">
      <w:start w:val="1"/>
      <w:numFmt w:val="lowerLetter"/>
      <w:lvlText w:val="%8)"/>
      <w:lvlJc w:val="left"/>
      <w:pPr>
        <w:tabs>
          <w:tab w:val="left" w:pos="3199"/>
        </w:tabs>
        <w:ind w:left="3199" w:hanging="420"/>
      </w:pPr>
    </w:lvl>
    <w:lvl w:ilvl="8" w:tentative="0">
      <w:start w:val="1"/>
      <w:numFmt w:val="lowerRoman"/>
      <w:lvlText w:val="%9."/>
      <w:lvlJc w:val="right"/>
      <w:pPr>
        <w:tabs>
          <w:tab w:val="left" w:pos="3619"/>
        </w:tabs>
        <w:ind w:left="3619" w:hanging="420"/>
      </w:pPr>
    </w:lvl>
  </w:abstractNum>
  <w:abstractNum w:abstractNumId="27">
    <w:nsid w:val="00000037"/>
    <w:multiLevelType w:val="multilevel"/>
    <w:tmpl w:val="00000037"/>
    <w:lvl w:ilvl="0" w:tentative="0">
      <w:start w:val="1"/>
      <w:numFmt w:val="decimal"/>
      <w:lvlText w:val="6.%1"/>
      <w:lvlJc w:val="left"/>
      <w:pPr>
        <w:tabs>
          <w:tab w:val="left" w:pos="900"/>
        </w:tabs>
        <w:ind w:left="900" w:hanging="360"/>
      </w:pPr>
      <w:rPr>
        <w:rFonts w:hint="eastAsia" w:ascii="宋体" w:hAnsi="宋体" w:eastAsia="宋体"/>
        <w:b w:val="0"/>
        <w:i w:val="0"/>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28">
    <w:nsid w:val="00000038"/>
    <w:multiLevelType w:val="multilevel"/>
    <w:tmpl w:val="00000038"/>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A"/>
    <w:multiLevelType w:val="multilevel"/>
    <w:tmpl w:val="0000003A"/>
    <w:lvl w:ilvl="0" w:tentative="0">
      <w:start w:val="1"/>
      <w:numFmt w:val="decimal"/>
      <w:lvlText w:val="16.6.%1"/>
      <w:lvlJc w:val="left"/>
      <w:pPr>
        <w:tabs>
          <w:tab w:val="left" w:pos="1080"/>
        </w:tabs>
        <w:ind w:left="1080" w:hanging="360"/>
      </w:pPr>
      <w:rPr>
        <w:rFonts w:hint="eastAsia" w:ascii="宋体" w:hAnsi="宋体" w:eastAsia="宋体"/>
        <w:b w:val="0"/>
        <w:i w:val="0"/>
        <w:sz w:val="24"/>
        <w:szCs w:val="24"/>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23BA29E4"/>
    <w:multiLevelType w:val="singleLevel"/>
    <w:tmpl w:val="23BA29E4"/>
    <w:lvl w:ilvl="0" w:tentative="0">
      <w:start w:val="1"/>
      <w:numFmt w:val="chineseCounting"/>
      <w:suff w:val="nothing"/>
      <w:lvlText w:val="%1、"/>
      <w:lvlJc w:val="left"/>
      <w:rPr>
        <w:rFonts w:hint="eastAsia"/>
      </w:rPr>
    </w:lvl>
  </w:abstractNum>
  <w:abstractNum w:abstractNumId="31">
    <w:nsid w:val="3AC9A052"/>
    <w:multiLevelType w:val="singleLevel"/>
    <w:tmpl w:val="3AC9A052"/>
    <w:lvl w:ilvl="0" w:tentative="0">
      <w:start w:val="7"/>
      <w:numFmt w:val="decimal"/>
      <w:suff w:val="nothing"/>
      <w:lvlText w:val="%1、"/>
      <w:lvlJc w:val="left"/>
    </w:lvl>
  </w:abstractNum>
  <w:abstractNum w:abstractNumId="32">
    <w:nsid w:val="3B9A3146"/>
    <w:multiLevelType w:val="singleLevel"/>
    <w:tmpl w:val="3B9A3146"/>
    <w:lvl w:ilvl="0" w:tentative="0">
      <w:start w:val="2"/>
      <w:numFmt w:val="decimal"/>
      <w:suff w:val="nothing"/>
      <w:lvlText w:val="%1、"/>
      <w:lvlJc w:val="left"/>
    </w:lvl>
  </w:abstractNum>
  <w:abstractNum w:abstractNumId="33">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63"/>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abstractNum w:abstractNumId="34">
    <w:nsid w:val="4BB65475"/>
    <w:multiLevelType w:val="singleLevel"/>
    <w:tmpl w:val="4BB65475"/>
    <w:lvl w:ilvl="0" w:tentative="0">
      <w:start w:val="1"/>
      <w:numFmt w:val="bullet"/>
      <w:lvlText w:val=""/>
      <w:lvlJc w:val="left"/>
      <w:pPr>
        <w:tabs>
          <w:tab w:val="left" w:pos="425"/>
        </w:tabs>
        <w:ind w:left="425" w:hanging="425"/>
      </w:pPr>
      <w:rPr>
        <w:rFonts w:hint="default" w:ascii="Wingdings" w:hAnsi="Wingdings"/>
      </w:rPr>
    </w:lvl>
  </w:abstractNum>
  <w:abstractNum w:abstractNumId="35">
    <w:nsid w:val="50534607"/>
    <w:multiLevelType w:val="multilevel"/>
    <w:tmpl w:val="50534607"/>
    <w:lvl w:ilvl="0" w:tentative="0">
      <w:start w:val="1"/>
      <w:numFmt w:val="decimal"/>
      <w:lvlText w:val="（%1）"/>
      <w:lvlJc w:val="left"/>
      <w:pPr>
        <w:tabs>
          <w:tab w:val="left" w:pos="840"/>
        </w:tabs>
        <w:ind w:left="840" w:hanging="840"/>
      </w:pPr>
      <w:rPr>
        <w:rFonts w:hint="eastAsia" w:cs="Times New Roman"/>
      </w:rPr>
    </w:lvl>
    <w:lvl w:ilvl="1" w:tentative="0">
      <w:start w:val="1"/>
      <w:numFmt w:val="decimal"/>
      <w:lvlText w:val="（%2）"/>
      <w:lvlJc w:val="left"/>
      <w:pPr>
        <w:tabs>
          <w:tab w:val="left" w:pos="1500"/>
        </w:tabs>
        <w:ind w:left="1500" w:hanging="108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6">
    <w:nsid w:val="5BABE4C7"/>
    <w:multiLevelType w:val="singleLevel"/>
    <w:tmpl w:val="5BABE4C7"/>
    <w:lvl w:ilvl="0" w:tentative="0">
      <w:start w:val="1"/>
      <w:numFmt w:val="decimal"/>
      <w:lvlText w:val="(%1)"/>
      <w:lvlJc w:val="left"/>
      <w:pPr>
        <w:ind w:left="425" w:hanging="425"/>
      </w:pPr>
      <w:rPr>
        <w:rFonts w:cs="Times New Roman"/>
      </w:rPr>
    </w:lvl>
  </w:abstractNum>
  <w:abstractNum w:abstractNumId="37">
    <w:nsid w:val="67340F4A"/>
    <w:multiLevelType w:val="multilevel"/>
    <w:tmpl w:val="67340F4A"/>
    <w:lvl w:ilvl="0" w:tentative="0">
      <w:start w:val="1"/>
      <w:numFmt w:val="decimal"/>
      <w:lvlText w:val="1.%1"/>
      <w:lvlJc w:val="left"/>
      <w:pPr>
        <w:tabs>
          <w:tab w:val="left" w:pos="425"/>
        </w:tabs>
        <w:ind w:left="425" w:hanging="425"/>
      </w:pPr>
      <w:rPr>
        <w:rFonts w:hint="default" w:ascii="Times New Roman" w:hAnsi="Times New Roman" w:eastAsia="楷体_GB2312" w:cs="Times New Roman"/>
        <w:sz w:val="24"/>
        <w:szCs w:val="24"/>
      </w:rPr>
    </w:lvl>
    <w:lvl w:ilvl="1" w:tentative="0">
      <w:start w:val="1"/>
      <w:numFmt w:val="none"/>
      <w:lvlText w:val="28.1"/>
      <w:lvlJc w:val="left"/>
      <w:pPr>
        <w:tabs>
          <w:tab w:val="left" w:pos="567"/>
        </w:tabs>
        <w:ind w:left="567" w:hanging="567"/>
      </w:pPr>
      <w:rPr>
        <w:rFonts w:cs="Times New Roman"/>
      </w:rPr>
    </w:lvl>
    <w:lvl w:ilvl="2" w:tentative="0">
      <w:start w:val="1"/>
      <w:numFmt w:val="decimal"/>
      <w:lvlText w:val="5%2.%3"/>
      <w:lvlJc w:val="left"/>
      <w:pPr>
        <w:tabs>
          <w:tab w:val="left" w:pos="709"/>
        </w:tabs>
        <w:ind w:left="709" w:hanging="709"/>
      </w:pPr>
      <w:rPr>
        <w:rFonts w:cs="Times New Roman"/>
      </w:rPr>
    </w:lvl>
    <w:lvl w:ilvl="3" w:tentative="0">
      <w:start w:val="1"/>
      <w:numFmt w:val="decimal"/>
      <w:lvlText w:val="2.4.1.%4."/>
      <w:lvlJc w:val="left"/>
      <w:pPr>
        <w:tabs>
          <w:tab w:val="left" w:pos="851"/>
        </w:tabs>
        <w:ind w:left="851" w:hanging="851"/>
      </w:pPr>
      <w:rPr>
        <w:rFonts w:cs="Times New Roman"/>
        <w:sz w:val="21"/>
        <w:szCs w:val="21"/>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33"/>
    <w:lvlOverride w:ilvl="0">
      <w:startOverride w:val="1"/>
    </w:lvlOverride>
    <w:lvlOverride w:ilvl="1">
      <w:startOverride w:val="1"/>
    </w:lvlOverride>
  </w:num>
  <w:num w:numId="2">
    <w:abstractNumId w:val="1"/>
  </w:num>
  <w:num w:numId="3">
    <w:abstractNumId w:val="30"/>
  </w:num>
  <w:num w:numId="4">
    <w:abstractNumId w:val="4"/>
  </w:num>
  <w:num w:numId="5">
    <w:abstractNumId w:val="32"/>
  </w:num>
  <w:num w:numId="6">
    <w:abstractNumId w:val="31"/>
  </w:num>
  <w:num w:numId="7">
    <w:abstractNumId w:val="5"/>
    <w:lvlOverride w:ilvl="0">
      <w:startOverride w:val="1"/>
    </w:lvlOverride>
  </w:num>
  <w:num w:numId="8">
    <w:abstractNumId w:val="0"/>
    <w:lvlOverride w:ilvl="0">
      <w:startOverride w:val="1"/>
    </w:lvlOverride>
  </w:num>
  <w:num w:numId="9">
    <w:abstractNumId w:val="36"/>
    <w:lvlOverride w:ilvl="0">
      <w:startOverride w:val="1"/>
    </w:lvlOverride>
  </w:num>
  <w:num w:numId="10">
    <w:abstractNumId w:val="3"/>
    <w:lvlOverride w:ilvl="0">
      <w:startOverride w:val="1"/>
    </w:lvlOverride>
  </w:num>
  <w:num w:numId="11">
    <w:abstractNumId w:val="26"/>
  </w:num>
  <w:num w:numId="12">
    <w:abstractNumId w:val="20"/>
  </w:num>
  <w:num w:numId="13">
    <w:abstractNumId w:val="17"/>
  </w:num>
  <w:num w:numId="14">
    <w:abstractNumId w:val="27"/>
  </w:num>
  <w:num w:numId="15">
    <w:abstractNumId w:val="28"/>
  </w:num>
  <w:num w:numId="16">
    <w:abstractNumId w:val="22"/>
  </w:num>
  <w:num w:numId="17">
    <w:abstractNumId w:val="8"/>
  </w:num>
  <w:num w:numId="18">
    <w:abstractNumId w:val="18"/>
  </w:num>
  <w:num w:numId="19">
    <w:abstractNumId w:val="10"/>
  </w:num>
  <w:num w:numId="20">
    <w:abstractNumId w:val="9"/>
  </w:num>
  <w:num w:numId="21">
    <w:abstractNumId w:val="21"/>
  </w:num>
  <w:num w:numId="22">
    <w:abstractNumId w:val="16"/>
  </w:num>
  <w:num w:numId="23">
    <w:abstractNumId w:val="19"/>
  </w:num>
  <w:num w:numId="24">
    <w:abstractNumId w:val="24"/>
  </w:num>
  <w:num w:numId="25">
    <w:abstractNumId w:val="7"/>
  </w:num>
  <w:num w:numId="26">
    <w:abstractNumId w:val="14"/>
  </w:num>
  <w:num w:numId="27">
    <w:abstractNumId w:val="29"/>
  </w:num>
  <w:num w:numId="28">
    <w:abstractNumId w:val="23"/>
  </w:num>
  <w:num w:numId="29">
    <w:abstractNumId w:val="25"/>
  </w:num>
  <w:num w:numId="30">
    <w:abstractNumId w:val="13"/>
  </w:num>
  <w:num w:numId="31">
    <w:abstractNumId w:val="11"/>
  </w:num>
  <w:num w:numId="32">
    <w:abstractNumId w:val="6"/>
  </w:num>
  <w:num w:numId="33">
    <w:abstractNumId w:val="12"/>
  </w:num>
  <w:num w:numId="34">
    <w:abstractNumId w:val="15"/>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95"/>
    <w:rsid w:val="000115BC"/>
    <w:rsid w:val="00047ED4"/>
    <w:rsid w:val="000923E4"/>
    <w:rsid w:val="000B02F3"/>
    <w:rsid w:val="000C42B2"/>
    <w:rsid w:val="000C7E9F"/>
    <w:rsid w:val="000F7639"/>
    <w:rsid w:val="00173303"/>
    <w:rsid w:val="00177C8D"/>
    <w:rsid w:val="001A20E8"/>
    <w:rsid w:val="001A4573"/>
    <w:rsid w:val="001D2DB1"/>
    <w:rsid w:val="001F6AAF"/>
    <w:rsid w:val="00204E58"/>
    <w:rsid w:val="00224F63"/>
    <w:rsid w:val="00227A05"/>
    <w:rsid w:val="00294A51"/>
    <w:rsid w:val="002E54B1"/>
    <w:rsid w:val="00344996"/>
    <w:rsid w:val="0039494B"/>
    <w:rsid w:val="003C600E"/>
    <w:rsid w:val="003C70D9"/>
    <w:rsid w:val="003C79BC"/>
    <w:rsid w:val="003D035E"/>
    <w:rsid w:val="003D03C4"/>
    <w:rsid w:val="003D3D31"/>
    <w:rsid w:val="003D5956"/>
    <w:rsid w:val="003E078B"/>
    <w:rsid w:val="003E4FB5"/>
    <w:rsid w:val="00431BC0"/>
    <w:rsid w:val="004419A8"/>
    <w:rsid w:val="004450A0"/>
    <w:rsid w:val="00465D1D"/>
    <w:rsid w:val="00467FB5"/>
    <w:rsid w:val="004847BD"/>
    <w:rsid w:val="004874F8"/>
    <w:rsid w:val="00494102"/>
    <w:rsid w:val="004E2EBF"/>
    <w:rsid w:val="004E3B92"/>
    <w:rsid w:val="00512B63"/>
    <w:rsid w:val="00534FCE"/>
    <w:rsid w:val="005406B2"/>
    <w:rsid w:val="00550D21"/>
    <w:rsid w:val="00552AB7"/>
    <w:rsid w:val="005817F0"/>
    <w:rsid w:val="005C02E3"/>
    <w:rsid w:val="005D2D41"/>
    <w:rsid w:val="005D51C2"/>
    <w:rsid w:val="005F2EF2"/>
    <w:rsid w:val="00602224"/>
    <w:rsid w:val="00621CA8"/>
    <w:rsid w:val="00634BC5"/>
    <w:rsid w:val="0067725A"/>
    <w:rsid w:val="00684FB1"/>
    <w:rsid w:val="006E0FA9"/>
    <w:rsid w:val="00787485"/>
    <w:rsid w:val="007B321D"/>
    <w:rsid w:val="007E6876"/>
    <w:rsid w:val="00820273"/>
    <w:rsid w:val="00821BAE"/>
    <w:rsid w:val="00836FC1"/>
    <w:rsid w:val="00855797"/>
    <w:rsid w:val="00886B09"/>
    <w:rsid w:val="008920C3"/>
    <w:rsid w:val="008B6D17"/>
    <w:rsid w:val="008C1CA6"/>
    <w:rsid w:val="008E01E9"/>
    <w:rsid w:val="008F0E38"/>
    <w:rsid w:val="00915CE1"/>
    <w:rsid w:val="00950187"/>
    <w:rsid w:val="0098016C"/>
    <w:rsid w:val="00A03086"/>
    <w:rsid w:val="00A21E84"/>
    <w:rsid w:val="00AC2E07"/>
    <w:rsid w:val="00AD2D6F"/>
    <w:rsid w:val="00AF2911"/>
    <w:rsid w:val="00B12B78"/>
    <w:rsid w:val="00B432DA"/>
    <w:rsid w:val="00B51AB4"/>
    <w:rsid w:val="00B53B2B"/>
    <w:rsid w:val="00B9451E"/>
    <w:rsid w:val="00B954A8"/>
    <w:rsid w:val="00BC61A3"/>
    <w:rsid w:val="00C16389"/>
    <w:rsid w:val="00C41DA1"/>
    <w:rsid w:val="00C90FC2"/>
    <w:rsid w:val="00CF0E5E"/>
    <w:rsid w:val="00D0297C"/>
    <w:rsid w:val="00DB71BF"/>
    <w:rsid w:val="00DF16FB"/>
    <w:rsid w:val="00E14F50"/>
    <w:rsid w:val="00E20DD6"/>
    <w:rsid w:val="00E34D76"/>
    <w:rsid w:val="00E36F8A"/>
    <w:rsid w:val="00E576C9"/>
    <w:rsid w:val="00E94549"/>
    <w:rsid w:val="00EC0466"/>
    <w:rsid w:val="00EC587F"/>
    <w:rsid w:val="00EF32DF"/>
    <w:rsid w:val="00F03F06"/>
    <w:rsid w:val="00F2071D"/>
    <w:rsid w:val="00F30B95"/>
    <w:rsid w:val="00F33C3E"/>
    <w:rsid w:val="00F743BA"/>
    <w:rsid w:val="00F74630"/>
    <w:rsid w:val="00F854C8"/>
    <w:rsid w:val="00F86465"/>
    <w:rsid w:val="00FC65DD"/>
    <w:rsid w:val="00FE2000"/>
    <w:rsid w:val="01606EE3"/>
    <w:rsid w:val="024001A9"/>
    <w:rsid w:val="02763EBC"/>
    <w:rsid w:val="046E6088"/>
    <w:rsid w:val="04C16A89"/>
    <w:rsid w:val="04C81D91"/>
    <w:rsid w:val="06216115"/>
    <w:rsid w:val="06BC3862"/>
    <w:rsid w:val="06D11CAF"/>
    <w:rsid w:val="0717756A"/>
    <w:rsid w:val="07C22171"/>
    <w:rsid w:val="07CC28B2"/>
    <w:rsid w:val="07D84E31"/>
    <w:rsid w:val="0810514A"/>
    <w:rsid w:val="086526F2"/>
    <w:rsid w:val="099146C6"/>
    <w:rsid w:val="09C96A5A"/>
    <w:rsid w:val="09F21299"/>
    <w:rsid w:val="0A460CF6"/>
    <w:rsid w:val="0B283714"/>
    <w:rsid w:val="0B41393C"/>
    <w:rsid w:val="0B9D0152"/>
    <w:rsid w:val="0C62782C"/>
    <w:rsid w:val="0CA73AF1"/>
    <w:rsid w:val="0CF94393"/>
    <w:rsid w:val="0D4051BF"/>
    <w:rsid w:val="0E263E3D"/>
    <w:rsid w:val="0EF86885"/>
    <w:rsid w:val="0F0D1C2A"/>
    <w:rsid w:val="0F755100"/>
    <w:rsid w:val="10A85704"/>
    <w:rsid w:val="10AE7165"/>
    <w:rsid w:val="10E8585E"/>
    <w:rsid w:val="11167993"/>
    <w:rsid w:val="113B1D00"/>
    <w:rsid w:val="11F25A32"/>
    <w:rsid w:val="1242346D"/>
    <w:rsid w:val="128F3872"/>
    <w:rsid w:val="12B768F3"/>
    <w:rsid w:val="139C75AE"/>
    <w:rsid w:val="13B6206F"/>
    <w:rsid w:val="14226F67"/>
    <w:rsid w:val="182E6354"/>
    <w:rsid w:val="18317979"/>
    <w:rsid w:val="193A31F8"/>
    <w:rsid w:val="198B3EB7"/>
    <w:rsid w:val="1A7809EF"/>
    <w:rsid w:val="1AB31BB4"/>
    <w:rsid w:val="1B4A3AD3"/>
    <w:rsid w:val="1C3273C1"/>
    <w:rsid w:val="1C670D94"/>
    <w:rsid w:val="1E1F78E5"/>
    <w:rsid w:val="1E410236"/>
    <w:rsid w:val="200A50FB"/>
    <w:rsid w:val="204D7558"/>
    <w:rsid w:val="20935915"/>
    <w:rsid w:val="20953CEA"/>
    <w:rsid w:val="21433841"/>
    <w:rsid w:val="219115A2"/>
    <w:rsid w:val="21E95229"/>
    <w:rsid w:val="22D13947"/>
    <w:rsid w:val="23303052"/>
    <w:rsid w:val="23696ECC"/>
    <w:rsid w:val="243459F6"/>
    <w:rsid w:val="2484631B"/>
    <w:rsid w:val="253B27C3"/>
    <w:rsid w:val="258874D6"/>
    <w:rsid w:val="261812A7"/>
    <w:rsid w:val="26525544"/>
    <w:rsid w:val="26602C8C"/>
    <w:rsid w:val="26B159C8"/>
    <w:rsid w:val="27390D10"/>
    <w:rsid w:val="27C57482"/>
    <w:rsid w:val="28DB1F7C"/>
    <w:rsid w:val="28E024A0"/>
    <w:rsid w:val="29635045"/>
    <w:rsid w:val="29831DD5"/>
    <w:rsid w:val="299C54BC"/>
    <w:rsid w:val="29EF641D"/>
    <w:rsid w:val="2B276580"/>
    <w:rsid w:val="2B953A80"/>
    <w:rsid w:val="2CED3095"/>
    <w:rsid w:val="2D34107D"/>
    <w:rsid w:val="2EB26BD9"/>
    <w:rsid w:val="2ECD636A"/>
    <w:rsid w:val="2ED97F19"/>
    <w:rsid w:val="2F0263C7"/>
    <w:rsid w:val="2FC254DC"/>
    <w:rsid w:val="2FEA7C4B"/>
    <w:rsid w:val="30D72253"/>
    <w:rsid w:val="30EB4A47"/>
    <w:rsid w:val="31892DBD"/>
    <w:rsid w:val="326D1AEF"/>
    <w:rsid w:val="33C50B1D"/>
    <w:rsid w:val="35996691"/>
    <w:rsid w:val="363E1E32"/>
    <w:rsid w:val="36FF6E7A"/>
    <w:rsid w:val="38261E90"/>
    <w:rsid w:val="383D10FE"/>
    <w:rsid w:val="386904E4"/>
    <w:rsid w:val="38A317F4"/>
    <w:rsid w:val="392B12BE"/>
    <w:rsid w:val="393C2806"/>
    <w:rsid w:val="398E6F50"/>
    <w:rsid w:val="39BC7AB0"/>
    <w:rsid w:val="39ED5E33"/>
    <w:rsid w:val="3A98285E"/>
    <w:rsid w:val="3AB60E9D"/>
    <w:rsid w:val="3B902577"/>
    <w:rsid w:val="3BA256A0"/>
    <w:rsid w:val="3C4E02B8"/>
    <w:rsid w:val="3C6F79A4"/>
    <w:rsid w:val="3CCE3220"/>
    <w:rsid w:val="3D271E09"/>
    <w:rsid w:val="3D4A5318"/>
    <w:rsid w:val="3DBE3C7C"/>
    <w:rsid w:val="3E9B47EE"/>
    <w:rsid w:val="3F247411"/>
    <w:rsid w:val="3F8B411F"/>
    <w:rsid w:val="3F9352F9"/>
    <w:rsid w:val="4156439E"/>
    <w:rsid w:val="41864825"/>
    <w:rsid w:val="41A9728E"/>
    <w:rsid w:val="42FC68D1"/>
    <w:rsid w:val="4440450D"/>
    <w:rsid w:val="44A83741"/>
    <w:rsid w:val="45EA19AA"/>
    <w:rsid w:val="45FB2C13"/>
    <w:rsid w:val="462C1F2C"/>
    <w:rsid w:val="465C6C20"/>
    <w:rsid w:val="468B209E"/>
    <w:rsid w:val="47574CF5"/>
    <w:rsid w:val="47CB5697"/>
    <w:rsid w:val="480A62D3"/>
    <w:rsid w:val="485339EF"/>
    <w:rsid w:val="48DA3728"/>
    <w:rsid w:val="49333DE6"/>
    <w:rsid w:val="4A104700"/>
    <w:rsid w:val="4A650ED8"/>
    <w:rsid w:val="4A765495"/>
    <w:rsid w:val="4ADB34B1"/>
    <w:rsid w:val="4B7B1B71"/>
    <w:rsid w:val="4CB446DC"/>
    <w:rsid w:val="4CF437FA"/>
    <w:rsid w:val="4D1508F2"/>
    <w:rsid w:val="4D945F14"/>
    <w:rsid w:val="4D9A74E8"/>
    <w:rsid w:val="4DE31797"/>
    <w:rsid w:val="4E4F4B4F"/>
    <w:rsid w:val="4F4B3379"/>
    <w:rsid w:val="503418BA"/>
    <w:rsid w:val="50A92EB0"/>
    <w:rsid w:val="50EB570E"/>
    <w:rsid w:val="522A7154"/>
    <w:rsid w:val="52A63D03"/>
    <w:rsid w:val="532703E3"/>
    <w:rsid w:val="55587620"/>
    <w:rsid w:val="556A6CE8"/>
    <w:rsid w:val="55940A82"/>
    <w:rsid w:val="55B26FD9"/>
    <w:rsid w:val="55F52CDA"/>
    <w:rsid w:val="5716254C"/>
    <w:rsid w:val="584E263C"/>
    <w:rsid w:val="594328F7"/>
    <w:rsid w:val="5B981026"/>
    <w:rsid w:val="5C286E12"/>
    <w:rsid w:val="5C631298"/>
    <w:rsid w:val="5D5E6355"/>
    <w:rsid w:val="5DAE2F46"/>
    <w:rsid w:val="5DF02B92"/>
    <w:rsid w:val="5E243FDA"/>
    <w:rsid w:val="5E3D1B65"/>
    <w:rsid w:val="5EED0DC0"/>
    <w:rsid w:val="607C0BE5"/>
    <w:rsid w:val="60AD107B"/>
    <w:rsid w:val="60E83A4D"/>
    <w:rsid w:val="616232AE"/>
    <w:rsid w:val="61B55928"/>
    <w:rsid w:val="62230CF9"/>
    <w:rsid w:val="626C38F8"/>
    <w:rsid w:val="626D3399"/>
    <w:rsid w:val="62BA13F2"/>
    <w:rsid w:val="62D94FFE"/>
    <w:rsid w:val="64D07F43"/>
    <w:rsid w:val="64E24740"/>
    <w:rsid w:val="65317D70"/>
    <w:rsid w:val="658D02AF"/>
    <w:rsid w:val="65B7512F"/>
    <w:rsid w:val="66097535"/>
    <w:rsid w:val="6627535B"/>
    <w:rsid w:val="675F6FFA"/>
    <w:rsid w:val="687C7B19"/>
    <w:rsid w:val="690F5828"/>
    <w:rsid w:val="697F74B4"/>
    <w:rsid w:val="6AA64ED9"/>
    <w:rsid w:val="6B4B0AA6"/>
    <w:rsid w:val="6B6A4E26"/>
    <w:rsid w:val="6BC41A26"/>
    <w:rsid w:val="6BF6510A"/>
    <w:rsid w:val="6C6D5A3F"/>
    <w:rsid w:val="6D82235F"/>
    <w:rsid w:val="6E2940FC"/>
    <w:rsid w:val="6E433FAC"/>
    <w:rsid w:val="6F032DC1"/>
    <w:rsid w:val="6F356372"/>
    <w:rsid w:val="6F9C40EA"/>
    <w:rsid w:val="720E2285"/>
    <w:rsid w:val="726A74DE"/>
    <w:rsid w:val="72C5029A"/>
    <w:rsid w:val="731C7BCA"/>
    <w:rsid w:val="73696CA7"/>
    <w:rsid w:val="762054D4"/>
    <w:rsid w:val="76A00994"/>
    <w:rsid w:val="781D53CB"/>
    <w:rsid w:val="78F82728"/>
    <w:rsid w:val="790E0086"/>
    <w:rsid w:val="79866A8A"/>
    <w:rsid w:val="7AB329FE"/>
    <w:rsid w:val="7B7F713B"/>
    <w:rsid w:val="7B8858C1"/>
    <w:rsid w:val="7C0C66A5"/>
    <w:rsid w:val="7D1441E2"/>
    <w:rsid w:val="7D4B05FE"/>
    <w:rsid w:val="7E081A68"/>
    <w:rsid w:val="7E561E43"/>
    <w:rsid w:val="7E5811FF"/>
    <w:rsid w:val="7E855C66"/>
    <w:rsid w:val="7F7A4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99"/>
    <w:pPr>
      <w:keepNext/>
      <w:keepLines/>
      <w:spacing w:before="340" w:after="330"/>
      <w:ind w:firstLine="0" w:firstLineChars="0"/>
      <w:jc w:val="center"/>
      <w:outlineLvl w:val="0"/>
    </w:pPr>
    <w:rPr>
      <w:rFonts w:ascii="宋体" w:hAnsi="宋体" w:cs="宋体"/>
      <w:b/>
      <w:bCs/>
      <w:kern w:val="44"/>
      <w:sz w:val="44"/>
      <w:szCs w:val="44"/>
    </w:rPr>
  </w:style>
  <w:style w:type="paragraph" w:styleId="4">
    <w:name w:val="heading 2"/>
    <w:basedOn w:val="1"/>
    <w:next w:val="1"/>
    <w:link w:val="43"/>
    <w:semiHidden/>
    <w:unhideWhenUsed/>
    <w:qFormat/>
    <w:uiPriority w:val="99"/>
    <w:pPr>
      <w:keepNext/>
      <w:keepLines/>
      <w:spacing w:before="260" w:after="260"/>
      <w:ind w:firstLine="0" w:firstLineChars="0"/>
      <w:jc w:val="center"/>
      <w:outlineLvl w:val="1"/>
    </w:pPr>
    <w:rPr>
      <w:rFonts w:ascii="Cambria" w:hAnsi="Cambria" w:cs="宋体"/>
      <w:b/>
      <w:bCs/>
      <w:kern w:val="0"/>
      <w:sz w:val="32"/>
      <w:szCs w:val="32"/>
    </w:rPr>
  </w:style>
  <w:style w:type="paragraph" w:styleId="5">
    <w:name w:val="heading 3"/>
    <w:basedOn w:val="1"/>
    <w:next w:val="1"/>
    <w:link w:val="44"/>
    <w:semiHidden/>
    <w:unhideWhenUsed/>
    <w:qFormat/>
    <w:uiPriority w:val="99"/>
    <w:pPr>
      <w:keepNext/>
      <w:keepLines/>
      <w:spacing w:before="260" w:after="260"/>
      <w:ind w:firstLine="0" w:firstLineChars="0"/>
      <w:jc w:val="center"/>
      <w:outlineLvl w:val="2"/>
    </w:pPr>
    <w:rPr>
      <w:rFonts w:ascii="宋体" w:hAnsi="宋体" w:cs="宋体"/>
      <w:b/>
      <w:bCs/>
      <w:kern w:val="0"/>
      <w:sz w:val="28"/>
      <w:szCs w:val="28"/>
    </w:rPr>
  </w:style>
  <w:style w:type="paragraph" w:styleId="6">
    <w:name w:val="heading 4"/>
    <w:basedOn w:val="1"/>
    <w:next w:val="1"/>
    <w:link w:val="45"/>
    <w:semiHidden/>
    <w:unhideWhenUsed/>
    <w:qFormat/>
    <w:uiPriority w:val="99"/>
    <w:pPr>
      <w:keepNext/>
      <w:keepLines/>
      <w:spacing w:before="280" w:after="290"/>
      <w:ind w:firstLine="0" w:firstLineChars="0"/>
      <w:outlineLvl w:val="3"/>
    </w:pPr>
    <w:rPr>
      <w:rFonts w:ascii="宋体" w:cs="宋体"/>
      <w:b/>
      <w:bCs/>
      <w:kern w:val="0"/>
      <w:sz w:val="24"/>
      <w:szCs w:val="24"/>
    </w:rPr>
  </w:style>
  <w:style w:type="paragraph" w:styleId="7">
    <w:name w:val="heading 5"/>
    <w:basedOn w:val="1"/>
    <w:next w:val="1"/>
    <w:link w:val="46"/>
    <w:semiHidden/>
    <w:unhideWhenUsed/>
    <w:qFormat/>
    <w:uiPriority w:val="99"/>
    <w:pPr>
      <w:keepNext/>
      <w:keepLines/>
      <w:spacing w:before="280" w:after="290"/>
      <w:ind w:firstLine="0" w:firstLineChars="0"/>
      <w:outlineLvl w:val="4"/>
    </w:pPr>
    <w:rPr>
      <w:rFonts w:ascii="宋体" w:cs="宋体"/>
      <w:b/>
      <w:bCs/>
      <w:kern w:val="0"/>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8">
    <w:name w:val="toc 7"/>
    <w:basedOn w:val="1"/>
    <w:next w:val="1"/>
    <w:semiHidden/>
    <w:unhideWhenUsed/>
    <w:qFormat/>
    <w:uiPriority w:val="99"/>
    <w:pPr>
      <w:ind w:left="2520" w:leftChars="1200" w:firstLine="0" w:firstLineChars="0"/>
    </w:pPr>
  </w:style>
  <w:style w:type="paragraph" w:styleId="9">
    <w:name w:val="Normal Indent"/>
    <w:basedOn w:val="1"/>
    <w:semiHidden/>
    <w:unhideWhenUsed/>
    <w:qFormat/>
    <w:uiPriority w:val="99"/>
    <w:rPr>
      <w:b/>
      <w:sz w:val="24"/>
      <w:szCs w:val="20"/>
    </w:rPr>
  </w:style>
  <w:style w:type="paragraph" w:styleId="10">
    <w:name w:val="annotation text"/>
    <w:basedOn w:val="1"/>
    <w:link w:val="48"/>
    <w:semiHidden/>
    <w:unhideWhenUsed/>
    <w:qFormat/>
    <w:uiPriority w:val="99"/>
    <w:pPr>
      <w:ind w:firstLine="0" w:firstLineChars="0"/>
      <w:jc w:val="left"/>
    </w:pPr>
    <w:rPr>
      <w:kern w:val="0"/>
      <w:sz w:val="20"/>
      <w:szCs w:val="20"/>
    </w:rPr>
  </w:style>
  <w:style w:type="paragraph" w:styleId="11">
    <w:name w:val="Body Text"/>
    <w:basedOn w:val="1"/>
    <w:link w:val="75"/>
    <w:unhideWhenUsed/>
    <w:qFormat/>
    <w:uiPriority w:val="99"/>
    <w:pPr>
      <w:ind w:left="100" w:firstLine="0" w:firstLineChars="0"/>
      <w:jc w:val="left"/>
    </w:pPr>
    <w:rPr>
      <w:kern w:val="0"/>
      <w:sz w:val="20"/>
      <w:szCs w:val="20"/>
    </w:rPr>
  </w:style>
  <w:style w:type="paragraph" w:styleId="12">
    <w:name w:val="Body Text Indent"/>
    <w:basedOn w:val="1"/>
    <w:next w:val="1"/>
    <w:qFormat/>
    <w:uiPriority w:val="0"/>
    <w:pPr>
      <w:spacing w:line="460" w:lineRule="atLeast"/>
      <w:ind w:firstLine="510"/>
    </w:pPr>
    <w:rPr>
      <w:spacing w:val="8"/>
      <w:sz w:val="24"/>
      <w:szCs w:val="24"/>
    </w:rPr>
  </w:style>
  <w:style w:type="paragraph" w:styleId="13">
    <w:name w:val="toc 5"/>
    <w:basedOn w:val="1"/>
    <w:next w:val="1"/>
    <w:semiHidden/>
    <w:unhideWhenUsed/>
    <w:qFormat/>
    <w:uiPriority w:val="99"/>
    <w:pPr>
      <w:ind w:left="1680" w:leftChars="800"/>
    </w:pPr>
  </w:style>
  <w:style w:type="paragraph" w:styleId="14">
    <w:name w:val="toc 3"/>
    <w:basedOn w:val="1"/>
    <w:next w:val="1"/>
    <w:semiHidden/>
    <w:unhideWhenUsed/>
    <w:qFormat/>
    <w:uiPriority w:val="99"/>
    <w:pPr>
      <w:ind w:left="840" w:leftChars="400"/>
    </w:pPr>
  </w:style>
  <w:style w:type="paragraph" w:styleId="15">
    <w:name w:val="Plain Text"/>
    <w:basedOn w:val="1"/>
    <w:link w:val="77"/>
    <w:semiHidden/>
    <w:unhideWhenUsed/>
    <w:qFormat/>
    <w:uiPriority w:val="99"/>
    <w:rPr>
      <w:rFonts w:ascii="宋体" w:hAnsi="Courier New" w:cs="Courier New"/>
      <w:kern w:val="0"/>
      <w:szCs w:val="21"/>
    </w:rPr>
  </w:style>
  <w:style w:type="paragraph" w:styleId="16">
    <w:name w:val="toc 8"/>
    <w:basedOn w:val="1"/>
    <w:next w:val="1"/>
    <w:semiHidden/>
    <w:unhideWhenUsed/>
    <w:qFormat/>
    <w:uiPriority w:val="99"/>
    <w:pPr>
      <w:ind w:left="2940" w:leftChars="1400" w:firstLine="0" w:firstLineChars="0"/>
    </w:pPr>
  </w:style>
  <w:style w:type="paragraph" w:styleId="17">
    <w:name w:val="Date"/>
    <w:basedOn w:val="1"/>
    <w:next w:val="1"/>
    <w:link w:val="50"/>
    <w:semiHidden/>
    <w:unhideWhenUsed/>
    <w:qFormat/>
    <w:uiPriority w:val="99"/>
  </w:style>
  <w:style w:type="paragraph" w:styleId="18">
    <w:name w:val="Body Text Indent 2"/>
    <w:basedOn w:val="1"/>
    <w:link w:val="78"/>
    <w:semiHidden/>
    <w:unhideWhenUsed/>
    <w:qFormat/>
    <w:uiPriority w:val="99"/>
    <w:pPr>
      <w:spacing w:after="120" w:line="480" w:lineRule="auto"/>
      <w:ind w:left="420" w:leftChars="200" w:firstLine="0" w:firstLineChars="0"/>
      <w:jc w:val="left"/>
    </w:pPr>
    <w:rPr>
      <w:kern w:val="0"/>
      <w:sz w:val="20"/>
      <w:szCs w:val="20"/>
    </w:rPr>
  </w:style>
  <w:style w:type="paragraph" w:styleId="19">
    <w:name w:val="Balloon Text"/>
    <w:basedOn w:val="1"/>
    <w:link w:val="80"/>
    <w:semiHidden/>
    <w:unhideWhenUsed/>
    <w:qFormat/>
    <w:uiPriority w:val="99"/>
    <w:rPr>
      <w:kern w:val="0"/>
      <w:sz w:val="18"/>
      <w:szCs w:val="18"/>
    </w:rPr>
  </w:style>
  <w:style w:type="paragraph" w:styleId="20">
    <w:name w:val="footer"/>
    <w:basedOn w:val="1"/>
    <w:link w:val="41"/>
    <w:semiHidden/>
    <w:unhideWhenUsed/>
    <w:qFormat/>
    <w:uiPriority w:val="99"/>
    <w:pPr>
      <w:tabs>
        <w:tab w:val="center" w:pos="4153"/>
        <w:tab w:val="right" w:pos="8306"/>
      </w:tabs>
      <w:snapToGrid w:val="0"/>
      <w:jc w:val="left"/>
    </w:pPr>
    <w:rPr>
      <w:sz w:val="18"/>
      <w:szCs w:val="18"/>
    </w:rPr>
  </w:style>
  <w:style w:type="paragraph" w:styleId="21">
    <w:name w:val="header"/>
    <w:basedOn w:val="1"/>
    <w:link w:val="4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unhideWhenUsed/>
    <w:qFormat/>
    <w:uiPriority w:val="39"/>
  </w:style>
  <w:style w:type="paragraph" w:styleId="23">
    <w:name w:val="toc 4"/>
    <w:basedOn w:val="1"/>
    <w:next w:val="1"/>
    <w:semiHidden/>
    <w:unhideWhenUsed/>
    <w:qFormat/>
    <w:uiPriority w:val="99"/>
    <w:pPr>
      <w:ind w:left="1260" w:leftChars="600"/>
    </w:pPr>
  </w:style>
  <w:style w:type="paragraph" w:styleId="24">
    <w:name w:val="toc 6"/>
    <w:basedOn w:val="1"/>
    <w:next w:val="1"/>
    <w:semiHidden/>
    <w:unhideWhenUsed/>
    <w:qFormat/>
    <w:uiPriority w:val="99"/>
    <w:pPr>
      <w:ind w:left="2100" w:leftChars="1000" w:firstLine="0" w:firstLineChars="0"/>
    </w:pPr>
  </w:style>
  <w:style w:type="paragraph" w:styleId="25">
    <w:name w:val="toc 2"/>
    <w:basedOn w:val="1"/>
    <w:next w:val="1"/>
    <w:semiHidden/>
    <w:unhideWhenUsed/>
    <w:qFormat/>
    <w:uiPriority w:val="39"/>
    <w:pPr>
      <w:ind w:left="420" w:leftChars="200"/>
    </w:pPr>
  </w:style>
  <w:style w:type="paragraph" w:styleId="26">
    <w:name w:val="toc 9"/>
    <w:basedOn w:val="1"/>
    <w:next w:val="1"/>
    <w:semiHidden/>
    <w:unhideWhenUsed/>
    <w:qFormat/>
    <w:uiPriority w:val="99"/>
    <w:pPr>
      <w:ind w:left="3360" w:leftChars="1600" w:firstLine="0" w:firstLineChars="0"/>
    </w:pPr>
  </w:style>
  <w:style w:type="paragraph" w:styleId="27">
    <w:name w:val="Body Text 2"/>
    <w:basedOn w:val="1"/>
    <w:qFormat/>
    <w:uiPriority w:val="0"/>
    <w:pPr>
      <w:spacing w:after="120" w:line="480" w:lineRule="auto"/>
    </w:pPr>
  </w:style>
  <w:style w:type="paragraph" w:styleId="28">
    <w:name w:val="HTML Preformatted"/>
    <w:basedOn w:val="1"/>
    <w:link w:val="4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olor w:val="000000"/>
      <w:kern w:val="0"/>
      <w:sz w:val="24"/>
      <w:szCs w:val="24"/>
    </w:rPr>
  </w:style>
  <w:style w:type="paragraph" w:styleId="30">
    <w:name w:val="Title"/>
    <w:basedOn w:val="1"/>
    <w:next w:val="1"/>
    <w:qFormat/>
    <w:uiPriority w:val="0"/>
    <w:pPr>
      <w:spacing w:before="240" w:after="60"/>
      <w:jc w:val="center"/>
      <w:outlineLvl w:val="0"/>
    </w:pPr>
    <w:rPr>
      <w:rFonts w:ascii="Cambria" w:hAnsi="Cambria"/>
      <w:b/>
      <w:bCs/>
      <w:sz w:val="32"/>
      <w:szCs w:val="32"/>
    </w:rPr>
  </w:style>
  <w:style w:type="paragraph" w:styleId="31">
    <w:name w:val="annotation subject"/>
    <w:basedOn w:val="10"/>
    <w:next w:val="10"/>
    <w:link w:val="86"/>
    <w:semiHidden/>
    <w:unhideWhenUsed/>
    <w:qFormat/>
    <w:uiPriority w:val="99"/>
    <w:pPr>
      <w:ind w:firstLine="420" w:firstLineChars="200"/>
    </w:pPr>
    <w:rPr>
      <w:b/>
      <w:bCs/>
      <w:kern w:val="2"/>
      <w:sz w:val="21"/>
      <w:szCs w:val="22"/>
    </w:rPr>
  </w:style>
  <w:style w:type="paragraph" w:styleId="32">
    <w:name w:val="Body Text First Indent 2"/>
    <w:basedOn w:val="12"/>
    <w:next w:val="1"/>
    <w:unhideWhenUsed/>
    <w:qFormat/>
    <w:uiPriority w:val="99"/>
    <w:pPr>
      <w:spacing w:line="360" w:lineRule="auto"/>
      <w:ind w:firstLine="420"/>
    </w:pPr>
  </w:style>
  <w:style w:type="table" w:styleId="34">
    <w:name w:val="Table Grid"/>
    <w:basedOn w:val="3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FollowedHyperlink"/>
    <w:basedOn w:val="35"/>
    <w:semiHidden/>
    <w:unhideWhenUsed/>
    <w:qFormat/>
    <w:uiPriority w:val="99"/>
    <w:rPr>
      <w:color w:val="800080" w:themeColor="followedHyperlink"/>
      <w:u w:val="single"/>
      <w14:textFill>
        <w14:solidFill>
          <w14:schemeClr w14:val="folHlink"/>
        </w14:solidFill>
      </w14:textFill>
    </w:rPr>
  </w:style>
  <w:style w:type="character" w:styleId="37">
    <w:name w:val="Hyperlink"/>
    <w:unhideWhenUsed/>
    <w:qFormat/>
    <w:uiPriority w:val="99"/>
    <w:rPr>
      <w:rFonts w:hint="default" w:ascii="Times New Roman" w:hAnsi="Times New Roman" w:cs="Times New Roman"/>
      <w:color w:val="0000FF"/>
      <w:u w:val="single"/>
    </w:rPr>
  </w:style>
  <w:style w:type="character" w:styleId="38">
    <w:name w:val="annotation reference"/>
    <w:semiHidden/>
    <w:unhideWhenUsed/>
    <w:qFormat/>
    <w:uiPriority w:val="99"/>
    <w:rPr>
      <w:sz w:val="21"/>
      <w:szCs w:val="21"/>
    </w:rPr>
  </w:style>
  <w:style w:type="paragraph" w:customStyle="1" w:styleId="39">
    <w:name w:val="正文（缩进）"/>
    <w:basedOn w:val="1"/>
    <w:qFormat/>
    <w:uiPriority w:val="99"/>
    <w:pPr>
      <w:ind w:firstLine="480"/>
    </w:pPr>
  </w:style>
  <w:style w:type="character" w:customStyle="1" w:styleId="40">
    <w:name w:val="页眉 Char"/>
    <w:basedOn w:val="35"/>
    <w:link w:val="21"/>
    <w:semiHidden/>
    <w:qFormat/>
    <w:uiPriority w:val="99"/>
    <w:rPr>
      <w:sz w:val="18"/>
      <w:szCs w:val="18"/>
    </w:rPr>
  </w:style>
  <w:style w:type="character" w:customStyle="1" w:styleId="41">
    <w:name w:val="页脚 Char"/>
    <w:basedOn w:val="35"/>
    <w:link w:val="20"/>
    <w:semiHidden/>
    <w:qFormat/>
    <w:uiPriority w:val="99"/>
    <w:rPr>
      <w:sz w:val="18"/>
      <w:szCs w:val="18"/>
    </w:rPr>
  </w:style>
  <w:style w:type="character" w:customStyle="1" w:styleId="42">
    <w:name w:val="标题 1 Char"/>
    <w:basedOn w:val="35"/>
    <w:link w:val="3"/>
    <w:qFormat/>
    <w:uiPriority w:val="99"/>
    <w:rPr>
      <w:rFonts w:ascii="宋体" w:hAnsi="宋体" w:eastAsia="宋体" w:cs="宋体"/>
      <w:b/>
      <w:bCs/>
      <w:kern w:val="44"/>
      <w:sz w:val="44"/>
      <w:szCs w:val="44"/>
    </w:rPr>
  </w:style>
  <w:style w:type="character" w:customStyle="1" w:styleId="43">
    <w:name w:val="标题 2 Char"/>
    <w:basedOn w:val="35"/>
    <w:link w:val="4"/>
    <w:semiHidden/>
    <w:qFormat/>
    <w:uiPriority w:val="99"/>
    <w:rPr>
      <w:rFonts w:ascii="Cambria" w:hAnsi="Cambria" w:eastAsia="宋体" w:cs="宋体"/>
      <w:b/>
      <w:bCs/>
      <w:kern w:val="0"/>
      <w:sz w:val="32"/>
      <w:szCs w:val="32"/>
    </w:rPr>
  </w:style>
  <w:style w:type="character" w:customStyle="1" w:styleId="44">
    <w:name w:val="标题 3 Char"/>
    <w:basedOn w:val="35"/>
    <w:link w:val="5"/>
    <w:semiHidden/>
    <w:qFormat/>
    <w:uiPriority w:val="99"/>
    <w:rPr>
      <w:rFonts w:ascii="宋体" w:hAnsi="宋体" w:eastAsia="宋体" w:cs="宋体"/>
      <w:b/>
      <w:bCs/>
      <w:kern w:val="0"/>
      <w:sz w:val="28"/>
      <w:szCs w:val="28"/>
    </w:rPr>
  </w:style>
  <w:style w:type="character" w:customStyle="1" w:styleId="45">
    <w:name w:val="标题 4 Char"/>
    <w:basedOn w:val="35"/>
    <w:link w:val="6"/>
    <w:semiHidden/>
    <w:qFormat/>
    <w:uiPriority w:val="99"/>
    <w:rPr>
      <w:rFonts w:ascii="宋体" w:hAnsi="Calibri" w:eastAsia="宋体" w:cs="宋体"/>
      <w:b/>
      <w:bCs/>
      <w:kern w:val="0"/>
      <w:sz w:val="24"/>
      <w:szCs w:val="24"/>
    </w:rPr>
  </w:style>
  <w:style w:type="character" w:customStyle="1" w:styleId="46">
    <w:name w:val="标题 5 Char"/>
    <w:basedOn w:val="35"/>
    <w:link w:val="7"/>
    <w:semiHidden/>
    <w:qFormat/>
    <w:uiPriority w:val="99"/>
    <w:rPr>
      <w:rFonts w:ascii="宋体" w:hAnsi="Calibri" w:eastAsia="宋体" w:cs="宋体"/>
      <w:b/>
      <w:bCs/>
      <w:kern w:val="0"/>
      <w:szCs w:val="21"/>
    </w:rPr>
  </w:style>
  <w:style w:type="character" w:customStyle="1" w:styleId="47">
    <w:name w:val="HTML 预设格式 Char"/>
    <w:basedOn w:val="35"/>
    <w:link w:val="28"/>
    <w:semiHidden/>
    <w:qFormat/>
    <w:uiPriority w:val="99"/>
    <w:rPr>
      <w:rFonts w:ascii="宋体" w:hAnsi="宋体" w:eastAsia="宋体" w:cs="Times New Roman"/>
      <w:kern w:val="0"/>
      <w:sz w:val="24"/>
    </w:rPr>
  </w:style>
  <w:style w:type="character" w:customStyle="1" w:styleId="48">
    <w:name w:val="批注文字 Char"/>
    <w:basedOn w:val="35"/>
    <w:link w:val="10"/>
    <w:semiHidden/>
    <w:qFormat/>
    <w:uiPriority w:val="99"/>
    <w:rPr>
      <w:rFonts w:ascii="Calibri" w:hAnsi="Calibri" w:eastAsia="宋体" w:cs="Times New Roman"/>
      <w:kern w:val="0"/>
      <w:sz w:val="20"/>
      <w:szCs w:val="20"/>
    </w:rPr>
  </w:style>
  <w:style w:type="character" w:customStyle="1" w:styleId="49">
    <w:name w:val="正文文本 Char"/>
    <w:basedOn w:val="35"/>
    <w:semiHidden/>
    <w:qFormat/>
    <w:uiPriority w:val="99"/>
    <w:rPr>
      <w:rFonts w:ascii="Calibri" w:hAnsi="Calibri" w:eastAsia="宋体" w:cs="Times New Roman"/>
    </w:rPr>
  </w:style>
  <w:style w:type="character" w:customStyle="1" w:styleId="50">
    <w:name w:val="日期 Char"/>
    <w:basedOn w:val="35"/>
    <w:link w:val="17"/>
    <w:semiHidden/>
    <w:qFormat/>
    <w:uiPriority w:val="99"/>
    <w:rPr>
      <w:rFonts w:ascii="Calibri" w:hAnsi="Calibri" w:eastAsia="宋体" w:cs="Times New Roman"/>
    </w:rPr>
  </w:style>
  <w:style w:type="character" w:customStyle="1" w:styleId="51">
    <w:name w:val="正文文本缩进 2 Char"/>
    <w:basedOn w:val="35"/>
    <w:semiHidden/>
    <w:qFormat/>
    <w:uiPriority w:val="99"/>
    <w:rPr>
      <w:rFonts w:ascii="Calibri" w:hAnsi="Calibri" w:eastAsia="宋体" w:cs="Times New Roman"/>
    </w:rPr>
  </w:style>
  <w:style w:type="character" w:customStyle="1" w:styleId="52">
    <w:name w:val="纯文本 Char"/>
    <w:basedOn w:val="35"/>
    <w:semiHidden/>
    <w:qFormat/>
    <w:uiPriority w:val="99"/>
    <w:rPr>
      <w:rFonts w:ascii="宋体" w:hAnsi="Courier New" w:eastAsia="宋体" w:cs="Courier New"/>
      <w:szCs w:val="21"/>
    </w:rPr>
  </w:style>
  <w:style w:type="character" w:customStyle="1" w:styleId="53">
    <w:name w:val="批注框文本 Char"/>
    <w:basedOn w:val="35"/>
    <w:semiHidden/>
    <w:qFormat/>
    <w:uiPriority w:val="99"/>
    <w:rPr>
      <w:rFonts w:ascii="Calibri" w:hAnsi="Calibri" w:eastAsia="宋体" w:cs="Times New Roman"/>
      <w:sz w:val="18"/>
      <w:szCs w:val="18"/>
    </w:rPr>
  </w:style>
  <w:style w:type="paragraph" w:styleId="54">
    <w:name w:val="No Spacing"/>
    <w:qFormat/>
    <w:uiPriority w:val="99"/>
    <w:pPr>
      <w:widowControl w:val="0"/>
      <w:jc w:val="both"/>
    </w:pPr>
    <w:rPr>
      <w:rFonts w:ascii="Calibri" w:hAnsi="Calibri" w:eastAsia="宋体" w:cs="Times New Roman"/>
      <w:kern w:val="2"/>
      <w:sz w:val="28"/>
      <w:szCs w:val="22"/>
      <w:lang w:val="en-US" w:eastAsia="zh-CN" w:bidi="ar-SA"/>
    </w:rPr>
  </w:style>
  <w:style w:type="paragraph" w:styleId="55">
    <w:name w:val="List Paragraph"/>
    <w:basedOn w:val="1"/>
    <w:qFormat/>
    <w:uiPriority w:val="34"/>
    <w:pPr>
      <w:ind w:firstLine="0" w:firstLineChars="0"/>
      <w:jc w:val="left"/>
    </w:pPr>
    <w:rPr>
      <w:kern w:val="0"/>
      <w:sz w:val="22"/>
      <w:lang w:eastAsia="en-US"/>
    </w:rPr>
  </w:style>
  <w:style w:type="paragraph" w:customStyle="1" w:styleId="56">
    <w:name w:val="正文段"/>
    <w:basedOn w:val="1"/>
    <w:qFormat/>
    <w:uiPriority w:val="99"/>
    <w:pPr>
      <w:widowControl/>
      <w:snapToGrid w:val="0"/>
      <w:ind w:firstLine="200"/>
    </w:pPr>
    <w:rPr>
      <w:kern w:val="0"/>
      <w:sz w:val="24"/>
    </w:rPr>
  </w:style>
  <w:style w:type="paragraph" w:customStyle="1" w:styleId="57">
    <w:name w:val="Char Char Char Char Char Char Char Char Char Char Char"/>
    <w:basedOn w:val="1"/>
    <w:qFormat/>
    <w:uiPriority w:val="99"/>
    <w:pPr>
      <w:widowControl/>
      <w:spacing w:after="160" w:line="240" w:lineRule="exact"/>
      <w:jc w:val="left"/>
    </w:pPr>
    <w:rPr>
      <w:szCs w:val="24"/>
    </w:rPr>
  </w:style>
  <w:style w:type="paragraph" w:customStyle="1" w:styleId="58">
    <w:name w:val="纯文本_0"/>
    <w:basedOn w:val="1"/>
    <w:qFormat/>
    <w:uiPriority w:val="99"/>
    <w:pPr>
      <w:ind w:firstLine="0" w:firstLineChars="0"/>
    </w:pPr>
    <w:rPr>
      <w:rFonts w:ascii="宋体" w:hAnsi="Courier New"/>
      <w:kern w:val="0"/>
      <w:szCs w:val="20"/>
    </w:rPr>
  </w:style>
  <w:style w:type="paragraph" w:customStyle="1" w:styleId="59">
    <w:name w:val="Default"/>
    <w:next w:val="60"/>
    <w:qFormat/>
    <w:uiPriority w:val="99"/>
    <w:pPr>
      <w:autoSpaceDE w:val="0"/>
      <w:autoSpaceDN w:val="0"/>
      <w:adjustRightInd w:val="0"/>
    </w:pPr>
    <w:rPr>
      <w:rFonts w:ascii="宋体" w:hAnsi="Calibri" w:eastAsia="宋体" w:cs="Times New Roman"/>
      <w:color w:val="000000"/>
      <w:sz w:val="24"/>
      <w:szCs w:val="24"/>
      <w:lang w:val="en-US" w:eastAsia="en-US" w:bidi="ar-SA"/>
    </w:rPr>
  </w:style>
  <w:style w:type="paragraph" w:customStyle="1" w:styleId="60">
    <w:name w:val="大标题"/>
    <w:basedOn w:val="30"/>
    <w:next w:val="32"/>
    <w:qFormat/>
    <w:uiPriority w:val="0"/>
    <w:pPr>
      <w:adjustRightInd w:val="0"/>
      <w:spacing w:line="360" w:lineRule="auto"/>
      <w:ind w:firstLine="200" w:firstLineChars="200"/>
    </w:pPr>
    <w:rPr>
      <w:rFonts w:ascii="宋体" w:hAnsi="宋体"/>
      <w:bCs w:val="0"/>
      <w:kern w:val="0"/>
      <w:szCs w:val="20"/>
      <w:lang w:val="en-US" w:eastAsia="zh-CN"/>
    </w:rPr>
  </w:style>
  <w:style w:type="paragraph" w:customStyle="1" w:styleId="61">
    <w:name w:val="Table Paragraph"/>
    <w:basedOn w:val="1"/>
    <w:qFormat/>
    <w:uiPriority w:val="99"/>
    <w:pPr>
      <w:ind w:firstLine="0" w:firstLineChars="0"/>
      <w:jc w:val="left"/>
    </w:pPr>
    <w:rPr>
      <w:kern w:val="0"/>
      <w:sz w:val="22"/>
      <w:lang w:eastAsia="en-US"/>
    </w:rPr>
  </w:style>
  <w:style w:type="paragraph" w:customStyle="1" w:styleId="62">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63">
    <w:name w:val="标题 5（有编号）（绿盟科技）"/>
    <w:basedOn w:val="1"/>
    <w:next w:val="62"/>
    <w:qFormat/>
    <w:uiPriority w:val="99"/>
    <w:pPr>
      <w:keepNext/>
      <w:keepLines/>
      <w:numPr>
        <w:ilvl w:val="4"/>
        <w:numId w:val="1"/>
      </w:numPr>
      <w:spacing w:before="280" w:after="156" w:line="376" w:lineRule="auto"/>
      <w:ind w:firstLine="420"/>
      <w:jc w:val="left"/>
      <w:outlineLvl w:val="4"/>
    </w:pPr>
    <w:rPr>
      <w:rFonts w:ascii="Arial" w:hAnsi="Arial" w:eastAsia="黑体"/>
      <w:b/>
      <w:sz w:val="24"/>
      <w:szCs w:val="28"/>
    </w:rPr>
  </w:style>
  <w:style w:type="paragraph" w:customStyle="1" w:styleId="64">
    <w:name w:val="TOC 标题1"/>
    <w:basedOn w:val="3"/>
    <w:next w:val="1"/>
    <w:semiHidden/>
    <w:qFormat/>
    <w:uiPriority w:val="99"/>
    <w:pPr>
      <w:widowControl/>
      <w:spacing w:before="480" w:after="0" w:line="276" w:lineRule="auto"/>
      <w:jc w:val="left"/>
      <w:outlineLvl w:val="9"/>
    </w:pPr>
    <w:rPr>
      <w:rFonts w:ascii="Cambria" w:hAnsi="Cambria" w:cs="Times New Roman"/>
      <w:color w:val="365F91"/>
      <w:kern w:val="0"/>
      <w:sz w:val="28"/>
      <w:szCs w:val="28"/>
    </w:rPr>
  </w:style>
  <w:style w:type="paragraph" w:customStyle="1" w:styleId="65">
    <w:name w:val="正文360首行缩进"/>
    <w:basedOn w:val="1"/>
    <w:qFormat/>
    <w:uiPriority w:val="99"/>
    <w:pPr>
      <w:widowControl/>
      <w:spacing w:before="120" w:line="300" w:lineRule="auto"/>
      <w:ind w:firstLine="200"/>
      <w:jc w:val="left"/>
    </w:pPr>
    <w:rPr>
      <w:rFonts w:ascii="Times New Roman" w:hAnsi="Times New Roman"/>
      <w:kern w:val="0"/>
      <w:sz w:val="20"/>
      <w:szCs w:val="20"/>
    </w:rPr>
  </w:style>
  <w:style w:type="paragraph" w:customStyle="1" w:styleId="66">
    <w:name w:val="正文_1"/>
    <w:qFormat/>
    <w:uiPriority w:val="99"/>
    <w:pPr>
      <w:widowControl w:val="0"/>
      <w:jc w:val="both"/>
    </w:pPr>
    <w:rPr>
      <w:rFonts w:ascii="Calibri" w:hAnsi="Calibri" w:eastAsia="宋体" w:cs="Times New Roman"/>
      <w:sz w:val="24"/>
      <w:lang w:val="en-US" w:eastAsia="zh-CN" w:bidi="ar-SA"/>
    </w:rPr>
  </w:style>
  <w:style w:type="paragraph" w:customStyle="1" w:styleId="67">
    <w:name w:val="正文1"/>
    <w:basedOn w:val="1"/>
    <w:next w:val="1"/>
    <w:qFormat/>
    <w:uiPriority w:val="99"/>
    <w:pPr>
      <w:spacing w:before="156"/>
      <w:ind w:firstLine="510"/>
    </w:pPr>
    <w:rPr>
      <w:rFonts w:ascii="Times New Roman"/>
      <w:szCs w:val="20"/>
    </w:rPr>
  </w:style>
  <w:style w:type="paragraph" w:customStyle="1" w:styleId="68">
    <w:name w:val="正文_0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9">
    <w:name w:val="font121"/>
    <w:qFormat/>
    <w:uiPriority w:val="99"/>
    <w:rPr>
      <w:rFonts w:hint="default" w:ascii="Times New Roman" w:hAnsi="Times New Roman" w:cs="Times New Roman"/>
      <w:color w:val="FF0000"/>
      <w:sz w:val="20"/>
      <w:szCs w:val="20"/>
      <w:u w:val="none"/>
    </w:rPr>
  </w:style>
  <w:style w:type="character" w:customStyle="1" w:styleId="70">
    <w:name w:val="font21"/>
    <w:qFormat/>
    <w:uiPriority w:val="99"/>
    <w:rPr>
      <w:rFonts w:hint="eastAsia" w:ascii="宋体" w:hAnsi="宋体" w:eastAsia="宋体" w:cs="宋体"/>
      <w:color w:val="000000"/>
      <w:sz w:val="20"/>
      <w:szCs w:val="20"/>
      <w:u w:val="none"/>
    </w:rPr>
  </w:style>
  <w:style w:type="character" w:customStyle="1" w:styleId="71">
    <w:name w:val="font41"/>
    <w:qFormat/>
    <w:uiPriority w:val="99"/>
    <w:rPr>
      <w:rFonts w:hint="eastAsia" w:ascii="宋体" w:hAnsi="宋体" w:eastAsia="宋体" w:cs="宋体"/>
      <w:color w:val="000000"/>
      <w:sz w:val="20"/>
      <w:szCs w:val="20"/>
      <w:u w:val="none"/>
    </w:rPr>
  </w:style>
  <w:style w:type="character" w:customStyle="1" w:styleId="72">
    <w:name w:val="font81"/>
    <w:qFormat/>
    <w:uiPriority w:val="99"/>
    <w:rPr>
      <w:rFonts w:hint="default" w:ascii="Times New Roman" w:hAnsi="Times New Roman" w:cs="Times New Roman"/>
      <w:color w:val="000000"/>
      <w:sz w:val="20"/>
      <w:szCs w:val="20"/>
      <w:u w:val="none"/>
    </w:rPr>
  </w:style>
  <w:style w:type="character" w:customStyle="1" w:styleId="73">
    <w:name w:val="font61"/>
    <w:qFormat/>
    <w:uiPriority w:val="99"/>
    <w:rPr>
      <w:rFonts w:hint="eastAsia" w:ascii="宋体" w:hAnsi="宋体" w:eastAsia="宋体" w:cs="宋体"/>
      <w:color w:val="FF0000"/>
      <w:sz w:val="20"/>
      <w:szCs w:val="20"/>
      <w:u w:val="none"/>
    </w:rPr>
  </w:style>
  <w:style w:type="character" w:customStyle="1" w:styleId="74">
    <w:name w:val="font31"/>
    <w:qFormat/>
    <w:uiPriority w:val="99"/>
    <w:rPr>
      <w:rFonts w:hint="eastAsia" w:ascii="宋体" w:hAnsi="宋体" w:eastAsia="宋体" w:cs="宋体"/>
      <w:color w:val="000000"/>
      <w:sz w:val="22"/>
      <w:szCs w:val="22"/>
      <w:u w:val="none"/>
    </w:rPr>
  </w:style>
  <w:style w:type="character" w:customStyle="1" w:styleId="75">
    <w:name w:val="正文文本 Char1"/>
    <w:basedOn w:val="35"/>
    <w:link w:val="11"/>
    <w:semiHidden/>
    <w:qFormat/>
    <w:locked/>
    <w:uiPriority w:val="99"/>
    <w:rPr>
      <w:rFonts w:ascii="Calibri" w:hAnsi="Calibri" w:eastAsia="宋体" w:cs="Times New Roman"/>
      <w:kern w:val="0"/>
      <w:sz w:val="20"/>
      <w:szCs w:val="20"/>
    </w:rPr>
  </w:style>
  <w:style w:type="character" w:customStyle="1" w:styleId="76">
    <w:name w:val="页脚 Char1"/>
    <w:basedOn w:val="35"/>
    <w:semiHidden/>
    <w:qFormat/>
    <w:locked/>
    <w:uiPriority w:val="99"/>
    <w:rPr>
      <w:rFonts w:ascii="Calibri" w:hAnsi="Calibri" w:eastAsia="宋体" w:cs="Times New Roman"/>
      <w:kern w:val="0"/>
      <w:sz w:val="18"/>
      <w:szCs w:val="18"/>
    </w:rPr>
  </w:style>
  <w:style w:type="character" w:customStyle="1" w:styleId="77">
    <w:name w:val="纯文本 Char1"/>
    <w:basedOn w:val="35"/>
    <w:link w:val="15"/>
    <w:semiHidden/>
    <w:qFormat/>
    <w:locked/>
    <w:uiPriority w:val="99"/>
    <w:rPr>
      <w:rFonts w:ascii="宋体" w:hAnsi="Courier New" w:eastAsia="宋体" w:cs="Courier New"/>
      <w:kern w:val="0"/>
      <w:szCs w:val="21"/>
    </w:rPr>
  </w:style>
  <w:style w:type="character" w:customStyle="1" w:styleId="78">
    <w:name w:val="正文文本缩进 2 Char1"/>
    <w:basedOn w:val="35"/>
    <w:link w:val="18"/>
    <w:semiHidden/>
    <w:qFormat/>
    <w:locked/>
    <w:uiPriority w:val="99"/>
    <w:rPr>
      <w:rFonts w:ascii="Calibri" w:hAnsi="Calibri" w:eastAsia="宋体" w:cs="Times New Roman"/>
      <w:kern w:val="0"/>
      <w:sz w:val="20"/>
      <w:szCs w:val="20"/>
    </w:rPr>
  </w:style>
  <w:style w:type="character" w:customStyle="1" w:styleId="79">
    <w:name w:val="页眉 Char1"/>
    <w:basedOn w:val="35"/>
    <w:semiHidden/>
    <w:qFormat/>
    <w:locked/>
    <w:uiPriority w:val="99"/>
    <w:rPr>
      <w:rFonts w:ascii="Calibri" w:hAnsi="Calibri" w:eastAsia="宋体" w:cs="Times New Roman"/>
      <w:kern w:val="0"/>
      <w:sz w:val="18"/>
      <w:szCs w:val="18"/>
    </w:rPr>
  </w:style>
  <w:style w:type="character" w:customStyle="1" w:styleId="80">
    <w:name w:val="批注框文本 Char1"/>
    <w:basedOn w:val="35"/>
    <w:link w:val="19"/>
    <w:semiHidden/>
    <w:qFormat/>
    <w:locked/>
    <w:uiPriority w:val="99"/>
    <w:rPr>
      <w:rFonts w:ascii="Calibri" w:hAnsi="Calibri" w:eastAsia="宋体" w:cs="Times New Roman"/>
      <w:kern w:val="0"/>
      <w:sz w:val="18"/>
      <w:szCs w:val="18"/>
    </w:rPr>
  </w:style>
  <w:style w:type="table" w:customStyle="1" w:styleId="81">
    <w:name w:val="Table Normal1"/>
    <w:semiHidden/>
    <w:qFormat/>
    <w:uiPriority w:val="99"/>
    <w:pPr>
      <w:widowControl w:val="0"/>
    </w:pPr>
    <w:rPr>
      <w:rFonts w:ascii="Calibri" w:hAnsi="Calibri"/>
      <w:sz w:val="22"/>
      <w:lang w:eastAsia="en-US"/>
    </w:rPr>
    <w:tblPr>
      <w:tblCellMar>
        <w:top w:w="0" w:type="dxa"/>
        <w:left w:w="0" w:type="dxa"/>
        <w:bottom w:w="0" w:type="dxa"/>
        <w:right w:w="0" w:type="dxa"/>
      </w:tblCellMar>
    </w:tblPr>
  </w:style>
  <w:style w:type="paragraph" w:customStyle="1" w:styleId="82">
    <w:name w:val="普通(网站)_0"/>
    <w:basedOn w:val="66"/>
    <w:qFormat/>
    <w:uiPriority w:val="99"/>
    <w:pPr>
      <w:spacing w:before="100" w:beforeAutospacing="1" w:after="100" w:afterAutospacing="1"/>
      <w:jc w:val="left"/>
    </w:pPr>
  </w:style>
  <w:style w:type="paragraph" w:customStyle="1" w:styleId="83">
    <w:name w:val="标题 2_0"/>
    <w:basedOn w:val="1"/>
    <w:next w:val="1"/>
    <w:qFormat/>
    <w:uiPriority w:val="0"/>
    <w:pPr>
      <w:keepNext/>
      <w:keepLines/>
      <w:tabs>
        <w:tab w:val="left" w:pos="747"/>
      </w:tabs>
      <w:spacing w:before="260" w:after="260" w:line="480" w:lineRule="exact"/>
      <w:ind w:left="747" w:hanging="567" w:firstLineChars="0"/>
      <w:jc w:val="center"/>
      <w:outlineLvl w:val="1"/>
    </w:pPr>
    <w:rPr>
      <w:rFonts w:ascii="宋体" w:hAnsi="宋体" w:eastAsia="黑体"/>
      <w:bCs/>
      <w:iCs/>
      <w:kern w:val="0"/>
      <w:sz w:val="24"/>
    </w:rPr>
  </w:style>
  <w:style w:type="paragraph" w:customStyle="1" w:styleId="84">
    <w:name w:val="列出段落1"/>
    <w:basedOn w:val="1"/>
    <w:qFormat/>
    <w:uiPriority w:val="0"/>
    <w:pPr>
      <w:widowControl/>
      <w:ind w:left="720"/>
      <w:contextualSpacing/>
      <w:jc w:val="left"/>
    </w:pPr>
    <w:rPr>
      <w:kern w:val="0"/>
      <w:sz w:val="24"/>
      <w:szCs w:val="24"/>
      <w:lang w:eastAsia="en-US" w:bidi="en-US"/>
    </w:rPr>
  </w:style>
  <w:style w:type="paragraph" w:customStyle="1" w:styleId="8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86">
    <w:name w:val="批注主题 Char"/>
    <w:basedOn w:val="48"/>
    <w:link w:val="31"/>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7604</Words>
  <Characters>43348</Characters>
  <Lines>361</Lines>
  <Paragraphs>101</Paragraphs>
  <TotalTime>5</TotalTime>
  <ScaleCrop>false</ScaleCrop>
  <LinksUpToDate>false</LinksUpToDate>
  <CharactersWithSpaces>50851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2020-07-27T03:09:00Z</dcterms:created>
  <dc:creator>李晓燕</dc:creator>
  <cp:lastModifiedBy>Lenovo</cp:lastModifiedBy>
  <cp:lastPrinted>2021-06-17T01:49:00Z</cp:lastPrinted>
  <dcterms:modified xsi:type="dcterms:W3CDTF">2021-07-14T08:14:57Z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A68D811D24894ABE9EDBE20E753AF9CF</vt:lpwstr>
  </property>
</Properties>
</file>