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Hlk86082275"/>
      <w:r>
        <w:rPr>
          <w:rFonts w:hint="eastAsia"/>
          <w:b/>
          <w:sz w:val="44"/>
          <w:szCs w:val="44"/>
        </w:rPr>
        <w:t>大学路南延（江阳路-开发路）三期建设</w:t>
      </w:r>
    </w:p>
    <w:p>
      <w:pPr>
        <w:jc w:val="center"/>
        <w:rPr>
          <w:b/>
          <w:sz w:val="44"/>
          <w:szCs w:val="44"/>
        </w:rPr>
      </w:pPr>
      <w:r>
        <w:rPr>
          <w:rFonts w:hint="eastAsia"/>
          <w:b/>
          <w:sz w:val="44"/>
          <w:szCs w:val="44"/>
        </w:rPr>
        <w:t>工程污染治理监理</w:t>
      </w:r>
      <w:bookmarkEnd w:id="0"/>
    </w:p>
    <w:p>
      <w:pPr>
        <w:jc w:val="center"/>
        <w:rPr>
          <w:b/>
          <w:sz w:val="72"/>
          <w:szCs w:val="72"/>
        </w:rPr>
      </w:pPr>
    </w:p>
    <w:p>
      <w:pPr>
        <w:jc w:val="center"/>
        <w:rPr>
          <w:b/>
          <w:sz w:val="72"/>
          <w:szCs w:val="72"/>
        </w:rPr>
      </w:pPr>
      <w:r>
        <w:rPr>
          <w:b/>
          <w:sz w:val="72"/>
          <w:szCs w:val="72"/>
        </w:rPr>
        <w:t>招</w:t>
      </w:r>
    </w:p>
    <w:p>
      <w:pPr>
        <w:jc w:val="center"/>
        <w:rPr>
          <w:b/>
          <w:sz w:val="72"/>
          <w:szCs w:val="72"/>
        </w:rPr>
      </w:pPr>
    </w:p>
    <w:p>
      <w:pPr>
        <w:jc w:val="center"/>
        <w:rPr>
          <w:b/>
          <w:sz w:val="72"/>
          <w:szCs w:val="72"/>
        </w:rPr>
      </w:pPr>
      <w:r>
        <w:rPr>
          <w:b/>
          <w:sz w:val="72"/>
          <w:szCs w:val="72"/>
        </w:rPr>
        <w:t>标</w:t>
      </w:r>
      <w:bookmarkStart w:id="119" w:name="_GoBack"/>
      <w:bookmarkEnd w:id="119"/>
    </w:p>
    <w:p>
      <w:pPr>
        <w:jc w:val="center"/>
        <w:rPr>
          <w:b/>
          <w:sz w:val="72"/>
          <w:szCs w:val="72"/>
        </w:rPr>
      </w:pPr>
    </w:p>
    <w:p>
      <w:pPr>
        <w:jc w:val="center"/>
        <w:rPr>
          <w:b/>
          <w:sz w:val="72"/>
          <w:szCs w:val="72"/>
        </w:rPr>
      </w:pPr>
      <w:r>
        <w:rPr>
          <w:rFonts w:hint="eastAsia"/>
          <w:b/>
          <w:sz w:val="72"/>
          <w:szCs w:val="72"/>
        </w:rPr>
        <w:t>文</w:t>
      </w:r>
    </w:p>
    <w:p>
      <w:pPr>
        <w:jc w:val="center"/>
        <w:rPr>
          <w:b/>
          <w:sz w:val="72"/>
          <w:szCs w:val="72"/>
        </w:rPr>
      </w:pPr>
    </w:p>
    <w:p>
      <w:pPr>
        <w:jc w:val="center"/>
        <w:rPr>
          <w:b/>
          <w:sz w:val="72"/>
          <w:szCs w:val="72"/>
        </w:rPr>
      </w:pPr>
      <w:r>
        <w:rPr>
          <w:rFonts w:hint="eastAsia"/>
          <w:b/>
          <w:sz w:val="72"/>
          <w:szCs w:val="72"/>
        </w:rPr>
        <w:t>件</w:t>
      </w:r>
    </w:p>
    <w:p>
      <w:pPr>
        <w:jc w:val="center"/>
        <w:rPr>
          <w:b/>
          <w:sz w:val="72"/>
          <w:szCs w:val="72"/>
        </w:rPr>
      </w:pPr>
    </w:p>
    <w:p>
      <w:pPr>
        <w:jc w:val="center"/>
        <w:rPr>
          <w:b/>
          <w:sz w:val="28"/>
          <w:szCs w:val="28"/>
        </w:rPr>
      </w:pPr>
      <w:r>
        <w:rPr>
          <w:rFonts w:hint="eastAsia"/>
          <w:b/>
          <w:sz w:val="28"/>
          <w:szCs w:val="28"/>
        </w:rPr>
        <w:t>招标人：扬州万福投资发展有限责任公司</w:t>
      </w:r>
    </w:p>
    <w:p>
      <w:pPr>
        <w:jc w:val="both"/>
        <w:rPr>
          <w:b/>
          <w:sz w:val="28"/>
          <w:szCs w:val="28"/>
        </w:rPr>
      </w:pPr>
      <w:r>
        <w:rPr>
          <w:rFonts w:hint="eastAsia"/>
          <w:b/>
          <w:sz w:val="28"/>
          <w:szCs w:val="28"/>
        </w:rPr>
        <w:t xml:space="preserve">            招标代理机构：江苏立信建设工程造价咨询有限公司</w:t>
      </w:r>
    </w:p>
    <w:p>
      <w:pPr>
        <w:jc w:val="center"/>
        <w:rPr>
          <w:rFonts w:cs="宋体" w:asciiTheme="minorEastAsia" w:hAnsiTheme="minorEastAsia"/>
          <w:sz w:val="21"/>
          <w:szCs w:val="21"/>
        </w:rPr>
      </w:pPr>
      <w:r>
        <w:rPr>
          <w:rFonts w:ascii="宋体"/>
          <w:b/>
          <w:bCs/>
          <w:snapToGrid w:val="0"/>
          <w:sz w:val="32"/>
          <w:szCs w:val="32"/>
        </w:rPr>
        <w:br w:type="page"/>
      </w:r>
      <w:r>
        <w:rPr>
          <w:rFonts w:hint="eastAsia" w:ascii="仿宋" w:hAnsi="仿宋" w:eastAsia="仿宋"/>
          <w:b/>
          <w:color w:val="000000"/>
          <w:sz w:val="28"/>
          <w:szCs w:val="28"/>
        </w:rPr>
        <w:t>前</w:t>
      </w:r>
      <w:r>
        <w:rPr>
          <w:rFonts w:hint="eastAsia" w:ascii="宋体" w:hAnsi="宋体" w:eastAsia="宋体" w:cs="宋体"/>
          <w:b/>
          <w:color w:val="000000"/>
          <w:sz w:val="28"/>
          <w:szCs w:val="28"/>
        </w:rPr>
        <w:t>   </w:t>
      </w:r>
      <w:r>
        <w:rPr>
          <w:rFonts w:hint="eastAsia" w:ascii="仿宋" w:hAnsi="仿宋" w:eastAsia="仿宋"/>
          <w:b/>
          <w:color w:val="000000"/>
          <w:sz w:val="28"/>
          <w:szCs w:val="28"/>
        </w:rPr>
        <w:t>附</w:t>
      </w:r>
      <w:r>
        <w:rPr>
          <w:rFonts w:hint="eastAsia" w:ascii="宋体" w:hAnsi="宋体" w:eastAsia="宋体" w:cs="宋体"/>
          <w:b/>
          <w:color w:val="000000"/>
          <w:sz w:val="28"/>
          <w:szCs w:val="28"/>
        </w:rPr>
        <w:t>   </w:t>
      </w:r>
      <w:r>
        <w:rPr>
          <w:rFonts w:hint="eastAsia" w:ascii="仿宋" w:hAnsi="仿宋" w:eastAsia="仿宋"/>
          <w:b/>
          <w:color w:val="000000"/>
          <w:sz w:val="28"/>
          <w:szCs w:val="28"/>
        </w:rPr>
        <w:t>表</w:t>
      </w:r>
    </w:p>
    <w:tbl>
      <w:tblPr>
        <w:tblStyle w:val="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80"/>
        <w:gridCol w:w="649"/>
        <w:gridCol w:w="1222"/>
        <w:gridCol w:w="1305"/>
        <w:gridCol w:w="126"/>
        <w:gridCol w:w="498"/>
        <w:gridCol w:w="480"/>
        <w:gridCol w:w="24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建设单位</w:t>
            </w:r>
          </w:p>
        </w:tc>
        <w:tc>
          <w:tcPr>
            <w:tcW w:w="3955" w:type="pct"/>
            <w:gridSpan w:val="7"/>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扬州万福投资发展有限责任公司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9"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项目名称</w:t>
            </w:r>
          </w:p>
        </w:tc>
        <w:tc>
          <w:tcPr>
            <w:tcW w:w="3955" w:type="pct"/>
            <w:gridSpan w:val="7"/>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asciiTheme="minorEastAsia" w:hAnsiTheme="minorEastAsia"/>
                <w:sz w:val="21"/>
                <w:szCs w:val="21"/>
              </w:rPr>
              <w:t>大学路南延（江阳路-开发路）三期建设工程污染治理监理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建设地点</w:t>
            </w:r>
          </w:p>
        </w:tc>
        <w:tc>
          <w:tcPr>
            <w:tcW w:w="3955" w:type="pct"/>
            <w:gridSpan w:val="7"/>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ascii="宋体" w:hAnsi="宋体" w:cs="宋体"/>
                <w:sz w:val="21"/>
                <w:szCs w:val="21"/>
              </w:rPr>
              <w:t>扬州市古运河文峰大桥南侧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67"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招标范围</w:t>
            </w:r>
          </w:p>
        </w:tc>
        <w:tc>
          <w:tcPr>
            <w:tcW w:w="3955" w:type="pct"/>
            <w:gridSpan w:val="7"/>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asciiTheme="minorEastAsia" w:hAnsiTheme="minorEastAsia"/>
                <w:sz w:val="21"/>
                <w:szCs w:val="21"/>
              </w:rPr>
              <w:t>大学路南延（江阳路-开发路）三期建设工程污染治理监理，监督污染治理工程是否满足环境保护的要求等，协调好工程与环境保护、以及业主与各方的关系。设计工程设计阶段、施工准备阶段、工程实施阶段及净土回填等全过程环境监理。包括但不限于：（1）对污染治理工程中的环保措施和环保设施设计审核，审核修复过程中水、大气、噪声、固体废物等二次污染处理措施的全面性和处理设施的合理性，必要的后期管理措施的考虑；（2）参与污染治理工程设计方案的技术审核，确定环境监理工作重点，协助业主建立完善的环保责任体系，监理有效的沟通方式等，并编制场地修复环境监理细则；（3）核实污染治理工程是否与治理实施方案复核，环保设施是否落实，是否监理事故应急体系和环境管理制度；（4）监理施工现场防止二次污染（水、土、气、声、渣）的控制措施落实，防止施工现场二次污染，检查和监测施工过程中产生的水、土、气、声、渣排放，施工影响区域应达到规定的环境质量标准；（5）协助建设单位处置环境突发事故及环境重大隐患，编写环境监理报告；</w:t>
            </w:r>
            <w:r>
              <w:rPr>
                <w:highlight w:val="none"/>
              </w:rPr>
              <w:t>（6）监理人需要负责施工结束后的环境监测工作，直至效果评估通过，帮助招标人审核效果评估资料</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所监工程规模</w:t>
            </w:r>
          </w:p>
        </w:tc>
        <w:tc>
          <w:tcPr>
            <w:tcW w:w="1098" w:type="pct"/>
            <w:gridSpan w:val="2"/>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 /</w:t>
            </w:r>
          </w:p>
        </w:tc>
        <w:tc>
          <w:tcPr>
            <w:tcW w:w="1413" w:type="pct"/>
            <w:gridSpan w:val="4"/>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结构类型</w:t>
            </w:r>
          </w:p>
        </w:tc>
        <w:tc>
          <w:tcPr>
            <w:tcW w:w="1443" w:type="pct"/>
            <w:tcMar>
              <w:top w:w="0" w:type="dxa"/>
              <w:left w:w="108" w:type="dxa"/>
              <w:bottom w:w="0" w:type="dxa"/>
              <w:right w:w="108" w:type="dxa"/>
            </w:tcMar>
            <w:vAlign w:val="center"/>
          </w:tcPr>
          <w:p>
            <w:pPr>
              <w:spacing w:line="360" w:lineRule="atLeast"/>
              <w:jc w:val="center"/>
              <w:rPr>
                <w:rFonts w:cs="宋体" w:asciiTheme="minorEastAsia" w:hAnsiTheme="minorEastAsia"/>
                <w:sz w:val="21"/>
                <w:szCs w:val="21"/>
              </w:rPr>
            </w:pPr>
            <w:r>
              <w:rPr>
                <w:rFonts w:hint="eastAsia" w:cs="宋体" w:asciiTheme="minorEastAsia" w:hAnsiTheme="minor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投资额</w:t>
            </w:r>
          </w:p>
        </w:tc>
        <w:tc>
          <w:tcPr>
            <w:tcW w:w="1098" w:type="pct"/>
            <w:gridSpan w:val="2"/>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约5000万元</w:t>
            </w:r>
          </w:p>
        </w:tc>
        <w:tc>
          <w:tcPr>
            <w:tcW w:w="1413" w:type="pct"/>
            <w:gridSpan w:val="4"/>
            <w:tcMar>
              <w:top w:w="0" w:type="dxa"/>
              <w:left w:w="108" w:type="dxa"/>
              <w:bottom w:w="0" w:type="dxa"/>
              <w:right w:w="108" w:type="dxa"/>
            </w:tcMar>
            <w:vAlign w:val="center"/>
          </w:tcPr>
          <w:p>
            <w:pPr>
              <w:spacing w:line="360" w:lineRule="atLeast"/>
              <w:ind w:left="280" w:hanging="280"/>
              <w:rPr>
                <w:rFonts w:cs="宋体" w:asciiTheme="minorEastAsia" w:hAnsiTheme="minorEastAsia"/>
                <w:sz w:val="21"/>
                <w:szCs w:val="21"/>
              </w:rPr>
            </w:pPr>
            <w:r>
              <w:rPr>
                <w:rFonts w:hint="eastAsia" w:cs="宋体" w:asciiTheme="minorEastAsia" w:hAnsiTheme="minorEastAsia"/>
                <w:sz w:val="21"/>
                <w:szCs w:val="21"/>
              </w:rPr>
              <w:t>资金来源及落实情况</w:t>
            </w:r>
          </w:p>
        </w:tc>
        <w:tc>
          <w:tcPr>
            <w:tcW w:w="1443"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自筹，已落实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highlight w:val="none"/>
              </w:rPr>
            </w:pPr>
            <w:r>
              <w:rPr>
                <w:rFonts w:hint="eastAsia" w:cs="宋体" w:asciiTheme="minorEastAsia" w:hAnsiTheme="minorEastAsia"/>
                <w:sz w:val="21"/>
                <w:szCs w:val="21"/>
                <w:highlight w:val="none"/>
              </w:rPr>
              <w:t>计划工期</w:t>
            </w:r>
          </w:p>
        </w:tc>
        <w:tc>
          <w:tcPr>
            <w:tcW w:w="3955" w:type="pct"/>
            <w:gridSpan w:val="7"/>
            <w:tcMar>
              <w:top w:w="0" w:type="dxa"/>
              <w:left w:w="108" w:type="dxa"/>
              <w:bottom w:w="0" w:type="dxa"/>
              <w:right w:w="108" w:type="dxa"/>
            </w:tcMar>
            <w:vAlign w:val="center"/>
          </w:tcPr>
          <w:p>
            <w:pPr>
              <w:spacing w:line="360" w:lineRule="atLeast"/>
              <w:rPr>
                <w:rFonts w:cs="宋体" w:asciiTheme="minorEastAsia" w:hAnsiTheme="minorEastAsia"/>
                <w:sz w:val="21"/>
                <w:szCs w:val="21"/>
                <w:highlight w:val="none"/>
              </w:rPr>
            </w:pPr>
            <w:r>
              <w:rPr>
                <w:rFonts w:hint="eastAsia" w:cs="宋体" w:asciiTheme="minorEastAsia" w:hAnsiTheme="minorEastAsia"/>
                <w:sz w:val="21"/>
                <w:szCs w:val="21"/>
                <w:highlight w:val="none"/>
                <w:lang w:eastAsia="zh-CN"/>
              </w:rPr>
              <w:t>同施工工期</w:t>
            </w:r>
            <w:r>
              <w:rPr>
                <w:rFonts w:hint="eastAsia" w:cs="宋体" w:asciiTheme="minorEastAsia" w:hAnsiTheme="minorEastAsia"/>
                <w:sz w:val="21"/>
                <w:szCs w:val="21"/>
                <w:highlight w:val="none"/>
              </w:rPr>
              <w:t>，施工结束后的环境监测直至通过效果评估。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0"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质量要求</w:t>
            </w:r>
          </w:p>
        </w:tc>
        <w:tc>
          <w:tcPr>
            <w:tcW w:w="3955" w:type="pct"/>
            <w:gridSpan w:val="7"/>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招标方式</w:t>
            </w:r>
          </w:p>
        </w:tc>
        <w:tc>
          <w:tcPr>
            <w:tcW w:w="380"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公开招标</w:t>
            </w:r>
          </w:p>
        </w:tc>
        <w:tc>
          <w:tcPr>
            <w:tcW w:w="1557" w:type="pct"/>
            <w:gridSpan w:val="3"/>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招标文件售价</w:t>
            </w:r>
          </w:p>
        </w:tc>
        <w:tc>
          <w:tcPr>
            <w:tcW w:w="2017" w:type="pct"/>
            <w:gridSpan w:val="3"/>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0元/份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1044" w:type="pct"/>
            <w:tcMar>
              <w:top w:w="0" w:type="dxa"/>
              <w:left w:w="108" w:type="dxa"/>
              <w:bottom w:w="0" w:type="dxa"/>
              <w:right w:w="108" w:type="dxa"/>
            </w:tcMar>
            <w:vAlign w:val="center"/>
          </w:tcPr>
          <w:p>
            <w:pPr>
              <w:spacing w:line="360" w:lineRule="atLeast"/>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lang w:eastAsia="zh-CN"/>
              </w:rPr>
              <w:t>是否接受联合体</w:t>
            </w:r>
          </w:p>
        </w:tc>
        <w:tc>
          <w:tcPr>
            <w:tcW w:w="3955" w:type="pct"/>
            <w:gridSpan w:val="7"/>
            <w:tcMar>
              <w:top w:w="0" w:type="dxa"/>
              <w:left w:w="108" w:type="dxa"/>
              <w:bottom w:w="0" w:type="dxa"/>
              <w:right w:w="108" w:type="dxa"/>
            </w:tcMar>
            <w:vAlign w:val="center"/>
          </w:tcPr>
          <w:p>
            <w:pPr>
              <w:spacing w:line="360" w:lineRule="atLeast"/>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lang w:eastAsia="zh-CN"/>
              </w:rPr>
              <w:t>本项目不接收联合体。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1044" w:type="pct"/>
            <w:tcMar>
              <w:top w:w="0" w:type="dxa"/>
              <w:left w:w="108" w:type="dxa"/>
              <w:bottom w:w="0" w:type="dxa"/>
              <w:right w:w="108" w:type="dxa"/>
            </w:tcMar>
            <w:vAlign w:val="center"/>
          </w:tcPr>
          <w:p>
            <w:pPr>
              <w:spacing w:line="360" w:lineRule="atLeast"/>
              <w:rPr>
                <w:rFonts w:hint="default" w:cs="宋体" w:asciiTheme="minorEastAsia" w:hAnsiTheme="minorEastAsia"/>
                <w:sz w:val="21"/>
                <w:szCs w:val="21"/>
                <w:lang w:val="en-US" w:eastAsia="zh-CN"/>
              </w:rPr>
            </w:pPr>
            <w:r>
              <w:rPr>
                <w:rFonts w:hint="eastAsia" w:cs="宋体" w:asciiTheme="minorEastAsia" w:hAnsiTheme="minorEastAsia"/>
                <w:sz w:val="21"/>
                <w:szCs w:val="21"/>
                <w:lang w:val="en-US" w:eastAsia="zh-CN"/>
              </w:rPr>
              <w:t>投标保证金</w:t>
            </w:r>
          </w:p>
        </w:tc>
        <w:tc>
          <w:tcPr>
            <w:tcW w:w="3955" w:type="pct"/>
            <w:gridSpan w:val="7"/>
            <w:tcMar>
              <w:top w:w="0" w:type="dxa"/>
              <w:left w:w="108" w:type="dxa"/>
              <w:bottom w:w="0" w:type="dxa"/>
              <w:right w:w="108" w:type="dxa"/>
            </w:tcMar>
            <w:vAlign w:val="center"/>
          </w:tcPr>
          <w:p>
            <w:pPr>
              <w:spacing w:line="360" w:lineRule="atLeast"/>
              <w:rPr>
                <w:rFonts w:hint="default" w:cs="宋体" w:asciiTheme="minorEastAsia" w:hAnsiTheme="minorEastAsia"/>
                <w:sz w:val="21"/>
                <w:szCs w:val="21"/>
                <w:lang w:val="en-US" w:eastAsia="zh-CN"/>
              </w:rPr>
            </w:pPr>
            <w:r>
              <w:rPr>
                <w:rFonts w:hint="eastAsia" w:cs="宋体" w:asciiTheme="minorEastAsia" w:hAnsiTheme="minorEastAsia"/>
                <w:sz w:val="21"/>
                <w:szCs w:val="21"/>
                <w:lang w:val="en-US" w:eastAsia="zh-CN"/>
              </w:rPr>
              <w:t>本项目无投标保证金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42"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投标人资质条件、能力和信誉</w:t>
            </w:r>
          </w:p>
        </w:tc>
        <w:tc>
          <w:tcPr>
            <w:tcW w:w="3955" w:type="pct"/>
            <w:gridSpan w:val="7"/>
            <w:tcMar>
              <w:top w:w="0" w:type="dxa"/>
              <w:left w:w="108" w:type="dxa"/>
              <w:bottom w:w="0" w:type="dxa"/>
              <w:right w:w="108" w:type="dxa"/>
            </w:tcMar>
            <w:vAlign w:val="center"/>
          </w:tcPr>
          <w:p>
            <w:pPr>
              <w:spacing w:line="300" w:lineRule="atLeast"/>
              <w:rPr>
                <w:rFonts w:cs="宋体" w:asciiTheme="minorEastAsia" w:hAnsiTheme="minorEastAsia"/>
                <w:sz w:val="21"/>
                <w:szCs w:val="21"/>
              </w:rPr>
            </w:pPr>
            <w:r>
              <w:rPr>
                <w:rFonts w:hint="eastAsia" w:cs="宋体" w:asciiTheme="minorEastAsia" w:hAnsiTheme="minorEastAsia"/>
                <w:sz w:val="21"/>
                <w:szCs w:val="21"/>
              </w:rPr>
              <w:t>资质条件：</w:t>
            </w:r>
            <w:r>
              <w:rPr>
                <w:rFonts w:hint="eastAsia" w:cs="宋体" w:asciiTheme="minorEastAsia" w:hAnsiTheme="minorEastAsia"/>
                <w:b/>
                <w:bCs/>
                <w:sz w:val="21"/>
                <w:szCs w:val="21"/>
                <w:u w:val="single"/>
              </w:rPr>
              <w:t>持含有有效的企业营业执照</w:t>
            </w:r>
          </w:p>
          <w:p>
            <w:pPr>
              <w:spacing w:line="300" w:lineRule="atLeast"/>
              <w:rPr>
                <w:rFonts w:cs="宋体" w:asciiTheme="minorEastAsia" w:hAnsiTheme="minorEastAsia"/>
                <w:sz w:val="21"/>
                <w:szCs w:val="21"/>
              </w:rPr>
            </w:pPr>
            <w:r>
              <w:rPr>
                <w:rFonts w:hint="eastAsia" w:cs="宋体" w:asciiTheme="minorEastAsia" w:hAnsiTheme="minorEastAsia"/>
                <w:sz w:val="21"/>
                <w:szCs w:val="21"/>
              </w:rPr>
              <w:t>财务要求：良好</w:t>
            </w:r>
          </w:p>
          <w:p>
            <w:pPr>
              <w:spacing w:line="300" w:lineRule="atLeast"/>
              <w:rPr>
                <w:rFonts w:cs="宋体" w:asciiTheme="minorEastAsia" w:hAnsiTheme="minorEastAsia"/>
                <w:sz w:val="21"/>
                <w:szCs w:val="21"/>
                <w:highlight w:val="none"/>
              </w:rPr>
            </w:pPr>
            <w:r>
              <w:rPr>
                <w:rFonts w:hint="eastAsia" w:cs="宋体" w:asciiTheme="minorEastAsia" w:hAnsiTheme="minorEastAsia"/>
                <w:sz w:val="21"/>
                <w:szCs w:val="21"/>
              </w:rPr>
              <w:t>业绩要求：</w:t>
            </w:r>
            <w:r>
              <w:rPr>
                <w:rFonts w:hint="eastAsia" w:cs="宋体" w:asciiTheme="minorEastAsia" w:hAnsiTheme="minorEastAsia"/>
                <w:sz w:val="21"/>
                <w:szCs w:val="21"/>
                <w:highlight w:val="none"/>
              </w:rPr>
              <w:t>投标企业自</w:t>
            </w:r>
            <w:r>
              <w:rPr>
                <w:rFonts w:cs="宋体" w:asciiTheme="minorEastAsia" w:hAnsiTheme="minorEastAsia"/>
                <w:sz w:val="21"/>
                <w:szCs w:val="21"/>
                <w:highlight w:val="none"/>
              </w:rPr>
              <w:t>2018</w:t>
            </w:r>
            <w:r>
              <w:rPr>
                <w:rFonts w:hint="eastAsia" w:cs="宋体" w:asciiTheme="minorEastAsia" w:hAnsiTheme="minorEastAsia"/>
                <w:sz w:val="21"/>
                <w:szCs w:val="21"/>
                <w:highlight w:val="none"/>
              </w:rPr>
              <w:t>年</w:t>
            </w:r>
            <w:r>
              <w:rPr>
                <w:rFonts w:cs="宋体" w:asciiTheme="minorEastAsia" w:hAnsiTheme="minorEastAsia"/>
                <w:sz w:val="21"/>
                <w:szCs w:val="21"/>
                <w:highlight w:val="none"/>
              </w:rPr>
              <w:t>10月01日</w:t>
            </w:r>
            <w:r>
              <w:rPr>
                <w:rFonts w:hint="eastAsia" w:cs="宋体" w:asciiTheme="minorEastAsia" w:hAnsiTheme="minorEastAsia"/>
                <w:sz w:val="21"/>
                <w:szCs w:val="21"/>
                <w:highlight w:val="none"/>
              </w:rPr>
              <w:t>（以合同签订时间为准）</w:t>
            </w:r>
            <w:r>
              <w:rPr>
                <w:rFonts w:cs="宋体" w:asciiTheme="minorEastAsia" w:hAnsiTheme="minorEastAsia"/>
                <w:sz w:val="21"/>
                <w:szCs w:val="21"/>
                <w:highlight w:val="none"/>
              </w:rPr>
              <w:t>以来承担过类似工程，类似工程认定标准：</w:t>
            </w:r>
            <w:r>
              <w:rPr>
                <w:rFonts w:hint="eastAsia" w:cs="宋体" w:asciiTheme="minorEastAsia" w:hAnsiTheme="minorEastAsia"/>
                <w:sz w:val="21"/>
                <w:szCs w:val="21"/>
                <w:highlight w:val="none"/>
              </w:rPr>
              <w:t>污染场地防控、污染场地修复、环境整治等工程的环境监理。</w:t>
            </w:r>
          </w:p>
          <w:p>
            <w:pPr>
              <w:spacing w:line="300" w:lineRule="atLeast"/>
              <w:rPr>
                <w:rFonts w:cs="宋体" w:asciiTheme="minorEastAsia" w:hAnsiTheme="minorEastAsia"/>
                <w:sz w:val="21"/>
                <w:szCs w:val="21"/>
              </w:rPr>
            </w:pPr>
            <w:r>
              <w:rPr>
                <w:rFonts w:hint="eastAsia" w:cs="宋体" w:asciiTheme="minorEastAsia" w:hAnsiTheme="minorEastAsia"/>
                <w:sz w:val="21"/>
                <w:szCs w:val="21"/>
              </w:rPr>
              <w:t>信誉要求：良好</w:t>
            </w:r>
          </w:p>
          <w:p>
            <w:pPr>
              <w:spacing w:line="360" w:lineRule="auto"/>
              <w:jc w:val="both"/>
              <w:rPr>
                <w:rFonts w:cs="宋体" w:asciiTheme="minorEastAsia" w:hAnsiTheme="minorEastAsia"/>
                <w:sz w:val="21"/>
                <w:szCs w:val="21"/>
              </w:rPr>
            </w:pPr>
            <w:r>
              <w:rPr>
                <w:rFonts w:hint="eastAsia" w:cs="宋体" w:asciiTheme="minorEastAsia" w:hAnsiTheme="minorEastAsia"/>
                <w:sz w:val="21"/>
                <w:szCs w:val="21"/>
              </w:rPr>
              <w:t>项目总监资格：</w:t>
            </w:r>
            <w:r>
              <w:rPr>
                <w:rFonts w:hint="eastAsia" w:cs="宋体" w:asciiTheme="minorEastAsia" w:hAnsiTheme="minorEastAsia"/>
                <w:b/>
                <w:bCs/>
                <w:sz w:val="21"/>
                <w:szCs w:val="21"/>
                <w:u w:val="single"/>
              </w:rPr>
              <w:t>应持有注册环境影响评价工程师，或拥有环保部颁发的“建设项目竣工环境保护验收监测培训合格证书”的中级及以上环保专业技术职称人员；经省级及以上培训取得环境监理业务培训合格证书；</w:t>
            </w:r>
            <w:r>
              <w:rPr>
                <w:rFonts w:hint="eastAsia" w:cs="宋体" w:asciiTheme="minorEastAsia" w:hAnsiTheme="minorEastAsia"/>
                <w:sz w:val="21"/>
                <w:szCs w:val="21"/>
              </w:rPr>
              <w:t>且必须满足以下要求：项目总监不得同时在两个或者两个以上单位受聘或者执业：（1）同时在两个及以上单位签订劳动合同或交纳社会保险；（2）将本人执（职） 业资格证书同时注册在两个及以上单位。   </w:t>
            </w:r>
            <w:r>
              <w:rPr>
                <w:rFonts w:cs="Calibri" w:asciiTheme="minorEastAsia" w:hAnsiTheme="minorEastAsia"/>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2"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现场监理人员数量配备最低标准</w:t>
            </w:r>
          </w:p>
        </w:tc>
        <w:tc>
          <w:tcPr>
            <w:tcW w:w="3955" w:type="pct"/>
            <w:gridSpan w:val="7"/>
            <w:tcMar>
              <w:top w:w="0" w:type="dxa"/>
              <w:left w:w="108" w:type="dxa"/>
              <w:bottom w:w="0" w:type="dxa"/>
              <w:right w:w="108" w:type="dxa"/>
            </w:tcMar>
            <w:vAlign w:val="center"/>
          </w:tcPr>
          <w:p>
            <w:pPr>
              <w:spacing w:before="240" w:line="450" w:lineRule="atLeast"/>
              <w:rPr>
                <w:rFonts w:cs="宋体" w:asciiTheme="minorEastAsia" w:hAnsiTheme="minorEastAsia"/>
                <w:sz w:val="21"/>
                <w:szCs w:val="21"/>
              </w:rPr>
            </w:pPr>
            <w:r>
              <w:rPr>
                <w:rFonts w:hint="eastAsia" w:cs="宋体" w:asciiTheme="minorEastAsia" w:hAnsiTheme="minorEastAsia"/>
                <w:spacing w:val="-8"/>
                <w:sz w:val="21"/>
                <w:szCs w:val="21"/>
              </w:rPr>
              <w:t>总监理工程师1人；专业监理工程师1人（</w:t>
            </w:r>
            <w:r>
              <w:rPr>
                <w:rFonts w:hint="eastAsia" w:cs="宋体" w:asciiTheme="minorEastAsia" w:hAnsiTheme="minorEastAsia"/>
                <w:sz w:val="21"/>
                <w:szCs w:val="21"/>
                <w:u w:val="single"/>
              </w:rPr>
              <w:t>环境监理工程师）</w:t>
            </w:r>
            <w:r>
              <w:rPr>
                <w:rFonts w:hint="eastAsia" w:cs="宋体" w:asciiTheme="minorEastAsia" w:hAnsiTheme="minorEastAsia"/>
                <w:spacing w:val="-8"/>
                <w:sz w:val="21"/>
                <w:szCs w:val="21"/>
              </w:rPr>
              <w:t>；监理员2人。</w:t>
            </w:r>
            <w:r>
              <w:rPr>
                <w:rFonts w:hint="eastAsia" w:cs="宋体" w:asciiTheme="minorEastAsia" w:hAnsiTheme="minorEastAsia"/>
                <w:b/>
                <w:spacing w:val="-8"/>
                <w:sz w:val="21"/>
                <w:szCs w:val="21"/>
              </w:rPr>
              <w:t>合计4人</w:t>
            </w:r>
            <w:r>
              <w:rPr>
                <w:rFonts w:hint="eastAsia" w:cs="宋体" w:asciiTheme="minorEastAsia" w:hAnsiTheme="minorEastAsia"/>
                <w:b/>
                <w:sz w:val="21"/>
                <w:szCs w:val="21"/>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澄清及答疑</w:t>
            </w:r>
          </w:p>
        </w:tc>
        <w:tc>
          <w:tcPr>
            <w:tcW w:w="3955" w:type="pct"/>
            <w:gridSpan w:val="7"/>
            <w:tcMar>
              <w:top w:w="0" w:type="dxa"/>
              <w:left w:w="108" w:type="dxa"/>
              <w:bottom w:w="0" w:type="dxa"/>
              <w:right w:w="108" w:type="dxa"/>
            </w:tcMar>
            <w:vAlign w:val="center"/>
          </w:tcPr>
          <w:p>
            <w:pPr>
              <w:spacing w:line="46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投标人提出问题的截止时间:</w:t>
            </w:r>
            <w:bookmarkStart w:id="1" w:name="EB3613c68c674d4ec6a69fd93ae3ecb60e"/>
            <w:r>
              <w:rPr>
                <w:rFonts w:hint="eastAsia" w:cs="宋体" w:asciiTheme="minorEastAsia" w:hAnsiTheme="minorEastAsia"/>
                <w:sz w:val="21"/>
                <w:szCs w:val="21"/>
                <w:shd w:val="clear" w:color="auto" w:fill="FFFFFF"/>
              </w:rPr>
              <w:t>20</w:t>
            </w:r>
            <w:bookmarkEnd w:id="1"/>
            <w:r>
              <w:rPr>
                <w:rFonts w:hint="eastAsia" w:cs="宋体" w:asciiTheme="minorEastAsia" w:hAnsiTheme="minorEastAsia"/>
                <w:sz w:val="21"/>
                <w:szCs w:val="21"/>
                <w:shd w:val="clear" w:color="auto" w:fill="FFFFFF"/>
              </w:rPr>
              <w:t>21年</w:t>
            </w:r>
            <w:r>
              <w:rPr>
                <w:rFonts w:hint="eastAsia" w:cs="宋体" w:asciiTheme="minorEastAsia" w:hAnsiTheme="minorEastAsia"/>
                <w:sz w:val="21"/>
                <w:szCs w:val="21"/>
                <w:shd w:val="clear" w:color="auto" w:fill="FFFFFF"/>
                <w:lang w:val="en-US" w:eastAsia="zh-CN"/>
              </w:rPr>
              <w:t>11</w:t>
            </w:r>
            <w:r>
              <w:rPr>
                <w:rFonts w:hint="eastAsia" w:cs="宋体" w:asciiTheme="minorEastAsia" w:hAnsiTheme="minorEastAsia"/>
                <w:sz w:val="21"/>
                <w:szCs w:val="21"/>
                <w:shd w:val="clear" w:color="auto" w:fill="FFFFFF"/>
              </w:rPr>
              <w:t>月</w:t>
            </w:r>
            <w:r>
              <w:rPr>
                <w:rFonts w:hint="eastAsia" w:cs="宋体" w:asciiTheme="minorEastAsia" w:hAnsiTheme="minorEastAsia"/>
                <w:sz w:val="21"/>
                <w:szCs w:val="21"/>
                <w:shd w:val="clear" w:color="auto" w:fill="FFFFFF"/>
                <w:lang w:val="en-US" w:eastAsia="zh-CN"/>
              </w:rPr>
              <w:t>05</w:t>
            </w:r>
            <w:r>
              <w:rPr>
                <w:rFonts w:hint="eastAsia" w:cs="宋体" w:asciiTheme="minorEastAsia" w:hAnsiTheme="minorEastAsia"/>
                <w:sz w:val="21"/>
                <w:szCs w:val="21"/>
                <w:shd w:val="clear" w:color="auto" w:fill="FFFFFF"/>
              </w:rPr>
              <w:t>日</w:t>
            </w:r>
          </w:p>
          <w:p>
            <w:pPr>
              <w:spacing w:line="46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方式：书面、传真、电子邮件</w:t>
            </w:r>
          </w:p>
          <w:p>
            <w:pPr>
              <w:spacing w:line="460" w:lineRule="atLeast"/>
              <w:rPr>
                <w:rFonts w:cs="宋体" w:asciiTheme="minorEastAsia" w:hAnsiTheme="minorEastAsia"/>
                <w:sz w:val="21"/>
                <w:szCs w:val="21"/>
              </w:rPr>
            </w:pPr>
            <w:r>
              <w:rPr>
                <w:rFonts w:hint="eastAsia" w:cs="宋体" w:asciiTheme="minorEastAsia" w:hAnsiTheme="minorEastAsia"/>
                <w:sz w:val="21"/>
                <w:szCs w:val="21"/>
                <w:shd w:val="clear" w:color="auto" w:fill="FFFFFF"/>
              </w:rPr>
              <w:t>招标人澄清的时间：</w:t>
            </w:r>
            <w:bookmarkStart w:id="2" w:name="EBd96b05d1935045e69215a0c35841aa14"/>
            <w:r>
              <w:rPr>
                <w:rFonts w:hint="eastAsia" w:cs="宋体" w:asciiTheme="minorEastAsia" w:hAnsiTheme="minorEastAsia"/>
                <w:sz w:val="21"/>
                <w:szCs w:val="21"/>
                <w:shd w:val="clear" w:color="auto" w:fill="FFFFFF"/>
              </w:rPr>
              <w:t>2021年</w:t>
            </w:r>
            <w:r>
              <w:rPr>
                <w:rFonts w:hint="eastAsia" w:cs="宋体" w:asciiTheme="minorEastAsia" w:hAnsiTheme="minorEastAsia"/>
                <w:sz w:val="21"/>
                <w:szCs w:val="21"/>
                <w:shd w:val="clear" w:color="auto" w:fill="FFFFFF"/>
                <w:lang w:val="en-US" w:eastAsia="zh-CN"/>
              </w:rPr>
              <w:t>11</w:t>
            </w:r>
            <w:r>
              <w:rPr>
                <w:rFonts w:hint="eastAsia" w:cs="宋体" w:asciiTheme="minorEastAsia" w:hAnsiTheme="minorEastAsia"/>
                <w:sz w:val="21"/>
                <w:szCs w:val="21"/>
                <w:shd w:val="clear" w:color="auto" w:fill="FFFFFF"/>
              </w:rPr>
              <w:t>月</w:t>
            </w:r>
            <w:r>
              <w:rPr>
                <w:rFonts w:hint="eastAsia" w:cs="宋体" w:asciiTheme="minorEastAsia" w:hAnsiTheme="minorEastAsia"/>
                <w:sz w:val="21"/>
                <w:szCs w:val="21"/>
                <w:shd w:val="clear" w:color="auto" w:fill="FFFFFF"/>
                <w:lang w:val="en-US" w:eastAsia="zh-CN"/>
              </w:rPr>
              <w:t>06</w:t>
            </w:r>
            <w:r>
              <w:rPr>
                <w:rFonts w:hint="eastAsia" w:cs="宋体" w:asciiTheme="minorEastAsia" w:hAnsiTheme="minorEastAsia"/>
                <w:sz w:val="21"/>
                <w:szCs w:val="21"/>
                <w:shd w:val="clear" w:color="auto" w:fill="FFFFFF"/>
              </w:rPr>
              <w:t>日</w:t>
            </w:r>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投标有效期</w:t>
            </w:r>
          </w:p>
        </w:tc>
        <w:tc>
          <w:tcPr>
            <w:tcW w:w="3955" w:type="pct"/>
            <w:gridSpan w:val="7"/>
            <w:tcMar>
              <w:top w:w="0" w:type="dxa"/>
              <w:left w:w="108" w:type="dxa"/>
              <w:bottom w:w="0" w:type="dxa"/>
              <w:right w:w="108" w:type="dxa"/>
            </w:tcMar>
            <w:vAlign w:val="center"/>
          </w:tcPr>
          <w:p>
            <w:pPr>
              <w:spacing w:line="460" w:lineRule="atLeast"/>
              <w:rPr>
                <w:rFonts w:cs="宋体" w:asciiTheme="minorEastAsia" w:hAnsiTheme="minorEastAsia"/>
                <w:sz w:val="21"/>
                <w:szCs w:val="21"/>
              </w:rPr>
            </w:pPr>
            <w:r>
              <w:rPr>
                <w:rFonts w:hint="eastAsia" w:cs="宋体" w:asciiTheme="minorEastAsia" w:hAnsiTheme="minorEastAsia"/>
                <w:sz w:val="21"/>
                <w:szCs w:val="21"/>
              </w:rPr>
              <w:t>投标截止日后45日内有效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投标截止时间</w:t>
            </w:r>
          </w:p>
        </w:tc>
        <w:tc>
          <w:tcPr>
            <w:tcW w:w="3955" w:type="pct"/>
            <w:gridSpan w:val="7"/>
            <w:tcMar>
              <w:top w:w="0" w:type="dxa"/>
              <w:left w:w="108" w:type="dxa"/>
              <w:bottom w:w="0" w:type="dxa"/>
              <w:right w:w="108" w:type="dxa"/>
            </w:tcMar>
            <w:vAlign w:val="center"/>
          </w:tcPr>
          <w:p>
            <w:pPr>
              <w:spacing w:line="360" w:lineRule="atLeast"/>
              <w:rPr>
                <w:rFonts w:hint="default" w:cs="宋体" w:asciiTheme="minorEastAsia" w:hAnsiTheme="minorEastAsia" w:eastAsiaTheme="minorEastAsia"/>
                <w:sz w:val="21"/>
                <w:szCs w:val="21"/>
                <w:lang w:val="en-US" w:eastAsia="zh-CN"/>
              </w:rPr>
            </w:pPr>
            <w:r>
              <w:rPr>
                <w:rFonts w:hint="eastAsia" w:cs="宋体" w:asciiTheme="minorEastAsia" w:hAnsiTheme="minorEastAsia"/>
                <w:sz w:val="21"/>
                <w:szCs w:val="21"/>
              </w:rPr>
              <w:t>2021年</w:t>
            </w:r>
            <w:r>
              <w:rPr>
                <w:rFonts w:hint="eastAsia" w:cs="宋体" w:asciiTheme="minorEastAsia" w:hAnsiTheme="minorEastAsia"/>
                <w:sz w:val="21"/>
                <w:szCs w:val="21"/>
                <w:lang w:val="en-US" w:eastAsia="zh-CN"/>
              </w:rPr>
              <w:t>11</w:t>
            </w:r>
            <w:r>
              <w:rPr>
                <w:rFonts w:hint="eastAsia" w:cs="宋体" w:asciiTheme="minorEastAsia" w:hAnsiTheme="minorEastAsia"/>
                <w:sz w:val="21"/>
                <w:szCs w:val="21"/>
              </w:rPr>
              <w:t>月</w:t>
            </w:r>
            <w:r>
              <w:rPr>
                <w:rFonts w:hint="eastAsia" w:cs="宋体" w:asciiTheme="minorEastAsia" w:hAnsiTheme="minorEastAsia"/>
                <w:sz w:val="21"/>
                <w:szCs w:val="21"/>
                <w:lang w:val="en-US" w:eastAsia="zh-CN"/>
              </w:rPr>
              <w:t>18</w:t>
            </w:r>
            <w:r>
              <w:rPr>
                <w:rFonts w:hint="eastAsia" w:cs="宋体" w:asciiTheme="minorEastAsia" w:hAnsiTheme="minorEastAsia"/>
                <w:sz w:val="21"/>
                <w:szCs w:val="21"/>
              </w:rPr>
              <w:t>日</w:t>
            </w:r>
            <w:r>
              <w:rPr>
                <w:rFonts w:hint="eastAsia" w:cs="宋体" w:asciiTheme="minorEastAsia" w:hAnsiTheme="minorEastAsia"/>
                <w:sz w:val="21"/>
                <w:szCs w:val="21"/>
                <w:lang w:val="en-US" w:eastAsia="zh-CN"/>
              </w:rPr>
              <w:t>上</w:t>
            </w:r>
            <w:r>
              <w:rPr>
                <w:rFonts w:hint="eastAsia" w:cs="宋体" w:asciiTheme="minorEastAsia" w:hAnsiTheme="minorEastAsia"/>
                <w:sz w:val="21"/>
                <w:szCs w:val="21"/>
              </w:rPr>
              <w:t>午</w:t>
            </w:r>
            <w:r>
              <w:rPr>
                <w:rFonts w:hint="eastAsia" w:cs="宋体" w:asciiTheme="minorEastAsia" w:hAnsiTheme="minorEastAsia"/>
                <w:sz w:val="21"/>
                <w:szCs w:val="21"/>
                <w:lang w:val="en-US" w:eastAsia="zh-CN"/>
              </w:rPr>
              <w:t>9:30（北京时间）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3"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投标文件递交</w:t>
            </w:r>
          </w:p>
        </w:tc>
        <w:tc>
          <w:tcPr>
            <w:tcW w:w="380"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地点</w:t>
            </w:r>
          </w:p>
        </w:tc>
        <w:tc>
          <w:tcPr>
            <w:tcW w:w="3574" w:type="pct"/>
            <w:gridSpan w:val="6"/>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江苏立信建设工程造价咨询有限公司开标室</w:t>
            </w:r>
          </w:p>
          <w:p>
            <w:pPr>
              <w:spacing w:line="450" w:lineRule="atLeast"/>
              <w:rPr>
                <w:rFonts w:cs="宋体" w:asciiTheme="minorEastAsia" w:hAnsiTheme="minorEastAsia"/>
                <w:sz w:val="21"/>
                <w:szCs w:val="21"/>
              </w:rPr>
            </w:pPr>
            <w:r>
              <w:rPr>
                <w:rFonts w:hint="eastAsia" w:cs="宋体" w:asciiTheme="minorEastAsia" w:hAnsiTheme="minorEastAsia"/>
                <w:sz w:val="21"/>
                <w:szCs w:val="21"/>
              </w:rPr>
              <w:t>（扬州市邗江中路330号星座国际14层）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2"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开标会</w:t>
            </w:r>
          </w:p>
        </w:tc>
        <w:tc>
          <w:tcPr>
            <w:tcW w:w="380" w:type="pct"/>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时间</w:t>
            </w:r>
          </w:p>
        </w:tc>
        <w:tc>
          <w:tcPr>
            <w:tcW w:w="1483" w:type="pct"/>
            <w:gridSpan w:val="2"/>
            <w:tcMar>
              <w:top w:w="0" w:type="dxa"/>
              <w:left w:w="108" w:type="dxa"/>
              <w:bottom w:w="0" w:type="dxa"/>
              <w:right w:w="108" w:type="dxa"/>
            </w:tcMar>
            <w:vAlign w:val="center"/>
          </w:tcPr>
          <w:p>
            <w:pPr>
              <w:spacing w:line="450" w:lineRule="atLeast"/>
              <w:rPr>
                <w:rFonts w:hint="default"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2021年11月18日上午9:30（北京时间）</w:t>
            </w:r>
          </w:p>
        </w:tc>
        <w:tc>
          <w:tcPr>
            <w:tcW w:w="366" w:type="pct"/>
            <w:gridSpan w:val="2"/>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地点</w:t>
            </w:r>
          </w:p>
        </w:tc>
        <w:tc>
          <w:tcPr>
            <w:tcW w:w="1724" w:type="pct"/>
            <w:gridSpan w:val="2"/>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江苏立信建设工程造价咨询有限公司开标室（扬州市邗江中路330号星座国际14层）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1044" w:type="pct"/>
            <w:tcMar>
              <w:top w:w="0" w:type="dxa"/>
              <w:left w:w="108" w:type="dxa"/>
              <w:bottom w:w="0" w:type="dxa"/>
              <w:right w:w="108" w:type="dxa"/>
            </w:tcMar>
            <w:vAlign w:val="center"/>
          </w:tcPr>
          <w:p>
            <w:pPr>
              <w:spacing w:line="360" w:lineRule="atLeast"/>
              <w:rPr>
                <w:rFonts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招标控制价</w:t>
            </w:r>
          </w:p>
        </w:tc>
        <w:tc>
          <w:tcPr>
            <w:tcW w:w="3955" w:type="pct"/>
            <w:gridSpan w:val="7"/>
            <w:tcMar>
              <w:top w:w="0" w:type="dxa"/>
              <w:left w:w="108" w:type="dxa"/>
              <w:bottom w:w="0" w:type="dxa"/>
              <w:right w:w="108" w:type="dxa"/>
            </w:tcMar>
            <w:vAlign w:val="center"/>
          </w:tcPr>
          <w:p>
            <w:pPr>
              <w:spacing w:line="450" w:lineRule="atLeast"/>
              <w:rPr>
                <w:rFonts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8</w:t>
            </w:r>
            <w:r>
              <w:rPr>
                <w:rFonts w:cs="宋体" w:asciiTheme="minorEastAsia" w:hAnsiTheme="minorEastAsia"/>
                <w:color w:val="auto"/>
                <w:sz w:val="21"/>
                <w:szCs w:val="21"/>
                <w:highlight w:val="none"/>
              </w:rPr>
              <w:t>5</w:t>
            </w:r>
            <w:r>
              <w:rPr>
                <w:rFonts w:hint="eastAsia" w:cs="宋体" w:asciiTheme="minorEastAsia" w:hAnsiTheme="minorEastAsia"/>
                <w:color w:val="auto"/>
                <w:sz w:val="21"/>
                <w:szCs w:val="21"/>
                <w:highlight w:val="none"/>
              </w:rPr>
              <w:t>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1044" w:type="pct"/>
            <w:tcMar>
              <w:top w:w="0" w:type="dxa"/>
              <w:left w:w="108" w:type="dxa"/>
              <w:bottom w:w="0" w:type="dxa"/>
              <w:right w:w="108" w:type="dxa"/>
            </w:tcMar>
            <w:vAlign w:val="center"/>
          </w:tcPr>
          <w:p>
            <w:pPr>
              <w:spacing w:line="360" w:lineRule="atLeast"/>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color w:val="auto"/>
                <w:sz w:val="21"/>
                <w:szCs w:val="21"/>
                <w:highlight w:val="none"/>
                <w:lang w:val="en-US" w:eastAsia="zh-CN"/>
              </w:rPr>
              <w:t>合同形式</w:t>
            </w:r>
          </w:p>
        </w:tc>
        <w:tc>
          <w:tcPr>
            <w:tcW w:w="3955" w:type="pct"/>
            <w:gridSpan w:val="7"/>
            <w:tcMar>
              <w:top w:w="0" w:type="dxa"/>
              <w:left w:w="108" w:type="dxa"/>
              <w:bottom w:w="0" w:type="dxa"/>
              <w:right w:w="108" w:type="dxa"/>
            </w:tcMar>
            <w:vAlign w:val="center"/>
          </w:tcPr>
          <w:p>
            <w:pPr>
              <w:spacing w:line="450" w:lineRule="atLeast"/>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color w:val="auto"/>
                <w:sz w:val="21"/>
                <w:szCs w:val="21"/>
                <w:highlight w:val="none"/>
                <w:lang w:val="en-US" w:eastAsia="zh-CN"/>
              </w:rPr>
              <w:t>总价合同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9" w:hRule="atLeast"/>
          <w:jc w:val="center"/>
        </w:trPr>
        <w:tc>
          <w:tcPr>
            <w:tcW w:w="1425" w:type="pct"/>
            <w:gridSpan w:val="2"/>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评标方式</w:t>
            </w:r>
          </w:p>
        </w:tc>
        <w:tc>
          <w:tcPr>
            <w:tcW w:w="3574" w:type="pct"/>
            <w:gridSpan w:val="6"/>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综合评估法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jc w:val="center"/>
        </w:trPr>
        <w:tc>
          <w:tcPr>
            <w:tcW w:w="1425" w:type="pct"/>
            <w:gridSpan w:val="2"/>
            <w:tcMar>
              <w:top w:w="0" w:type="dxa"/>
              <w:left w:w="108" w:type="dxa"/>
              <w:bottom w:w="0" w:type="dxa"/>
              <w:right w:w="108" w:type="dxa"/>
            </w:tcMar>
            <w:vAlign w:val="center"/>
          </w:tcPr>
          <w:p>
            <w:pPr>
              <w:spacing w:line="360" w:lineRule="atLeast"/>
              <w:rPr>
                <w:rFonts w:cs="宋体" w:asciiTheme="minorEastAsia" w:hAnsiTheme="minorEastAsia"/>
                <w:sz w:val="21"/>
                <w:szCs w:val="21"/>
                <w:highlight w:val="none"/>
              </w:rPr>
            </w:pPr>
            <w:r>
              <w:rPr>
                <w:rFonts w:hint="eastAsia" w:cs="宋体" w:asciiTheme="minorEastAsia" w:hAnsiTheme="minorEastAsia"/>
                <w:sz w:val="21"/>
                <w:szCs w:val="21"/>
                <w:highlight w:val="none"/>
              </w:rPr>
              <w:t>监理费支付（付款进度及标准）</w:t>
            </w:r>
          </w:p>
        </w:tc>
        <w:tc>
          <w:tcPr>
            <w:tcW w:w="3574" w:type="pct"/>
            <w:gridSpan w:val="6"/>
            <w:tcMar>
              <w:top w:w="0" w:type="dxa"/>
              <w:left w:w="108" w:type="dxa"/>
              <w:bottom w:w="0" w:type="dxa"/>
              <w:right w:w="108" w:type="dxa"/>
            </w:tcMar>
            <w:vAlign w:val="center"/>
          </w:tcPr>
          <w:p>
            <w:pPr>
              <w:spacing w:line="450" w:lineRule="atLeast"/>
              <w:rPr>
                <w:rFonts w:cs="宋体" w:asciiTheme="minorEastAsia" w:hAnsiTheme="minorEastAsia"/>
                <w:sz w:val="21"/>
                <w:szCs w:val="21"/>
                <w:highlight w:val="none"/>
              </w:rPr>
            </w:pPr>
            <w:bookmarkStart w:id="3" w:name="_Hlk86082340"/>
            <w:r>
              <w:rPr>
                <w:rFonts w:hint="eastAsia" w:cs="宋体" w:asciiTheme="minorEastAsia" w:hAnsiTheme="minorEastAsia"/>
                <w:sz w:val="21"/>
                <w:szCs w:val="21"/>
                <w:highlight w:val="none"/>
              </w:rPr>
              <w:t>工程竣工付至合同价的</w:t>
            </w:r>
            <w:r>
              <w:rPr>
                <w:rFonts w:cs="宋体" w:asciiTheme="minorEastAsia" w:hAnsiTheme="minorEastAsia"/>
                <w:sz w:val="21"/>
                <w:szCs w:val="21"/>
                <w:highlight w:val="none"/>
              </w:rPr>
              <w:t>50%，环境效果评估通过后付至合同价的80%，工程审计结束</w:t>
            </w:r>
            <w:r>
              <w:rPr>
                <w:rFonts w:hint="eastAsia" w:cs="宋体" w:asciiTheme="minorEastAsia" w:hAnsiTheme="minorEastAsia"/>
                <w:sz w:val="21"/>
                <w:szCs w:val="21"/>
                <w:highlight w:val="none"/>
              </w:rPr>
              <w:t>后付清余款。</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1" w:hRule="atLeast"/>
          <w:jc w:val="center"/>
        </w:trPr>
        <w:tc>
          <w:tcPr>
            <w:tcW w:w="1425" w:type="pct"/>
            <w:gridSpan w:val="2"/>
            <w:tcMar>
              <w:top w:w="0" w:type="dxa"/>
              <w:left w:w="108" w:type="dxa"/>
              <w:bottom w:w="0" w:type="dxa"/>
              <w:right w:w="108" w:type="dxa"/>
            </w:tcMar>
            <w:vAlign w:val="center"/>
          </w:tcPr>
          <w:p>
            <w:pPr>
              <w:spacing w:line="360" w:lineRule="atLeast"/>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sz w:val="21"/>
                <w:szCs w:val="21"/>
                <w:highlight w:val="none"/>
                <w:lang w:val="en-US" w:eastAsia="zh-CN"/>
              </w:rPr>
              <w:t>履约保证金</w:t>
            </w:r>
          </w:p>
        </w:tc>
        <w:tc>
          <w:tcPr>
            <w:tcW w:w="3574" w:type="pct"/>
            <w:gridSpan w:val="6"/>
            <w:tcMar>
              <w:top w:w="0" w:type="dxa"/>
              <w:left w:w="108" w:type="dxa"/>
              <w:bottom w:w="0" w:type="dxa"/>
              <w:right w:w="108" w:type="dxa"/>
            </w:tcMar>
            <w:vAlign w:val="center"/>
          </w:tcPr>
          <w:p>
            <w:pPr>
              <w:spacing w:line="450" w:lineRule="atLeast"/>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sz w:val="21"/>
                <w:szCs w:val="21"/>
                <w:highlight w:val="none"/>
                <w:lang w:val="en-US" w:eastAsia="zh-CN"/>
              </w:rPr>
              <w:t>本项目无履约保证金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7" w:hRule="atLeast"/>
          <w:jc w:val="center"/>
        </w:trPr>
        <w:tc>
          <w:tcPr>
            <w:tcW w:w="1425" w:type="pct"/>
            <w:gridSpan w:val="2"/>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标书编制、装订及密封要求</w:t>
            </w:r>
          </w:p>
          <w:p>
            <w:pPr>
              <w:spacing w:line="217" w:lineRule="atLeast"/>
              <w:rPr>
                <w:rFonts w:cs="宋体" w:asciiTheme="minorEastAsia" w:hAnsiTheme="minorEastAsia"/>
                <w:sz w:val="21"/>
                <w:szCs w:val="21"/>
              </w:rPr>
            </w:pPr>
            <w:r>
              <w:rPr>
                <w:rFonts w:hint="eastAsia" w:cs="宋体" w:asciiTheme="minorEastAsia" w:hAnsiTheme="minorEastAsia"/>
                <w:sz w:val="21"/>
                <w:szCs w:val="21"/>
              </w:rPr>
              <w:t> </w:t>
            </w:r>
          </w:p>
        </w:tc>
        <w:tc>
          <w:tcPr>
            <w:tcW w:w="3574" w:type="pct"/>
            <w:gridSpan w:val="6"/>
            <w:tcMar>
              <w:top w:w="0" w:type="dxa"/>
              <w:left w:w="108" w:type="dxa"/>
              <w:bottom w:w="0" w:type="dxa"/>
              <w:right w:w="108" w:type="dxa"/>
            </w:tcMar>
            <w:vAlign w:val="center"/>
          </w:tcPr>
          <w:p>
            <w:pPr>
              <w:autoSpaceDE w:val="0"/>
              <w:autoSpaceDN w:val="0"/>
              <w:adjustRightInd w:val="0"/>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1.投标文件份数：一正两副</w:t>
            </w:r>
          </w:p>
          <w:p>
            <w:pPr>
              <w:autoSpaceDE w:val="0"/>
              <w:autoSpaceDN w:val="0"/>
              <w:adjustRightInd w:val="0"/>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2.密封：投标人应将所有投标文件密封到一个袋子里，并写明招标人名称、工程项目名称、投标人名称；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6" w:hRule="atLeast"/>
          <w:jc w:val="center"/>
        </w:trPr>
        <w:tc>
          <w:tcPr>
            <w:tcW w:w="1425" w:type="pct"/>
            <w:gridSpan w:val="2"/>
            <w:tcMar>
              <w:top w:w="0" w:type="dxa"/>
              <w:left w:w="108" w:type="dxa"/>
              <w:bottom w:w="0" w:type="dxa"/>
              <w:right w:w="108" w:type="dxa"/>
            </w:tcMar>
            <w:vAlign w:val="center"/>
          </w:tcPr>
          <w:p>
            <w:pPr>
              <w:spacing w:line="450" w:lineRule="atLeast"/>
              <w:rPr>
                <w:rFonts w:cs="宋体" w:asciiTheme="minorEastAsia" w:hAnsiTheme="minorEastAsia"/>
                <w:sz w:val="21"/>
                <w:szCs w:val="21"/>
              </w:rPr>
            </w:pPr>
            <w:r>
              <w:rPr>
                <w:rFonts w:hint="eastAsia" w:cs="宋体" w:asciiTheme="minorEastAsia" w:hAnsiTheme="minorEastAsia"/>
                <w:sz w:val="21"/>
                <w:szCs w:val="21"/>
              </w:rPr>
              <w:t>其     他</w:t>
            </w:r>
          </w:p>
        </w:tc>
        <w:tc>
          <w:tcPr>
            <w:tcW w:w="3574" w:type="pct"/>
            <w:gridSpan w:val="6"/>
            <w:tcMar>
              <w:top w:w="0" w:type="dxa"/>
              <w:left w:w="108" w:type="dxa"/>
              <w:bottom w:w="0" w:type="dxa"/>
              <w:right w:w="108" w:type="dxa"/>
            </w:tcMar>
            <w:vAlign w:val="center"/>
          </w:tcPr>
          <w:p>
            <w:pPr>
              <w:spacing w:line="450" w:lineRule="atLeast"/>
              <w:ind w:firstLine="140"/>
              <w:rPr>
                <w:rFonts w:cs="宋体" w:asciiTheme="minorEastAsia" w:hAnsiTheme="minorEastAsia"/>
                <w:sz w:val="21"/>
                <w:szCs w:val="21"/>
              </w:rPr>
            </w:pPr>
            <w:r>
              <w:rPr>
                <w:rFonts w:hint="eastAsia" w:cs="宋体" w:asciiTheme="minorEastAsia" w:hAnsiTheme="minorEastAsia"/>
                <w:sz w:val="21"/>
                <w:szCs w:val="21"/>
              </w:rPr>
              <w:t>下文中与前附表内容出现不一致时以前附表为准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1" w:hRule="atLeast"/>
          <w:jc w:val="center"/>
        </w:trPr>
        <w:tc>
          <w:tcPr>
            <w:tcW w:w="1425" w:type="pct"/>
            <w:gridSpan w:val="2"/>
            <w:tcMar>
              <w:top w:w="0" w:type="dxa"/>
              <w:left w:w="108" w:type="dxa"/>
              <w:bottom w:w="0" w:type="dxa"/>
              <w:right w:w="108" w:type="dxa"/>
            </w:tcMar>
            <w:vAlign w:val="center"/>
          </w:tcPr>
          <w:p>
            <w:pPr>
              <w:spacing w:line="360" w:lineRule="atLeast"/>
              <w:rPr>
                <w:rFonts w:cs="宋体" w:asciiTheme="minorEastAsia" w:hAnsiTheme="minorEastAsia"/>
                <w:sz w:val="21"/>
                <w:szCs w:val="21"/>
              </w:rPr>
            </w:pPr>
            <w:r>
              <w:rPr>
                <w:rFonts w:hint="eastAsia" w:cs="宋体" w:asciiTheme="minorEastAsia" w:hAnsiTheme="minorEastAsia"/>
                <w:sz w:val="21"/>
                <w:szCs w:val="21"/>
              </w:rPr>
              <w:t>联系方式</w:t>
            </w:r>
          </w:p>
        </w:tc>
        <w:tc>
          <w:tcPr>
            <w:tcW w:w="3574" w:type="pct"/>
            <w:gridSpan w:val="6"/>
            <w:tcMar>
              <w:top w:w="0" w:type="dxa"/>
              <w:left w:w="108" w:type="dxa"/>
              <w:bottom w:w="0" w:type="dxa"/>
              <w:right w:w="108" w:type="dxa"/>
            </w:tcMar>
            <w:vAlign w:val="center"/>
          </w:tcPr>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招标</w:t>
            </w:r>
            <w:r>
              <w:rPr>
                <w:rFonts w:hint="eastAsia" w:cs="宋体" w:asciiTheme="minorEastAsia" w:hAnsiTheme="minorEastAsia"/>
                <w:sz w:val="21"/>
                <w:szCs w:val="21"/>
                <w:lang w:val="en-US" w:eastAsia="zh-CN"/>
              </w:rPr>
              <w:t>单位</w:t>
            </w:r>
            <w:r>
              <w:rPr>
                <w:rFonts w:hint="eastAsia" w:cs="宋体" w:asciiTheme="minorEastAsia" w:hAnsiTheme="minorEastAsia"/>
                <w:sz w:val="21"/>
                <w:szCs w:val="21"/>
              </w:rPr>
              <w:t>：扬州万福投资发展有限责任公司</w:t>
            </w:r>
          </w:p>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联系人：刘工    电 话：0514-82955300</w:t>
            </w:r>
          </w:p>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办公地址：扬州市史可法路58-21号</w:t>
            </w:r>
          </w:p>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网  址： </w:t>
            </w:r>
            <w:r>
              <w:rPr>
                <w:rFonts w:cs="宋体" w:asciiTheme="minorEastAsia" w:hAnsiTheme="minorEastAsia"/>
                <w:sz w:val="21"/>
                <w:szCs w:val="21"/>
              </w:rPr>
              <w:fldChar w:fldCharType="begin"/>
            </w:r>
            <w:r>
              <w:rPr>
                <w:rFonts w:cs="宋体" w:asciiTheme="minorEastAsia" w:hAnsiTheme="minorEastAsia"/>
                <w:sz w:val="21"/>
                <w:szCs w:val="21"/>
              </w:rPr>
              <w:instrText xml:space="preserve">HYPERLINK "http://cjkg.yangzhou.gov.cn/"</w:instrText>
            </w:r>
            <w:r>
              <w:rPr>
                <w:rFonts w:cs="宋体" w:asciiTheme="minorEastAsia" w:hAnsiTheme="minorEastAsia"/>
                <w:sz w:val="21"/>
                <w:szCs w:val="21"/>
              </w:rPr>
              <w:fldChar w:fldCharType="separate"/>
            </w:r>
            <w:r>
              <w:rPr>
                <w:rFonts w:hint="eastAsia" w:cs="宋体" w:asciiTheme="minorEastAsia" w:hAnsiTheme="minorEastAsia"/>
                <w:sz w:val="21"/>
                <w:szCs w:val="21"/>
              </w:rPr>
              <w:t>http://cjkg.yangzhou.go</w:t>
            </w:r>
            <w:bookmarkStart w:id="4" w:name="_Hlt15382555"/>
            <w:bookmarkStart w:id="5" w:name="_Hlt15382554"/>
            <w:r>
              <w:rPr>
                <w:rFonts w:hint="eastAsia" w:cs="宋体" w:asciiTheme="minorEastAsia" w:hAnsiTheme="minorEastAsia"/>
                <w:sz w:val="21"/>
                <w:szCs w:val="21"/>
              </w:rPr>
              <w:t>v</w:t>
            </w:r>
            <w:bookmarkEnd w:id="4"/>
            <w:bookmarkEnd w:id="5"/>
            <w:r>
              <w:rPr>
                <w:rFonts w:hint="eastAsia" w:cs="宋体" w:asciiTheme="minorEastAsia" w:hAnsiTheme="minorEastAsia"/>
                <w:sz w:val="21"/>
                <w:szCs w:val="21"/>
              </w:rPr>
              <w:t>.cn/</w:t>
            </w:r>
            <w:r>
              <w:rPr>
                <w:rFonts w:cs="宋体" w:asciiTheme="minorEastAsia" w:hAnsiTheme="minorEastAsia"/>
                <w:sz w:val="21"/>
                <w:szCs w:val="21"/>
              </w:rPr>
              <w:fldChar w:fldCharType="end"/>
            </w:r>
          </w:p>
          <w:p>
            <w:pPr>
              <w:tabs>
                <w:tab w:val="left" w:pos="5700"/>
              </w:tabs>
              <w:spacing w:line="360" w:lineRule="auto"/>
              <w:rPr>
                <w:rFonts w:cs="宋体" w:asciiTheme="minorEastAsia" w:hAnsiTheme="minorEastAsia"/>
                <w:sz w:val="21"/>
                <w:szCs w:val="21"/>
              </w:rPr>
            </w:pPr>
            <w:r>
              <w:rPr>
                <w:rFonts w:cs="宋体" w:asciiTheme="minorEastAsia" w:hAnsiTheme="minorEastAsia"/>
                <w:sz w:val="21"/>
                <w:szCs w:val="21"/>
              </w:rPr>
              <w:t>招标代理机构</w:t>
            </w:r>
            <w:r>
              <w:rPr>
                <w:rFonts w:hint="eastAsia" w:cs="宋体" w:asciiTheme="minorEastAsia" w:hAnsiTheme="minorEastAsia"/>
                <w:sz w:val="21"/>
                <w:szCs w:val="21"/>
              </w:rPr>
              <w:t>：</w:t>
            </w:r>
            <w:r>
              <w:rPr>
                <w:rFonts w:cs="宋体" w:asciiTheme="minorEastAsia" w:hAnsiTheme="minorEastAsia"/>
                <w:sz w:val="21"/>
                <w:szCs w:val="21"/>
              </w:rPr>
              <w:t>江苏立信建设工程造价咨询有限公司</w:t>
            </w:r>
          </w:p>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联系人：季工</w:t>
            </w:r>
          </w:p>
          <w:p>
            <w:pPr>
              <w:tabs>
                <w:tab w:val="left" w:pos="5700"/>
              </w:tabs>
              <w:spacing w:line="360" w:lineRule="auto"/>
              <w:rPr>
                <w:rFonts w:cs="宋体" w:asciiTheme="minorEastAsia" w:hAnsiTheme="minorEastAsia"/>
                <w:sz w:val="21"/>
                <w:szCs w:val="21"/>
              </w:rPr>
            </w:pPr>
            <w:r>
              <w:rPr>
                <w:rFonts w:hint="eastAsia" w:cs="宋体" w:asciiTheme="minorEastAsia" w:hAnsiTheme="minorEastAsia"/>
                <w:sz w:val="21"/>
                <w:szCs w:val="21"/>
              </w:rPr>
              <w:t>联系电话：13952729267</w:t>
            </w:r>
          </w:p>
          <w:p>
            <w:pPr>
              <w:spacing w:line="450" w:lineRule="atLeast"/>
              <w:rPr>
                <w:rFonts w:cs="宋体" w:asciiTheme="minorEastAsia" w:hAnsiTheme="minorEastAsia"/>
                <w:sz w:val="21"/>
                <w:szCs w:val="21"/>
              </w:rPr>
            </w:pPr>
            <w:r>
              <w:rPr>
                <w:rFonts w:hint="eastAsia" w:cs="宋体" w:asciiTheme="minorEastAsia" w:hAnsiTheme="minorEastAsia"/>
                <w:sz w:val="21"/>
                <w:szCs w:val="21"/>
              </w:rPr>
              <w:t>电子邮箱：1274847791@qq.com</w:t>
            </w:r>
          </w:p>
        </w:tc>
      </w:tr>
    </w:tbl>
    <w:p>
      <w:pPr>
        <w:rPr>
          <w:rFonts w:ascii="宋体"/>
          <w:b/>
          <w:bCs/>
          <w:snapToGrid w:val="0"/>
          <w:sz w:val="32"/>
          <w:szCs w:val="32"/>
        </w:rPr>
      </w:pPr>
    </w:p>
    <w:p>
      <w:pPr>
        <w:rPr>
          <w:rFonts w:ascii="宋体"/>
          <w:b/>
          <w:bCs/>
          <w:snapToGrid w:val="0"/>
          <w:sz w:val="32"/>
          <w:szCs w:val="32"/>
        </w:rPr>
      </w:pPr>
      <w:r>
        <w:rPr>
          <w:rFonts w:ascii="宋体"/>
          <w:b/>
          <w:bCs/>
          <w:snapToGrid w:val="0"/>
          <w:sz w:val="32"/>
          <w:szCs w:val="32"/>
        </w:rPr>
        <w:br w:type="page"/>
      </w:r>
    </w:p>
    <w:p>
      <w:pPr>
        <w:pStyle w:val="3"/>
        <w:keepNext w:val="0"/>
        <w:keepLines w:val="0"/>
        <w:spacing w:line="360" w:lineRule="auto"/>
      </w:pPr>
      <w:bookmarkStart w:id="6" w:name="_Toc516082709"/>
      <w:r>
        <w:rPr>
          <w:rFonts w:hint="eastAsia"/>
        </w:rPr>
        <w:t>1 总则</w:t>
      </w:r>
      <w:bookmarkEnd w:id="6"/>
      <w:r>
        <w:rPr>
          <w:rFonts w:hint="eastAsia"/>
        </w:rPr>
        <w:tab/>
      </w:r>
    </w:p>
    <w:p>
      <w:pPr>
        <w:pStyle w:val="4"/>
        <w:keepNext w:val="0"/>
        <w:keepLines w:val="0"/>
        <w:spacing w:line="360" w:lineRule="auto"/>
      </w:pPr>
      <w:bookmarkStart w:id="7" w:name="_Toc516082710"/>
      <w:r>
        <w:rPr>
          <w:rFonts w:hint="eastAsia"/>
        </w:rPr>
        <w:t>1.1 项目概况</w:t>
      </w:r>
      <w:bookmarkEnd w:id="7"/>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1.1.1 根据《中华人民共和国招标投标法》、《中华人民共和国招标投标法实施条例》等有关法律、法规和规章的规定，本招标项目已具备招标条件，现对本标段监理及相关服务进行招标。</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1.1.2 本招标项目招标人：见投标人须知前附表。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1.1.3 本标段招标代理机构：见投标人须知前附表。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1.1.4 本招标项目名称：见投标人须知前附表。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1.1.5 本标段建设地点：见投标人须知前附表。</w:t>
      </w:r>
    </w:p>
    <w:p>
      <w:pPr>
        <w:pStyle w:val="4"/>
        <w:keepNext w:val="0"/>
        <w:keepLines w:val="0"/>
        <w:spacing w:line="360" w:lineRule="auto"/>
      </w:pPr>
      <w:bookmarkStart w:id="8" w:name="_Toc516082711"/>
      <w:r>
        <w:rPr>
          <w:rFonts w:hint="eastAsia"/>
        </w:rPr>
        <w:t>1.2 资金来源和落实情况</w:t>
      </w:r>
      <w:bookmarkEnd w:id="8"/>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1.2.1 本招标项目的资金来源：见投标人须知前附表。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1.2.2 本招标项目的出资比例：见投标人须知前附表。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1.2.3 本招标项目的资金落实情况：见投标人须知前附表。</w:t>
      </w:r>
    </w:p>
    <w:p>
      <w:pPr>
        <w:pStyle w:val="4"/>
        <w:keepNext w:val="0"/>
        <w:keepLines w:val="0"/>
        <w:spacing w:line="360" w:lineRule="auto"/>
      </w:pPr>
      <w:bookmarkStart w:id="9" w:name="_Toc516082712"/>
      <w:r>
        <w:rPr>
          <w:rFonts w:hint="eastAsia"/>
        </w:rPr>
        <w:t>1.3 招标范围、监理服务期限及质量要求</w:t>
      </w:r>
      <w:bookmarkEnd w:id="9"/>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1.3.1 本次招标范围：见投标人须知前附表。</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1.3.2 本标段的监理服务期限：见投标人须知前附表。</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1.3.3 本标段的质量要求：见投标人须知前附表。</w:t>
      </w:r>
    </w:p>
    <w:p>
      <w:pPr>
        <w:pStyle w:val="4"/>
        <w:keepNext w:val="0"/>
        <w:keepLines w:val="0"/>
        <w:spacing w:line="360" w:lineRule="auto"/>
      </w:pPr>
      <w:bookmarkStart w:id="10" w:name="_Toc516082713"/>
      <w:r>
        <w:rPr>
          <w:rFonts w:hint="eastAsia"/>
        </w:rPr>
        <w:t>1.4 投标人资格要求</w:t>
      </w:r>
      <w:bookmarkEnd w:id="10"/>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1.4.1 投标人应具备的资格要求见投标人须知前附表。</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（1）联合体各方应按招标文件提供的格式签订联合体协议书，明确联合体牵头人和各方的权利义务；</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（2）由同一专业的单位组成的联合体，按照资质等级较低的单位确定资质等级；</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（3）联合体各方不得再以自己名义单独或加入其他联合体在同一标段中参加资格预审。</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1.4.3 投标人不得存在下列情形之一：</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 xml:space="preserve">（1）为招标人的附属机构（单位）； </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（2）为本标段提供招标代理服务的；</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（3）与本标段的招标代理机构存在单位负责人为同一人的；</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（4）与本标段的招标代理机构存在相互控股或参股的；</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（5）与本标段其他投标人存在单位负责人为同一人或者存在控股、管理关系的；</w:t>
      </w:r>
    </w:p>
    <w:p>
      <w:pPr>
        <w:autoSpaceDE w:val="0"/>
        <w:autoSpaceDN w:val="0"/>
        <w:adjustRightInd w:val="0"/>
        <w:snapToGrid w:val="0"/>
        <w:spacing w:line="360" w:lineRule="auto"/>
        <w:ind w:firstLine="440" w:firstLineChars="200"/>
        <w:rPr>
          <w:rFonts w:ascii="宋体" w:hAnsi="宋体" w:cs="宋体"/>
          <w:szCs w:val="21"/>
        </w:rPr>
      </w:pPr>
      <w:r>
        <w:rPr>
          <w:rFonts w:hint="eastAsia" w:ascii="宋体" w:hAnsi="宋体" w:cs="宋体"/>
          <w:szCs w:val="21"/>
        </w:rPr>
        <w:t>（6）法律法规规定的其它情形。</w:t>
      </w:r>
    </w:p>
    <w:p>
      <w:pPr>
        <w:pStyle w:val="4"/>
        <w:keepNext w:val="0"/>
        <w:keepLines w:val="0"/>
        <w:spacing w:line="360" w:lineRule="auto"/>
      </w:pPr>
      <w:bookmarkStart w:id="11" w:name="_Toc516082714"/>
      <w:r>
        <w:rPr>
          <w:rFonts w:hint="eastAsia"/>
        </w:rPr>
        <w:t>1.5 费用承担</w:t>
      </w:r>
      <w:bookmarkEnd w:id="11"/>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投标人准备和参加投标活动发生的费用自理。</w:t>
      </w:r>
    </w:p>
    <w:p>
      <w:pPr>
        <w:pStyle w:val="4"/>
        <w:keepNext w:val="0"/>
        <w:keepLines w:val="0"/>
        <w:spacing w:line="360" w:lineRule="auto"/>
      </w:pPr>
      <w:bookmarkStart w:id="12" w:name="_Toc516082715"/>
      <w:r>
        <w:rPr>
          <w:rFonts w:hint="eastAsia"/>
        </w:rPr>
        <w:t>1.6 保密</w:t>
      </w:r>
      <w:bookmarkEnd w:id="12"/>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pPr>
        <w:pStyle w:val="4"/>
        <w:keepNext w:val="0"/>
        <w:keepLines w:val="0"/>
        <w:spacing w:line="360" w:lineRule="auto"/>
      </w:pPr>
      <w:bookmarkStart w:id="13" w:name="_Toc516082716"/>
      <w:r>
        <w:rPr>
          <w:rFonts w:hint="eastAsia"/>
        </w:rPr>
        <w:t>1.7 语言文字</w:t>
      </w:r>
      <w:bookmarkEnd w:id="13"/>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除专用术语外，与招标投标有关的语言均使用简体中文。必要时专用术语应附有中文注释。</w:t>
      </w:r>
    </w:p>
    <w:p>
      <w:pPr>
        <w:pStyle w:val="4"/>
        <w:keepNext w:val="0"/>
        <w:keepLines w:val="0"/>
        <w:spacing w:line="360" w:lineRule="auto"/>
      </w:pPr>
      <w:bookmarkStart w:id="14" w:name="_Toc516082717"/>
      <w:r>
        <w:rPr>
          <w:rFonts w:hint="eastAsia"/>
        </w:rPr>
        <w:t>1.8 计量单位</w:t>
      </w:r>
      <w:bookmarkEnd w:id="14"/>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所有计量均采用中华人民共和国法定计量单位。</w:t>
      </w:r>
    </w:p>
    <w:p>
      <w:pPr>
        <w:pStyle w:val="4"/>
        <w:keepNext w:val="0"/>
        <w:keepLines w:val="0"/>
        <w:spacing w:line="360" w:lineRule="auto"/>
      </w:pPr>
      <w:bookmarkStart w:id="15" w:name="_Toc516082718"/>
      <w:r>
        <w:rPr>
          <w:rFonts w:hint="eastAsia"/>
        </w:rPr>
        <w:t>1.9 踏勘现场</w:t>
      </w:r>
      <w:bookmarkEnd w:id="15"/>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1.9.1招标人不组织投标人踏勘现场，投标人可以自行对工程施工现场和周围环境进行勘察，以获取编制投标文件和签署合同所需的所有资料。施工现场的联系方式见须知前附表。</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1.9.2 投标人踏勘现场发生的费用自理。</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1.9.3 除招标人的原因外，投标人自行负责在踏勘现场中所发生的人员伤亡和财产损失。</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szCs w:val="21"/>
        </w:rPr>
        <w:t>1.9.4 招标人向投标人提供的有关施工现场的资料和数据是招标人现有的能使投标人利用的资料。招标人对投标人由此而做出的推论</w:t>
      </w:r>
      <w:r>
        <w:rPr>
          <w:rFonts w:hint="eastAsia" w:ascii="宋体" w:hAnsi="宋体" w:cs="宋体"/>
          <w:color w:val="000000"/>
          <w:szCs w:val="21"/>
        </w:rPr>
        <w:t>、理解和结论概不负责。</w:t>
      </w:r>
    </w:p>
    <w:p>
      <w:pPr>
        <w:pStyle w:val="4"/>
        <w:keepNext w:val="0"/>
        <w:keepLines w:val="0"/>
        <w:spacing w:line="360" w:lineRule="auto"/>
        <w:rPr>
          <w:color w:val="000000"/>
        </w:rPr>
      </w:pPr>
      <w:bookmarkStart w:id="16" w:name="_Toc516082719"/>
      <w:r>
        <w:rPr>
          <w:rFonts w:hint="eastAsia"/>
          <w:color w:val="000000"/>
        </w:rPr>
        <w:t>1.10 投标预备会</w:t>
      </w:r>
      <w:bookmarkEnd w:id="1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pStyle w:val="3"/>
        <w:keepNext w:val="0"/>
        <w:keepLines w:val="0"/>
        <w:spacing w:line="360" w:lineRule="auto"/>
        <w:rPr>
          <w:color w:val="000000"/>
        </w:rPr>
      </w:pPr>
      <w:bookmarkStart w:id="17" w:name="_Toc516082720"/>
      <w:r>
        <w:rPr>
          <w:rFonts w:hint="eastAsia"/>
          <w:color w:val="000000"/>
        </w:rPr>
        <w:t>2  招标文件</w:t>
      </w:r>
      <w:bookmarkEnd w:id="17"/>
    </w:p>
    <w:p>
      <w:pPr>
        <w:pStyle w:val="4"/>
        <w:keepNext w:val="0"/>
        <w:keepLines w:val="0"/>
        <w:spacing w:line="360" w:lineRule="auto"/>
        <w:rPr>
          <w:color w:val="000000"/>
        </w:rPr>
      </w:pPr>
      <w:bookmarkStart w:id="18" w:name="_Toc516082721"/>
      <w:r>
        <w:rPr>
          <w:rFonts w:hint="eastAsia"/>
          <w:color w:val="000000"/>
        </w:rPr>
        <w:t>2.1 招标文件的组成</w:t>
      </w:r>
      <w:bookmarkEnd w:id="18"/>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2.1.1 本招标文件包括：</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（1）招标公告；</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（2）投标人须知；</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（3）评标办法；</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（4）合同条款及格式；</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（5）技术资料和设计文件；</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（6）投标文件格式；</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（7）投标人须知前附表规定的其他材料。</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2.1.2 根据本章第1.10款、第2.2款和第2.3款对招标文件所作的澄清、修改，构成招标文件的组成部分。当招标文件相互之间发生矛盾时，以后发出的文件为准。</w:t>
      </w:r>
    </w:p>
    <w:p>
      <w:pPr>
        <w:pStyle w:val="4"/>
        <w:keepNext w:val="0"/>
        <w:keepLines w:val="0"/>
        <w:spacing w:line="360" w:lineRule="auto"/>
        <w:rPr>
          <w:color w:val="000000"/>
        </w:rPr>
      </w:pPr>
      <w:bookmarkStart w:id="19" w:name="_Toc516082722"/>
      <w:r>
        <w:rPr>
          <w:rFonts w:hint="eastAsia"/>
          <w:color w:val="000000"/>
        </w:rPr>
        <w:t>2.2 招标文件的澄清</w:t>
      </w:r>
      <w:bookmarkEnd w:id="19"/>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2.2.1 投标人应仔细阅读和检查招标文件的全部内容。如发现缺页或附件不全，应及时向招标人提出，以便补齐。如有疑问，应在投标人须知前附表规定的时间前以书面形式，要求招标人对招标文件予以澄清。</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2.2.2 招标文件的澄清将通过电子邮箱发给所有购买招标文件的投标人，但不指明澄清问题的来源。如果澄清的内容影响到投标文件的编制，且澄清发出的时间距投标截止时间不足3天，相应延长投标截止时间。</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2.2.3投标人对招标人提供的招标文件所做出的推论、解释和结论，招标人概不负责，投标人由于对招标文件的任何推论和误解以及招标人对有关问题的口头解释所造成的后果，均由投标人自负。</w:t>
      </w:r>
    </w:p>
    <w:p>
      <w:pPr>
        <w:pStyle w:val="4"/>
        <w:keepNext w:val="0"/>
        <w:keepLines w:val="0"/>
        <w:spacing w:line="360" w:lineRule="auto"/>
        <w:rPr>
          <w:color w:val="000000"/>
        </w:rPr>
      </w:pPr>
      <w:bookmarkStart w:id="20" w:name="_Toc516082723"/>
      <w:r>
        <w:rPr>
          <w:rFonts w:hint="eastAsia"/>
          <w:color w:val="000000"/>
        </w:rPr>
        <w:t>2.3 招标文件的修改和补充</w:t>
      </w:r>
      <w:bookmarkEnd w:id="20"/>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2.3.1 在投标截止时间前，招标人可以以招标文件澄清形式对招标文件进行修改和补充。如果修改和补充的内容影响到投标文件的编制，且修改和补充发出的时间距投标截止时间不足3天，相应延长投标截止时间。</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2.3.2 投标人应在投标截止时间前随时查看报名人电子邮箱中有关该工程招标文件的答疑内容。投标人因自身原因未能及时掌握上述网上公示信息，由此造成投标损失自负。</w:t>
      </w:r>
    </w:p>
    <w:p>
      <w:pPr>
        <w:pStyle w:val="3"/>
        <w:keepNext w:val="0"/>
        <w:keepLines w:val="0"/>
        <w:spacing w:line="360" w:lineRule="auto"/>
        <w:rPr>
          <w:color w:val="000000"/>
        </w:rPr>
      </w:pPr>
      <w:bookmarkStart w:id="21" w:name="_Toc516082724"/>
      <w:r>
        <w:rPr>
          <w:rFonts w:hint="eastAsia"/>
          <w:color w:val="000000"/>
        </w:rPr>
        <w:t>3  投标文件</w:t>
      </w:r>
      <w:bookmarkEnd w:id="21"/>
    </w:p>
    <w:p>
      <w:pPr>
        <w:pStyle w:val="4"/>
        <w:keepNext w:val="0"/>
        <w:keepLines w:val="0"/>
        <w:spacing w:line="360" w:lineRule="auto"/>
        <w:rPr>
          <w:color w:val="000000"/>
        </w:rPr>
      </w:pPr>
      <w:bookmarkStart w:id="22" w:name="_Toc516082725"/>
      <w:r>
        <w:rPr>
          <w:rFonts w:hint="eastAsia"/>
          <w:color w:val="000000"/>
        </w:rPr>
        <w:t>3.1 投标文件的组成</w:t>
      </w:r>
      <w:bookmarkEnd w:id="22"/>
    </w:p>
    <w:p>
      <w:pPr>
        <w:autoSpaceDE w:val="0"/>
        <w:autoSpaceDN w:val="0"/>
        <w:adjustRightInd w:val="0"/>
        <w:spacing w:line="360" w:lineRule="auto"/>
        <w:ind w:firstLine="440" w:firstLineChars="200"/>
        <w:rPr>
          <w:rFonts w:ascii="宋体" w:hAnsi="宋体" w:cs="宋体"/>
          <w:color w:val="000000"/>
          <w:szCs w:val="21"/>
        </w:rPr>
      </w:pPr>
      <w:bookmarkStart w:id="23" w:name="_Toc24988"/>
      <w:bookmarkStart w:id="24" w:name="_Toc13714"/>
      <w:r>
        <w:rPr>
          <w:rFonts w:hint="eastAsia" w:ascii="宋体" w:hAnsi="宋体" w:cs="宋体"/>
          <w:color w:val="000000"/>
          <w:szCs w:val="21"/>
        </w:rPr>
        <w:t>3.1.1 投标文件的组成见投标人须知前附表。</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3.1.2 第六章“投标文件格式”要求提供相关证明材料的复印件作为附件的，投标人应按要求在投标文件中提供相应材料，否则不予认可。</w:t>
      </w:r>
    </w:p>
    <w:p>
      <w:pPr>
        <w:pStyle w:val="4"/>
        <w:keepNext w:val="0"/>
        <w:keepLines w:val="0"/>
        <w:spacing w:line="360" w:lineRule="auto"/>
        <w:rPr>
          <w:color w:val="000000"/>
        </w:rPr>
      </w:pPr>
      <w:bookmarkStart w:id="25" w:name="_Toc516082726"/>
      <w:r>
        <w:rPr>
          <w:color w:val="000000"/>
        </w:rPr>
        <w:t xml:space="preserve">3.2 </w:t>
      </w:r>
      <w:r>
        <w:rPr>
          <w:rFonts w:hint="eastAsia"/>
          <w:color w:val="000000"/>
        </w:rPr>
        <w:t>投标报价</w:t>
      </w:r>
      <w:bookmarkEnd w:id="23"/>
      <w:bookmarkEnd w:id="24"/>
      <w:bookmarkEnd w:id="25"/>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3.2.1 投标报价应包含在监理服务期内完成本招标文件所列监理范围全部监理工作内容所需的所有费用，且不得高于最高限价，由施工阶段监理费报价和其他费用组成。</w:t>
      </w:r>
    </w:p>
    <w:p>
      <w:pPr>
        <w:autoSpaceDE w:val="0"/>
        <w:autoSpaceDN w:val="0"/>
        <w:adjustRightInd w:val="0"/>
        <w:spacing w:line="360" w:lineRule="auto"/>
        <w:ind w:firstLine="44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2监理费最高限价见投标人须知前附表。</w:t>
      </w:r>
    </w:p>
    <w:p>
      <w:pPr>
        <w:pStyle w:val="4"/>
        <w:keepNext w:val="0"/>
        <w:keepLines w:val="0"/>
        <w:spacing w:line="360" w:lineRule="auto"/>
        <w:rPr>
          <w:color w:val="000000"/>
        </w:rPr>
      </w:pPr>
      <w:bookmarkStart w:id="26" w:name="_Toc516082727"/>
      <w:r>
        <w:rPr>
          <w:rFonts w:hint="eastAsia"/>
          <w:color w:val="000000"/>
        </w:rPr>
        <w:t>3.3 投标有效期</w:t>
      </w:r>
      <w:bookmarkEnd w:id="2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3.3.1 投标有效期从投标人提交投标文件截止之日起计算。在投标人须知前附表规定的投标有效期内，投标人不得要求撤销或修改其投标文件。</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pPr>
        <w:pStyle w:val="4"/>
        <w:keepNext w:val="0"/>
        <w:keepLines w:val="0"/>
        <w:spacing w:line="360" w:lineRule="auto"/>
        <w:rPr>
          <w:color w:val="000000"/>
        </w:rPr>
      </w:pPr>
      <w:bookmarkStart w:id="27" w:name="_Toc516082728"/>
      <w:r>
        <w:rPr>
          <w:rFonts w:hint="eastAsia"/>
          <w:color w:val="000000"/>
        </w:rPr>
        <w:t>3.4 投标保证金</w:t>
      </w:r>
      <w:bookmarkEnd w:id="27"/>
    </w:p>
    <w:p>
      <w:pPr>
        <w:spacing w:line="360" w:lineRule="auto"/>
        <w:ind w:firstLine="440" w:firstLineChars="200"/>
        <w:rPr>
          <w:rFonts w:ascii="宋体" w:hAnsi="宋体" w:cs="宋体"/>
          <w:color w:val="000000"/>
          <w:szCs w:val="21"/>
        </w:rPr>
      </w:pPr>
      <w:bookmarkStart w:id="28" w:name="_Toc516082729"/>
      <w:r>
        <w:rPr>
          <w:rFonts w:hint="eastAsia" w:ascii="宋体" w:hAnsi="宋体" w:cs="宋体"/>
          <w:color w:val="000000"/>
          <w:szCs w:val="21"/>
        </w:rPr>
        <w:t>3.4.1 投标人必须在投标截止时间前，按投标人须知前附表的规定递交投标保证金。</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3.4.2 投标人不按本章第3.4.1项要求提交投标保证金的，其投标文件无效。</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3.4.3 招标人与中标人签订合同后</w:t>
      </w:r>
      <w:r>
        <w:rPr>
          <w:rFonts w:ascii="宋体" w:hAnsi="宋体" w:cs="宋体"/>
          <w:color w:val="000000"/>
          <w:szCs w:val="21"/>
        </w:rPr>
        <w:t>5</w:t>
      </w:r>
      <w:r>
        <w:rPr>
          <w:rFonts w:hint="eastAsia" w:ascii="宋体" w:hAnsi="宋体" w:cs="宋体"/>
          <w:color w:val="000000"/>
          <w:szCs w:val="21"/>
        </w:rPr>
        <w:t>日内，向未中标的投标人和中标人退还投标保证金。退还方式见投标人须知前附表。</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3.4.4 有下列情形之一的，投标保证金将不予退还：</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①投标人在投标有效期内撤销或修改其投标文件；</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②中标人无正当理由不与招标人订立合同；</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③中标人在签订合同时向招标人提出附加条件；</w:t>
      </w:r>
    </w:p>
    <w:p>
      <w:pPr>
        <w:spacing w:line="360" w:lineRule="auto"/>
        <w:ind w:firstLine="440" w:firstLineChars="200"/>
        <w:rPr>
          <w:rFonts w:ascii="宋体" w:hAnsi="宋体" w:cs="宋体"/>
          <w:color w:val="000000"/>
          <w:szCs w:val="21"/>
        </w:rPr>
      </w:pPr>
      <w:r>
        <w:rPr>
          <w:rFonts w:hint="eastAsia" w:ascii="宋体" w:hAnsi="宋体" w:cs="宋体"/>
          <w:color w:val="000000"/>
          <w:szCs w:val="21"/>
        </w:rPr>
        <w:t>④中标人不按照招标文件要求提交履约保证金的。</w:t>
      </w:r>
    </w:p>
    <w:p>
      <w:pPr>
        <w:pStyle w:val="4"/>
        <w:keepNext w:val="0"/>
        <w:keepLines w:val="0"/>
        <w:spacing w:line="360" w:lineRule="auto"/>
        <w:rPr>
          <w:color w:val="000000"/>
        </w:rPr>
      </w:pPr>
      <w:r>
        <w:rPr>
          <w:rFonts w:hint="eastAsia"/>
          <w:color w:val="000000"/>
        </w:rPr>
        <w:t>3.5 备选投标方案</w:t>
      </w:r>
      <w:bookmarkEnd w:id="28"/>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keepNext w:val="0"/>
        <w:keepLines w:val="0"/>
        <w:spacing w:line="360" w:lineRule="auto"/>
        <w:rPr>
          <w:color w:val="000000"/>
        </w:rPr>
      </w:pPr>
      <w:bookmarkStart w:id="29" w:name="_Toc516082732"/>
      <w:r>
        <w:rPr>
          <w:rFonts w:hint="eastAsia"/>
          <w:color w:val="000000"/>
        </w:rPr>
        <w:t>3.6 资格审查资料</w:t>
      </w:r>
      <w:bookmarkEnd w:id="29"/>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投标人在编制投标文件时，应按本章第3.1项的要求在投标文件中提供与资格审查相关的资料，且符合本章第3.6.1项的要求。</w:t>
      </w:r>
    </w:p>
    <w:p>
      <w:pPr>
        <w:autoSpaceDE w:val="0"/>
        <w:autoSpaceDN w:val="0"/>
        <w:adjustRightInd w:val="0"/>
        <w:spacing w:line="360" w:lineRule="auto"/>
        <w:ind w:firstLine="440" w:firstLineChars="200"/>
        <w:rPr>
          <w:rFonts w:ascii="宋体" w:hAnsi="宋体" w:cs="宋体"/>
          <w:color w:val="000000"/>
          <w:szCs w:val="21"/>
        </w:rPr>
      </w:pPr>
      <w:r>
        <w:rPr>
          <w:rFonts w:ascii="宋体" w:hAnsi="宋体" w:cs="宋体"/>
          <w:color w:val="000000"/>
          <w:szCs w:val="21"/>
        </w:rPr>
        <w:t xml:space="preserve">3.6.1 </w:t>
      </w:r>
      <w:r>
        <w:rPr>
          <w:rFonts w:hint="eastAsia" w:ascii="宋体" w:hAnsi="宋体" w:cs="宋体"/>
          <w:color w:val="000000"/>
          <w:szCs w:val="21"/>
        </w:rPr>
        <w:t>投标文件应按 “投标文件格式”进行编写，按要求加盖公章，并在投标截止期前送达指定地点。</w:t>
      </w:r>
      <w:r>
        <w:rPr>
          <w:rFonts w:hint="eastAsia" w:ascii="宋体" w:hAnsi="宋体" w:cs="宋体"/>
          <w:szCs w:val="21"/>
        </w:rPr>
        <w:t>投标文件应当对招标文件有关工期、投标有效期、质量要求、技术标准和要求、招标范围等实质性内容作出响应。</w:t>
      </w:r>
    </w:p>
    <w:p>
      <w:pPr>
        <w:pStyle w:val="3"/>
        <w:keepNext w:val="0"/>
        <w:keepLines w:val="0"/>
        <w:spacing w:line="360" w:lineRule="auto"/>
        <w:rPr>
          <w:color w:val="000000"/>
        </w:rPr>
      </w:pPr>
      <w:bookmarkStart w:id="30" w:name="_Toc516082734"/>
      <w:r>
        <w:rPr>
          <w:rFonts w:hint="eastAsia"/>
          <w:color w:val="000000"/>
        </w:rPr>
        <w:t>4  投标</w:t>
      </w:r>
      <w:bookmarkEnd w:id="30"/>
    </w:p>
    <w:p>
      <w:pPr>
        <w:pStyle w:val="4"/>
        <w:keepNext w:val="0"/>
        <w:keepLines w:val="0"/>
        <w:spacing w:line="360" w:lineRule="auto"/>
        <w:rPr>
          <w:color w:val="000000"/>
        </w:rPr>
      </w:pPr>
      <w:bookmarkStart w:id="31" w:name="_Toc516082735"/>
      <w:r>
        <w:rPr>
          <w:rFonts w:hint="eastAsia"/>
          <w:color w:val="000000"/>
        </w:rPr>
        <w:t>4.1 投标备份文件的密封和标记</w:t>
      </w:r>
      <w:bookmarkEnd w:id="31"/>
    </w:p>
    <w:p>
      <w:pPr>
        <w:autoSpaceDE w:val="0"/>
        <w:autoSpaceDN w:val="0"/>
        <w:adjustRightInd w:val="0"/>
        <w:spacing w:line="360" w:lineRule="auto"/>
        <w:ind w:firstLine="440" w:firstLineChars="200"/>
        <w:rPr>
          <w:rFonts w:ascii="宋体" w:hAnsi="宋体" w:cs="宋体"/>
          <w:color w:val="000000"/>
          <w:szCs w:val="21"/>
        </w:rPr>
      </w:pPr>
      <w:bookmarkStart w:id="32" w:name="_Toc516082736"/>
      <w:r>
        <w:rPr>
          <w:rFonts w:hint="eastAsia" w:ascii="宋体" w:hAnsi="宋体" w:cs="宋体"/>
          <w:color w:val="000000"/>
          <w:szCs w:val="21"/>
        </w:rPr>
        <w:t xml:space="preserve"> 4.1.1投标文件份数：一正两副</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 xml:space="preserve"> 4.1.2密封：投标人应将所有投标文件密封到一个袋子里，并写明招标人名称、工程项目名称、投标人名称；</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 xml:space="preserve"> 4.1.3所有投标文件的封面及封袋上都必须加盖投标单位法人公章及其法定代表人或授权委托人的印鉴（或签字）；</w:t>
      </w:r>
    </w:p>
    <w:p>
      <w:pPr>
        <w:pStyle w:val="4"/>
        <w:keepNext w:val="0"/>
        <w:keepLines w:val="0"/>
        <w:spacing w:line="360" w:lineRule="auto"/>
        <w:rPr>
          <w:color w:val="000000"/>
        </w:rPr>
      </w:pPr>
      <w:r>
        <w:rPr>
          <w:rFonts w:hint="eastAsia"/>
          <w:color w:val="000000"/>
        </w:rPr>
        <w:t>4.2 投标文件的递交</w:t>
      </w:r>
      <w:bookmarkEnd w:id="32"/>
    </w:p>
    <w:p>
      <w:pPr>
        <w:autoSpaceDE w:val="0"/>
        <w:autoSpaceDN w:val="0"/>
        <w:adjustRightInd w:val="0"/>
        <w:spacing w:line="360" w:lineRule="auto"/>
        <w:ind w:firstLine="440" w:firstLineChars="200"/>
        <w:rPr>
          <w:rFonts w:ascii="宋体" w:hAnsi="宋体" w:cs="宋体"/>
          <w:color w:val="000000"/>
          <w:szCs w:val="21"/>
        </w:rPr>
      </w:pPr>
      <w:bookmarkStart w:id="33" w:name="_Toc516082737"/>
      <w:r>
        <w:rPr>
          <w:rFonts w:hint="eastAsia" w:ascii="宋体" w:hAnsi="宋体" w:cs="宋体"/>
          <w:color w:val="000000"/>
          <w:szCs w:val="21"/>
        </w:rPr>
        <w:t>4.2.1投标人递交投标文件的地点：见投标人须知前附表。</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4.2.2除投标人须知前附表另有规定外，投标人所递交的投标文件不予退还。</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4.2.3逾期送达的或者未送达指定地点的投标文件，招标人不予受理。</w:t>
      </w:r>
    </w:p>
    <w:p>
      <w:pPr>
        <w:pStyle w:val="4"/>
        <w:keepNext w:val="0"/>
        <w:keepLines w:val="0"/>
        <w:spacing w:line="360" w:lineRule="auto"/>
        <w:rPr>
          <w:color w:val="000000"/>
        </w:rPr>
      </w:pPr>
      <w:r>
        <w:rPr>
          <w:rFonts w:hint="eastAsia"/>
          <w:color w:val="000000"/>
        </w:rPr>
        <w:t>4.3 投标文件的修改与撤回</w:t>
      </w:r>
      <w:bookmarkEnd w:id="33"/>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4.3.1 在招标文件规定的投标截止时间前，投标人可以修改或撤回已递交的投标文件，但应以书面形式通知招标人。</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4.3.2 投标人修改或撤回已递交投标文件的书面通知应加盖投标人公章，或由法定代表人或其授权委托代理人签字。招标人收到书面通知后，向投标人出具签收凭证。</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4.3.3 修改的内容为投标文件的组成部分。修改的投标文件应按照本章第3.6条、4.1条、4.2条规定进行编制、密封、标记和递交，并标明“修改”字样。</w:t>
      </w:r>
    </w:p>
    <w:p>
      <w:pPr>
        <w:pStyle w:val="4"/>
        <w:keepNext w:val="0"/>
        <w:keepLines w:val="0"/>
        <w:spacing w:line="360" w:lineRule="auto"/>
        <w:rPr>
          <w:color w:val="000000"/>
        </w:rPr>
      </w:pPr>
      <w:bookmarkStart w:id="34" w:name="_Toc516082738"/>
      <w:r>
        <w:rPr>
          <w:rFonts w:hint="eastAsia"/>
          <w:color w:val="000000"/>
        </w:rPr>
        <w:t>4.4 不予接收的投标文件</w:t>
      </w:r>
      <w:bookmarkEnd w:id="34"/>
    </w:p>
    <w:p>
      <w:pPr>
        <w:autoSpaceDE w:val="0"/>
        <w:autoSpaceDN w:val="0"/>
        <w:adjustRightInd w:val="0"/>
        <w:spacing w:line="360" w:lineRule="auto"/>
        <w:ind w:firstLine="440" w:firstLineChars="200"/>
        <w:rPr>
          <w:rFonts w:ascii="宋体" w:hAnsi="宋体" w:cs="宋体"/>
          <w:b/>
          <w:color w:val="000000"/>
          <w:szCs w:val="21"/>
        </w:rPr>
      </w:pPr>
      <w:r>
        <w:rPr>
          <w:rFonts w:hint="eastAsia" w:ascii="宋体" w:hAnsi="宋体" w:cs="宋体"/>
          <w:color w:val="000000"/>
          <w:szCs w:val="21"/>
        </w:rPr>
        <w:t>4.4.1 未按本章第4.1.1款规定密封的投标文件，招标人不予接收。</w:t>
      </w:r>
    </w:p>
    <w:p>
      <w:pPr>
        <w:tabs>
          <w:tab w:val="left" w:pos="7200"/>
        </w:tabs>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4.4.2 逾期送达或者未送达指定地点的投标文件，招标人不予接收。</w:t>
      </w:r>
      <w:r>
        <w:rPr>
          <w:rFonts w:ascii="宋体" w:hAnsi="宋体" w:cs="宋体"/>
          <w:color w:val="000000"/>
          <w:szCs w:val="21"/>
        </w:rPr>
        <w:tab/>
      </w:r>
    </w:p>
    <w:p>
      <w:pPr>
        <w:pStyle w:val="3"/>
        <w:keepNext w:val="0"/>
        <w:keepLines w:val="0"/>
        <w:spacing w:line="360" w:lineRule="auto"/>
        <w:rPr>
          <w:color w:val="000000"/>
        </w:rPr>
      </w:pPr>
      <w:bookmarkStart w:id="35" w:name="_Toc516082739"/>
      <w:r>
        <w:rPr>
          <w:rFonts w:hint="eastAsia"/>
          <w:color w:val="000000"/>
        </w:rPr>
        <w:t>5  开标</w:t>
      </w:r>
      <w:bookmarkEnd w:id="35"/>
    </w:p>
    <w:p>
      <w:pPr>
        <w:pStyle w:val="4"/>
        <w:keepNext w:val="0"/>
        <w:keepLines w:val="0"/>
        <w:spacing w:line="360" w:lineRule="auto"/>
        <w:rPr>
          <w:color w:val="000000"/>
        </w:rPr>
      </w:pPr>
      <w:bookmarkStart w:id="36" w:name="_Toc516082740"/>
      <w:r>
        <w:rPr>
          <w:rFonts w:hint="eastAsia"/>
          <w:color w:val="000000"/>
        </w:rPr>
        <w:t>5.1 开标时间、地点和人员</w:t>
      </w:r>
      <w:bookmarkEnd w:id="3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招标人在投标人须知前附表规定的开标时间和地点公开开标，并邀请所有投标人参加开标会议，参加开标会议的具体人员及要求见投标须知前附表。</w:t>
      </w:r>
    </w:p>
    <w:p>
      <w:pPr>
        <w:pStyle w:val="4"/>
        <w:keepNext w:val="0"/>
        <w:keepLines w:val="0"/>
        <w:spacing w:line="360" w:lineRule="auto"/>
        <w:rPr>
          <w:color w:val="000000"/>
        </w:rPr>
      </w:pPr>
      <w:bookmarkStart w:id="37" w:name="_Toc516082741"/>
      <w:r>
        <w:rPr>
          <w:rFonts w:hint="eastAsia"/>
          <w:color w:val="000000"/>
        </w:rPr>
        <w:t>5.2 开标程序</w:t>
      </w:r>
      <w:bookmarkEnd w:id="37"/>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5.2.1 主持人按下列程序进行开标：</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（1）宣布开标纪律；</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（2）公布在投标截止时间前递交投标文件的投标人名称，并按投标人须知前附表的要求确认投标人是否派相关人员到场；</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（3）宣布相关参会人员姓名；</w:t>
      </w:r>
    </w:p>
    <w:p>
      <w:pPr>
        <w:autoSpaceDE w:val="0"/>
        <w:autoSpaceDN w:val="0"/>
        <w:adjustRightInd w:val="0"/>
        <w:spacing w:line="360" w:lineRule="auto"/>
        <w:ind w:firstLine="440" w:firstLineChars="200"/>
        <w:rPr>
          <w:rFonts w:ascii="宋体" w:hAnsi="宋体" w:cs="宋体"/>
          <w:szCs w:val="21"/>
        </w:rPr>
      </w:pPr>
      <w:bookmarkStart w:id="38" w:name="_Toc516082742"/>
      <w:bookmarkStart w:id="39" w:name="_Toc497904766"/>
      <w:r>
        <w:rPr>
          <w:rFonts w:hint="eastAsia" w:ascii="宋体" w:hAnsi="宋体" w:cs="宋体"/>
          <w:szCs w:val="21"/>
        </w:rPr>
        <w:t>（4）检查投标文件的密封情况，宣布投标文件唱标顺序；</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（5）需抽取相应数值进行基准价计算的，按照招标文件的规定当众随机抽取；</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（6）按照宣布的唱标顺序开标，当众将电子文件进行数据导入、解密，公布投标人及拟派项目总监等相关内容，，并记录在案；</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（7）相关参会人员在开标记录上签字确认；</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（8）开标结束。</w:t>
      </w:r>
    </w:p>
    <w:bookmarkEnd w:id="38"/>
    <w:bookmarkEnd w:id="39"/>
    <w:p>
      <w:pPr>
        <w:spacing w:line="360" w:lineRule="auto"/>
        <w:ind w:firstLine="440" w:firstLineChars="200"/>
        <w:rPr>
          <w:rFonts w:ascii="宋体" w:hAnsi="宋体" w:cs="宋体"/>
        </w:rPr>
      </w:pPr>
    </w:p>
    <w:p>
      <w:pPr>
        <w:pStyle w:val="3"/>
        <w:keepNext w:val="0"/>
        <w:keepLines w:val="0"/>
        <w:spacing w:line="360" w:lineRule="auto"/>
        <w:rPr>
          <w:color w:val="000000"/>
        </w:rPr>
      </w:pPr>
      <w:bookmarkStart w:id="40" w:name="_Toc516082743"/>
      <w:r>
        <w:rPr>
          <w:rFonts w:hint="eastAsia"/>
          <w:color w:val="000000"/>
        </w:rPr>
        <w:t>6  评标</w:t>
      </w:r>
      <w:bookmarkEnd w:id="40"/>
    </w:p>
    <w:p>
      <w:pPr>
        <w:pStyle w:val="4"/>
        <w:keepNext w:val="0"/>
        <w:keepLines w:val="0"/>
        <w:spacing w:line="360" w:lineRule="auto"/>
        <w:rPr>
          <w:color w:val="000000"/>
        </w:rPr>
      </w:pPr>
      <w:bookmarkStart w:id="41" w:name="_Toc516082744"/>
      <w:r>
        <w:rPr>
          <w:rFonts w:hint="eastAsia"/>
          <w:color w:val="000000"/>
        </w:rPr>
        <w:t>6.1 评标委员会</w:t>
      </w:r>
      <w:bookmarkEnd w:id="41"/>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6.1.1 评标由招标人依法组建的评标委员会负责。</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6.1.2 评标委员会设负责人一名，由评标委员会成员内部推举产生。评标委员会负责人与评标委员会其他成员有同等的表决权。</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6.1.3 评标委员会成员有下列情形之一的，应当主动提出回避：</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（1）投标人的主要负责人的近亲属；</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（2）招标项目主管部门或者行政监督部门的人员；</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（3）与投标人有经济利益关系，可能影响对投标公正评审的；</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（4）曾因在招标、评标以及其他与招标投标有关活动中从事违法行为而受过行政处罚或刑事处罚的。</w:t>
      </w:r>
    </w:p>
    <w:p>
      <w:pPr>
        <w:pStyle w:val="4"/>
        <w:keepNext w:val="0"/>
        <w:keepLines w:val="0"/>
        <w:spacing w:line="360" w:lineRule="auto"/>
        <w:rPr>
          <w:color w:val="000000"/>
        </w:rPr>
      </w:pPr>
      <w:bookmarkStart w:id="42" w:name="_Toc516082745"/>
      <w:r>
        <w:rPr>
          <w:rFonts w:hint="eastAsia"/>
          <w:color w:val="000000"/>
        </w:rPr>
        <w:t>6.2 评标原则</w:t>
      </w:r>
      <w:bookmarkEnd w:id="42"/>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评标活动遵循公平、公正、科学和择优的原则。</w:t>
      </w:r>
    </w:p>
    <w:p>
      <w:pPr>
        <w:pStyle w:val="4"/>
        <w:keepNext w:val="0"/>
        <w:keepLines w:val="0"/>
        <w:spacing w:line="360" w:lineRule="auto"/>
        <w:rPr>
          <w:color w:val="000000"/>
        </w:rPr>
      </w:pPr>
      <w:bookmarkStart w:id="43" w:name="_Toc516082746"/>
      <w:r>
        <w:rPr>
          <w:rFonts w:hint="eastAsia"/>
          <w:color w:val="000000"/>
        </w:rPr>
        <w:t>6.3 评标</w:t>
      </w:r>
      <w:bookmarkEnd w:id="43"/>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评标委员会按照第三章“评标办法”规定的方法、评审因素、标准和程序对投标文件进行评审。招标文件没有规定的方法、评审因素和标准，不作为评标依据。</w:t>
      </w:r>
    </w:p>
    <w:p>
      <w:pPr>
        <w:pStyle w:val="3"/>
        <w:keepNext w:val="0"/>
        <w:keepLines w:val="0"/>
        <w:spacing w:line="360" w:lineRule="auto"/>
        <w:rPr>
          <w:color w:val="000000"/>
        </w:rPr>
      </w:pPr>
      <w:bookmarkStart w:id="44" w:name="_Toc516082747"/>
      <w:r>
        <w:rPr>
          <w:rFonts w:hint="eastAsia"/>
          <w:color w:val="000000"/>
        </w:rPr>
        <w:t>7 评标结果公示</w:t>
      </w:r>
      <w:bookmarkEnd w:id="44"/>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7.1 招标人在收到评标报告后在建设工程交易中心及与招标公告相同的发布媒介上对评标结果进行公示，公示期不少于3日。</w:t>
      </w:r>
    </w:p>
    <w:p>
      <w:pPr>
        <w:autoSpaceDE w:val="0"/>
        <w:autoSpaceDN w:val="0"/>
        <w:adjustRightInd w:val="0"/>
        <w:spacing w:line="360" w:lineRule="auto"/>
        <w:ind w:firstLine="440" w:firstLineChars="200"/>
        <w:rPr>
          <w:color w:val="000000"/>
        </w:rPr>
      </w:pPr>
      <w:r>
        <w:rPr>
          <w:rFonts w:hint="eastAsia" w:ascii="宋体" w:hAnsi="宋体" w:cs="宋体"/>
          <w:color w:val="000000"/>
          <w:szCs w:val="21"/>
        </w:rPr>
        <w:t>7.2 投标人或者其他利害关系人对评标结果有异议的，应当在评标结果公示期间向招标人提出异议。招标人自收到异议之日起3日内作出答复，并在作出答复前暂停招标投标活动。</w:t>
      </w:r>
    </w:p>
    <w:p>
      <w:pPr>
        <w:pStyle w:val="3"/>
        <w:keepNext w:val="0"/>
        <w:keepLines w:val="0"/>
        <w:spacing w:line="360" w:lineRule="auto"/>
        <w:rPr>
          <w:color w:val="000000"/>
        </w:rPr>
      </w:pPr>
      <w:bookmarkStart w:id="45" w:name="_Toc516082748"/>
      <w:r>
        <w:rPr>
          <w:rFonts w:hint="eastAsia"/>
          <w:color w:val="000000"/>
        </w:rPr>
        <w:t>8  合同授予</w:t>
      </w:r>
      <w:bookmarkEnd w:id="45"/>
    </w:p>
    <w:p>
      <w:pPr>
        <w:pStyle w:val="4"/>
        <w:keepNext w:val="0"/>
        <w:keepLines w:val="0"/>
        <w:spacing w:line="360" w:lineRule="auto"/>
        <w:rPr>
          <w:color w:val="000000"/>
        </w:rPr>
      </w:pPr>
      <w:bookmarkStart w:id="46" w:name="_Toc516082749"/>
      <w:r>
        <w:rPr>
          <w:rFonts w:hint="eastAsia"/>
          <w:color w:val="000000"/>
        </w:rPr>
        <w:t>8.1 定标方式</w:t>
      </w:r>
      <w:bookmarkEnd w:id="4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除投标人须知前附表规定评标委员会直接确定中标人外，招标人依据评标委员会推荐的中标候选人确定中标人，评标委员会推荐中标候选人的人数不超过3个。</w:t>
      </w:r>
    </w:p>
    <w:p>
      <w:pPr>
        <w:pStyle w:val="4"/>
        <w:keepNext w:val="0"/>
        <w:keepLines w:val="0"/>
        <w:spacing w:line="360" w:lineRule="auto"/>
        <w:rPr>
          <w:color w:val="000000"/>
        </w:rPr>
      </w:pPr>
      <w:bookmarkStart w:id="47" w:name="_Toc516082750"/>
      <w:r>
        <w:rPr>
          <w:rFonts w:hint="eastAsia"/>
          <w:color w:val="000000"/>
        </w:rPr>
        <w:t>8.2 中标人公告及中标通知</w:t>
      </w:r>
      <w:bookmarkEnd w:id="47"/>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评标结果公示期间无异议的，招标人在本招标文件规定的投标有效期内将中标人名称、中标价和总监理工程师在与招标公告相同的发布媒介上予以公告，并以书面形式向中标人发出中标通知书。</w:t>
      </w:r>
    </w:p>
    <w:p>
      <w:pPr>
        <w:pStyle w:val="4"/>
        <w:keepNext w:val="0"/>
        <w:keepLines w:val="0"/>
        <w:spacing w:line="360" w:lineRule="auto"/>
        <w:rPr>
          <w:color w:val="000000"/>
        </w:rPr>
      </w:pPr>
      <w:bookmarkStart w:id="48" w:name="_Toc516082751"/>
      <w:r>
        <w:rPr>
          <w:rFonts w:hint="eastAsia"/>
          <w:color w:val="000000"/>
        </w:rPr>
        <w:t>8.3 签订合同</w:t>
      </w:r>
      <w:bookmarkEnd w:id="48"/>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8.3.1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 xml:space="preserve">8.3.2 发出中标通知书后，招标人无正当理由拒签合同的，招标人向中标人退还投标保证金；给中标人造成损失的，还应当赔偿损失。 </w:t>
      </w:r>
    </w:p>
    <w:p>
      <w:pPr>
        <w:pStyle w:val="3"/>
        <w:keepNext w:val="0"/>
        <w:keepLines w:val="0"/>
        <w:spacing w:line="360" w:lineRule="auto"/>
        <w:rPr>
          <w:color w:val="000000"/>
        </w:rPr>
      </w:pPr>
      <w:bookmarkStart w:id="49" w:name="_Toc516082752"/>
      <w:r>
        <w:rPr>
          <w:rFonts w:hint="eastAsia"/>
          <w:color w:val="000000"/>
        </w:rPr>
        <w:t>9  纪律和监督</w:t>
      </w:r>
      <w:bookmarkEnd w:id="49"/>
    </w:p>
    <w:p>
      <w:pPr>
        <w:pStyle w:val="4"/>
        <w:keepNext w:val="0"/>
        <w:keepLines w:val="0"/>
        <w:spacing w:line="360" w:lineRule="auto"/>
        <w:rPr>
          <w:color w:val="000000"/>
        </w:rPr>
      </w:pPr>
      <w:bookmarkStart w:id="50" w:name="_Toc516082753"/>
      <w:r>
        <w:rPr>
          <w:rFonts w:hint="eastAsia"/>
          <w:color w:val="000000"/>
        </w:rPr>
        <w:t>9.1 对招标人的纪律要求</w:t>
      </w:r>
      <w:bookmarkEnd w:id="50"/>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pStyle w:val="4"/>
        <w:keepNext w:val="0"/>
        <w:keepLines w:val="0"/>
        <w:spacing w:line="360" w:lineRule="auto"/>
        <w:rPr>
          <w:color w:val="000000"/>
        </w:rPr>
      </w:pPr>
      <w:bookmarkStart w:id="51" w:name="_Toc516082754"/>
      <w:r>
        <w:rPr>
          <w:rFonts w:hint="eastAsia"/>
          <w:color w:val="000000"/>
        </w:rPr>
        <w:t>9.2 对投标人的纪律要求</w:t>
      </w:r>
      <w:bookmarkEnd w:id="51"/>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keepNext w:val="0"/>
        <w:keepLines w:val="0"/>
        <w:spacing w:line="360" w:lineRule="auto"/>
        <w:rPr>
          <w:color w:val="000000"/>
        </w:rPr>
      </w:pPr>
      <w:bookmarkStart w:id="52" w:name="_Toc516082755"/>
      <w:r>
        <w:rPr>
          <w:rFonts w:hint="eastAsia"/>
          <w:color w:val="000000"/>
        </w:rPr>
        <w:t>9.3 对评标委员会成员的纪律要求</w:t>
      </w:r>
      <w:bookmarkEnd w:id="52"/>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4"/>
        <w:keepNext w:val="0"/>
        <w:keepLines w:val="0"/>
        <w:spacing w:line="360" w:lineRule="auto"/>
        <w:rPr>
          <w:color w:val="000000"/>
        </w:rPr>
      </w:pPr>
      <w:bookmarkStart w:id="53" w:name="_Toc516082756"/>
      <w:r>
        <w:rPr>
          <w:rFonts w:hint="eastAsia"/>
          <w:color w:val="000000"/>
        </w:rPr>
        <w:t>9.4 对与评标活动有关的工作人员的纪律要求</w:t>
      </w:r>
      <w:bookmarkEnd w:id="53"/>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spacing w:line="360" w:lineRule="auto"/>
        <w:rPr>
          <w:color w:val="000000"/>
        </w:rPr>
      </w:pPr>
      <w:bookmarkStart w:id="54" w:name="_Toc516082757"/>
      <w:r>
        <w:rPr>
          <w:rFonts w:hint="eastAsia"/>
          <w:color w:val="000000"/>
        </w:rPr>
        <w:t>9.5异议与投诉</w:t>
      </w:r>
      <w:bookmarkEnd w:id="54"/>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9.5.1异议</w:t>
      </w:r>
    </w:p>
    <w:p>
      <w:pPr>
        <w:autoSpaceDE w:val="0"/>
        <w:autoSpaceDN w:val="0"/>
        <w:adjustRightInd w:val="0"/>
        <w:spacing w:line="360" w:lineRule="auto"/>
        <w:ind w:firstLine="660" w:firstLineChars="300"/>
        <w:rPr>
          <w:rFonts w:ascii="宋体" w:hAnsi="宋体" w:cs="宋体"/>
          <w:color w:val="000000"/>
          <w:szCs w:val="21"/>
        </w:rPr>
      </w:pPr>
      <w:r>
        <w:rPr>
          <w:rFonts w:hint="eastAsia" w:ascii="宋体" w:hAnsi="宋体" w:cs="宋体"/>
          <w:color w:val="000000"/>
          <w:szCs w:val="21"/>
        </w:rPr>
        <w:t>投标人或者其他利害关系人对招标文件有异议的，应当在投标截止时间10日前提出。招标人自收到异议之日起3日内作出答复，特殊情况下，需要延长答复时间的，将书面告知异议提出人；作出答复前，后续招标投标活动将暂停开展。</w:t>
      </w:r>
    </w:p>
    <w:p>
      <w:pPr>
        <w:autoSpaceDE w:val="0"/>
        <w:autoSpaceDN w:val="0"/>
        <w:adjustRightInd w:val="0"/>
        <w:spacing w:line="360" w:lineRule="auto"/>
        <w:ind w:firstLine="660" w:firstLineChars="300"/>
        <w:rPr>
          <w:rFonts w:ascii="宋体" w:hAnsi="宋体" w:cs="宋体"/>
          <w:color w:val="000000"/>
          <w:szCs w:val="21"/>
        </w:rPr>
      </w:pPr>
      <w:r>
        <w:rPr>
          <w:rFonts w:hint="eastAsia" w:ascii="宋体" w:hAnsi="宋体" w:cs="宋体"/>
          <w:color w:val="000000"/>
          <w:szCs w:val="21"/>
        </w:rPr>
        <w:t>投标人对开标的程序和结果有异议的，应当在开标现场提出，招标人将当场作出答复，并制作记录。</w:t>
      </w:r>
    </w:p>
    <w:p>
      <w:pPr>
        <w:autoSpaceDE w:val="0"/>
        <w:autoSpaceDN w:val="0"/>
        <w:adjustRightInd w:val="0"/>
        <w:spacing w:line="360" w:lineRule="auto"/>
        <w:ind w:firstLine="660" w:firstLineChars="300"/>
        <w:rPr>
          <w:rFonts w:ascii="宋体" w:hAnsi="宋体" w:cs="宋体"/>
          <w:color w:val="000000"/>
          <w:szCs w:val="21"/>
        </w:rPr>
      </w:pPr>
      <w:r>
        <w:rPr>
          <w:rFonts w:hint="eastAsia" w:ascii="宋体" w:hAnsi="宋体" w:cs="宋体"/>
          <w:color w:val="000000"/>
          <w:szCs w:val="21"/>
        </w:rPr>
        <w:t>投标人或者其他利害关系人对依法必须进行招标的项目的评标结果有异议的，应当在评标结果公示期间提出。</w:t>
      </w:r>
    </w:p>
    <w:p>
      <w:pPr>
        <w:autoSpaceDE w:val="0"/>
        <w:autoSpaceDN w:val="0"/>
        <w:adjustRightInd w:val="0"/>
        <w:spacing w:line="360" w:lineRule="auto"/>
        <w:ind w:firstLine="660" w:firstLineChars="300"/>
        <w:rPr>
          <w:rFonts w:ascii="宋体" w:hAnsi="宋体" w:cs="宋体"/>
          <w:color w:val="000000"/>
          <w:szCs w:val="21"/>
        </w:rPr>
      </w:pPr>
      <w:r>
        <w:rPr>
          <w:rFonts w:hint="eastAsia" w:ascii="宋体" w:hAnsi="宋体" w:cs="宋体"/>
          <w:color w:val="000000"/>
          <w:szCs w:val="21"/>
        </w:rPr>
        <w:t>前述异议事项，异议提出人未按程序和规定时间提出的，招标人不予受理。同时，亦将丧失进一步提出投诉的权利。</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9.5.2投诉</w:t>
      </w:r>
    </w:p>
    <w:p>
      <w:pPr>
        <w:autoSpaceDE w:val="0"/>
        <w:autoSpaceDN w:val="0"/>
        <w:adjustRightInd w:val="0"/>
        <w:spacing w:line="360" w:lineRule="auto"/>
        <w:ind w:firstLine="660" w:firstLineChars="300"/>
        <w:rPr>
          <w:rFonts w:ascii="宋体" w:hAnsi="宋体" w:cs="宋体"/>
          <w:color w:val="000000"/>
          <w:szCs w:val="21"/>
        </w:rPr>
      </w:pPr>
      <w:r>
        <w:rPr>
          <w:rFonts w:hint="eastAsia" w:ascii="宋体" w:hAnsi="宋体" w:cs="宋体"/>
          <w:color w:val="000000"/>
          <w:szCs w:val="21"/>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规定事项提出投诉的，应先向招标人提出异议。</w:t>
      </w:r>
    </w:p>
    <w:p>
      <w:pPr>
        <w:pStyle w:val="3"/>
        <w:keepNext w:val="0"/>
        <w:keepLines w:val="0"/>
        <w:spacing w:line="360" w:lineRule="auto"/>
        <w:rPr>
          <w:color w:val="000000"/>
        </w:rPr>
      </w:pPr>
      <w:bookmarkStart w:id="55" w:name="_Toc516082758"/>
      <w:r>
        <w:rPr>
          <w:rFonts w:hint="eastAsia"/>
          <w:color w:val="000000"/>
        </w:rPr>
        <w:t>10 需要补充的其他内容</w:t>
      </w:r>
      <w:bookmarkEnd w:id="55"/>
    </w:p>
    <w:p>
      <w:pPr>
        <w:spacing w:line="360" w:lineRule="auto"/>
        <w:ind w:firstLine="440" w:firstLineChars="200"/>
        <w:rPr>
          <w:rFonts w:ascii="宋体" w:hAnsi="宋体" w:cs="宋体"/>
          <w:color w:val="000000"/>
          <w:szCs w:val="21"/>
        </w:rPr>
      </w:pPr>
      <w:r>
        <w:rPr>
          <w:rFonts w:hint="eastAsia" w:ascii="宋体" w:hAnsi="宋体" w:cs="宋体"/>
          <w:color w:val="000000"/>
          <w:szCs w:val="21"/>
        </w:rPr>
        <w:t>需要补充的其他内容：见投标人须知前附表。</w:t>
      </w:r>
    </w:p>
    <w:p>
      <w:pPr>
        <w:autoSpaceDE w:val="0"/>
        <w:autoSpaceDN w:val="0"/>
        <w:adjustRightInd w:val="0"/>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pStyle w:val="2"/>
        <w:jc w:val="center"/>
        <w:rPr>
          <w:rFonts w:ascii="宋体" w:hAnsi="宋体" w:cs="宋体"/>
          <w:szCs w:val="21"/>
        </w:rPr>
      </w:pPr>
      <w:bookmarkStart w:id="56" w:name="_Toc516082759"/>
      <w:bookmarkStart w:id="57" w:name="_Toc144974567"/>
      <w:bookmarkStart w:id="58" w:name="_Toc152042377"/>
      <w:bookmarkStart w:id="59" w:name="_Toc152045600"/>
      <w:bookmarkStart w:id="60" w:name="_Toc179632618"/>
      <w:r>
        <w:rPr>
          <w:rFonts w:hint="eastAsia"/>
          <w:color w:val="000000"/>
        </w:rPr>
        <w:br w:type="page"/>
      </w:r>
      <w:r>
        <w:rPr>
          <w:rFonts w:hint="eastAsia"/>
          <w:color w:val="000000"/>
        </w:rPr>
        <w:t>第三章 评标办法</w:t>
      </w:r>
      <w:r>
        <w:rPr>
          <w:rFonts w:hint="eastAsia"/>
        </w:rPr>
        <w:t>（综合评估法）</w:t>
      </w:r>
      <w:bookmarkEnd w:id="56"/>
      <w:bookmarkStart w:id="61" w:name="_Toc152042376"/>
      <w:bookmarkStart w:id="62" w:name="_Toc144974566"/>
      <w:bookmarkStart w:id="63" w:name="_Toc152045599"/>
      <w:bookmarkStart w:id="64" w:name="_Toc179632617"/>
    </w:p>
    <w:p>
      <w:pPr>
        <w:pStyle w:val="3"/>
        <w:jc w:val="center"/>
      </w:pPr>
      <w:bookmarkStart w:id="65" w:name="_Toc516082760"/>
      <w:r>
        <w:rPr>
          <w:rFonts w:hint="eastAsia"/>
        </w:rPr>
        <w:t>评标办法前附表</w:t>
      </w:r>
      <w:bookmarkEnd w:id="61"/>
      <w:bookmarkEnd w:id="62"/>
      <w:bookmarkEnd w:id="63"/>
      <w:bookmarkEnd w:id="64"/>
      <w:bookmarkEnd w:id="65"/>
    </w:p>
    <w:tbl>
      <w:tblPr>
        <w:tblStyle w:val="9"/>
        <w:tblW w:w="91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
        <w:gridCol w:w="909"/>
        <w:gridCol w:w="99"/>
        <w:gridCol w:w="2453"/>
        <w:gridCol w:w="3818"/>
        <w:gridCol w:w="9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9" w:type="dxa"/>
            <w:gridSpan w:val="3"/>
            <w:vAlign w:val="center"/>
          </w:tcPr>
          <w:p>
            <w:pPr>
              <w:snapToGrid w:val="0"/>
              <w:jc w:val="center"/>
              <w:textAlignment w:val="center"/>
              <w:rPr>
                <w:rFonts w:ascii="新宋体" w:hAnsi="新宋体" w:eastAsia="新宋体" w:cs="新宋体"/>
                <w:b/>
                <w:szCs w:val="21"/>
              </w:rPr>
            </w:pPr>
            <w:r>
              <w:rPr>
                <w:rFonts w:hint="eastAsia" w:ascii="新宋体" w:hAnsi="新宋体" w:eastAsia="新宋体" w:cs="新宋体"/>
                <w:b/>
                <w:szCs w:val="21"/>
              </w:rPr>
              <w:t>条款号</w:t>
            </w:r>
          </w:p>
        </w:tc>
        <w:tc>
          <w:tcPr>
            <w:tcW w:w="2552" w:type="dxa"/>
            <w:gridSpan w:val="2"/>
            <w:vAlign w:val="center"/>
          </w:tcPr>
          <w:p>
            <w:pPr>
              <w:snapToGrid w:val="0"/>
              <w:jc w:val="center"/>
              <w:textAlignment w:val="center"/>
              <w:rPr>
                <w:rFonts w:ascii="新宋体" w:hAnsi="新宋体" w:eastAsia="新宋体" w:cs="新宋体"/>
                <w:b/>
                <w:szCs w:val="21"/>
              </w:rPr>
            </w:pPr>
            <w:r>
              <w:rPr>
                <w:rFonts w:hint="eastAsia" w:ascii="新宋体" w:hAnsi="新宋体" w:eastAsia="新宋体" w:cs="新宋体"/>
                <w:b/>
                <w:szCs w:val="21"/>
              </w:rPr>
              <w:t>评审因素</w:t>
            </w:r>
          </w:p>
        </w:tc>
        <w:tc>
          <w:tcPr>
            <w:tcW w:w="4747" w:type="dxa"/>
            <w:gridSpan w:val="2"/>
            <w:vAlign w:val="center"/>
          </w:tcPr>
          <w:p>
            <w:pPr>
              <w:snapToGrid w:val="0"/>
              <w:jc w:val="center"/>
              <w:textAlignment w:val="center"/>
              <w:rPr>
                <w:rFonts w:ascii="新宋体" w:hAnsi="新宋体" w:eastAsia="新宋体" w:cs="新宋体"/>
                <w:b/>
                <w:szCs w:val="21"/>
              </w:rPr>
            </w:pPr>
            <w:r>
              <w:rPr>
                <w:rFonts w:hint="eastAsia" w:ascii="新宋体" w:hAnsi="新宋体" w:eastAsia="新宋体" w:cs="新宋体"/>
                <w:b/>
                <w:szCs w:val="21"/>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restart"/>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2.1.1</w:t>
            </w:r>
          </w:p>
        </w:tc>
        <w:tc>
          <w:tcPr>
            <w:tcW w:w="981" w:type="dxa"/>
            <w:gridSpan w:val="2"/>
            <w:vMerge w:val="restart"/>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形式评审标准</w:t>
            </w:r>
          </w:p>
        </w:tc>
        <w:tc>
          <w:tcPr>
            <w:tcW w:w="2552" w:type="dxa"/>
            <w:gridSpan w:val="2"/>
            <w:vAlign w:val="center"/>
          </w:tcPr>
          <w:p>
            <w:pPr>
              <w:snapToGrid w:val="0"/>
              <w:spacing w:line="320" w:lineRule="exact"/>
              <w:ind w:firstLine="220" w:firstLineChars="100"/>
              <w:jc w:val="center"/>
              <w:textAlignment w:val="center"/>
              <w:rPr>
                <w:rFonts w:ascii="新宋体" w:hAnsi="新宋体" w:eastAsia="新宋体" w:cs="新宋体"/>
                <w:szCs w:val="21"/>
              </w:rPr>
            </w:pPr>
            <w:r>
              <w:rPr>
                <w:rFonts w:hint="eastAsia" w:ascii="新宋体" w:hAnsi="新宋体" w:eastAsia="新宋体" w:cs="新宋体"/>
                <w:szCs w:val="21"/>
              </w:rPr>
              <w:t>投标人名称</w:t>
            </w:r>
          </w:p>
        </w:tc>
        <w:tc>
          <w:tcPr>
            <w:tcW w:w="4747" w:type="dxa"/>
            <w:gridSpan w:val="2"/>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投标人名称与营业执照、资质证书一致；不一致的，有有效证明材料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投标函签字盖章</w:t>
            </w:r>
          </w:p>
        </w:tc>
        <w:tc>
          <w:tcPr>
            <w:tcW w:w="4747" w:type="dxa"/>
            <w:gridSpan w:val="2"/>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加盖投标人公章和企业法定代表人（或企业法定代表人委托代理人）印章（或签字）。如投标函加盖企业法定代表人委托代理人印章（或签字）的，委托代理人有合法、有效的委托书（原件）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投标文件的组成</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投标文件及报价唯一</w:t>
            </w:r>
          </w:p>
        </w:tc>
        <w:tc>
          <w:tcPr>
            <w:tcW w:w="4747" w:type="dxa"/>
            <w:gridSpan w:val="2"/>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只能有一个投标文件及有效报价（招标文件要求提交备选投标的除外）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暗标</w:t>
            </w:r>
          </w:p>
        </w:tc>
        <w:tc>
          <w:tcPr>
            <w:tcW w:w="4747" w:type="dxa"/>
            <w:gridSpan w:val="2"/>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符合招标文件有关暗标的要求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28" w:type="dxa"/>
            <w:vMerge w:val="restart"/>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2.1.2</w:t>
            </w:r>
          </w:p>
        </w:tc>
        <w:tc>
          <w:tcPr>
            <w:tcW w:w="981" w:type="dxa"/>
            <w:gridSpan w:val="2"/>
            <w:vMerge w:val="restart"/>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资格评审标准</w:t>
            </w: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营业执照</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资质等级</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总监理工程师</w:t>
            </w:r>
          </w:p>
        </w:tc>
        <w:tc>
          <w:tcPr>
            <w:tcW w:w="4747"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专业监理工程师</w:t>
            </w:r>
          </w:p>
        </w:tc>
        <w:tc>
          <w:tcPr>
            <w:tcW w:w="4747"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监理员</w:t>
            </w:r>
          </w:p>
        </w:tc>
        <w:tc>
          <w:tcPr>
            <w:tcW w:w="4747" w:type="dxa"/>
            <w:gridSpan w:val="2"/>
            <w:vAlign w:val="center"/>
          </w:tcPr>
          <w:p>
            <w:pPr>
              <w:snapToGrid w:val="0"/>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联合体投标人</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其他要求</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8" w:type="dxa"/>
            <w:vMerge w:val="restart"/>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2.1.3</w:t>
            </w:r>
          </w:p>
        </w:tc>
        <w:tc>
          <w:tcPr>
            <w:tcW w:w="981" w:type="dxa"/>
            <w:gridSpan w:val="2"/>
            <w:vMerge w:val="restart"/>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响应性</w:t>
            </w:r>
          </w:p>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评审标准</w:t>
            </w: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投标内容</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符合第二章“投标人须知”第1.3.1项规定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监理服务期</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工程质量</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投标保证金</w:t>
            </w:r>
          </w:p>
        </w:tc>
        <w:tc>
          <w:tcPr>
            <w:tcW w:w="4747" w:type="dxa"/>
            <w:gridSpan w:val="2"/>
            <w:vAlign w:val="center"/>
          </w:tcPr>
          <w:p>
            <w:pPr>
              <w:snapToGrid w:val="0"/>
              <w:spacing w:line="320" w:lineRule="exact"/>
              <w:ind w:firstLine="660" w:firstLineChars="300"/>
              <w:textAlignment w:val="center"/>
              <w:rPr>
                <w:rFonts w:ascii="新宋体" w:hAnsi="新宋体" w:eastAsia="新宋体" w:cs="新宋体"/>
                <w:szCs w:val="21"/>
              </w:rPr>
            </w:pPr>
            <w:r>
              <w:rPr>
                <w:rFonts w:hint="eastAsia" w:ascii="新宋体" w:hAnsi="新宋体" w:eastAsia="新宋体" w:cs="新宋体"/>
                <w:szCs w:val="21"/>
              </w:rPr>
              <w:t>符合第二章“投标人须知”规定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投标报价</w:t>
            </w:r>
          </w:p>
        </w:tc>
        <w:tc>
          <w:tcPr>
            <w:tcW w:w="4747" w:type="dxa"/>
            <w:gridSpan w:val="2"/>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无下列情形之一：（1）低于成本；（2）高于招标文件设定的最高投标限价；（3）应依法实行政府指导价的工程超出国家规定的浮动幅度；（4）不符合第二章“投标人须知”第3.2项的规定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pacing w:line="440" w:lineRule="exact"/>
              <w:jc w:val="center"/>
              <w:textAlignment w:val="center"/>
              <w:rPr>
                <w:rFonts w:ascii="宋体" w:hAnsi="宋体"/>
                <w:szCs w:val="21"/>
              </w:rPr>
            </w:pPr>
            <w:r>
              <w:rPr>
                <w:rFonts w:hint="eastAsia" w:ascii="宋体" w:hAnsi="宋体"/>
                <w:szCs w:val="21"/>
              </w:rPr>
              <w:t>投标安全承诺书</w:t>
            </w:r>
          </w:p>
        </w:tc>
        <w:tc>
          <w:tcPr>
            <w:tcW w:w="4747" w:type="dxa"/>
            <w:gridSpan w:val="2"/>
            <w:vAlign w:val="center"/>
          </w:tcPr>
          <w:p>
            <w:pPr>
              <w:spacing w:line="320" w:lineRule="exact"/>
              <w:ind w:firstLine="220" w:firstLineChars="100"/>
              <w:textAlignment w:val="center"/>
              <w:rPr>
                <w:rFonts w:ascii="宋体" w:hAnsi="宋体"/>
                <w:szCs w:val="21"/>
              </w:rPr>
            </w:pPr>
            <w:r>
              <w:rPr>
                <w:rFonts w:hint="eastAsia" w:ascii="宋体" w:hAnsi="宋体"/>
                <w:szCs w:val="21"/>
              </w:rPr>
              <w:t>按照招标文件要求填写并提供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rPr>
                <w:rFonts w:ascii="新宋体" w:hAnsi="新宋体" w:eastAsia="新宋体" w:cs="新宋体"/>
              </w:rPr>
            </w:pPr>
            <w:r>
              <w:rPr>
                <w:rFonts w:hint="eastAsia" w:ascii="新宋体" w:hAnsi="新宋体" w:eastAsia="新宋体" w:cs="新宋体"/>
              </w:rPr>
              <w:t>……</w:t>
            </w:r>
          </w:p>
        </w:tc>
        <w:tc>
          <w:tcPr>
            <w:tcW w:w="4747"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28" w:type="dxa"/>
            <w:vMerge w:val="continue"/>
            <w:vAlign w:val="center"/>
          </w:tcPr>
          <w:p>
            <w:pPr>
              <w:snapToGrid w:val="0"/>
              <w:spacing w:line="440" w:lineRule="exact"/>
              <w:jc w:val="center"/>
              <w:textAlignment w:val="center"/>
              <w:rPr>
                <w:rFonts w:ascii="新宋体" w:hAnsi="新宋体" w:eastAsia="新宋体" w:cs="新宋体"/>
                <w:szCs w:val="21"/>
              </w:rPr>
            </w:pPr>
          </w:p>
        </w:tc>
        <w:tc>
          <w:tcPr>
            <w:tcW w:w="981" w:type="dxa"/>
            <w:gridSpan w:val="2"/>
            <w:vAlign w:val="center"/>
          </w:tcPr>
          <w:p>
            <w:pPr>
              <w:snapToGrid w:val="0"/>
              <w:spacing w:line="440" w:lineRule="exact"/>
              <w:jc w:val="center"/>
              <w:textAlignment w:val="center"/>
              <w:rPr>
                <w:rFonts w:ascii="新宋体" w:hAnsi="新宋体" w:eastAsia="新宋体" w:cs="新宋体"/>
                <w:szCs w:val="21"/>
              </w:rPr>
            </w:pPr>
          </w:p>
        </w:tc>
        <w:tc>
          <w:tcPr>
            <w:tcW w:w="2552" w:type="dxa"/>
            <w:gridSpan w:val="2"/>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其他</w:t>
            </w:r>
          </w:p>
        </w:tc>
        <w:tc>
          <w:tcPr>
            <w:tcW w:w="4747" w:type="dxa"/>
            <w:gridSpan w:val="2"/>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无第三章“评标办法”第3.2.2条所列情形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9" w:type="dxa"/>
            <w:gridSpan w:val="3"/>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条款号</w:t>
            </w:r>
          </w:p>
        </w:tc>
        <w:tc>
          <w:tcPr>
            <w:tcW w:w="2552" w:type="dxa"/>
            <w:gridSpan w:val="2"/>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条款内容</w:t>
            </w:r>
          </w:p>
        </w:tc>
        <w:tc>
          <w:tcPr>
            <w:tcW w:w="4747" w:type="dxa"/>
            <w:gridSpan w:val="2"/>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809" w:type="dxa"/>
            <w:gridSpan w:val="3"/>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2.2.1</w:t>
            </w:r>
          </w:p>
        </w:tc>
        <w:tc>
          <w:tcPr>
            <w:tcW w:w="2552" w:type="dxa"/>
            <w:gridSpan w:val="2"/>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分值构成</w:t>
            </w:r>
          </w:p>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(总分100分)</w:t>
            </w:r>
          </w:p>
        </w:tc>
        <w:tc>
          <w:tcPr>
            <w:tcW w:w="4747" w:type="dxa"/>
            <w:gridSpan w:val="2"/>
            <w:vAlign w:val="center"/>
          </w:tcPr>
          <w:p>
            <w:pPr>
              <w:widowControl w:val="0"/>
              <w:numPr>
                <w:ilvl w:val="0"/>
                <w:numId w:val="1"/>
              </w:numPr>
              <w:snapToGrid w:val="0"/>
              <w:spacing w:line="320" w:lineRule="exact"/>
              <w:textAlignment w:val="center"/>
              <w:rPr>
                <w:rFonts w:ascii="新宋体" w:hAnsi="新宋体" w:eastAsia="新宋体" w:cs="新宋体"/>
                <w:b/>
                <w:bCs/>
                <w:szCs w:val="21"/>
              </w:rPr>
            </w:pPr>
            <w:r>
              <w:rPr>
                <w:rFonts w:hint="eastAsia" w:ascii="新宋体" w:hAnsi="新宋体" w:eastAsia="新宋体" w:cs="新宋体"/>
                <w:b/>
                <w:bCs/>
                <w:szCs w:val="21"/>
              </w:rPr>
              <w:t>经济标（投标报价）共</w:t>
            </w:r>
            <w:r>
              <w:rPr>
                <w:rFonts w:hint="eastAsia" w:ascii="新宋体" w:hAnsi="新宋体" w:eastAsia="新宋体" w:cs="新宋体"/>
                <w:b/>
                <w:bCs/>
                <w:szCs w:val="21"/>
                <w:u w:val="single"/>
              </w:rPr>
              <w:t>35</w:t>
            </w:r>
            <w:r>
              <w:rPr>
                <w:rFonts w:hint="eastAsia" w:ascii="新宋体" w:hAnsi="新宋体" w:eastAsia="新宋体" w:cs="新宋体"/>
                <w:b/>
                <w:bCs/>
                <w:szCs w:val="21"/>
              </w:rPr>
              <w:t xml:space="preserve">分 </w:t>
            </w:r>
          </w:p>
          <w:p>
            <w:pPr>
              <w:widowControl w:val="0"/>
              <w:numPr>
                <w:ilvl w:val="0"/>
                <w:numId w:val="1"/>
              </w:numPr>
              <w:snapToGrid w:val="0"/>
              <w:spacing w:line="320" w:lineRule="exact"/>
              <w:textAlignment w:val="center"/>
              <w:rPr>
                <w:rFonts w:ascii="新宋体" w:hAnsi="新宋体" w:eastAsia="新宋体" w:cs="新宋体"/>
                <w:b/>
                <w:bCs/>
                <w:szCs w:val="21"/>
              </w:rPr>
            </w:pPr>
            <w:r>
              <w:rPr>
                <w:rFonts w:hint="eastAsia" w:ascii="新宋体" w:hAnsi="新宋体" w:eastAsia="新宋体" w:cs="新宋体"/>
                <w:b/>
                <w:bCs/>
                <w:szCs w:val="21"/>
              </w:rPr>
              <w:t>技术标共</w:t>
            </w:r>
            <w:r>
              <w:rPr>
                <w:rFonts w:hint="eastAsia" w:ascii="新宋体" w:hAnsi="新宋体" w:eastAsia="新宋体" w:cs="新宋体"/>
                <w:b/>
                <w:bCs/>
                <w:szCs w:val="21"/>
                <w:u w:val="single"/>
              </w:rPr>
              <w:t xml:space="preserve"> 50 </w:t>
            </w:r>
            <w:r>
              <w:rPr>
                <w:rFonts w:hint="eastAsia" w:ascii="新宋体" w:hAnsi="新宋体" w:eastAsia="新宋体" w:cs="新宋体"/>
                <w:b/>
                <w:bCs/>
                <w:szCs w:val="21"/>
              </w:rPr>
              <w:t xml:space="preserve">分 </w:t>
            </w:r>
          </w:p>
          <w:p>
            <w:pPr>
              <w:widowControl w:val="0"/>
              <w:snapToGrid w:val="0"/>
              <w:spacing w:line="320" w:lineRule="exact"/>
              <w:jc w:val="both"/>
              <w:textAlignment w:val="center"/>
              <w:rPr>
                <w:rFonts w:ascii="新宋体" w:hAnsi="新宋体" w:eastAsia="新宋体" w:cs="新宋体"/>
                <w:szCs w:val="21"/>
              </w:rPr>
            </w:pPr>
            <w:r>
              <w:rPr>
                <w:rFonts w:hint="eastAsia" w:ascii="新宋体" w:hAnsi="新宋体" w:eastAsia="新宋体" w:cs="新宋体"/>
                <w:b/>
                <w:bCs/>
                <w:szCs w:val="21"/>
              </w:rPr>
              <w:t xml:space="preserve">3、 商务标共 </w:t>
            </w:r>
            <w:r>
              <w:rPr>
                <w:rFonts w:hint="eastAsia" w:ascii="新宋体" w:hAnsi="新宋体" w:eastAsia="新宋体" w:cs="新宋体"/>
                <w:b/>
                <w:bCs/>
                <w:szCs w:val="21"/>
                <w:u w:val="single"/>
              </w:rPr>
              <w:t>15</w:t>
            </w:r>
            <w:r>
              <w:rPr>
                <w:rFonts w:hint="eastAsia" w:ascii="新宋体" w:hAnsi="新宋体" w:eastAsia="新宋体" w:cs="新宋体"/>
                <w:b/>
                <w:bCs/>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9" w:type="dxa"/>
            <w:gridSpan w:val="3"/>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b/>
                <w:szCs w:val="21"/>
              </w:rPr>
              <w:t>条款号</w:t>
            </w:r>
          </w:p>
        </w:tc>
        <w:tc>
          <w:tcPr>
            <w:tcW w:w="2552"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b/>
                <w:szCs w:val="21"/>
              </w:rPr>
              <w:t>评分因素</w:t>
            </w:r>
          </w:p>
        </w:tc>
        <w:tc>
          <w:tcPr>
            <w:tcW w:w="3818"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b/>
                <w:szCs w:val="21"/>
              </w:rPr>
              <w:t>评分标准</w:t>
            </w:r>
          </w:p>
        </w:tc>
        <w:tc>
          <w:tcPr>
            <w:tcW w:w="929" w:type="dxa"/>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0" w:type="dxa"/>
            <w:gridSpan w:val="2"/>
            <w:vMerge w:val="restart"/>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2.2.2</w:t>
            </w:r>
          </w:p>
        </w:tc>
        <w:tc>
          <w:tcPr>
            <w:tcW w:w="3461" w:type="dxa"/>
            <w:gridSpan w:val="3"/>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经济标（投标报价）</w:t>
            </w:r>
          </w:p>
        </w:tc>
        <w:tc>
          <w:tcPr>
            <w:tcW w:w="3818" w:type="dxa"/>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以有效投标人（有效投标人指经初步评审合格且未被评标委员会认定为低于成本价的投标人）的投标报价算术平均值为评标基准价，投标报价等于评标基准价的得满分35分；投标报价高于评标基准价的，每高于 1%扣 0.3分；投标报价低于评标基准价的，每低于1%扣 0.1分，偏离不足1%的，按照插入法计算得分。</w:t>
            </w:r>
            <w:r>
              <w:rPr>
                <w:rFonts w:hint="eastAsia" w:ascii="新宋体" w:hAnsi="新宋体" w:eastAsia="新宋体" w:cs="新宋体"/>
                <w:szCs w:val="21"/>
                <w:lang w:eastAsia="en-US"/>
              </w:rPr>
              <w:t>（保留两位小数）</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00" w:type="dxa"/>
            <w:gridSpan w:val="2"/>
            <w:vMerge w:val="continue"/>
            <w:vAlign w:val="center"/>
          </w:tcPr>
          <w:p>
            <w:pPr>
              <w:snapToGrid w:val="0"/>
              <w:spacing w:line="440" w:lineRule="exact"/>
              <w:jc w:val="center"/>
              <w:textAlignment w:val="center"/>
              <w:rPr>
                <w:rFonts w:ascii="新宋体" w:hAnsi="新宋体" w:eastAsia="新宋体" w:cs="新宋体"/>
                <w:szCs w:val="21"/>
              </w:rPr>
            </w:pPr>
          </w:p>
        </w:tc>
        <w:tc>
          <w:tcPr>
            <w:tcW w:w="8208" w:type="dxa"/>
            <w:gridSpan w:val="5"/>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技术标（50分）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restart"/>
            <w:vAlign w:val="center"/>
          </w:tcPr>
          <w:p>
            <w:pPr>
              <w:snapToGrid w:val="0"/>
              <w:spacing w:line="320" w:lineRule="exact"/>
              <w:jc w:val="center"/>
              <w:textAlignment w:val="center"/>
              <w:rPr>
                <w:rFonts w:ascii="新宋体" w:hAnsi="新宋体" w:eastAsia="新宋体" w:cs="新宋体"/>
                <w:szCs w:val="21"/>
              </w:rPr>
            </w:pPr>
            <w:r>
              <w:rPr>
                <w:rFonts w:hint="eastAsia" w:ascii="新宋体" w:hAnsi="新宋体" w:eastAsia="新宋体" w:cs="新宋体"/>
                <w:szCs w:val="21"/>
              </w:rPr>
              <w:t>技术方案</w:t>
            </w:r>
          </w:p>
          <w:p>
            <w:pPr>
              <w:snapToGrid w:val="0"/>
              <w:spacing w:line="32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1.监理依据和目标：依据和目标清晰、明确，对项目充分理解。</w:t>
            </w:r>
          </w:p>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lang w:eastAsia="en-US"/>
              </w:rPr>
              <w:t>优，得[6</w:t>
            </w:r>
            <w:r>
              <w:rPr>
                <w:rFonts w:hint="eastAsia" w:ascii="新宋体" w:hAnsi="新宋体" w:eastAsia="新宋体" w:cs="新宋体"/>
                <w:szCs w:val="21"/>
              </w:rPr>
              <w:t>-</w:t>
            </w:r>
            <w:r>
              <w:rPr>
                <w:rFonts w:hint="eastAsia" w:ascii="新宋体" w:hAnsi="新宋体" w:eastAsia="新宋体" w:cs="新宋体"/>
                <w:szCs w:val="21"/>
                <w:lang w:eastAsia="en-US"/>
              </w:rPr>
              <w:t>10]分；中，得[4</w:t>
            </w:r>
            <w:r>
              <w:rPr>
                <w:rFonts w:hint="eastAsia" w:ascii="新宋体" w:hAnsi="新宋体" w:eastAsia="新宋体" w:cs="新宋体"/>
                <w:szCs w:val="21"/>
              </w:rPr>
              <w:t>-</w:t>
            </w:r>
            <w:r>
              <w:rPr>
                <w:rFonts w:hint="eastAsia" w:ascii="新宋体" w:hAnsi="新宋体" w:eastAsia="新宋体" w:cs="新宋体"/>
                <w:szCs w:val="21"/>
                <w:lang w:eastAsia="en-US"/>
              </w:rPr>
              <w:t>6]分；差，得[0</w:t>
            </w:r>
            <w:r>
              <w:rPr>
                <w:rFonts w:hint="eastAsia" w:ascii="新宋体" w:hAnsi="新宋体" w:eastAsia="新宋体" w:cs="新宋体"/>
                <w:szCs w:val="21"/>
              </w:rPr>
              <w:t>-</w:t>
            </w:r>
            <w:r>
              <w:rPr>
                <w:rFonts w:hint="eastAsia" w:ascii="新宋体" w:hAnsi="新宋体" w:eastAsia="新宋体" w:cs="新宋体"/>
                <w:szCs w:val="21"/>
                <w:lang w:eastAsia="en-US"/>
              </w:rPr>
              <w:t>4]分。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2.项目总体思路：思路清晰、技术路线正确、研究方案合理可行。</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有科学合理可行的技术路线，研究内容和方案完整，有深度，完全符合研究要求，得[4-5]分；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技术路线可行，研究内容和方案较完整，有一定深度，基本符合研究要求，得[2-4]分；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技术路线可行性较差，研究内容和方案不完整，不能满足研究要求，得[0-2]分。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3.主要环境影响及污染物防治措施：对各种环境影响及污染物防治措施是否全面、完善、科学合理可行。</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有清晰的认识，措施具体、针对性强，得[4-5]分；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对项目工作的重点、难点有认识但不足，有措施和针对性，得[2-4]分；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对项目工作的重点、难点认识不足，措施和针对性不强，得[0-2]分。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numPr>
                <w:ilvl w:val="0"/>
                <w:numId w:val="2"/>
              </w:num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环境监理制度和方法：监理工作制度是否完善，具体落实可能性如何等。</w:t>
            </w:r>
          </w:p>
          <w:p>
            <w:pPr>
              <w:snapToGrid w:val="0"/>
              <w:spacing w:line="320" w:lineRule="exact"/>
              <w:ind w:firstLine="440" w:firstLineChars="200"/>
              <w:textAlignment w:val="center"/>
              <w:rPr>
                <w:rFonts w:ascii="新宋体" w:hAnsi="新宋体" w:eastAsia="新宋体" w:cs="新宋体"/>
                <w:szCs w:val="21"/>
              </w:rPr>
            </w:pPr>
            <w:r>
              <w:rPr>
                <w:rFonts w:hint="eastAsia" w:ascii="新宋体" w:hAnsi="新宋体" w:eastAsia="新宋体" w:cs="新宋体"/>
                <w:szCs w:val="21"/>
                <w:lang w:eastAsia="en-US"/>
              </w:rPr>
              <w:t>优，得[4</w:t>
            </w:r>
            <w:r>
              <w:rPr>
                <w:rFonts w:hint="eastAsia" w:ascii="新宋体" w:hAnsi="新宋体" w:eastAsia="新宋体" w:cs="新宋体"/>
                <w:szCs w:val="21"/>
              </w:rPr>
              <w:t>-</w:t>
            </w:r>
            <w:r>
              <w:rPr>
                <w:rFonts w:hint="eastAsia" w:ascii="新宋体" w:hAnsi="新宋体" w:eastAsia="新宋体" w:cs="新宋体"/>
                <w:szCs w:val="21"/>
                <w:lang w:eastAsia="en-US"/>
              </w:rPr>
              <w:t>5]分；中，得[2</w:t>
            </w:r>
            <w:r>
              <w:rPr>
                <w:rFonts w:hint="eastAsia" w:ascii="新宋体" w:hAnsi="新宋体" w:eastAsia="新宋体" w:cs="新宋体"/>
                <w:szCs w:val="21"/>
              </w:rPr>
              <w:t>-</w:t>
            </w:r>
            <w:r>
              <w:rPr>
                <w:rFonts w:hint="eastAsia" w:ascii="新宋体" w:hAnsi="新宋体" w:eastAsia="新宋体" w:cs="新宋体"/>
                <w:szCs w:val="21"/>
                <w:lang w:eastAsia="en-US"/>
              </w:rPr>
              <w:t>4]分；差，得[0</w:t>
            </w:r>
            <w:r>
              <w:rPr>
                <w:rFonts w:hint="eastAsia" w:ascii="新宋体" w:hAnsi="新宋体" w:eastAsia="新宋体" w:cs="新宋体"/>
                <w:szCs w:val="21"/>
              </w:rPr>
              <w:t>-</w:t>
            </w:r>
            <w:r>
              <w:rPr>
                <w:rFonts w:hint="eastAsia" w:ascii="新宋体" w:hAnsi="新宋体" w:eastAsia="新宋体" w:cs="新宋体"/>
                <w:szCs w:val="21"/>
                <w:lang w:eastAsia="en-US"/>
              </w:rPr>
              <w:t>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5.项目进度计划工作计划合理。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项目计划完善、可行，完全满足项目进度要求，得[4-5]分；</w:t>
            </w:r>
          </w:p>
          <w:p>
            <w:pPr>
              <w:snapToGrid w:val="0"/>
              <w:spacing w:line="320" w:lineRule="exact"/>
              <w:ind w:left="220" w:leftChars="100"/>
              <w:textAlignment w:val="center"/>
              <w:rPr>
                <w:rFonts w:ascii="新宋体" w:hAnsi="新宋体" w:eastAsia="新宋体" w:cs="新宋体"/>
                <w:szCs w:val="21"/>
              </w:rPr>
            </w:pPr>
            <w:r>
              <w:rPr>
                <w:rFonts w:hint="eastAsia" w:ascii="新宋体" w:hAnsi="新宋体" w:eastAsia="新宋体" w:cs="新宋体"/>
                <w:szCs w:val="21"/>
              </w:rPr>
              <w:t>项目计划可行，基本满足项目进度要求，得[2-4]分；</w:t>
            </w:r>
          </w:p>
          <w:p>
            <w:pPr>
              <w:snapToGrid w:val="0"/>
              <w:spacing w:line="320" w:lineRule="exact"/>
              <w:ind w:left="220" w:leftChars="100"/>
              <w:textAlignment w:val="center"/>
              <w:rPr>
                <w:rFonts w:ascii="新宋体" w:hAnsi="新宋体" w:eastAsia="新宋体" w:cs="新宋体"/>
                <w:szCs w:val="21"/>
              </w:rPr>
            </w:pPr>
            <w:r>
              <w:rPr>
                <w:rFonts w:hint="eastAsia" w:ascii="新宋体" w:hAnsi="新宋体" w:eastAsia="新宋体" w:cs="新宋体"/>
                <w:szCs w:val="21"/>
              </w:rPr>
              <w:t>项目计划可行性较差，基本不满足项目进度要求，得[0-2]分。</w:t>
            </w:r>
          </w:p>
          <w:p>
            <w:pPr>
              <w:snapToGrid w:val="0"/>
              <w:spacing w:line="320" w:lineRule="exact"/>
              <w:textAlignment w:val="center"/>
              <w:rPr>
                <w:rFonts w:ascii="新宋体" w:hAnsi="新宋体" w:eastAsia="新宋体" w:cs="新宋体"/>
                <w:szCs w:val="21"/>
              </w:rPr>
            </w:pP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6.质量保证体系：环境监理质量保证体系是否全面、切实可行。</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环境监理质量保证体系全面、可行，完全满足项目要求，得[4-5]分；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环境监理质量保证体系可行，基本满足项目要求，得[2-4]分；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环境监理质量保证体系可行性较差，基本不满足项目要求，得[0-2]分。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7.成果清单：提交成果清单完善。</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提交成果清单完善，得[4-5]分；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提交成果清单较为完善，得[2-4]分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提交成果不齐全，得[0-2]分。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8.与相关单位的配合措施及后续服务：与相关单位的配合措施及后续服务如何，是否能适应本工程环境监理的需求。</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lang w:eastAsia="en-US"/>
              </w:rPr>
              <w:t>优，得[4</w:t>
            </w:r>
            <w:r>
              <w:rPr>
                <w:rFonts w:hint="eastAsia" w:ascii="新宋体" w:hAnsi="新宋体" w:eastAsia="新宋体" w:cs="新宋体"/>
                <w:szCs w:val="21"/>
              </w:rPr>
              <w:t>-</w:t>
            </w:r>
            <w:r>
              <w:rPr>
                <w:rFonts w:hint="eastAsia" w:ascii="新宋体" w:hAnsi="新宋体" w:eastAsia="新宋体" w:cs="新宋体"/>
                <w:szCs w:val="21"/>
                <w:lang w:eastAsia="en-US"/>
              </w:rPr>
              <w:t>5]分；中，得[2</w:t>
            </w:r>
            <w:r>
              <w:rPr>
                <w:rFonts w:hint="eastAsia" w:ascii="新宋体" w:hAnsi="新宋体" w:eastAsia="新宋体" w:cs="新宋体"/>
                <w:szCs w:val="21"/>
              </w:rPr>
              <w:t>-</w:t>
            </w:r>
            <w:r>
              <w:rPr>
                <w:rFonts w:hint="eastAsia" w:ascii="新宋体" w:hAnsi="新宋体" w:eastAsia="新宋体" w:cs="新宋体"/>
                <w:szCs w:val="21"/>
                <w:lang w:eastAsia="en-US"/>
              </w:rPr>
              <w:t>4]分；差，得[0</w:t>
            </w:r>
            <w:r>
              <w:rPr>
                <w:rFonts w:hint="eastAsia" w:ascii="新宋体" w:hAnsi="新宋体" w:eastAsia="新宋体" w:cs="新宋体"/>
                <w:szCs w:val="21"/>
              </w:rPr>
              <w:t>-</w:t>
            </w:r>
            <w:r>
              <w:rPr>
                <w:rFonts w:hint="eastAsia" w:ascii="新宋体" w:hAnsi="新宋体" w:eastAsia="新宋体" w:cs="新宋体"/>
                <w:szCs w:val="21"/>
                <w:lang w:eastAsia="en-US"/>
              </w:rPr>
              <w:t>2]分。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Merge w:val="continue"/>
          </w:tcPr>
          <w:p>
            <w:pPr>
              <w:snapToGrid w:val="0"/>
              <w:spacing w:line="440" w:lineRule="exact"/>
              <w:jc w:val="center"/>
              <w:textAlignment w:val="center"/>
              <w:rPr>
                <w:rFonts w:ascii="新宋体" w:hAnsi="新宋体" w:eastAsia="新宋体" w:cs="新宋体"/>
                <w:szCs w:val="21"/>
              </w:rPr>
            </w:pPr>
          </w:p>
        </w:tc>
        <w:tc>
          <w:tcPr>
            <w:tcW w:w="6271" w:type="dxa"/>
            <w:gridSpan w:val="2"/>
            <w:vAlign w:val="center"/>
          </w:tcPr>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9. 服务承诺：对未来项目质量、数据结果准确性、报告及时性等服务进行承诺。</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针对采购人项目需求提出，具备操作性且服务承诺内容全面，得[</w:t>
            </w:r>
            <w:r>
              <w:rPr>
                <w:rFonts w:ascii="新宋体" w:hAnsi="新宋体" w:eastAsia="新宋体" w:cs="新宋体"/>
                <w:szCs w:val="21"/>
              </w:rPr>
              <w:t>4</w:t>
            </w:r>
            <w:r>
              <w:rPr>
                <w:rFonts w:hint="eastAsia" w:ascii="新宋体" w:hAnsi="新宋体" w:eastAsia="新宋体" w:cs="新宋体"/>
                <w:szCs w:val="21"/>
              </w:rPr>
              <w:t>-</w:t>
            </w:r>
            <w:r>
              <w:rPr>
                <w:rFonts w:ascii="新宋体" w:hAnsi="新宋体" w:eastAsia="新宋体" w:cs="新宋体"/>
                <w:szCs w:val="21"/>
              </w:rPr>
              <w:t>5</w:t>
            </w:r>
            <w:r>
              <w:rPr>
                <w:rFonts w:hint="eastAsia" w:ascii="新宋体" w:hAnsi="新宋体" w:eastAsia="新宋体" w:cs="新宋体"/>
                <w:szCs w:val="21"/>
              </w:rPr>
              <w:t>]分；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针对采购人项目需求提出，具备操作性但服务承诺内容不够全面，得[</w:t>
            </w:r>
            <w:r>
              <w:rPr>
                <w:rFonts w:ascii="新宋体" w:hAnsi="新宋体" w:eastAsia="新宋体" w:cs="新宋体"/>
                <w:szCs w:val="21"/>
              </w:rPr>
              <w:t>2</w:t>
            </w:r>
            <w:r>
              <w:rPr>
                <w:rFonts w:hint="eastAsia" w:ascii="新宋体" w:hAnsi="新宋体" w:eastAsia="新宋体" w:cs="新宋体"/>
                <w:szCs w:val="21"/>
              </w:rPr>
              <w:t>-</w:t>
            </w:r>
            <w:r>
              <w:rPr>
                <w:rFonts w:ascii="新宋体" w:hAnsi="新宋体" w:eastAsia="新宋体" w:cs="新宋体"/>
                <w:szCs w:val="21"/>
              </w:rPr>
              <w:t>4</w:t>
            </w:r>
            <w:r>
              <w:rPr>
                <w:rFonts w:hint="eastAsia" w:ascii="新宋体" w:hAnsi="新宋体" w:eastAsia="新宋体" w:cs="新宋体"/>
                <w:szCs w:val="21"/>
              </w:rPr>
              <w:t>]分；</w:t>
            </w:r>
          </w:p>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针对采购人项目需求提出，但不具备操作性或服务承诺内容不够全面，得[0-</w:t>
            </w:r>
            <w:r>
              <w:rPr>
                <w:rFonts w:ascii="新宋体" w:hAnsi="新宋体" w:eastAsia="新宋体" w:cs="新宋体"/>
                <w:szCs w:val="21"/>
              </w:rPr>
              <w:t>2</w:t>
            </w:r>
            <w:r>
              <w:rPr>
                <w:rFonts w:hint="eastAsia" w:ascii="新宋体" w:hAnsi="新宋体" w:eastAsia="新宋体" w:cs="新宋体"/>
                <w:szCs w:val="21"/>
              </w:rPr>
              <w:t>]分；</w:t>
            </w:r>
          </w:p>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未提供相关承诺不得分。</w:t>
            </w:r>
          </w:p>
          <w:p>
            <w:pPr>
              <w:snapToGrid w:val="0"/>
              <w:spacing w:line="320" w:lineRule="exact"/>
              <w:ind w:firstLine="220" w:firstLineChars="100"/>
              <w:textAlignment w:val="center"/>
              <w:rPr>
                <w:rFonts w:ascii="新宋体" w:hAnsi="新宋体" w:eastAsia="新宋体" w:cs="新宋体"/>
                <w:szCs w:val="21"/>
              </w:rPr>
            </w:pP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ascii="新宋体" w:hAnsi="新宋体" w:eastAsia="新宋体" w:cs="新宋体"/>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8208" w:type="dxa"/>
            <w:gridSpan w:val="5"/>
            <w:vAlign w:val="center"/>
          </w:tcPr>
          <w:p>
            <w:pPr>
              <w:snapToGrid w:val="0"/>
              <w:spacing w:line="440" w:lineRule="exact"/>
              <w:jc w:val="center"/>
              <w:textAlignment w:val="center"/>
              <w:rPr>
                <w:rFonts w:ascii="新宋体" w:hAnsi="新宋体" w:eastAsia="新宋体" w:cs="新宋体"/>
                <w:b/>
                <w:szCs w:val="21"/>
              </w:rPr>
            </w:pPr>
            <w:r>
              <w:rPr>
                <w:rFonts w:hint="eastAsia" w:ascii="新宋体" w:hAnsi="新宋体" w:eastAsia="新宋体" w:cs="新宋体"/>
                <w:b/>
                <w:szCs w:val="21"/>
              </w:rPr>
              <w:t>商务标（15分）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0" w:type="dxa"/>
            <w:gridSpan w:val="2"/>
            <w:vMerge w:val="continue"/>
          </w:tcPr>
          <w:p>
            <w:pPr>
              <w:snapToGrid w:val="0"/>
              <w:spacing w:line="440" w:lineRule="exact"/>
              <w:jc w:val="center"/>
              <w:textAlignment w:val="center"/>
              <w:rPr>
                <w:rFonts w:ascii="新宋体" w:hAnsi="新宋体" w:eastAsia="新宋体" w:cs="新宋体"/>
                <w:szCs w:val="21"/>
              </w:rPr>
            </w:pPr>
          </w:p>
        </w:tc>
        <w:tc>
          <w:tcPr>
            <w:tcW w:w="1008" w:type="dxa"/>
            <w:gridSpan w:val="2"/>
            <w:vAlign w:val="center"/>
          </w:tcPr>
          <w:p>
            <w:pPr>
              <w:snapToGrid w:val="0"/>
              <w:spacing w:line="440" w:lineRule="exact"/>
              <w:jc w:val="center"/>
              <w:textAlignment w:val="center"/>
              <w:rPr>
                <w:rFonts w:ascii="新宋体" w:hAnsi="新宋体" w:eastAsia="新宋体" w:cs="新宋体"/>
                <w:szCs w:val="21"/>
                <w:highlight w:val="none"/>
              </w:rPr>
            </w:pPr>
            <w:r>
              <w:rPr>
                <w:rFonts w:hint="eastAsia" w:ascii="新宋体" w:hAnsi="新宋体" w:eastAsia="新宋体" w:cs="新宋体"/>
                <w:szCs w:val="21"/>
                <w:highlight w:val="none"/>
              </w:rPr>
              <w:t>企业实力</w:t>
            </w:r>
          </w:p>
        </w:tc>
        <w:tc>
          <w:tcPr>
            <w:tcW w:w="6271" w:type="dxa"/>
            <w:gridSpan w:val="2"/>
            <w:vAlign w:val="center"/>
          </w:tcPr>
          <w:p>
            <w:pPr>
              <w:snapToGrid w:val="0"/>
              <w:spacing w:line="320" w:lineRule="exact"/>
              <w:textAlignment w:val="center"/>
              <w:rPr>
                <w:rFonts w:ascii="新宋体" w:hAnsi="新宋体" w:eastAsia="新宋体" w:cs="新宋体"/>
                <w:szCs w:val="21"/>
                <w:highlight w:val="none"/>
              </w:rPr>
            </w:pPr>
            <w:r>
              <w:rPr>
                <w:rFonts w:hint="eastAsia" w:ascii="新宋体" w:hAnsi="新宋体" w:eastAsia="新宋体" w:cs="新宋体"/>
                <w:szCs w:val="21"/>
                <w:highlight w:val="none"/>
              </w:rPr>
              <w:t>投标人自</w:t>
            </w:r>
            <w:r>
              <w:rPr>
                <w:rFonts w:ascii="新宋体" w:hAnsi="新宋体" w:eastAsia="新宋体" w:cs="新宋体"/>
                <w:szCs w:val="21"/>
                <w:highlight w:val="none"/>
              </w:rPr>
              <w:t xml:space="preserve"> 2018年10月1日（以合同签订时间为准）以来具有同类项目的业绩的，每有1个得 2 </w:t>
            </w:r>
            <w:r>
              <w:rPr>
                <w:rFonts w:hint="eastAsia" w:ascii="新宋体" w:hAnsi="新宋体" w:eastAsia="新宋体" w:cs="新宋体"/>
                <w:szCs w:val="21"/>
                <w:highlight w:val="none"/>
              </w:rPr>
              <w:t>分，本项目最高得</w:t>
            </w:r>
            <w:r>
              <w:rPr>
                <w:rFonts w:ascii="新宋体" w:hAnsi="新宋体" w:eastAsia="新宋体" w:cs="新宋体"/>
                <w:szCs w:val="21"/>
                <w:highlight w:val="none"/>
              </w:rPr>
              <w:t xml:space="preserve"> 8 </w:t>
            </w:r>
            <w:r>
              <w:rPr>
                <w:rFonts w:hint="eastAsia" w:ascii="新宋体" w:hAnsi="新宋体" w:eastAsia="新宋体" w:cs="新宋体"/>
                <w:szCs w:val="21"/>
                <w:highlight w:val="none"/>
              </w:rPr>
              <w:t>分。</w:t>
            </w:r>
          </w:p>
          <w:p>
            <w:pPr>
              <w:snapToGrid w:val="0"/>
              <w:spacing w:line="320" w:lineRule="exact"/>
              <w:textAlignment w:val="center"/>
              <w:rPr>
                <w:rFonts w:ascii="新宋体" w:hAnsi="新宋体" w:eastAsia="新宋体" w:cs="新宋体"/>
                <w:szCs w:val="21"/>
                <w:highlight w:val="none"/>
              </w:rPr>
            </w:pPr>
            <w:r>
              <w:rPr>
                <w:rFonts w:hint="eastAsia" w:ascii="新宋体" w:hAnsi="新宋体" w:eastAsia="新宋体" w:cs="新宋体"/>
                <w:b/>
                <w:bCs/>
                <w:szCs w:val="21"/>
                <w:highlight w:val="none"/>
              </w:rPr>
              <w:t>注：提供合同复印件并加盖公章，未按要求提供或未提供的不得分。同类项目是指污染场地防控、污染场地修复、环境整治等工程的环境监理</w:t>
            </w:r>
            <w:r>
              <w:rPr>
                <w:rFonts w:hint="eastAsia" w:ascii="新宋体" w:hAnsi="新宋体" w:eastAsia="新宋体" w:cs="新宋体"/>
                <w:szCs w:val="21"/>
                <w:highlight w:val="none"/>
              </w:rPr>
              <w:t>。</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0" w:type="dxa"/>
            <w:gridSpan w:val="2"/>
          </w:tcPr>
          <w:p>
            <w:pPr>
              <w:snapToGrid w:val="0"/>
              <w:spacing w:line="440" w:lineRule="exact"/>
              <w:jc w:val="center"/>
              <w:textAlignment w:val="center"/>
              <w:rPr>
                <w:rFonts w:ascii="新宋体" w:hAnsi="新宋体" w:eastAsia="新宋体" w:cs="新宋体"/>
                <w:szCs w:val="21"/>
              </w:rPr>
            </w:pPr>
          </w:p>
        </w:tc>
        <w:tc>
          <w:tcPr>
            <w:tcW w:w="1008" w:type="dxa"/>
            <w:gridSpan w:val="2"/>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团队实力</w:t>
            </w:r>
          </w:p>
        </w:tc>
        <w:tc>
          <w:tcPr>
            <w:tcW w:w="6271" w:type="dxa"/>
            <w:gridSpan w:val="2"/>
            <w:vAlign w:val="center"/>
          </w:tcPr>
          <w:p>
            <w:pPr>
              <w:snapToGrid w:val="0"/>
              <w:spacing w:line="320" w:lineRule="exact"/>
              <w:ind w:firstLine="220" w:firstLineChars="100"/>
              <w:textAlignment w:val="center"/>
              <w:rPr>
                <w:rFonts w:ascii="新宋体" w:hAnsi="新宋体" w:eastAsia="新宋体" w:cs="新宋体"/>
                <w:szCs w:val="21"/>
              </w:rPr>
            </w:pPr>
            <w:r>
              <w:rPr>
                <w:rFonts w:hint="eastAsia" w:ascii="新宋体" w:hAnsi="新宋体" w:eastAsia="新宋体" w:cs="新宋体"/>
                <w:szCs w:val="21"/>
              </w:rPr>
              <w:t>项目组成员（不含项目负责人）中：</w:t>
            </w:r>
          </w:p>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（1）每有1名具有注册环境影响评价工程师的，得 1分；本项最高得 4分。</w:t>
            </w:r>
          </w:p>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（2）每有1名具有建设项目环境监理培训证书的，得 1 分；本项最高得3分。</w:t>
            </w:r>
          </w:p>
          <w:p>
            <w:pPr>
              <w:snapToGrid w:val="0"/>
              <w:spacing w:line="320" w:lineRule="exact"/>
              <w:textAlignment w:val="center"/>
              <w:rPr>
                <w:rFonts w:ascii="新宋体" w:hAnsi="新宋体" w:eastAsia="新宋体" w:cs="新宋体"/>
                <w:szCs w:val="21"/>
              </w:rPr>
            </w:pPr>
            <w:r>
              <w:rPr>
                <w:rFonts w:hint="eastAsia" w:ascii="新宋体" w:hAnsi="新宋体" w:eastAsia="新宋体" w:cs="新宋体"/>
                <w:szCs w:val="21"/>
              </w:rPr>
              <w:t>注：提供以上人员的证书复印件并加盖公章，未按要求提供或未提供的不得分。</w:t>
            </w:r>
          </w:p>
        </w:tc>
        <w:tc>
          <w:tcPr>
            <w:tcW w:w="929" w:type="dxa"/>
            <w:vAlign w:val="center"/>
          </w:tcPr>
          <w:p>
            <w:pPr>
              <w:snapToGrid w:val="0"/>
              <w:spacing w:line="440" w:lineRule="exact"/>
              <w:jc w:val="center"/>
              <w:textAlignment w:val="center"/>
              <w:rPr>
                <w:rFonts w:ascii="新宋体" w:hAnsi="新宋体" w:eastAsia="新宋体" w:cs="新宋体"/>
                <w:szCs w:val="21"/>
              </w:rPr>
            </w:pPr>
            <w:r>
              <w:rPr>
                <w:rFonts w:hint="eastAsia" w:ascii="新宋体" w:hAnsi="新宋体" w:eastAsia="新宋体" w:cs="新宋体"/>
                <w:szCs w:val="21"/>
              </w:rPr>
              <w:t>7</w:t>
            </w:r>
          </w:p>
        </w:tc>
      </w:tr>
    </w:tbl>
    <w:p>
      <w:pPr>
        <w:pStyle w:val="3"/>
        <w:spacing w:line="360" w:lineRule="auto"/>
        <w:rPr>
          <w:color w:val="000000"/>
        </w:rPr>
      </w:pPr>
      <w:r>
        <w:rPr>
          <w:rFonts w:hint="eastAsia"/>
          <w:color w:val="000000"/>
        </w:rPr>
        <w:br w:type="page"/>
      </w:r>
      <w:bookmarkStart w:id="66" w:name="_Toc516082761"/>
      <w:r>
        <w:rPr>
          <w:rFonts w:hint="eastAsia"/>
          <w:color w:val="000000"/>
        </w:rPr>
        <w:t>1. 评标方法</w:t>
      </w:r>
      <w:bookmarkEnd w:id="6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第2.2款规定的评分标准进行打分，并按得分由高到低顺序推荐中标候选人，或根据招标人授权直接确定中标人。综合评分相等时，以投标报价低的优先；投标报价也相等的，由招标人自行确定。</w:t>
      </w:r>
    </w:p>
    <w:p>
      <w:pPr>
        <w:pStyle w:val="3"/>
        <w:spacing w:line="360" w:lineRule="auto"/>
        <w:rPr>
          <w:color w:val="000000"/>
        </w:rPr>
      </w:pPr>
      <w:bookmarkStart w:id="67" w:name="_Toc152045601"/>
      <w:bookmarkStart w:id="68" w:name="_Toc152042378"/>
      <w:bookmarkStart w:id="69" w:name="_Toc179632619"/>
      <w:bookmarkStart w:id="70" w:name="_Toc144974568"/>
      <w:bookmarkStart w:id="71" w:name="_Toc516082762"/>
      <w:r>
        <w:rPr>
          <w:rFonts w:hint="eastAsia"/>
          <w:color w:val="000000"/>
        </w:rPr>
        <w:t>2. 评审标准</w:t>
      </w:r>
      <w:bookmarkEnd w:id="67"/>
      <w:bookmarkEnd w:id="68"/>
      <w:bookmarkEnd w:id="69"/>
      <w:bookmarkEnd w:id="70"/>
      <w:bookmarkEnd w:id="71"/>
    </w:p>
    <w:p>
      <w:pPr>
        <w:pStyle w:val="4"/>
        <w:spacing w:line="360" w:lineRule="auto"/>
        <w:rPr>
          <w:color w:val="000000"/>
        </w:rPr>
      </w:pPr>
      <w:bookmarkStart w:id="72" w:name="_Toc144974569"/>
      <w:bookmarkStart w:id="73" w:name="_Toc152045602"/>
      <w:bookmarkStart w:id="74" w:name="_Toc516082763"/>
      <w:bookmarkStart w:id="75" w:name="_Toc179632620"/>
      <w:bookmarkStart w:id="76" w:name="_Toc152042379"/>
      <w:r>
        <w:rPr>
          <w:rFonts w:hint="eastAsia"/>
          <w:color w:val="000000"/>
        </w:rPr>
        <w:t>2.1 初步评审标准</w:t>
      </w:r>
      <w:bookmarkEnd w:id="72"/>
      <w:bookmarkEnd w:id="73"/>
      <w:bookmarkEnd w:id="74"/>
      <w:bookmarkEnd w:id="75"/>
      <w:bookmarkEnd w:id="7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2.1.1 形式评审标准：见评标办法前附表。</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2.1.2 资格评审标准：见评标办法前附表。</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2.1.3 响应性评审标准：见评标办法前附表。</w:t>
      </w:r>
    </w:p>
    <w:p>
      <w:pPr>
        <w:pStyle w:val="4"/>
        <w:spacing w:line="360" w:lineRule="auto"/>
        <w:rPr>
          <w:color w:val="000000"/>
        </w:rPr>
      </w:pPr>
      <w:bookmarkStart w:id="77" w:name="_Toc152045603"/>
      <w:bookmarkStart w:id="78" w:name="_Toc516082764"/>
      <w:bookmarkStart w:id="79" w:name="_Toc179632621"/>
      <w:bookmarkStart w:id="80" w:name="_Toc144974570"/>
      <w:bookmarkStart w:id="81" w:name="_Toc152042380"/>
      <w:r>
        <w:rPr>
          <w:rFonts w:hint="eastAsia"/>
          <w:color w:val="000000"/>
        </w:rPr>
        <w:t>2.2 分值构成与评分标准</w:t>
      </w:r>
      <w:bookmarkEnd w:id="77"/>
      <w:bookmarkEnd w:id="78"/>
      <w:bookmarkEnd w:id="79"/>
      <w:bookmarkEnd w:id="80"/>
      <w:bookmarkEnd w:id="81"/>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2.2.1 分值构成：见评标办法前附表。</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2.2.2 评标基准价计算</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评标基准价计算方法：见评标办法前附表。</w:t>
      </w:r>
    </w:p>
    <w:p>
      <w:pPr>
        <w:autoSpaceDE w:val="0"/>
        <w:autoSpaceDN w:val="0"/>
        <w:adjustRightInd w:val="0"/>
        <w:spacing w:line="360" w:lineRule="auto"/>
        <w:ind w:firstLine="440" w:firstLineChars="200"/>
        <w:rPr>
          <w:rFonts w:ascii="宋体" w:hAnsi="宋体" w:cs="宋体"/>
          <w:szCs w:val="21"/>
        </w:rPr>
      </w:pPr>
      <w:r>
        <w:rPr>
          <w:rFonts w:hint="eastAsia" w:ascii="宋体" w:hAnsi="宋体" w:cs="宋体"/>
          <w:szCs w:val="21"/>
        </w:rPr>
        <w:t>2.2.3 评分标准：见评标办法前附表。</w:t>
      </w:r>
    </w:p>
    <w:p>
      <w:pPr>
        <w:pStyle w:val="3"/>
        <w:spacing w:line="360" w:lineRule="auto"/>
        <w:rPr>
          <w:color w:val="000000"/>
        </w:rPr>
      </w:pPr>
      <w:bookmarkStart w:id="82" w:name="_Toc516082765"/>
      <w:r>
        <w:rPr>
          <w:rFonts w:hint="eastAsia"/>
          <w:color w:val="000000"/>
        </w:rPr>
        <w:t>3. 评标程序</w:t>
      </w:r>
      <w:bookmarkEnd w:id="82"/>
    </w:p>
    <w:p>
      <w:pPr>
        <w:pStyle w:val="4"/>
        <w:spacing w:line="360" w:lineRule="auto"/>
        <w:rPr>
          <w:color w:val="000000"/>
        </w:rPr>
      </w:pPr>
      <w:bookmarkStart w:id="83" w:name="_Toc516082766"/>
      <w:r>
        <w:rPr>
          <w:rFonts w:hint="eastAsia"/>
          <w:color w:val="000000"/>
        </w:rPr>
        <w:t>3.1 评标准备</w:t>
      </w:r>
      <w:bookmarkEnd w:id="83"/>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3.1.1 评标委员会成员到达评标现场时应在签到表上签到</w:t>
      </w:r>
      <w:r>
        <w:rPr>
          <w:rFonts w:hint="eastAsia" w:ascii="宋体" w:hAnsi="TimesNewRomanPSMT" w:cs="宋体"/>
          <w:color w:val="000000"/>
          <w:szCs w:val="21"/>
        </w:rPr>
        <w:t>（或通过门禁系统签到）</w:t>
      </w:r>
      <w:r>
        <w:rPr>
          <w:rFonts w:hint="eastAsia" w:ascii="宋体" w:hAnsi="宋体" w:cs="宋体"/>
          <w:color w:val="000000"/>
          <w:szCs w:val="21"/>
        </w:rPr>
        <w:t>以证明其出席。</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3.1.2 评标委员会成员首先推选一名评标委员会负责人，负责评标活动的组织领导工作。</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pStyle w:val="4"/>
        <w:spacing w:line="360" w:lineRule="auto"/>
        <w:rPr>
          <w:color w:val="000000"/>
        </w:rPr>
      </w:pPr>
      <w:bookmarkStart w:id="84" w:name="_Toc516082767"/>
      <w:r>
        <w:rPr>
          <w:rFonts w:hint="eastAsia"/>
          <w:color w:val="000000"/>
        </w:rPr>
        <w:t>3.2初步评审</w:t>
      </w:r>
      <w:bookmarkEnd w:id="84"/>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3.2.1 评标委员会依据本章第2.1项规定的标准对投标文件进行初步评审，有一项不符合评审标准的，作无效标处理。</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黑体" w:hAnsi="TimesNewRomanPSMT" w:eastAsia="黑体" w:cs="宋体"/>
          <w:color w:val="000000"/>
          <w:szCs w:val="21"/>
        </w:rPr>
        <w:t>3</w:t>
      </w:r>
      <w:r>
        <w:rPr>
          <w:rFonts w:hint="eastAsia" w:ascii="宋体" w:hAnsi="TimesNewRomanPSMT" w:cs="宋体"/>
          <w:color w:val="000000"/>
          <w:szCs w:val="21"/>
        </w:rPr>
        <w:t>.2.2 投标人有以下情形之一的，其投标作无效标处理：</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 投标文件中的投标函未加盖投标人的公章及企业法定代表人印章的，或者企业法定代表人委托代理人没有合法、有效的委托书（原件）及委托代理人印章的；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 xml:space="preserve">（2）. 未按招标文件要求提供投标保证金的； </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 xml:space="preserve">（3）. 未按招标文件规定的格式填写，内容不全或关键字迹模糊、无法辨认的，不符合招标文件有关暗标要求的； </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 xml:space="preserve">（4）. 投标人递交两份或多份内容不同的投标文件，或在一份投标文件中对同一招标项目报有两个或多个报价，且未声明哪一个有效，按招标文件规定提交备选投标方案的除外； </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（5）. 投标人名称或组织结构与资格预审时不一致的；组成联合体投标的，投标文件未附联合体各方共同投标协议的。投标时联合体成员与报名资格预审合格时的成员不一致的；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（6）. 投标文件截止时间前未经招标人书面同意，总监与资格预审时不一致的，或投标文件截止时间前经招标人书面同意，但总监不符合招标文件要求的；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（7）. 投标人资格条件不符合国家有关规定或招标文件要求的；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（8）. 投标报价低于成本，或高于招标文件设定的最高投标限价；</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（9）. 投标文件载明的检验标准和方法等不符合招标文件的要求或明显不符合技术规范、技术标准的要求；</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（10）.投标文件提出的监理范围、监理服务期、监理费用及支付办法不能满足招标文件要求或招标人不能接受；</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（11）.不同投标人的投标文件出现了评标委员会认为不应当雷同的情况的；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（12）.以他人的名义投标、串通投标、以行贿手段谋取中标或者以其他弄虚作假方式投标的；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（13）. 投标人未按照招标文件的要求提供必须提交的相关资料或提供虚假资料的；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（14）. 监理组所报人员配备低于招标文件规定标准或人员不满足招标文件要求的必备专业要求的；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（15）. 项目总监资格不符合招标文件规定的；</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（16）. 招标文件规定的不违背法律法规的其它合理性重大偏差及法律法规规定的其它情况。</w:t>
      </w:r>
    </w:p>
    <w:p>
      <w:pPr>
        <w:pStyle w:val="4"/>
        <w:spacing w:line="360" w:lineRule="auto"/>
        <w:rPr>
          <w:color w:val="000000"/>
        </w:rPr>
      </w:pPr>
      <w:bookmarkStart w:id="85" w:name="_Toc516082768"/>
      <w:r>
        <w:rPr>
          <w:rFonts w:hint="eastAsia"/>
          <w:color w:val="000000"/>
        </w:rPr>
        <w:t>3.3 详细评审</w:t>
      </w:r>
      <w:bookmarkEnd w:id="85"/>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3.3.1 评标委员会按本章第2.2项规定的量化因素和分值进行打分，并计算出综合评估得分。</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3.3.2 评分分值计算保留小数点后两位，小数点后第三位“四舍五入”。</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3.2.3 投标人得分为各项评分因素得分之和。</w:t>
      </w:r>
    </w:p>
    <w:p>
      <w:pPr>
        <w:pStyle w:val="4"/>
        <w:spacing w:line="360" w:lineRule="auto"/>
        <w:rPr>
          <w:color w:val="000000"/>
        </w:rPr>
      </w:pPr>
      <w:bookmarkStart w:id="86" w:name="_Toc516082769"/>
      <w:r>
        <w:rPr>
          <w:rFonts w:hint="eastAsia"/>
          <w:color w:val="000000"/>
        </w:rPr>
        <w:t>3.4 澄清、说明或补正</w:t>
      </w:r>
      <w:bookmarkEnd w:id="86"/>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3.4.2 澄清、说明和补正不得改变投标文件的实质性内容。投标人的书面澄清、说明和补正属于投标文件的组成部分；</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3.4.3 评标委员会对投标人提交的澄清、说明或补正有疑问的，可以要求投标人进一步澄清、说明或补正，直至满足评标委员会的要求。</w:t>
      </w:r>
    </w:p>
    <w:p>
      <w:pPr>
        <w:pStyle w:val="4"/>
        <w:spacing w:line="360" w:lineRule="auto"/>
        <w:rPr>
          <w:color w:val="000000"/>
        </w:rPr>
      </w:pPr>
      <w:bookmarkStart w:id="87" w:name="_Toc516082770"/>
      <w:r>
        <w:rPr>
          <w:rFonts w:hint="eastAsia"/>
          <w:color w:val="000000"/>
        </w:rPr>
        <w:t>3.5 推荐中标候选人或直接确定中标人</w:t>
      </w:r>
      <w:bookmarkEnd w:id="87"/>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3.5.1 除投标人须知前附表授权直接确定中标人外，评标委员会在推荐中标候选人时，应遵照以下原则:</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(1)评标委员会按照最终得分由高至低的次序排列，并根据投标人须知前附表规定的中标候选人数量，将排序在前的投标人推荐为中标候选人。</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(2)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3.5.2 投标人须知前附表授权评标委员会直接确定中标人的，评标委员会按照最终得分由高至低的次序排列，并确定排名第一的投标人为中标人。</w:t>
      </w:r>
    </w:p>
    <w:p>
      <w:pPr>
        <w:pStyle w:val="4"/>
        <w:spacing w:line="360" w:lineRule="auto"/>
        <w:rPr>
          <w:color w:val="000000"/>
        </w:rPr>
      </w:pPr>
      <w:bookmarkStart w:id="88" w:name="_Toc516082771"/>
      <w:r>
        <w:rPr>
          <w:rFonts w:hint="eastAsia"/>
          <w:color w:val="000000"/>
        </w:rPr>
        <w:t>3.6 提交评标报告</w:t>
      </w:r>
      <w:bookmarkEnd w:id="88"/>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评标委员会完成评标后，应当向招标人提交书面评标报告。评标报告应当由全体评标委员会成员签字，并于评标结束时抄送有关行政监督部门。</w:t>
      </w:r>
    </w:p>
    <w:p>
      <w:pPr>
        <w:autoSpaceDE w:val="0"/>
        <w:autoSpaceDN w:val="0"/>
        <w:adjustRightInd w:val="0"/>
        <w:spacing w:line="360" w:lineRule="auto"/>
        <w:ind w:firstLine="440" w:firstLineChars="200"/>
        <w:rPr>
          <w:rFonts w:ascii="宋体" w:hAnsi="宋体" w:cs="宋体"/>
          <w:color w:val="000000"/>
          <w:szCs w:val="21"/>
        </w:rPr>
      </w:pPr>
    </w:p>
    <w:bookmarkEnd w:id="57"/>
    <w:bookmarkEnd w:id="58"/>
    <w:bookmarkEnd w:id="59"/>
    <w:bookmarkEnd w:id="60"/>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rPr>
          <w:rFonts w:eastAsia="宋体"/>
          <w:b/>
          <w:bCs/>
          <w:color w:val="000000"/>
          <w:kern w:val="44"/>
          <w:sz w:val="32"/>
          <w:szCs w:val="44"/>
        </w:rPr>
      </w:pPr>
      <w:bookmarkStart w:id="89" w:name="_Toc516082772"/>
      <w:r>
        <w:rPr>
          <w:color w:val="000000"/>
        </w:rPr>
        <w:br w:type="page"/>
      </w:r>
    </w:p>
    <w:p>
      <w:pPr>
        <w:pStyle w:val="2"/>
        <w:jc w:val="center"/>
        <w:rPr>
          <w:color w:val="000000"/>
        </w:rPr>
      </w:pPr>
      <w:r>
        <w:rPr>
          <w:rFonts w:hint="eastAsia"/>
          <w:color w:val="000000"/>
        </w:rPr>
        <w:t>第四章 合同条款及格式</w:t>
      </w:r>
      <w:bookmarkEnd w:id="89"/>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tabs>
          <w:tab w:val="left" w:pos="3120"/>
        </w:tabs>
        <w:ind w:firstLine="1325" w:firstLineChars="600"/>
        <w:rPr>
          <w:rFonts w:ascii="宋体" w:hAnsi="宋体" w:cs="宋体"/>
          <w:b/>
          <w:bCs/>
          <w:color w:val="000000"/>
          <w:szCs w:val="21"/>
        </w:rPr>
      </w:pPr>
    </w:p>
    <w:p>
      <w:pPr>
        <w:tabs>
          <w:tab w:val="left" w:pos="3120"/>
        </w:tabs>
        <w:ind w:firstLine="1325" w:firstLineChars="600"/>
        <w:rPr>
          <w:rFonts w:ascii="宋体" w:hAnsi="宋体" w:cs="宋体"/>
          <w:b/>
          <w:bCs/>
          <w:color w:val="000000"/>
          <w:szCs w:val="21"/>
        </w:rPr>
      </w:pPr>
    </w:p>
    <w:p>
      <w:pPr>
        <w:tabs>
          <w:tab w:val="left" w:pos="3120"/>
        </w:tabs>
        <w:jc w:val="center"/>
        <w:rPr>
          <w:rFonts w:ascii="宋体" w:hAnsi="宋体" w:cs="宋体"/>
          <w:b/>
          <w:bCs/>
          <w:color w:val="000000"/>
          <w:szCs w:val="21"/>
        </w:rPr>
      </w:pPr>
    </w:p>
    <w:p>
      <w:pPr>
        <w:tabs>
          <w:tab w:val="left" w:pos="3120"/>
        </w:tabs>
        <w:jc w:val="center"/>
        <w:rPr>
          <w:rFonts w:ascii="宋体" w:hAnsi="宋体" w:cs="宋体"/>
          <w:b/>
          <w:bCs/>
          <w:color w:val="000000"/>
          <w:szCs w:val="21"/>
        </w:rPr>
      </w:pPr>
    </w:p>
    <w:p>
      <w:pPr>
        <w:pStyle w:val="3"/>
        <w:spacing w:line="360" w:lineRule="auto"/>
        <w:jc w:val="center"/>
        <w:rPr>
          <w:color w:val="000000"/>
        </w:rPr>
      </w:pPr>
      <w:r>
        <w:rPr>
          <w:rFonts w:hint="eastAsia"/>
          <w:color w:val="000000"/>
        </w:rPr>
        <w:br w:type="page"/>
      </w:r>
      <w:bookmarkStart w:id="90" w:name="_Toc398107899"/>
      <w:r>
        <w:rPr>
          <w:rFonts w:hint="eastAsia"/>
          <w:color w:val="000000"/>
        </w:rPr>
        <w:t>第一部分  协议书</w:t>
      </w:r>
      <w:bookmarkEnd w:id="90"/>
    </w:p>
    <w:p>
      <w:pPr>
        <w:widowControl w:val="0"/>
        <w:ind w:firstLine="6300" w:firstLineChars="3000"/>
        <w:jc w:val="both"/>
        <w:rPr>
          <w:rFonts w:eastAsia="宋体"/>
          <w:kern w:val="2"/>
          <w:sz w:val="21"/>
          <w:szCs w:val="21"/>
        </w:rPr>
      </w:pPr>
      <w:r>
        <w:rPr>
          <w:rFonts w:hint="eastAsia" w:hAnsi="宋体" w:eastAsia="宋体"/>
          <w:kern w:val="2"/>
          <w:sz w:val="21"/>
          <w:szCs w:val="21"/>
        </w:rPr>
        <w:t xml:space="preserve"> </w:t>
      </w:r>
    </w:p>
    <w:p>
      <w:pPr>
        <w:spacing w:line="360" w:lineRule="auto"/>
        <w:rPr>
          <w:rFonts w:hint="eastAsia"/>
          <w:color w:val="000000"/>
        </w:rPr>
      </w:pPr>
      <w:r>
        <w:rPr>
          <w:rFonts w:hint="eastAsia"/>
          <w:color w:val="000000"/>
        </w:rPr>
        <w:t>委托人（全称）：</w:t>
      </w:r>
      <w:r>
        <w:rPr>
          <w:rFonts w:hint="eastAsia"/>
          <w:color w:val="000000"/>
          <w:u w:val="single"/>
        </w:rPr>
        <w:t xml:space="preserve">  </w:t>
      </w:r>
      <w:r>
        <w:rPr>
          <w:rFonts w:hint="eastAsia" w:ascii="宋体" w:hAnsi="宋体" w:cs="宋体"/>
          <w:u w:val="single"/>
        </w:rPr>
        <w:t>扬州万福投资发展有限责任公司</w:t>
      </w:r>
      <w:r>
        <w:rPr>
          <w:rFonts w:hint="eastAsia"/>
          <w:color w:val="000000"/>
          <w:u w:val="single"/>
        </w:rPr>
        <w:t xml:space="preserve">      </w:t>
      </w:r>
    </w:p>
    <w:p>
      <w:pPr>
        <w:spacing w:line="360" w:lineRule="auto"/>
        <w:rPr>
          <w:rFonts w:hint="eastAsia"/>
          <w:color w:val="000000"/>
        </w:rPr>
      </w:pPr>
      <w:r>
        <w:rPr>
          <w:rFonts w:hint="eastAsia"/>
          <w:color w:val="000000"/>
        </w:rPr>
        <w:t>监理人（全称）：</w:t>
      </w:r>
      <w:r>
        <w:rPr>
          <w:rFonts w:hint="eastAsia"/>
          <w:color w:val="000000"/>
          <w:u w:val="single"/>
        </w:rPr>
        <w:t xml:space="preserve">                                     </w:t>
      </w:r>
      <w:r>
        <w:rPr>
          <w:rFonts w:hint="eastAsia"/>
          <w:color w:val="000000"/>
        </w:rPr>
        <w:t xml:space="preserve"> </w:t>
      </w:r>
    </w:p>
    <w:p>
      <w:pPr>
        <w:spacing w:line="360" w:lineRule="auto"/>
        <w:rPr>
          <w:rFonts w:hint="eastAsia"/>
          <w:color w:val="000000"/>
        </w:rPr>
      </w:pPr>
      <w:r>
        <w:rPr>
          <w:rFonts w:hint="eastAsia"/>
          <w:color w:val="000000"/>
        </w:rPr>
        <w:t>根据《中华人民共和国合同法》、《中华人民共和国建筑法》及其他有关法律、法规，遵循平等、自愿、公平和诚信的原则，双方就下述工程委托监理与相关服务事项协商一致，订立本合同。</w:t>
      </w:r>
    </w:p>
    <w:p>
      <w:pPr>
        <w:pStyle w:val="4"/>
        <w:spacing w:line="360" w:lineRule="auto"/>
        <w:rPr>
          <w:rFonts w:hint="eastAsia"/>
          <w:bCs w:val="0"/>
          <w:color w:val="000000"/>
        </w:rPr>
      </w:pPr>
      <w:r>
        <w:rPr>
          <w:rFonts w:hint="eastAsia"/>
          <w:bCs w:val="0"/>
          <w:color w:val="000000"/>
        </w:rPr>
        <w:t>一、工程概况</w:t>
      </w:r>
    </w:p>
    <w:p>
      <w:pPr>
        <w:spacing w:line="360" w:lineRule="auto"/>
        <w:rPr>
          <w:rFonts w:hint="eastAsia"/>
          <w:color w:val="000000"/>
        </w:rPr>
      </w:pPr>
      <w:r>
        <w:rPr>
          <w:rFonts w:hint="eastAsia"/>
          <w:color w:val="000000"/>
        </w:rPr>
        <w:t>1. 工程名称：</w:t>
      </w:r>
      <w:r>
        <w:rPr>
          <w:rFonts w:hint="eastAsia"/>
          <w:color w:val="000000"/>
          <w:u w:val="single"/>
        </w:rPr>
        <w:t xml:space="preserve"> </w:t>
      </w:r>
      <w:r>
        <w:rPr>
          <w:rFonts w:hint="eastAsia" w:ascii="宋体" w:hAnsi="宋体" w:cs="宋体"/>
          <w:u w:val="single"/>
          <w:lang w:eastAsia="zh-CN"/>
        </w:rPr>
        <w:t>大学路南延（江阳路-开发路）三期建设工程污染治理监理</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2. 工程地点：</w:t>
      </w:r>
      <w:r>
        <w:rPr>
          <w:rFonts w:hint="eastAsia"/>
          <w:color w:val="000000"/>
          <w:u w:val="single"/>
        </w:rPr>
        <w:t xml:space="preserve">         </w:t>
      </w:r>
      <w:r>
        <w:rPr>
          <w:rFonts w:hint="eastAsia"/>
          <w:color w:val="000000"/>
          <w:u w:val="single"/>
          <w:lang w:val="en-US" w:eastAsia="zh-CN"/>
        </w:rPr>
        <w:t>扬州市大学路</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3. 工程规模：</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4. 工程概算投资额或建筑安装工程费：</w:t>
      </w:r>
      <w:r>
        <w:rPr>
          <w:rFonts w:hint="eastAsia"/>
          <w:color w:val="000000"/>
          <w:u w:val="single"/>
        </w:rPr>
        <w:t xml:space="preserve">   </w:t>
      </w:r>
      <w:r>
        <w:rPr>
          <w:rFonts w:hint="eastAsia"/>
          <w:color w:val="000000"/>
          <w:u w:val="single"/>
          <w:lang w:val="en-US" w:eastAsia="zh-CN"/>
        </w:rPr>
        <w:t>约5000万元</w:t>
      </w:r>
      <w:r>
        <w:rPr>
          <w:rFonts w:hint="eastAsia"/>
          <w:color w:val="000000"/>
          <w:u w:val="single"/>
        </w:rPr>
        <w:t xml:space="preserve">               </w:t>
      </w:r>
      <w:r>
        <w:rPr>
          <w:rFonts w:hint="eastAsia"/>
          <w:color w:val="000000"/>
        </w:rPr>
        <w:t>。</w:t>
      </w:r>
    </w:p>
    <w:p>
      <w:pPr>
        <w:pStyle w:val="4"/>
        <w:spacing w:line="360" w:lineRule="auto"/>
        <w:rPr>
          <w:rFonts w:hint="eastAsia"/>
          <w:bCs w:val="0"/>
          <w:color w:val="000000"/>
        </w:rPr>
      </w:pPr>
      <w:r>
        <w:rPr>
          <w:rFonts w:hint="eastAsia"/>
          <w:bCs w:val="0"/>
          <w:color w:val="000000"/>
        </w:rPr>
        <w:t>二、词语限定</w:t>
      </w:r>
    </w:p>
    <w:p>
      <w:pPr>
        <w:spacing w:line="360" w:lineRule="auto"/>
        <w:rPr>
          <w:rFonts w:hint="eastAsia"/>
          <w:color w:val="000000"/>
        </w:rPr>
      </w:pPr>
      <w:r>
        <w:rPr>
          <w:rFonts w:hint="eastAsia"/>
          <w:color w:val="000000"/>
        </w:rPr>
        <w:t>协议书中相关词语的含义与通用条件中的定义与解释相同。</w:t>
      </w:r>
    </w:p>
    <w:p>
      <w:pPr>
        <w:pStyle w:val="4"/>
        <w:spacing w:line="360" w:lineRule="auto"/>
        <w:rPr>
          <w:rFonts w:hint="eastAsia"/>
          <w:bCs w:val="0"/>
          <w:color w:val="000000"/>
        </w:rPr>
      </w:pPr>
      <w:r>
        <w:rPr>
          <w:rFonts w:hint="eastAsia"/>
          <w:bCs w:val="0"/>
          <w:color w:val="000000"/>
        </w:rPr>
        <w:t>三、组成本合同的文件</w:t>
      </w:r>
    </w:p>
    <w:p>
      <w:pPr>
        <w:spacing w:line="360" w:lineRule="auto"/>
        <w:rPr>
          <w:rFonts w:hint="eastAsia"/>
          <w:color w:val="000000"/>
        </w:rPr>
      </w:pPr>
      <w:r>
        <w:rPr>
          <w:rFonts w:hint="eastAsia"/>
          <w:color w:val="000000"/>
        </w:rPr>
        <w:t>1. 协议书；</w:t>
      </w:r>
    </w:p>
    <w:p>
      <w:pPr>
        <w:spacing w:line="360" w:lineRule="auto"/>
        <w:rPr>
          <w:rFonts w:hint="eastAsia"/>
          <w:color w:val="000000"/>
        </w:rPr>
      </w:pPr>
      <w:r>
        <w:rPr>
          <w:rFonts w:hint="eastAsia"/>
          <w:color w:val="000000"/>
        </w:rPr>
        <w:t>2. 中标通知书（适用于招标工程）或委托书（适用于非招标工程）；</w:t>
      </w:r>
    </w:p>
    <w:p>
      <w:pPr>
        <w:spacing w:line="360" w:lineRule="auto"/>
        <w:rPr>
          <w:rFonts w:hint="eastAsia"/>
          <w:color w:val="000000"/>
        </w:rPr>
      </w:pPr>
      <w:r>
        <w:rPr>
          <w:rFonts w:hint="eastAsia"/>
          <w:color w:val="000000"/>
        </w:rPr>
        <w:t>3. 投标文件（适用于招标工程）或监理与相关服务建议书（适用于非招标工程）；</w:t>
      </w:r>
    </w:p>
    <w:p>
      <w:pPr>
        <w:spacing w:line="360" w:lineRule="auto"/>
        <w:rPr>
          <w:rFonts w:hint="eastAsia"/>
          <w:color w:val="000000"/>
        </w:rPr>
      </w:pPr>
      <w:r>
        <w:rPr>
          <w:rFonts w:hint="eastAsia"/>
          <w:color w:val="000000"/>
        </w:rPr>
        <w:t xml:space="preserve">4. </w:t>
      </w:r>
      <w:r>
        <w:rPr>
          <w:rFonts w:hint="eastAsia"/>
          <w:color w:val="000000"/>
          <w:lang w:val="en-US" w:eastAsia="zh-CN"/>
        </w:rPr>
        <w:t>特殊条款</w:t>
      </w:r>
      <w:r>
        <w:rPr>
          <w:rFonts w:hint="eastAsia"/>
          <w:color w:val="000000"/>
        </w:rPr>
        <w:t>；</w:t>
      </w:r>
    </w:p>
    <w:p>
      <w:pPr>
        <w:spacing w:line="360" w:lineRule="auto"/>
        <w:rPr>
          <w:rFonts w:hint="eastAsia"/>
          <w:color w:val="000000"/>
        </w:rPr>
      </w:pPr>
      <w:r>
        <w:rPr>
          <w:rFonts w:hint="eastAsia"/>
          <w:color w:val="000000"/>
        </w:rPr>
        <w:t xml:space="preserve">5. </w:t>
      </w:r>
      <w:r>
        <w:rPr>
          <w:rFonts w:hint="eastAsia"/>
          <w:color w:val="000000"/>
          <w:lang w:val="en-US" w:eastAsia="zh-CN"/>
        </w:rPr>
        <w:t>一般条款</w:t>
      </w:r>
      <w:r>
        <w:rPr>
          <w:rFonts w:hint="eastAsia"/>
          <w:color w:val="000000"/>
        </w:rPr>
        <w:t>；</w:t>
      </w:r>
    </w:p>
    <w:p>
      <w:pPr>
        <w:spacing w:line="360" w:lineRule="auto"/>
        <w:rPr>
          <w:rFonts w:hint="eastAsia"/>
          <w:color w:val="000000"/>
        </w:rPr>
      </w:pPr>
      <w:r>
        <w:rPr>
          <w:rFonts w:hint="eastAsia"/>
          <w:color w:val="000000"/>
        </w:rPr>
        <w:t>6. 附录，即：</w:t>
      </w:r>
    </w:p>
    <w:p>
      <w:pPr>
        <w:spacing w:line="360" w:lineRule="auto"/>
        <w:rPr>
          <w:rFonts w:hint="eastAsia"/>
          <w:color w:val="000000"/>
        </w:rPr>
      </w:pPr>
      <w:r>
        <w:rPr>
          <w:rFonts w:hint="eastAsia"/>
          <w:color w:val="000000"/>
        </w:rPr>
        <w:t>附录A  相关服务的范围和内容</w:t>
      </w:r>
    </w:p>
    <w:p>
      <w:pPr>
        <w:spacing w:line="360" w:lineRule="auto"/>
        <w:rPr>
          <w:rFonts w:hint="eastAsia"/>
          <w:color w:val="000000"/>
        </w:rPr>
      </w:pPr>
      <w:r>
        <w:rPr>
          <w:rFonts w:hint="eastAsia"/>
          <w:color w:val="000000"/>
        </w:rPr>
        <w:t>附录B  委托人派遣的人员和提供的房屋、资料、设备</w:t>
      </w:r>
    </w:p>
    <w:p>
      <w:pPr>
        <w:spacing w:line="360" w:lineRule="auto"/>
        <w:rPr>
          <w:rFonts w:hint="eastAsia"/>
          <w:color w:val="000000"/>
        </w:rPr>
      </w:pPr>
      <w:r>
        <w:rPr>
          <w:rFonts w:hint="eastAsia"/>
          <w:color w:val="000000"/>
        </w:rPr>
        <w:t>本合同签订后，双方依法签订的补充协议也是本合同文件的组成部分。</w:t>
      </w:r>
    </w:p>
    <w:p>
      <w:pPr>
        <w:pStyle w:val="4"/>
        <w:spacing w:line="360" w:lineRule="auto"/>
        <w:rPr>
          <w:rFonts w:hint="eastAsia"/>
          <w:bCs w:val="0"/>
          <w:color w:val="000000"/>
        </w:rPr>
      </w:pPr>
      <w:r>
        <w:rPr>
          <w:rFonts w:hint="eastAsia"/>
          <w:bCs w:val="0"/>
          <w:color w:val="000000"/>
        </w:rPr>
        <w:t>四、总监理工程师</w:t>
      </w:r>
    </w:p>
    <w:p>
      <w:pPr>
        <w:spacing w:line="360" w:lineRule="auto"/>
        <w:rPr>
          <w:rFonts w:hint="eastAsia"/>
          <w:color w:val="000000"/>
        </w:rPr>
      </w:pPr>
      <w:r>
        <w:rPr>
          <w:rFonts w:hint="eastAsia"/>
          <w:color w:val="000000"/>
        </w:rPr>
        <w:t>总监理工程师姓名：</w:t>
      </w:r>
      <w:r>
        <w:rPr>
          <w:rFonts w:hint="eastAsia"/>
          <w:color w:val="000000"/>
          <w:u w:val="single"/>
        </w:rPr>
        <w:t xml:space="preserve">           </w:t>
      </w:r>
      <w:r>
        <w:rPr>
          <w:rFonts w:hint="eastAsia"/>
          <w:color w:val="000000"/>
        </w:rPr>
        <w:t>，身份证号码：</w:t>
      </w:r>
      <w:r>
        <w:rPr>
          <w:rFonts w:hint="eastAsia"/>
          <w:color w:val="000000"/>
          <w:u w:val="single"/>
        </w:rPr>
        <w:t xml:space="preserve">            </w:t>
      </w:r>
      <w:r>
        <w:rPr>
          <w:rFonts w:hint="eastAsia"/>
          <w:color w:val="000000"/>
        </w:rPr>
        <w:t>，注册号：</w:t>
      </w:r>
      <w:r>
        <w:rPr>
          <w:rFonts w:hint="eastAsia"/>
          <w:color w:val="000000"/>
          <w:u w:val="single"/>
        </w:rPr>
        <w:t xml:space="preserve">                 </w:t>
      </w:r>
      <w:r>
        <w:rPr>
          <w:rFonts w:hint="eastAsia"/>
          <w:color w:val="000000"/>
        </w:rPr>
        <w:t>。</w:t>
      </w:r>
    </w:p>
    <w:p>
      <w:pPr>
        <w:pStyle w:val="4"/>
        <w:spacing w:line="360" w:lineRule="auto"/>
        <w:rPr>
          <w:rFonts w:hint="eastAsia"/>
          <w:bCs w:val="0"/>
          <w:color w:val="000000"/>
        </w:rPr>
      </w:pPr>
      <w:r>
        <w:rPr>
          <w:rFonts w:hint="eastAsia"/>
          <w:bCs w:val="0"/>
          <w:color w:val="000000"/>
        </w:rPr>
        <w:t>五、签约酬金</w:t>
      </w:r>
    </w:p>
    <w:p>
      <w:pPr>
        <w:spacing w:line="360" w:lineRule="auto"/>
        <w:rPr>
          <w:rFonts w:hint="eastAsia"/>
          <w:color w:val="000000"/>
        </w:rPr>
      </w:pPr>
      <w:r>
        <w:rPr>
          <w:rFonts w:hint="eastAsia"/>
          <w:color w:val="000000"/>
        </w:rPr>
        <w:t>签约酬金（大写）：</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包括：</w:t>
      </w:r>
    </w:p>
    <w:p>
      <w:pPr>
        <w:spacing w:line="360" w:lineRule="auto"/>
        <w:rPr>
          <w:rFonts w:hint="eastAsia"/>
          <w:color w:val="000000"/>
        </w:rPr>
      </w:pPr>
      <w:r>
        <w:rPr>
          <w:rFonts w:hint="eastAsia"/>
          <w:color w:val="000000"/>
        </w:rPr>
        <w:t>1. 监理酬金：</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2. 相关服务酬金：</w:t>
      </w:r>
      <w:r>
        <w:rPr>
          <w:rFonts w:hint="eastAsia"/>
          <w:color w:val="000000"/>
          <w:u w:val="single"/>
        </w:rPr>
        <w:t xml:space="preserve">                            </w:t>
      </w:r>
      <w:r>
        <w:rPr>
          <w:rFonts w:hint="eastAsia"/>
          <w:color w:val="000000"/>
        </w:rPr>
        <w:t>。</w:t>
      </w:r>
    </w:p>
    <w:p>
      <w:pPr>
        <w:spacing w:line="360" w:lineRule="auto"/>
        <w:rPr>
          <w:rFonts w:hint="eastAsia"/>
          <w:color w:val="000000"/>
        </w:rPr>
      </w:pPr>
      <w:r>
        <w:rPr>
          <w:rFonts w:hint="eastAsia"/>
          <w:color w:val="000000"/>
        </w:rPr>
        <w:t>其中：</w:t>
      </w:r>
    </w:p>
    <w:p>
      <w:pPr>
        <w:spacing w:line="360" w:lineRule="auto"/>
        <w:rPr>
          <w:rFonts w:hint="eastAsia"/>
          <w:color w:val="000000"/>
        </w:rPr>
      </w:pPr>
      <w:r>
        <w:rPr>
          <w:rFonts w:hint="eastAsia"/>
          <w:color w:val="000000"/>
        </w:rPr>
        <w:t>（1）勘察阶段服务酬金：</w:t>
      </w:r>
      <w:r>
        <w:rPr>
          <w:rFonts w:hint="eastAsia"/>
          <w:color w:val="000000"/>
          <w:u w:val="single"/>
        </w:rPr>
        <w:t xml:space="preserve">                          </w:t>
      </w:r>
      <w:r>
        <w:rPr>
          <w:rFonts w:hint="eastAsia"/>
          <w:color w:val="000000"/>
        </w:rPr>
        <w:t xml:space="preserve"> 。</w:t>
      </w:r>
    </w:p>
    <w:p>
      <w:pPr>
        <w:spacing w:line="360" w:lineRule="auto"/>
        <w:rPr>
          <w:rFonts w:hint="eastAsia"/>
          <w:color w:val="000000"/>
        </w:rPr>
      </w:pPr>
      <w:r>
        <w:rPr>
          <w:rFonts w:hint="eastAsia"/>
          <w:color w:val="000000"/>
        </w:rPr>
        <w:t>（2）设计阶段服务酬金：</w:t>
      </w:r>
      <w:r>
        <w:rPr>
          <w:rFonts w:hint="eastAsia"/>
          <w:color w:val="000000"/>
          <w:u w:val="single"/>
        </w:rPr>
        <w:t xml:space="preserve">                          </w:t>
      </w:r>
      <w:r>
        <w:rPr>
          <w:rFonts w:hint="eastAsia"/>
          <w:color w:val="000000"/>
        </w:rPr>
        <w:t xml:space="preserve"> 。</w:t>
      </w:r>
    </w:p>
    <w:p>
      <w:pPr>
        <w:spacing w:line="360" w:lineRule="auto"/>
        <w:rPr>
          <w:rFonts w:hint="eastAsia"/>
          <w:color w:val="000000"/>
        </w:rPr>
      </w:pPr>
      <w:r>
        <w:rPr>
          <w:rFonts w:hint="eastAsia"/>
          <w:color w:val="000000"/>
        </w:rPr>
        <w:t>（3）保修阶段服务酬金：</w:t>
      </w:r>
      <w:r>
        <w:rPr>
          <w:rFonts w:hint="eastAsia"/>
          <w:color w:val="000000"/>
          <w:u w:val="single"/>
        </w:rPr>
        <w:t xml:space="preserve">                          </w:t>
      </w:r>
      <w:r>
        <w:rPr>
          <w:rFonts w:hint="eastAsia"/>
          <w:color w:val="000000"/>
        </w:rPr>
        <w:t xml:space="preserve"> 。</w:t>
      </w:r>
    </w:p>
    <w:p>
      <w:pPr>
        <w:spacing w:line="360" w:lineRule="auto"/>
        <w:rPr>
          <w:rFonts w:hint="eastAsia"/>
          <w:color w:val="000000"/>
        </w:rPr>
      </w:pPr>
      <w:r>
        <w:rPr>
          <w:rFonts w:hint="eastAsia"/>
          <w:color w:val="000000"/>
        </w:rPr>
        <w:t>（4）其他相关服务酬金：</w:t>
      </w:r>
      <w:r>
        <w:rPr>
          <w:rFonts w:hint="eastAsia"/>
          <w:color w:val="000000"/>
          <w:u w:val="single"/>
        </w:rPr>
        <w:t xml:space="preserve">                          </w:t>
      </w:r>
      <w:r>
        <w:rPr>
          <w:rFonts w:hint="eastAsia"/>
          <w:color w:val="000000"/>
        </w:rPr>
        <w:t xml:space="preserve"> 。</w:t>
      </w:r>
    </w:p>
    <w:p>
      <w:pPr>
        <w:pStyle w:val="4"/>
        <w:spacing w:line="360" w:lineRule="auto"/>
        <w:rPr>
          <w:rFonts w:hint="eastAsia"/>
          <w:bCs w:val="0"/>
          <w:color w:val="000000"/>
        </w:rPr>
      </w:pPr>
      <w:r>
        <w:rPr>
          <w:rFonts w:hint="eastAsia"/>
          <w:bCs w:val="0"/>
          <w:color w:val="000000"/>
        </w:rPr>
        <w:t>六、期限</w:t>
      </w:r>
    </w:p>
    <w:p>
      <w:pPr>
        <w:spacing w:line="360" w:lineRule="auto"/>
        <w:rPr>
          <w:rFonts w:hint="eastAsia"/>
          <w:color w:val="000000"/>
        </w:rPr>
      </w:pPr>
      <w:r>
        <w:rPr>
          <w:rFonts w:hint="eastAsia"/>
          <w:color w:val="000000"/>
        </w:rPr>
        <w:t>1. 监理期限：</w:t>
      </w:r>
    </w:p>
    <w:p>
      <w:pPr>
        <w:spacing w:line="360" w:lineRule="auto"/>
        <w:rPr>
          <w:rFonts w:hint="eastAsia"/>
          <w:color w:val="000000"/>
        </w:rPr>
      </w:pPr>
      <w:r>
        <w:rPr>
          <w:rFonts w:hint="eastAsia"/>
          <w:color w:val="000000"/>
        </w:rPr>
        <w:t>自       年   月   日始，至       年   月   日止。</w:t>
      </w:r>
    </w:p>
    <w:p>
      <w:pPr>
        <w:spacing w:line="360" w:lineRule="auto"/>
        <w:rPr>
          <w:rFonts w:hint="eastAsia"/>
          <w:color w:val="000000"/>
        </w:rPr>
      </w:pPr>
      <w:r>
        <w:rPr>
          <w:rFonts w:hint="eastAsia"/>
          <w:color w:val="000000"/>
        </w:rPr>
        <w:t>2. 相关服务期限：</w:t>
      </w:r>
    </w:p>
    <w:p>
      <w:pPr>
        <w:spacing w:line="360" w:lineRule="auto"/>
        <w:rPr>
          <w:rFonts w:hint="eastAsia"/>
          <w:color w:val="000000"/>
        </w:rPr>
      </w:pPr>
      <w:r>
        <w:rPr>
          <w:rFonts w:hint="eastAsia"/>
          <w:color w:val="000000"/>
        </w:rPr>
        <w:t>（1）勘察阶段服务期限自     年   月   日始，至     年   月   日止。</w:t>
      </w:r>
    </w:p>
    <w:p>
      <w:pPr>
        <w:spacing w:line="360" w:lineRule="auto"/>
        <w:rPr>
          <w:rFonts w:hint="eastAsia"/>
          <w:color w:val="000000"/>
        </w:rPr>
      </w:pPr>
      <w:r>
        <w:rPr>
          <w:rFonts w:hint="eastAsia"/>
          <w:color w:val="000000"/>
        </w:rPr>
        <w:t>（2）设计阶段服务期限自     年   月   日始，至     年   月   日止。</w:t>
      </w:r>
    </w:p>
    <w:p>
      <w:pPr>
        <w:spacing w:line="360" w:lineRule="auto"/>
        <w:rPr>
          <w:rFonts w:hint="eastAsia"/>
          <w:color w:val="000000"/>
        </w:rPr>
      </w:pPr>
      <w:r>
        <w:rPr>
          <w:rFonts w:hint="eastAsia"/>
          <w:color w:val="000000"/>
        </w:rPr>
        <w:t>（3）保修阶段服务期限自      年   月   日始，至      年   月   日止。</w:t>
      </w:r>
    </w:p>
    <w:p>
      <w:pPr>
        <w:spacing w:line="360" w:lineRule="auto"/>
        <w:rPr>
          <w:rFonts w:hint="eastAsia"/>
          <w:color w:val="000000"/>
        </w:rPr>
      </w:pPr>
      <w:r>
        <w:rPr>
          <w:rFonts w:hint="eastAsia"/>
          <w:color w:val="000000"/>
        </w:rPr>
        <w:t>（4）其他相关服务期限自      年   月   日始，至     年   月   日止。</w:t>
      </w:r>
    </w:p>
    <w:p>
      <w:pPr>
        <w:pStyle w:val="4"/>
        <w:spacing w:line="360" w:lineRule="auto"/>
        <w:rPr>
          <w:rFonts w:hint="eastAsia"/>
          <w:bCs w:val="0"/>
          <w:color w:val="000000"/>
        </w:rPr>
      </w:pPr>
      <w:r>
        <w:rPr>
          <w:rFonts w:hint="eastAsia"/>
          <w:bCs w:val="0"/>
          <w:color w:val="000000"/>
        </w:rPr>
        <w:t>七、双方承诺</w:t>
      </w:r>
    </w:p>
    <w:p>
      <w:pPr>
        <w:spacing w:line="360" w:lineRule="auto"/>
        <w:rPr>
          <w:rFonts w:hint="eastAsia"/>
          <w:color w:val="000000"/>
        </w:rPr>
      </w:pPr>
      <w:r>
        <w:rPr>
          <w:rFonts w:hint="eastAsia"/>
          <w:color w:val="000000"/>
        </w:rPr>
        <w:t>1. 监理人向委托人承诺，按照本合同约定提供监理与相关服务。</w:t>
      </w:r>
    </w:p>
    <w:p>
      <w:pPr>
        <w:spacing w:line="360" w:lineRule="auto"/>
        <w:rPr>
          <w:rFonts w:hint="eastAsia"/>
          <w:color w:val="000000"/>
        </w:rPr>
      </w:pPr>
      <w:r>
        <w:rPr>
          <w:rFonts w:hint="eastAsia"/>
          <w:color w:val="000000"/>
        </w:rPr>
        <w:t>2. 委托人向监理人承诺，按照本合同约定派遣相应的人员，提供房屋、资料、设备，并按本合同约定支付酬金。</w:t>
      </w:r>
    </w:p>
    <w:p>
      <w:pPr>
        <w:pStyle w:val="4"/>
        <w:spacing w:line="360" w:lineRule="auto"/>
        <w:rPr>
          <w:rFonts w:hint="eastAsia"/>
          <w:bCs w:val="0"/>
          <w:color w:val="000000"/>
        </w:rPr>
      </w:pPr>
      <w:r>
        <w:rPr>
          <w:rFonts w:hint="eastAsia"/>
          <w:bCs w:val="0"/>
          <w:color w:val="000000"/>
        </w:rPr>
        <w:t>八、合同订立</w:t>
      </w:r>
    </w:p>
    <w:p>
      <w:pPr>
        <w:spacing w:line="360" w:lineRule="auto"/>
        <w:rPr>
          <w:rFonts w:hint="eastAsia"/>
          <w:color w:val="000000"/>
        </w:rPr>
      </w:pPr>
      <w:r>
        <w:rPr>
          <w:rFonts w:hint="eastAsia"/>
          <w:color w:val="000000"/>
        </w:rPr>
        <w:t>1. 订立时间：          年       月      日。</w:t>
      </w:r>
    </w:p>
    <w:p>
      <w:pPr>
        <w:spacing w:line="360" w:lineRule="auto"/>
        <w:rPr>
          <w:rFonts w:hint="eastAsia"/>
          <w:color w:val="000000"/>
        </w:rPr>
      </w:pPr>
      <w:r>
        <w:rPr>
          <w:rFonts w:hint="eastAsia"/>
          <w:color w:val="000000"/>
        </w:rPr>
        <w:t>2. 订立地点：                                 。</w:t>
      </w:r>
    </w:p>
    <w:p>
      <w:pPr>
        <w:spacing w:line="360" w:lineRule="auto"/>
        <w:rPr>
          <w:rFonts w:hint="eastAsia"/>
          <w:color w:val="000000"/>
        </w:rPr>
      </w:pPr>
      <w:r>
        <w:rPr>
          <w:rFonts w:hint="eastAsia"/>
          <w:color w:val="000000"/>
        </w:rPr>
        <w:t>3. 本合同一式    份，具有同等法律效力，双方各执     份。</w:t>
      </w:r>
    </w:p>
    <w:p>
      <w:pPr>
        <w:spacing w:line="360" w:lineRule="auto"/>
        <w:rPr>
          <w:rFonts w:hint="eastAsia"/>
          <w:color w:val="000000"/>
        </w:rPr>
      </w:pPr>
    </w:p>
    <w:p>
      <w:pPr>
        <w:spacing w:line="360" w:lineRule="auto"/>
        <w:rPr>
          <w:rFonts w:hint="eastAsia"/>
          <w:color w:val="000000"/>
        </w:rPr>
      </w:pPr>
      <w:r>
        <w:rPr>
          <w:rFonts w:hint="eastAsia"/>
          <w:color w:val="000000"/>
        </w:rPr>
        <w:t xml:space="preserve">委托人：   （盖章）        监理人：   （盖章）    </w:t>
      </w:r>
    </w:p>
    <w:p>
      <w:pPr>
        <w:spacing w:line="360" w:lineRule="auto"/>
        <w:rPr>
          <w:rFonts w:hint="eastAsia"/>
          <w:color w:val="000000"/>
        </w:rPr>
      </w:pPr>
      <w:r>
        <w:rPr>
          <w:rFonts w:hint="eastAsia"/>
          <w:color w:val="000000"/>
        </w:rPr>
        <w:t xml:space="preserve">住所：                     住所：                       </w:t>
      </w:r>
    </w:p>
    <w:p>
      <w:pPr>
        <w:spacing w:line="360" w:lineRule="auto"/>
        <w:rPr>
          <w:rFonts w:hint="eastAsia"/>
          <w:color w:val="000000"/>
        </w:rPr>
      </w:pPr>
      <w:r>
        <w:rPr>
          <w:rFonts w:hint="eastAsia"/>
          <w:color w:val="000000"/>
        </w:rPr>
        <w:t xml:space="preserve">邮政编码：                 邮政编码：                  </w:t>
      </w:r>
    </w:p>
    <w:p>
      <w:pPr>
        <w:spacing w:line="360" w:lineRule="auto"/>
        <w:rPr>
          <w:rFonts w:hint="eastAsia"/>
          <w:color w:val="000000"/>
        </w:rPr>
      </w:pPr>
      <w:r>
        <w:rPr>
          <w:rFonts w:hint="eastAsia"/>
          <w:color w:val="000000"/>
        </w:rPr>
        <w:t xml:space="preserve">法定代表人或其授权       </w:t>
      </w:r>
      <w:r>
        <w:rPr>
          <w:rFonts w:hint="eastAsia"/>
          <w:color w:val="000000"/>
          <w:lang w:val="en-US" w:eastAsia="zh-CN"/>
        </w:rPr>
        <w:t xml:space="preserve">  </w:t>
      </w:r>
      <w:r>
        <w:rPr>
          <w:rFonts w:hint="eastAsia"/>
          <w:color w:val="000000"/>
        </w:rPr>
        <w:t>法定代表人或其授权</w:t>
      </w:r>
    </w:p>
    <w:p>
      <w:pPr>
        <w:spacing w:line="360" w:lineRule="auto"/>
        <w:rPr>
          <w:rFonts w:hint="eastAsia"/>
          <w:color w:val="000000"/>
        </w:rPr>
      </w:pPr>
      <w:r>
        <w:rPr>
          <w:rFonts w:hint="eastAsia"/>
          <w:color w:val="000000"/>
        </w:rPr>
        <w:t xml:space="preserve">的代理人：（签字）        </w:t>
      </w:r>
      <w:r>
        <w:rPr>
          <w:rFonts w:hint="eastAsia"/>
          <w:color w:val="000000"/>
          <w:lang w:val="en-US" w:eastAsia="zh-CN"/>
        </w:rPr>
        <w:t xml:space="preserve"> </w:t>
      </w:r>
      <w:r>
        <w:rPr>
          <w:rFonts w:hint="eastAsia"/>
          <w:color w:val="000000"/>
        </w:rPr>
        <w:t xml:space="preserve">的代理人：（签字）          </w:t>
      </w:r>
    </w:p>
    <w:p>
      <w:pPr>
        <w:spacing w:line="360" w:lineRule="auto"/>
        <w:rPr>
          <w:rFonts w:hint="eastAsia"/>
          <w:color w:val="000000"/>
        </w:rPr>
      </w:pPr>
      <w:r>
        <w:rPr>
          <w:rFonts w:hint="eastAsia"/>
          <w:color w:val="000000"/>
        </w:rPr>
        <w:t xml:space="preserve">开户银行：                 开户银行：                  </w:t>
      </w:r>
    </w:p>
    <w:p>
      <w:pPr>
        <w:spacing w:line="360" w:lineRule="auto"/>
        <w:rPr>
          <w:rFonts w:hint="eastAsia"/>
          <w:color w:val="000000"/>
        </w:rPr>
      </w:pPr>
      <w:r>
        <w:rPr>
          <w:rFonts w:hint="eastAsia"/>
          <w:color w:val="000000"/>
        </w:rPr>
        <w:t xml:space="preserve">账号：                     账号：                         </w:t>
      </w:r>
    </w:p>
    <w:p>
      <w:pPr>
        <w:spacing w:line="360" w:lineRule="auto"/>
        <w:rPr>
          <w:rFonts w:hint="eastAsia"/>
          <w:color w:val="000000"/>
        </w:rPr>
      </w:pPr>
      <w:r>
        <w:rPr>
          <w:rFonts w:hint="eastAsia"/>
          <w:color w:val="000000"/>
        </w:rPr>
        <w:t xml:space="preserve">电话：                     电话：                       </w:t>
      </w:r>
    </w:p>
    <w:p>
      <w:pPr>
        <w:spacing w:line="360" w:lineRule="auto"/>
        <w:rPr>
          <w:rFonts w:hint="eastAsia"/>
          <w:color w:val="000000"/>
        </w:rPr>
      </w:pPr>
      <w:r>
        <w:rPr>
          <w:rFonts w:hint="eastAsia"/>
          <w:color w:val="000000"/>
        </w:rPr>
        <w:t xml:space="preserve">传真：                     传真：                       </w:t>
      </w:r>
    </w:p>
    <w:p>
      <w:pPr>
        <w:widowControl w:val="0"/>
        <w:tabs>
          <w:tab w:val="center" w:pos="5131"/>
        </w:tabs>
        <w:spacing w:before="156" w:beforeLines="50" w:line="360" w:lineRule="auto"/>
        <w:jc w:val="both"/>
        <w:rPr>
          <w:rFonts w:ascii="宋体" w:hAnsi="宋体" w:eastAsia="宋体" w:cs="宋体"/>
          <w:b/>
          <w:bCs/>
          <w:kern w:val="2"/>
          <w:sz w:val="21"/>
          <w:szCs w:val="21"/>
        </w:rPr>
      </w:pPr>
      <w:r>
        <w:rPr>
          <w:rFonts w:hint="eastAsia"/>
          <w:color w:val="000000"/>
        </w:rPr>
        <w:t xml:space="preserve">电子邮箱：                 电子邮箱：   </w:t>
      </w:r>
    </w:p>
    <w:p>
      <w:pPr>
        <w:keepNext/>
        <w:keepLines/>
        <w:widowControl w:val="0"/>
        <w:adjustRightInd w:val="0"/>
        <w:jc w:val="center"/>
        <w:textAlignment w:val="baseline"/>
        <w:outlineLvl w:val="2"/>
        <w:rPr>
          <w:rFonts w:hint="eastAsia" w:eastAsia="宋体"/>
          <w:b/>
          <w:kern w:val="2"/>
          <w:sz w:val="32"/>
          <w:szCs w:val="20"/>
        </w:rPr>
      </w:pPr>
    </w:p>
    <w:p>
      <w:pPr>
        <w:keepNext/>
        <w:keepLines/>
        <w:widowControl w:val="0"/>
        <w:adjustRightInd w:val="0"/>
        <w:jc w:val="center"/>
        <w:textAlignment w:val="baseline"/>
        <w:outlineLvl w:val="2"/>
        <w:rPr>
          <w:rFonts w:eastAsia="宋体"/>
          <w:b/>
          <w:kern w:val="2"/>
          <w:sz w:val="32"/>
          <w:szCs w:val="20"/>
        </w:rPr>
      </w:pPr>
      <w:r>
        <w:rPr>
          <w:rFonts w:hint="eastAsia" w:eastAsia="宋体"/>
          <w:b/>
          <w:kern w:val="2"/>
          <w:sz w:val="32"/>
          <w:szCs w:val="20"/>
        </w:rPr>
        <w:t>第</w:t>
      </w:r>
      <w:r>
        <w:rPr>
          <w:rFonts w:hint="eastAsia" w:eastAsia="宋体"/>
          <w:b/>
          <w:kern w:val="2"/>
          <w:sz w:val="32"/>
          <w:szCs w:val="20"/>
          <w:lang w:val="en-US" w:eastAsia="zh-CN"/>
        </w:rPr>
        <w:t>二</w:t>
      </w:r>
      <w:r>
        <w:rPr>
          <w:rFonts w:hint="eastAsia" w:eastAsia="宋体"/>
          <w:b/>
          <w:kern w:val="2"/>
          <w:sz w:val="32"/>
          <w:szCs w:val="20"/>
        </w:rPr>
        <w:t>部分</w:t>
      </w:r>
      <w:r>
        <w:rPr>
          <w:rFonts w:eastAsia="宋体"/>
          <w:b/>
          <w:kern w:val="2"/>
          <w:sz w:val="32"/>
          <w:szCs w:val="20"/>
        </w:rPr>
        <w:t xml:space="preserve"> </w:t>
      </w:r>
      <w:r>
        <w:rPr>
          <w:rFonts w:hint="eastAsia" w:eastAsia="宋体"/>
          <w:b/>
          <w:kern w:val="2"/>
          <w:sz w:val="32"/>
          <w:szCs w:val="20"/>
        </w:rPr>
        <w:t>合同一般条款</w:t>
      </w:r>
      <w:bookmarkStart w:id="91" w:name="_Toc13543213"/>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一、合同文件</w:t>
      </w:r>
      <w:bookmarkEnd w:id="91"/>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合同文件适用法律</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.1  </w:t>
      </w:r>
      <w:r>
        <w:rPr>
          <w:rFonts w:hint="eastAsia" w:ascii="宋体" w:hAnsi="宋体" w:eastAsia="宋体"/>
          <w:kern w:val="2"/>
          <w:sz w:val="21"/>
          <w:szCs w:val="21"/>
        </w:rPr>
        <w:t>适用于合同文件的法律是中华人民共和国现行法律、法规及甲方所在地的地方性法规。</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二、合同文件组成和解释顺序</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  </w:t>
      </w:r>
      <w:r>
        <w:rPr>
          <w:rFonts w:hint="eastAsia" w:ascii="宋体" w:hAnsi="宋体" w:eastAsia="宋体"/>
          <w:kern w:val="2"/>
          <w:sz w:val="21"/>
          <w:szCs w:val="21"/>
        </w:rPr>
        <w:t>合同文件的组成和解释顺序如下：</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.1.1 </w:t>
      </w:r>
      <w:r>
        <w:rPr>
          <w:rFonts w:hint="eastAsia" w:ascii="宋体" w:hAnsi="宋体" w:eastAsia="宋体"/>
          <w:kern w:val="2"/>
          <w:sz w:val="21"/>
          <w:szCs w:val="21"/>
        </w:rPr>
        <w:t>合同的特殊性条款</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.1.2 </w:t>
      </w:r>
      <w:r>
        <w:rPr>
          <w:rFonts w:hint="eastAsia" w:ascii="宋体" w:hAnsi="宋体" w:eastAsia="宋体"/>
          <w:kern w:val="2"/>
          <w:sz w:val="21"/>
          <w:szCs w:val="21"/>
        </w:rPr>
        <w:t>合同的一般性条款</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.1.3 </w:t>
      </w:r>
      <w:r>
        <w:rPr>
          <w:rFonts w:hint="eastAsia" w:ascii="宋体" w:hAnsi="宋体" w:eastAsia="宋体"/>
          <w:kern w:val="2"/>
          <w:sz w:val="21"/>
          <w:szCs w:val="21"/>
        </w:rPr>
        <w:t>洽商、变更等明确双方权利义务的纪要、协议</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.1.4</w:t>
      </w:r>
      <w:r>
        <w:rPr>
          <w:rFonts w:hint="eastAsia" w:ascii="宋体" w:hAnsi="宋体" w:eastAsia="宋体"/>
          <w:kern w:val="2"/>
          <w:sz w:val="21"/>
          <w:szCs w:val="21"/>
        </w:rPr>
        <w:t>中标通知书、投标书和招标文件</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.1.5 </w:t>
      </w:r>
      <w:r>
        <w:rPr>
          <w:rFonts w:hint="eastAsia" w:ascii="宋体" w:hAnsi="宋体" w:eastAsia="宋体"/>
          <w:kern w:val="2"/>
          <w:sz w:val="21"/>
          <w:szCs w:val="21"/>
        </w:rPr>
        <w:t>有关图纸</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.1.6 </w:t>
      </w:r>
      <w:r>
        <w:rPr>
          <w:rFonts w:hint="eastAsia" w:ascii="宋体" w:hAnsi="宋体" w:eastAsia="宋体"/>
          <w:kern w:val="2"/>
          <w:sz w:val="21"/>
          <w:szCs w:val="21"/>
        </w:rPr>
        <w:t>标准、规范和其它有关技术资料、技术要求</w:t>
      </w:r>
    </w:p>
    <w:p>
      <w:pPr>
        <w:widowControl w:val="0"/>
        <w:spacing w:line="360" w:lineRule="auto"/>
        <w:ind w:firstLine="425"/>
        <w:jc w:val="both"/>
        <w:rPr>
          <w:rFonts w:ascii="宋体" w:hAnsi="宋体" w:eastAsia="宋体"/>
          <w:kern w:val="2"/>
          <w:sz w:val="21"/>
          <w:szCs w:val="21"/>
        </w:rPr>
      </w:pPr>
      <w:r>
        <w:rPr>
          <w:rFonts w:hint="eastAsia" w:ascii="宋体" w:hAnsi="宋体" w:eastAsia="宋体"/>
          <w:kern w:val="2"/>
          <w:sz w:val="21"/>
          <w:szCs w:val="21"/>
        </w:rPr>
        <w:t>2</w:t>
      </w:r>
      <w:r>
        <w:rPr>
          <w:rFonts w:ascii="宋体" w:hAnsi="宋体" w:eastAsia="宋体"/>
          <w:kern w:val="2"/>
          <w:sz w:val="21"/>
          <w:szCs w:val="21"/>
        </w:rPr>
        <w:t xml:space="preserve">.2 </w:t>
      </w:r>
      <w:r>
        <w:rPr>
          <w:rFonts w:hint="eastAsia" w:ascii="宋体" w:hAnsi="宋体" w:eastAsia="宋体"/>
          <w:kern w:val="2"/>
          <w:sz w:val="21"/>
          <w:szCs w:val="21"/>
        </w:rPr>
        <w:t>合同的特殊性条款的效力优于合同的一般性条款的效力</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三、</w:t>
      </w:r>
      <w:r>
        <w:rPr>
          <w:rFonts w:ascii="宋体" w:hAnsi="宋体" w:eastAsia="宋体"/>
          <w:b/>
          <w:kern w:val="2"/>
          <w:sz w:val="21"/>
          <w:szCs w:val="21"/>
        </w:rPr>
        <w:t xml:space="preserve"> </w:t>
      </w:r>
      <w:r>
        <w:rPr>
          <w:rFonts w:hint="eastAsia" w:ascii="宋体" w:hAnsi="宋体" w:eastAsia="宋体"/>
          <w:b/>
          <w:kern w:val="2"/>
          <w:sz w:val="21"/>
          <w:szCs w:val="21"/>
        </w:rPr>
        <w:t>合同文件使用文字</w:t>
      </w:r>
    </w:p>
    <w:p>
      <w:pPr>
        <w:widowControl w:val="0"/>
        <w:adjustRightInd w:val="0"/>
        <w:spacing w:line="360" w:lineRule="auto"/>
        <w:ind w:firstLine="420"/>
        <w:textAlignment w:val="baseline"/>
        <w:rPr>
          <w:rFonts w:ascii="宋体" w:hAnsi="宋体" w:eastAsia="宋体"/>
          <w:kern w:val="2"/>
          <w:sz w:val="21"/>
          <w:szCs w:val="21"/>
        </w:rPr>
      </w:pPr>
      <w:r>
        <w:rPr>
          <w:rFonts w:ascii="宋体" w:hAnsi="宋体" w:eastAsia="宋体"/>
          <w:kern w:val="2"/>
          <w:sz w:val="21"/>
          <w:szCs w:val="21"/>
        </w:rPr>
        <w:t xml:space="preserve">3.1 </w:t>
      </w:r>
      <w:r>
        <w:rPr>
          <w:rFonts w:hint="eastAsia" w:ascii="宋体" w:hAnsi="宋体" w:eastAsia="宋体"/>
          <w:kern w:val="2"/>
          <w:sz w:val="21"/>
          <w:szCs w:val="21"/>
        </w:rPr>
        <w:t>合同文件使用中文书写、解释和说明</w:t>
      </w:r>
    </w:p>
    <w:p>
      <w:pPr>
        <w:widowControl w:val="0"/>
        <w:overflowPunct w:val="0"/>
        <w:adjustRightInd w:val="0"/>
        <w:spacing w:line="360" w:lineRule="auto"/>
        <w:ind w:firstLine="420"/>
        <w:textAlignment w:val="baseline"/>
        <w:rPr>
          <w:rFonts w:ascii="宋体" w:hAnsi="宋体" w:eastAsia="宋体"/>
          <w:kern w:val="2"/>
          <w:sz w:val="21"/>
          <w:szCs w:val="21"/>
        </w:rPr>
      </w:pPr>
      <w:r>
        <w:rPr>
          <w:rFonts w:ascii="宋体" w:hAnsi="宋体" w:eastAsia="宋体"/>
          <w:kern w:val="2"/>
          <w:sz w:val="21"/>
          <w:szCs w:val="21"/>
        </w:rPr>
        <w:t xml:space="preserve">3.2 </w:t>
      </w:r>
      <w:r>
        <w:rPr>
          <w:rFonts w:hint="eastAsia" w:ascii="宋体" w:hAnsi="宋体" w:eastAsia="宋体"/>
          <w:kern w:val="2"/>
          <w:sz w:val="21"/>
          <w:szCs w:val="21"/>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r>
        <w:rPr>
          <w:rFonts w:ascii="宋体" w:hAnsi="宋体" w:eastAsia="宋体"/>
          <w:kern w:val="2"/>
          <w:sz w:val="21"/>
          <w:szCs w:val="21"/>
        </w:rPr>
        <w:t xml:space="preserve"> </w:t>
      </w:r>
      <w:bookmarkStart w:id="92" w:name="_Toc13543214"/>
    </w:p>
    <w:p>
      <w:pPr>
        <w:widowControl w:val="0"/>
        <w:overflowPunct w:val="0"/>
        <w:adjustRightInd w:val="0"/>
        <w:spacing w:line="360" w:lineRule="auto"/>
        <w:textAlignment w:val="baseline"/>
        <w:rPr>
          <w:rFonts w:ascii="宋体" w:hAnsi="宋体" w:eastAsia="宋体"/>
          <w:b/>
          <w:kern w:val="2"/>
          <w:sz w:val="21"/>
          <w:szCs w:val="21"/>
        </w:rPr>
      </w:pPr>
      <w:r>
        <w:rPr>
          <w:rFonts w:hint="eastAsia" w:ascii="宋体" w:hAnsi="宋体" w:eastAsia="宋体"/>
          <w:b/>
          <w:kern w:val="2"/>
          <w:sz w:val="21"/>
          <w:szCs w:val="21"/>
        </w:rPr>
        <w:t>四、双方责任及义务</w:t>
      </w:r>
    </w:p>
    <w:bookmarkEnd w:id="92"/>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4.1</w:t>
      </w:r>
      <w:r>
        <w:rPr>
          <w:rFonts w:ascii="宋体" w:hAnsi="宋体" w:eastAsia="宋体"/>
          <w:kern w:val="2"/>
          <w:sz w:val="21"/>
          <w:szCs w:val="21"/>
        </w:rPr>
        <w:t>甲方的责任及义务</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甲方不得要求乙方违反国家有关标准进行监理</w:t>
      </w:r>
      <w:r>
        <w:rPr>
          <w:rFonts w:hint="eastAsia" w:ascii="宋体" w:hAnsi="宋体" w:eastAsia="宋体"/>
          <w:kern w:val="2"/>
          <w:sz w:val="21"/>
          <w:szCs w:val="21"/>
        </w:rPr>
        <w:t>和</w:t>
      </w:r>
      <w:r>
        <w:rPr>
          <w:rFonts w:ascii="宋体" w:hAnsi="宋体" w:eastAsia="宋体"/>
          <w:kern w:val="2"/>
          <w:sz w:val="21"/>
          <w:szCs w:val="21"/>
        </w:rPr>
        <w:t>测试。</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甲方应及时按合同准备资金，验收并支付乙方项目款项。</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乙方责任及义务：</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4.21</w:t>
      </w:r>
      <w:r>
        <w:rPr>
          <w:rFonts w:ascii="宋体" w:hAnsi="宋体" w:eastAsia="宋体"/>
          <w:kern w:val="2"/>
          <w:sz w:val="21"/>
          <w:szCs w:val="21"/>
        </w:rPr>
        <w:t>乙方应自己负责实施合同期间其工作人员的食宿、通讯、差旅、交通水电、资料收集等一切费用。</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4.22</w:t>
      </w:r>
      <w:r>
        <w:rPr>
          <w:rFonts w:ascii="宋体" w:hAnsi="宋体" w:eastAsia="宋体"/>
          <w:kern w:val="2"/>
          <w:sz w:val="21"/>
          <w:szCs w:val="21"/>
        </w:rPr>
        <w:t>乙方应按国家技术规范、标准、规程及甲方提出的技术要求进行监理</w:t>
      </w:r>
      <w:r>
        <w:rPr>
          <w:rFonts w:hint="eastAsia" w:ascii="宋体" w:hAnsi="宋体" w:eastAsia="宋体"/>
          <w:kern w:val="2"/>
          <w:sz w:val="21"/>
          <w:szCs w:val="21"/>
        </w:rPr>
        <w:t>和</w:t>
      </w:r>
      <w:r>
        <w:rPr>
          <w:rFonts w:ascii="宋体" w:hAnsi="宋体" w:eastAsia="宋体"/>
          <w:kern w:val="2"/>
          <w:sz w:val="21"/>
          <w:szCs w:val="21"/>
        </w:rPr>
        <w:t>测试，按合同规定的进度要求提交质量合格的普查资料，并对其负责。</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3乙方应在签署合同时列明拟派遣项目人员团队成员。</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4乙方按本合同主要内容要求的工期及成果内容提交的要求向甲方交付资料及文件。</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5乙方应保护甲方的知识产权，不得向第三人泄露、转让甲方提交的资料。如发生以上情况并给甲方造成经济损失，甲方有权向乙方索赔。</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6乙方负责其工作人员的人身安全的义务。</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7乙方派驻现场的总监理工程师和监理工程师必须和招标文件约定的人员一致。</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w:t>
      </w:r>
      <w:r>
        <w:rPr>
          <w:rFonts w:ascii="宋体" w:hAnsi="宋体" w:eastAsia="宋体"/>
          <w:kern w:val="2"/>
          <w:sz w:val="21"/>
          <w:szCs w:val="21"/>
        </w:rPr>
        <w:t>8本监理工程建立考勤制度</w:t>
      </w:r>
      <w:r>
        <w:rPr>
          <w:rFonts w:hint="eastAsia" w:ascii="宋体" w:hAnsi="宋体" w:eastAsia="宋体"/>
          <w:kern w:val="2"/>
          <w:sz w:val="21"/>
          <w:szCs w:val="21"/>
        </w:rPr>
        <w:t>。</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4.29</w:t>
      </w:r>
      <w:r>
        <w:rPr>
          <w:rFonts w:ascii="宋体" w:hAnsi="宋体" w:eastAsia="宋体"/>
          <w:kern w:val="2"/>
          <w:sz w:val="21"/>
          <w:szCs w:val="21"/>
        </w:rPr>
        <w:t>协议执行期间，如发现乙方有以下违约行为之一，甲方有权终止本协议并取消乙方对</w:t>
      </w:r>
      <w:r>
        <w:rPr>
          <w:rFonts w:hint="eastAsia" w:ascii="宋体" w:hAnsi="宋体" w:eastAsia="宋体"/>
          <w:kern w:val="2"/>
          <w:sz w:val="21"/>
          <w:szCs w:val="21"/>
        </w:rPr>
        <w:t>场地开挖及处置项目环境监理</w:t>
      </w:r>
      <w:r>
        <w:rPr>
          <w:rFonts w:ascii="宋体" w:hAnsi="宋体" w:eastAsia="宋体"/>
          <w:kern w:val="2"/>
          <w:sz w:val="21"/>
          <w:szCs w:val="21"/>
        </w:rPr>
        <w:t>资格，并按有关法律法规追究其相应责任：</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w:t>
      </w:r>
      <w:r>
        <w:rPr>
          <w:rFonts w:hint="eastAsia" w:ascii="宋体" w:hAnsi="宋体" w:eastAsia="宋体"/>
          <w:kern w:val="2"/>
          <w:sz w:val="21"/>
          <w:szCs w:val="21"/>
        </w:rPr>
        <w:t>2</w:t>
      </w:r>
      <w:r>
        <w:rPr>
          <w:rFonts w:ascii="宋体" w:hAnsi="宋体" w:eastAsia="宋体"/>
          <w:kern w:val="2"/>
          <w:sz w:val="21"/>
          <w:szCs w:val="21"/>
        </w:rPr>
        <w:t>9.1提供虚假信息（如过于偏袒对方和提供虚假投标资料等）、误导或欺骗用户单位，以谋取非法利益；</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w:t>
      </w:r>
      <w:r>
        <w:rPr>
          <w:rFonts w:hint="eastAsia" w:ascii="宋体" w:hAnsi="宋体" w:eastAsia="宋体"/>
          <w:kern w:val="2"/>
          <w:sz w:val="21"/>
          <w:szCs w:val="21"/>
        </w:rPr>
        <w:t>2</w:t>
      </w:r>
      <w:r>
        <w:rPr>
          <w:rFonts w:ascii="宋体" w:hAnsi="宋体" w:eastAsia="宋体"/>
          <w:kern w:val="2"/>
          <w:sz w:val="21"/>
          <w:szCs w:val="21"/>
        </w:rPr>
        <w:t>9.2违反了诚实信用和投标承诺，没有严格执行相关质量、服务和收费标准，损害委托人或相关用户单位的利益；</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w:t>
      </w:r>
      <w:r>
        <w:rPr>
          <w:rFonts w:hint="eastAsia" w:ascii="宋体" w:hAnsi="宋体" w:eastAsia="宋体"/>
          <w:kern w:val="2"/>
          <w:sz w:val="21"/>
          <w:szCs w:val="21"/>
        </w:rPr>
        <w:t>2</w:t>
      </w:r>
      <w:r>
        <w:rPr>
          <w:rFonts w:ascii="宋体" w:hAnsi="宋体" w:eastAsia="宋体"/>
          <w:kern w:val="2"/>
          <w:sz w:val="21"/>
          <w:szCs w:val="21"/>
        </w:rPr>
        <w:t>9.3拒绝接受甲方及相关部门监督、检查的；</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w:t>
      </w:r>
      <w:r>
        <w:rPr>
          <w:rFonts w:hint="eastAsia" w:ascii="宋体" w:hAnsi="宋体" w:eastAsia="宋体"/>
          <w:kern w:val="2"/>
          <w:sz w:val="21"/>
          <w:szCs w:val="21"/>
        </w:rPr>
        <w:t>2</w:t>
      </w:r>
      <w:r>
        <w:rPr>
          <w:rFonts w:ascii="宋体" w:hAnsi="宋体" w:eastAsia="宋体"/>
          <w:kern w:val="2"/>
          <w:sz w:val="21"/>
          <w:szCs w:val="21"/>
        </w:rPr>
        <w:t>9.4出现信用危机、财务危机、生产经营危机甚至破产、倒闭，无法继续履行合同；</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w:t>
      </w:r>
      <w:r>
        <w:rPr>
          <w:rFonts w:hint="eastAsia" w:ascii="宋体" w:hAnsi="宋体" w:eastAsia="宋体"/>
          <w:kern w:val="2"/>
          <w:sz w:val="21"/>
          <w:szCs w:val="21"/>
        </w:rPr>
        <w:t>2</w:t>
      </w:r>
      <w:r>
        <w:rPr>
          <w:rFonts w:ascii="宋体" w:hAnsi="宋体" w:eastAsia="宋体"/>
          <w:kern w:val="2"/>
          <w:sz w:val="21"/>
          <w:szCs w:val="21"/>
        </w:rPr>
        <w:t>9.5采用非法手段进行不正当竞争的，构成恶劣影响；</w:t>
      </w:r>
    </w:p>
    <w:p>
      <w:pPr>
        <w:widowControl w:val="0"/>
        <w:spacing w:line="360" w:lineRule="exact"/>
        <w:ind w:firstLine="447" w:firstLineChars="213"/>
        <w:jc w:val="both"/>
        <w:rPr>
          <w:rFonts w:ascii="宋体" w:hAnsi="宋体" w:eastAsia="宋体"/>
          <w:b/>
          <w:kern w:val="2"/>
          <w:sz w:val="21"/>
          <w:szCs w:val="21"/>
        </w:rPr>
      </w:pPr>
      <w:r>
        <w:rPr>
          <w:rFonts w:hint="eastAsia" w:ascii="宋体" w:hAnsi="宋体" w:eastAsia="宋体"/>
          <w:kern w:val="2"/>
          <w:sz w:val="21"/>
          <w:szCs w:val="21"/>
        </w:rPr>
        <w:t>4.2</w:t>
      </w:r>
      <w:r>
        <w:rPr>
          <w:rFonts w:ascii="宋体" w:hAnsi="宋体" w:eastAsia="宋体"/>
          <w:kern w:val="2"/>
          <w:sz w:val="21"/>
          <w:szCs w:val="21"/>
        </w:rPr>
        <w:t>9.6信息化监理资质被降级或吊销的。</w:t>
      </w:r>
      <w:bookmarkStart w:id="93" w:name="_Toc13543217"/>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五、合同价款和支付</w:t>
      </w:r>
      <w:bookmarkEnd w:id="93"/>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合同价款和支付</w:t>
      </w:r>
    </w:p>
    <w:p>
      <w:pPr>
        <w:widowControl w:val="0"/>
        <w:overflowPunct w:val="0"/>
        <w:adjustRightInd w:val="0"/>
        <w:spacing w:line="360" w:lineRule="auto"/>
        <w:ind w:firstLine="420"/>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.1 </w:t>
      </w:r>
      <w:r>
        <w:rPr>
          <w:rFonts w:hint="eastAsia" w:ascii="宋体" w:hAnsi="宋体" w:eastAsia="宋体"/>
          <w:kern w:val="2"/>
          <w:sz w:val="21"/>
          <w:szCs w:val="21"/>
        </w:rPr>
        <w:t>本合同的结算货币为人民币，单位元。</w:t>
      </w:r>
    </w:p>
    <w:p>
      <w:pPr>
        <w:widowControl w:val="0"/>
        <w:overflowPunct w:val="0"/>
        <w:adjustRightInd w:val="0"/>
        <w:spacing w:line="360" w:lineRule="auto"/>
        <w:ind w:firstLine="420"/>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.2 </w:t>
      </w:r>
      <w:r>
        <w:rPr>
          <w:rFonts w:hint="eastAsia" w:ascii="宋体" w:hAnsi="宋体" w:eastAsia="宋体"/>
          <w:kern w:val="2"/>
          <w:sz w:val="21"/>
          <w:szCs w:val="21"/>
        </w:rPr>
        <w:t>乙方应按照双方签订的合同规定交货并在合同特殊条款规定的期限内持下列单据结算货款。</w:t>
      </w:r>
    </w:p>
    <w:p>
      <w:pPr>
        <w:widowControl w:val="0"/>
        <w:overflowPunct w:val="0"/>
        <w:adjustRightInd w:val="0"/>
        <w:spacing w:line="360" w:lineRule="auto"/>
        <w:ind w:firstLine="420"/>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.2.1</w:t>
      </w:r>
      <w:r>
        <w:rPr>
          <w:rFonts w:hint="eastAsia" w:ascii="宋体" w:hAnsi="宋体" w:eastAsia="宋体"/>
          <w:kern w:val="2"/>
          <w:sz w:val="21"/>
          <w:szCs w:val="21"/>
        </w:rPr>
        <w:t>正式的发票。</w:t>
      </w:r>
    </w:p>
    <w:p>
      <w:pPr>
        <w:widowControl w:val="0"/>
        <w:overflowPunct w:val="0"/>
        <w:adjustRightInd w:val="0"/>
        <w:spacing w:line="360" w:lineRule="auto"/>
        <w:ind w:firstLine="420"/>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.2.2 </w:t>
      </w:r>
      <w:r>
        <w:rPr>
          <w:rFonts w:hint="eastAsia" w:ascii="宋体" w:hAnsi="宋体" w:eastAsia="宋体"/>
          <w:kern w:val="2"/>
          <w:sz w:val="21"/>
          <w:szCs w:val="21"/>
        </w:rPr>
        <w:t>甲方盖章签收后的送货回单和验收合格证明。</w:t>
      </w:r>
    </w:p>
    <w:p>
      <w:pPr>
        <w:widowControl w:val="0"/>
        <w:overflowPunct w:val="0"/>
        <w:adjustRightInd w:val="0"/>
        <w:spacing w:line="360" w:lineRule="auto"/>
        <w:ind w:firstLine="420"/>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.3 </w:t>
      </w:r>
      <w:r>
        <w:rPr>
          <w:rFonts w:hint="eastAsia" w:ascii="宋体" w:hAnsi="宋体" w:eastAsia="宋体"/>
          <w:kern w:val="2"/>
          <w:sz w:val="21"/>
          <w:szCs w:val="21"/>
        </w:rPr>
        <w:t>甲方应按合同特殊条款规定的期限和方式付款。</w:t>
      </w:r>
    </w:p>
    <w:p>
      <w:pPr>
        <w:widowControl w:val="0"/>
        <w:overflowPunct w:val="0"/>
        <w:adjustRightInd w:val="0"/>
        <w:spacing w:line="360" w:lineRule="auto"/>
        <w:ind w:firstLine="420"/>
        <w:textAlignment w:val="baseline"/>
        <w:rPr>
          <w:rFonts w:ascii="宋体" w:hAnsi="宋体" w:eastAsia="宋体"/>
          <w:b/>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.4 </w:t>
      </w:r>
      <w:r>
        <w:rPr>
          <w:rFonts w:hint="eastAsia" w:ascii="宋体" w:hAnsi="宋体" w:eastAsia="宋体"/>
          <w:kern w:val="2"/>
          <w:sz w:val="21"/>
          <w:szCs w:val="21"/>
        </w:rPr>
        <w:t>除特别约定外，根据现行税法对甲方征收的与本合同有关的一切税费均由甲方承担；根据现行税法对乙方征收的与本合同有关的一切税费均由乙方承担。</w:t>
      </w:r>
      <w:bookmarkStart w:id="94" w:name="_Toc13543218"/>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六、违约责任</w:t>
      </w:r>
      <w:bookmarkEnd w:id="94"/>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违约责任</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合同乙方不履行合同义务或者履行合同义务不符合规定的，应当承担继续履行、采取补救措施或者赔偿损失等违约责任。</w:t>
      </w:r>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2、</w:t>
      </w:r>
      <w:r>
        <w:rPr>
          <w:rFonts w:ascii="宋体" w:hAnsi="宋体" w:eastAsia="宋体"/>
          <w:b/>
          <w:kern w:val="2"/>
          <w:sz w:val="21"/>
          <w:szCs w:val="21"/>
        </w:rPr>
        <w:t>甲方违约责任</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2.1</w:t>
      </w:r>
      <w:r>
        <w:rPr>
          <w:rFonts w:ascii="宋体" w:hAnsi="宋体" w:eastAsia="宋体"/>
          <w:kern w:val="2"/>
          <w:sz w:val="21"/>
          <w:szCs w:val="21"/>
        </w:rPr>
        <w:t>甲方逾期付款的应按照逾期付款金额的每天万分之四支付逾期付款违约金。</w:t>
      </w:r>
    </w:p>
    <w:p>
      <w:pPr>
        <w:widowControl w:val="0"/>
        <w:spacing w:line="360" w:lineRule="exact"/>
        <w:ind w:firstLine="447" w:firstLineChars="213"/>
        <w:jc w:val="both"/>
        <w:rPr>
          <w:rFonts w:ascii="宋体" w:hAnsi="宋体" w:eastAsia="宋体"/>
          <w:kern w:val="2"/>
          <w:sz w:val="21"/>
          <w:szCs w:val="21"/>
        </w:rPr>
      </w:pPr>
      <w:r>
        <w:rPr>
          <w:rFonts w:hint="eastAsia" w:ascii="宋体" w:hAnsi="宋体" w:eastAsia="宋体"/>
          <w:kern w:val="2"/>
          <w:sz w:val="21"/>
          <w:szCs w:val="21"/>
        </w:rPr>
        <w:t>2.2</w:t>
      </w:r>
      <w:r>
        <w:rPr>
          <w:rFonts w:ascii="宋体" w:hAnsi="宋体" w:eastAsia="宋体"/>
          <w:kern w:val="2"/>
          <w:sz w:val="21"/>
          <w:szCs w:val="21"/>
        </w:rPr>
        <w:t>甲方违反合同规定，拒绝接受乙方交付的合格成果，应当承担乙方由此造成的损失。</w:t>
      </w:r>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3、</w:t>
      </w:r>
      <w:r>
        <w:rPr>
          <w:rFonts w:ascii="宋体" w:hAnsi="宋体" w:eastAsia="宋体"/>
          <w:b/>
          <w:kern w:val="2"/>
          <w:sz w:val="21"/>
          <w:szCs w:val="21"/>
        </w:rPr>
        <w:t>乙方违约责任</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乙方不能提交成果（逾期超过十五天视为不能提交），或提交不合格从而影响甲方按期正常使用的，应向甲方偿付合同总价款5%的违约金，违约金不足以补偿损失的甲方有权要求乙方补足。</w:t>
      </w:r>
    </w:p>
    <w:p>
      <w:pPr>
        <w:widowControl w:val="0"/>
        <w:tabs>
          <w:tab w:val="left" w:pos="426"/>
        </w:tabs>
        <w:spacing w:line="360" w:lineRule="exact"/>
        <w:ind w:firstLine="432" w:firstLineChars="206"/>
        <w:jc w:val="both"/>
        <w:rPr>
          <w:rFonts w:ascii="宋体" w:hAnsi="宋体" w:eastAsia="宋体"/>
          <w:kern w:val="2"/>
          <w:sz w:val="21"/>
          <w:szCs w:val="21"/>
        </w:rPr>
      </w:pPr>
      <w:r>
        <w:rPr>
          <w:rFonts w:ascii="宋体" w:hAnsi="宋体" w:eastAsia="宋体"/>
          <w:kern w:val="2"/>
          <w:sz w:val="21"/>
          <w:szCs w:val="21"/>
        </w:rPr>
        <w:t>乙方逾期提交成果，应在提交前与甲方协商，甲方仍需求的，乙方应立即提交并应按照逾期提交部分的合同金额的每天万分之四支付逾期交货违约金，同时承担甲方因此遭致的损失费用</w:t>
      </w:r>
      <w:r>
        <w:rPr>
          <w:rFonts w:hint="eastAsia" w:ascii="宋体" w:hAnsi="宋体" w:eastAsia="宋体"/>
          <w:kern w:val="2"/>
          <w:sz w:val="21"/>
          <w:szCs w:val="21"/>
        </w:rPr>
        <w:t>。</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 xml:space="preserve">    4、索赔</w:t>
      </w:r>
    </w:p>
    <w:p>
      <w:pPr>
        <w:widowControl w:val="0"/>
        <w:tabs>
          <w:tab w:val="left" w:pos="426"/>
        </w:tabs>
        <w:spacing w:line="380" w:lineRule="exact"/>
        <w:ind w:firstLine="420" w:firstLineChars="200"/>
        <w:jc w:val="both"/>
        <w:rPr>
          <w:rFonts w:ascii="宋体" w:hAnsi="宋体" w:eastAsia="宋体"/>
          <w:kern w:val="2"/>
          <w:sz w:val="21"/>
          <w:szCs w:val="21"/>
        </w:rPr>
      </w:pPr>
      <w:bookmarkStart w:id="95" w:name="_Toc13543220"/>
      <w:r>
        <w:rPr>
          <w:rFonts w:hint="eastAsia" w:ascii="宋体" w:hAnsi="宋体" w:eastAsia="宋体"/>
          <w:kern w:val="2"/>
          <w:sz w:val="21"/>
          <w:szCs w:val="21"/>
        </w:rPr>
        <w:t>4.</w:t>
      </w:r>
      <w:r>
        <w:rPr>
          <w:rFonts w:ascii="宋体" w:hAnsi="宋体" w:eastAsia="宋体"/>
          <w:kern w:val="2"/>
          <w:sz w:val="21"/>
          <w:szCs w:val="21"/>
        </w:rPr>
        <w:t>1甲方有权根据权威机构部门出具的检验证书向乙方提出索赔。</w:t>
      </w:r>
    </w:p>
    <w:p>
      <w:pPr>
        <w:widowControl w:val="0"/>
        <w:tabs>
          <w:tab w:val="left" w:pos="426"/>
        </w:tabs>
        <w:spacing w:line="380" w:lineRule="exact"/>
        <w:ind w:firstLine="420" w:firstLineChars="200"/>
        <w:jc w:val="both"/>
        <w:rPr>
          <w:rFonts w:ascii="宋体" w:hAnsi="宋体" w:eastAsia="宋体"/>
          <w:kern w:val="2"/>
          <w:sz w:val="21"/>
          <w:szCs w:val="21"/>
        </w:rPr>
      </w:pPr>
      <w:r>
        <w:rPr>
          <w:rFonts w:hint="eastAsia" w:ascii="宋体" w:hAnsi="宋体" w:eastAsia="宋体"/>
          <w:kern w:val="2"/>
          <w:sz w:val="21"/>
          <w:szCs w:val="21"/>
        </w:rPr>
        <w:t>4.</w:t>
      </w:r>
      <w:r>
        <w:rPr>
          <w:rFonts w:ascii="宋体" w:hAnsi="宋体" w:eastAsia="宋体"/>
          <w:kern w:val="2"/>
          <w:sz w:val="21"/>
          <w:szCs w:val="21"/>
        </w:rPr>
        <w:t>2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widowControl w:val="0"/>
        <w:spacing w:line="360" w:lineRule="auto"/>
        <w:jc w:val="both"/>
        <w:rPr>
          <w:rFonts w:ascii="宋体" w:hAnsi="宋体" w:eastAsia="宋体"/>
          <w:kern w:val="2"/>
          <w:sz w:val="21"/>
          <w:szCs w:val="21"/>
        </w:rPr>
      </w:pPr>
      <w:r>
        <w:rPr>
          <w:rFonts w:hint="eastAsia" w:ascii="宋体" w:hAnsi="宋体" w:eastAsia="宋体"/>
          <w:b/>
          <w:kern w:val="2"/>
          <w:sz w:val="21"/>
          <w:szCs w:val="21"/>
        </w:rPr>
        <w:t>七、</w:t>
      </w:r>
      <w:bookmarkEnd w:id="95"/>
      <w:bookmarkStart w:id="96" w:name="_Toc13543221"/>
      <w:r>
        <w:rPr>
          <w:rFonts w:hint="eastAsia" w:ascii="宋体" w:hAnsi="宋体" w:eastAsia="宋体"/>
          <w:b/>
          <w:kern w:val="2"/>
          <w:sz w:val="21"/>
          <w:szCs w:val="21"/>
        </w:rPr>
        <w:t>合同的解除和转让</w:t>
      </w:r>
      <w:bookmarkEnd w:id="96"/>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合同的解除</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.1 </w:t>
      </w:r>
      <w:r>
        <w:rPr>
          <w:rFonts w:hint="eastAsia" w:ascii="宋体" w:hAnsi="宋体" w:eastAsia="宋体"/>
          <w:kern w:val="2"/>
          <w:sz w:val="21"/>
          <w:szCs w:val="21"/>
        </w:rPr>
        <w:t>甲方和乙方协商一致，可以解除合同；</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.2 </w:t>
      </w:r>
      <w:r>
        <w:rPr>
          <w:rFonts w:hint="eastAsia" w:ascii="宋体" w:hAnsi="宋体" w:eastAsia="宋体"/>
          <w:kern w:val="2"/>
          <w:sz w:val="21"/>
          <w:szCs w:val="21"/>
        </w:rPr>
        <w:t>有下列情形之一，合同一方可以解除合同：</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.2.1 </w:t>
      </w:r>
      <w:r>
        <w:rPr>
          <w:rFonts w:hint="eastAsia" w:ascii="宋体" w:hAnsi="宋体" w:eastAsia="宋体"/>
          <w:kern w:val="2"/>
          <w:sz w:val="21"/>
          <w:szCs w:val="21"/>
        </w:rPr>
        <w:t>因不可抗力致使不能实现合同目的，未受不可抗力影响的一方有权解除合同；</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.2.2 </w:t>
      </w:r>
      <w:r>
        <w:rPr>
          <w:rFonts w:hint="eastAsia" w:ascii="宋体" w:hAnsi="宋体" w:eastAsia="宋体"/>
          <w:kern w:val="2"/>
          <w:sz w:val="21"/>
          <w:szCs w:val="21"/>
        </w:rPr>
        <w:t>因合同一方违约导致合同不能履行，另一方有权解除合同；</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1</w:t>
      </w:r>
      <w:r>
        <w:rPr>
          <w:rFonts w:ascii="宋体" w:hAnsi="宋体" w:eastAsia="宋体"/>
          <w:kern w:val="2"/>
          <w:sz w:val="21"/>
          <w:szCs w:val="21"/>
        </w:rPr>
        <w:t xml:space="preserve">.3 </w:t>
      </w:r>
      <w:r>
        <w:rPr>
          <w:rFonts w:hint="eastAsia" w:ascii="宋体" w:hAnsi="宋体" w:eastAsia="宋体"/>
          <w:kern w:val="2"/>
          <w:sz w:val="21"/>
          <w:szCs w:val="21"/>
        </w:rPr>
        <w:t>有权解除合同的一方，应当在违约事实或不可抗力发生之后三十天内书面通知对方以主张解除合同，合同在书面通知到达对方时解除。</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2</w:t>
      </w:r>
      <w:r>
        <w:rPr>
          <w:rFonts w:ascii="宋体" w:hAnsi="宋体" w:eastAsia="宋体"/>
          <w:b/>
          <w:kern w:val="2"/>
          <w:sz w:val="21"/>
          <w:szCs w:val="21"/>
        </w:rPr>
        <w:t xml:space="preserve">.  </w:t>
      </w:r>
      <w:r>
        <w:rPr>
          <w:rFonts w:hint="eastAsia" w:ascii="宋体" w:hAnsi="宋体" w:eastAsia="宋体"/>
          <w:b/>
          <w:kern w:val="2"/>
          <w:sz w:val="21"/>
          <w:szCs w:val="21"/>
        </w:rPr>
        <w:t>合同的转让</w:t>
      </w:r>
    </w:p>
    <w:p>
      <w:pPr>
        <w:widowControl w:val="0"/>
        <w:spacing w:line="360" w:lineRule="auto"/>
        <w:jc w:val="both"/>
        <w:rPr>
          <w:rFonts w:ascii="宋体" w:hAnsi="宋体" w:eastAsia="宋体"/>
          <w:b/>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合同的部分和全部都不得转让。</w:t>
      </w:r>
      <w:bookmarkStart w:id="97" w:name="_Toc13543222"/>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八、合同的生效</w:t>
      </w:r>
      <w:bookmarkEnd w:id="97"/>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合同的生效</w:t>
      </w:r>
    </w:p>
    <w:p>
      <w:pPr>
        <w:widowControl w:val="0"/>
        <w:spacing w:line="360" w:lineRule="auto"/>
        <w:jc w:val="both"/>
        <w:rPr>
          <w:rFonts w:ascii="宋体" w:hAnsi="宋体" w:eastAsia="宋体"/>
          <w:b/>
          <w:kern w:val="2"/>
          <w:sz w:val="21"/>
          <w:szCs w:val="21"/>
        </w:rPr>
      </w:pPr>
      <w:bookmarkStart w:id="98" w:name="_Toc13543223"/>
      <w:r>
        <w:rPr>
          <w:rFonts w:hint="eastAsia" w:ascii="宋体" w:hAnsi="宋体" w:eastAsia="宋体"/>
          <w:kern w:val="2"/>
          <w:sz w:val="21"/>
          <w:szCs w:val="21"/>
        </w:rPr>
        <w:t xml:space="preserve">   本合同经双方法定（授权）代表人签字（或盖章）并盖单位公章后生效，同时须送代理机构备案。</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九、争议解决</w:t>
      </w:r>
      <w:bookmarkEnd w:id="98"/>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争议解决</w:t>
      </w:r>
    </w:p>
    <w:p>
      <w:pPr>
        <w:widowControl w:val="0"/>
        <w:spacing w:line="360" w:lineRule="auto"/>
        <w:jc w:val="both"/>
        <w:rPr>
          <w:rFonts w:ascii="宋体" w:hAnsi="宋体" w:eastAsia="宋体"/>
          <w:b/>
          <w:kern w:val="2"/>
          <w:sz w:val="21"/>
          <w:szCs w:val="21"/>
        </w:rPr>
      </w:pPr>
      <w:r>
        <w:rPr>
          <w:rFonts w:ascii="宋体" w:hAnsi="宋体" w:eastAsia="宋体"/>
          <w:b/>
          <w:kern w:val="2"/>
          <w:sz w:val="21"/>
          <w:szCs w:val="21"/>
        </w:rPr>
        <w:t xml:space="preserve"> </w:t>
      </w:r>
      <w:r>
        <w:rPr>
          <w:rFonts w:hint="eastAsia" w:ascii="宋体" w:hAnsi="宋体" w:eastAsia="宋体"/>
          <w:b/>
          <w:kern w:val="2"/>
          <w:sz w:val="21"/>
          <w:szCs w:val="21"/>
        </w:rPr>
        <w:t xml:space="preserve">   甲乙双方因合同发生争议，应进行调解，协商不成，任何一方可以向甲方所在地人民法院起诉。</w:t>
      </w:r>
      <w:bookmarkStart w:id="99" w:name="_Toc13543224"/>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十、附则</w:t>
      </w:r>
      <w:bookmarkEnd w:id="99"/>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 xml:space="preserve">.  </w:t>
      </w:r>
      <w:r>
        <w:rPr>
          <w:rFonts w:hint="eastAsia" w:ascii="宋体" w:hAnsi="宋体" w:eastAsia="宋体"/>
          <w:b/>
          <w:kern w:val="2"/>
          <w:sz w:val="21"/>
          <w:szCs w:val="21"/>
        </w:rPr>
        <w:t>合同份数。</w:t>
      </w:r>
    </w:p>
    <w:p>
      <w:pPr>
        <w:widowControl w:val="0"/>
        <w:spacing w:line="360" w:lineRule="auto"/>
        <w:jc w:val="both"/>
        <w:rPr>
          <w:rFonts w:ascii="宋体" w:hAnsi="宋体" w:eastAsia="宋体"/>
          <w:kern w:val="2"/>
          <w:sz w:val="21"/>
          <w:szCs w:val="21"/>
        </w:rPr>
      </w:pPr>
      <w:r>
        <w:rPr>
          <w:rFonts w:ascii="宋体" w:hAnsi="宋体" w:eastAsia="宋体"/>
          <w:kern w:val="2"/>
          <w:sz w:val="21"/>
          <w:szCs w:val="21"/>
        </w:rPr>
        <w:t xml:space="preserve"> </w:t>
      </w:r>
      <w:r>
        <w:rPr>
          <w:rFonts w:ascii="宋体" w:hAnsi="宋体" w:eastAsia="宋体"/>
          <w:kern w:val="2"/>
          <w:sz w:val="21"/>
          <w:szCs w:val="21"/>
        </w:rPr>
        <w:tab/>
      </w:r>
      <w:r>
        <w:rPr>
          <w:rFonts w:hint="eastAsia" w:ascii="宋体" w:hAnsi="宋体" w:eastAsia="宋体"/>
          <w:kern w:val="2"/>
          <w:sz w:val="21"/>
          <w:szCs w:val="21"/>
        </w:rPr>
        <w:t>本合同一式捌份，甲方执肆份、乙方执肆份。</w:t>
      </w:r>
    </w:p>
    <w:p>
      <w:pPr>
        <w:widowControl w:val="0"/>
        <w:spacing w:line="360" w:lineRule="auto"/>
        <w:jc w:val="both"/>
        <w:rPr>
          <w:rFonts w:ascii="宋体" w:hAnsi="宋体" w:eastAsia="宋体"/>
          <w:b/>
          <w:kern w:val="2"/>
          <w:sz w:val="21"/>
          <w:szCs w:val="21"/>
        </w:rPr>
      </w:pPr>
      <w:r>
        <w:rPr>
          <w:rFonts w:hint="eastAsia" w:ascii="宋体" w:hAnsi="宋体" w:eastAsia="宋体"/>
          <w:b/>
          <w:kern w:val="2"/>
          <w:sz w:val="21"/>
          <w:szCs w:val="21"/>
        </w:rPr>
        <w:t>2</w:t>
      </w:r>
      <w:r>
        <w:rPr>
          <w:rFonts w:ascii="宋体" w:hAnsi="宋体" w:eastAsia="宋体"/>
          <w:b/>
          <w:kern w:val="2"/>
          <w:sz w:val="21"/>
          <w:szCs w:val="21"/>
        </w:rPr>
        <w:t xml:space="preserve">.  </w:t>
      </w:r>
      <w:r>
        <w:rPr>
          <w:rFonts w:hint="eastAsia" w:ascii="宋体" w:hAnsi="宋体" w:eastAsia="宋体"/>
          <w:b/>
          <w:kern w:val="2"/>
          <w:sz w:val="21"/>
          <w:szCs w:val="21"/>
        </w:rPr>
        <w:t>未尽事宜</w:t>
      </w:r>
    </w:p>
    <w:p>
      <w:pPr>
        <w:widowControl w:val="0"/>
        <w:adjustRightInd w:val="0"/>
        <w:spacing w:line="360" w:lineRule="auto"/>
        <w:ind w:firstLine="420"/>
        <w:jc w:val="both"/>
        <w:textAlignment w:val="baseline"/>
        <w:rPr>
          <w:rFonts w:ascii="宋体" w:hAnsi="宋体" w:eastAsia="宋体"/>
          <w:kern w:val="2"/>
          <w:sz w:val="21"/>
          <w:szCs w:val="21"/>
        </w:rPr>
      </w:pPr>
      <w:r>
        <w:rPr>
          <w:rFonts w:hint="eastAsia" w:ascii="宋体" w:hAnsi="宋体" w:eastAsia="宋体"/>
          <w:kern w:val="2"/>
          <w:sz w:val="21"/>
          <w:szCs w:val="21"/>
        </w:rPr>
        <w:t>本合同未尽事宜应按《中华人民共和国民法典》之规定解释。</w:t>
      </w:r>
      <w:bookmarkStart w:id="100" w:name="_Toc13889377"/>
      <w:bookmarkStart w:id="101" w:name="_Toc13642117"/>
    </w:p>
    <w:p>
      <w:pPr>
        <w:keepNext/>
        <w:keepLines/>
        <w:widowControl w:val="0"/>
        <w:adjustRightInd w:val="0"/>
        <w:jc w:val="center"/>
        <w:textAlignment w:val="baseline"/>
        <w:outlineLvl w:val="2"/>
        <w:rPr>
          <w:rFonts w:eastAsia="宋体"/>
          <w:b/>
          <w:color w:val="FF0000"/>
          <w:kern w:val="2"/>
          <w:sz w:val="32"/>
          <w:szCs w:val="20"/>
        </w:rPr>
      </w:pPr>
      <w:r>
        <w:rPr>
          <w:rFonts w:eastAsia="宋体"/>
          <w:b/>
          <w:kern w:val="2"/>
          <w:sz w:val="32"/>
          <w:szCs w:val="20"/>
        </w:rPr>
        <w:br w:type="page"/>
      </w:r>
      <w:r>
        <w:rPr>
          <w:rFonts w:hint="eastAsia" w:eastAsia="宋体"/>
          <w:b/>
          <w:kern w:val="2"/>
          <w:sz w:val="32"/>
          <w:szCs w:val="20"/>
        </w:rPr>
        <w:t>第</w:t>
      </w:r>
      <w:r>
        <w:rPr>
          <w:rFonts w:hint="eastAsia" w:eastAsia="宋体"/>
          <w:b/>
          <w:kern w:val="2"/>
          <w:sz w:val="32"/>
          <w:szCs w:val="20"/>
          <w:lang w:val="en-US" w:eastAsia="zh-CN"/>
        </w:rPr>
        <w:t>三</w:t>
      </w:r>
      <w:r>
        <w:rPr>
          <w:rFonts w:hint="eastAsia" w:eastAsia="宋体"/>
          <w:b/>
          <w:kern w:val="2"/>
          <w:sz w:val="32"/>
          <w:szCs w:val="20"/>
        </w:rPr>
        <w:t>部分 合同特殊条款</w:t>
      </w:r>
      <w:bookmarkEnd w:id="100"/>
      <w:bookmarkEnd w:id="101"/>
    </w:p>
    <w:p>
      <w:pPr>
        <w:widowControl w:val="0"/>
        <w:spacing w:line="360" w:lineRule="auto"/>
        <w:jc w:val="center"/>
        <w:rPr>
          <w:rFonts w:ascii="宋体" w:hAnsi="宋体" w:eastAsia="宋体"/>
          <w:kern w:val="2"/>
          <w:sz w:val="21"/>
          <w:szCs w:val="21"/>
        </w:rPr>
      </w:pPr>
    </w:p>
    <w:p>
      <w:pPr>
        <w:widowControl w:val="0"/>
        <w:autoSpaceDE w:val="0"/>
        <w:autoSpaceDN w:val="0"/>
        <w:adjustRightInd w:val="0"/>
        <w:snapToGrid w:val="0"/>
        <w:spacing w:line="360" w:lineRule="auto"/>
        <w:ind w:firstLine="378" w:firstLineChars="180"/>
        <w:jc w:val="both"/>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根据招标文件及乙方的投标文件和中标通知书，甲乙双方就此次中标的                           事宜，签订本合同书。</w:t>
      </w:r>
    </w:p>
    <w:p>
      <w:pPr>
        <w:widowControl w:val="0"/>
        <w:spacing w:line="360" w:lineRule="auto"/>
        <w:ind w:firstLine="420" w:firstLineChars="200"/>
        <w:jc w:val="both"/>
        <w:rPr>
          <w:rFonts w:ascii="宋体" w:hAnsi="宋体" w:eastAsia="宋体"/>
          <w:kern w:val="2"/>
          <w:sz w:val="21"/>
          <w:szCs w:val="21"/>
        </w:rPr>
      </w:pPr>
    </w:p>
    <w:p>
      <w:pPr>
        <w:widowControl w:val="0"/>
        <w:numPr>
          <w:ilvl w:val="0"/>
          <w:numId w:val="3"/>
        </w:numPr>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合同内容：</w:t>
      </w:r>
    </w:p>
    <w:p>
      <w:pPr>
        <w:widowControl w:val="0"/>
        <w:adjustRightInd w:val="0"/>
        <w:snapToGrid w:val="0"/>
        <w:spacing w:line="360" w:lineRule="auto"/>
        <w:ind w:left="450"/>
        <w:jc w:val="both"/>
        <w:rPr>
          <w:rFonts w:ascii="宋体" w:hAnsi="宋体" w:eastAsia="宋体"/>
          <w:bCs/>
          <w:kern w:val="2"/>
          <w:sz w:val="21"/>
          <w:szCs w:val="21"/>
        </w:rPr>
      </w:pPr>
      <w:r>
        <w:rPr>
          <w:rFonts w:hint="eastAsia" w:ascii="宋体" w:hAnsi="宋体" w:eastAsia="宋体"/>
          <w:kern w:val="2"/>
          <w:sz w:val="21"/>
          <w:szCs w:val="21"/>
        </w:rPr>
        <w:t>乙方服务内容要求如下：</w:t>
      </w:r>
      <w:r>
        <w:rPr>
          <w:rFonts w:hint="eastAsia" w:ascii="宋体" w:hAnsi="宋体" w:eastAsia="宋体"/>
          <w:bCs/>
          <w:kern w:val="2"/>
          <w:sz w:val="21"/>
          <w:szCs w:val="21"/>
        </w:rPr>
        <w:t>大学路南延（江阳路-开发路）三期建设工程污染治理监理。</w:t>
      </w:r>
    </w:p>
    <w:p>
      <w:pPr>
        <w:widowControl w:val="0"/>
        <w:adjustRightInd w:val="0"/>
        <w:snapToGrid w:val="0"/>
        <w:spacing w:line="360" w:lineRule="auto"/>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w:t>
      </w:r>
      <w:r>
        <w:rPr>
          <w:rFonts w:hint="eastAsia" w:ascii="宋体" w:hAnsi="宋体" w:eastAsia="宋体"/>
          <w:b/>
          <w:kern w:val="2"/>
          <w:sz w:val="21"/>
          <w:szCs w:val="21"/>
        </w:rPr>
        <w:t>以招标文件要求及中标单位投标文件响应情况为准</w:t>
      </w:r>
      <w:r>
        <w:rPr>
          <w:rFonts w:hint="eastAsia" w:ascii="宋体" w:hAnsi="宋体" w:eastAsia="宋体"/>
          <w:b/>
          <w:kern w:val="2"/>
          <w:sz w:val="21"/>
          <w:szCs w:val="21"/>
          <w:lang w:eastAsia="zh-CN"/>
        </w:rPr>
        <w:t>）</w:t>
      </w:r>
    </w:p>
    <w:p>
      <w:pPr>
        <w:widowControl w:val="0"/>
        <w:adjustRightInd w:val="0"/>
        <w:snapToGrid w:val="0"/>
        <w:spacing w:line="360" w:lineRule="auto"/>
        <w:jc w:val="both"/>
        <w:rPr>
          <w:rFonts w:ascii="宋体" w:hAnsi="宋体" w:eastAsia="宋体"/>
          <w:b/>
          <w:kern w:val="2"/>
          <w:sz w:val="21"/>
          <w:szCs w:val="21"/>
        </w:rPr>
      </w:pPr>
    </w:p>
    <w:p>
      <w:pPr>
        <w:widowControl w:val="0"/>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二、下列文件为本合同不可分割部分：</w:t>
      </w:r>
    </w:p>
    <w:p>
      <w:pPr>
        <w:widowControl w:val="0"/>
        <w:spacing w:line="360" w:lineRule="auto"/>
        <w:jc w:val="both"/>
        <w:rPr>
          <w:rFonts w:ascii="宋体" w:hAnsi="宋体" w:eastAsia="宋体"/>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①中标通知书；</w:t>
      </w:r>
    </w:p>
    <w:p>
      <w:pPr>
        <w:widowControl w:val="0"/>
        <w:spacing w:line="360" w:lineRule="auto"/>
        <w:jc w:val="both"/>
        <w:rPr>
          <w:rFonts w:ascii="宋体" w:hAnsi="宋体" w:eastAsia="宋体"/>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②招标文件；</w:t>
      </w:r>
    </w:p>
    <w:p>
      <w:pPr>
        <w:widowControl w:val="0"/>
        <w:spacing w:line="360" w:lineRule="auto"/>
        <w:jc w:val="both"/>
        <w:rPr>
          <w:rFonts w:ascii="宋体" w:hAnsi="宋体" w:eastAsia="宋体"/>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③乙方中标的投标书；</w:t>
      </w:r>
    </w:p>
    <w:p>
      <w:pPr>
        <w:widowControl w:val="0"/>
        <w:spacing w:line="360" w:lineRule="auto"/>
        <w:jc w:val="both"/>
        <w:rPr>
          <w:rFonts w:ascii="宋体" w:hAnsi="宋体" w:eastAsia="宋体"/>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④乙方在招标投标过程中所作的其它承诺、声明、书面澄清等。</w:t>
      </w:r>
    </w:p>
    <w:p>
      <w:pPr>
        <w:widowControl w:val="0"/>
        <w:spacing w:line="360" w:lineRule="auto"/>
        <w:jc w:val="both"/>
        <w:rPr>
          <w:rFonts w:ascii="宋体" w:hAnsi="宋体" w:eastAsia="宋体"/>
          <w:kern w:val="2"/>
          <w:sz w:val="21"/>
          <w:szCs w:val="21"/>
        </w:rPr>
      </w:pPr>
    </w:p>
    <w:p>
      <w:pPr>
        <w:widowControl w:val="0"/>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三、价格与支付：</w:t>
      </w:r>
    </w:p>
    <w:p>
      <w:pPr>
        <w:widowControl w:val="0"/>
        <w:adjustRightInd w:val="0"/>
        <w:snapToGrid w:val="0"/>
        <w:spacing w:line="360" w:lineRule="auto"/>
        <w:ind w:firstLine="420" w:firstLineChars="200"/>
        <w:jc w:val="both"/>
        <w:rPr>
          <w:rFonts w:ascii="宋体" w:hAnsi="宋体" w:eastAsia="宋体"/>
          <w:color w:val="000000"/>
          <w:kern w:val="2"/>
          <w:sz w:val="21"/>
          <w:szCs w:val="21"/>
        </w:rPr>
      </w:pPr>
      <w:r>
        <w:rPr>
          <w:rFonts w:hint="eastAsia" w:ascii="宋体" w:hAnsi="宋体" w:eastAsia="宋体"/>
          <w:kern w:val="2"/>
          <w:sz w:val="21"/>
          <w:szCs w:val="21"/>
        </w:rPr>
        <w:t>1、价格：</w:t>
      </w:r>
      <w:r>
        <w:rPr>
          <w:rFonts w:hint="eastAsia" w:ascii="宋体" w:hAnsi="宋体" w:eastAsia="宋体"/>
          <w:b/>
          <w:kern w:val="2"/>
          <w:sz w:val="21"/>
          <w:szCs w:val="21"/>
          <w:u w:val="single"/>
        </w:rPr>
        <w:t xml:space="preserve"> 人民币        元整</w:t>
      </w:r>
      <w:r>
        <w:rPr>
          <w:rFonts w:ascii="宋体" w:hAnsi="宋体" w:eastAsia="宋体"/>
          <w:b/>
          <w:kern w:val="2"/>
          <w:sz w:val="21"/>
          <w:szCs w:val="21"/>
          <w:u w:val="single"/>
        </w:rPr>
        <w:t>（￥</w:t>
      </w:r>
      <w:r>
        <w:rPr>
          <w:rFonts w:hint="eastAsia" w:ascii="宋体" w:hAnsi="宋体" w:eastAsia="宋体"/>
          <w:b/>
          <w:kern w:val="2"/>
          <w:sz w:val="21"/>
          <w:szCs w:val="21"/>
          <w:u w:val="single"/>
        </w:rPr>
        <w:t xml:space="preserve">       </w:t>
      </w:r>
      <w:r>
        <w:rPr>
          <w:rFonts w:ascii="宋体" w:hAnsi="宋体" w:eastAsia="宋体"/>
          <w:b/>
          <w:kern w:val="2"/>
          <w:sz w:val="21"/>
          <w:szCs w:val="21"/>
          <w:u w:val="single"/>
        </w:rPr>
        <w:t>）</w:t>
      </w:r>
      <w:r>
        <w:rPr>
          <w:rFonts w:hint="eastAsia" w:ascii="宋体" w:hAnsi="宋体" w:eastAsia="宋体"/>
          <w:b/>
          <w:kern w:val="2"/>
          <w:sz w:val="21"/>
          <w:szCs w:val="21"/>
          <w:u w:val="single"/>
        </w:rPr>
        <w:t xml:space="preserve"> </w:t>
      </w:r>
      <w:r>
        <w:rPr>
          <w:rFonts w:hint="eastAsia" w:ascii="宋体" w:hAnsi="宋体" w:eastAsia="宋体"/>
          <w:kern w:val="2"/>
          <w:sz w:val="21"/>
          <w:szCs w:val="21"/>
        </w:rPr>
        <w:t>，</w:t>
      </w:r>
      <w:r>
        <w:rPr>
          <w:rFonts w:ascii="宋体" w:hAnsi="宋体" w:eastAsia="宋体"/>
          <w:kern w:val="2"/>
          <w:sz w:val="21"/>
          <w:szCs w:val="21"/>
        </w:rPr>
        <w:t>包括在</w:t>
      </w:r>
      <w:r>
        <w:rPr>
          <w:rFonts w:hint="eastAsia" w:ascii="宋体" w:hAnsi="宋体" w:eastAsia="宋体"/>
          <w:kern w:val="2"/>
          <w:sz w:val="21"/>
          <w:szCs w:val="21"/>
        </w:rPr>
        <w:t>监理</w:t>
      </w:r>
      <w:r>
        <w:rPr>
          <w:rFonts w:ascii="宋体" w:hAnsi="宋体" w:eastAsia="宋体"/>
          <w:kern w:val="2"/>
          <w:sz w:val="21"/>
          <w:szCs w:val="21"/>
        </w:rPr>
        <w:t>期内完成合格服务所需的人工、餐费、耗材、通讯、服装、办公设备、巡检器材、各种税费、保险、劳保、维护、利润、税金、政策性文件规定及合同包含的所有风险、责任等各项应有费用。</w:t>
      </w:r>
    </w:p>
    <w:p>
      <w:pPr>
        <w:widowControl w:val="0"/>
        <w:autoSpaceDE w:val="0"/>
        <w:autoSpaceDN w:val="0"/>
        <w:adjustRightInd w:val="0"/>
        <w:snapToGrid w:val="0"/>
        <w:spacing w:line="360" w:lineRule="auto"/>
        <w:ind w:firstLine="378" w:firstLineChars="180"/>
        <w:jc w:val="both"/>
        <w:rPr>
          <w:rFonts w:ascii="宋体" w:hAnsi="宋体" w:eastAsia="宋体"/>
          <w:color w:val="auto"/>
          <w:kern w:val="2"/>
          <w:sz w:val="21"/>
          <w:szCs w:val="21"/>
          <w:highlight w:val="none"/>
        </w:rPr>
      </w:pPr>
      <w:r>
        <w:rPr>
          <w:rFonts w:ascii="宋体" w:hAnsi="宋体" w:eastAsia="宋体"/>
          <w:color w:val="auto"/>
          <w:kern w:val="2"/>
          <w:sz w:val="21"/>
          <w:szCs w:val="21"/>
          <w:highlight w:val="none"/>
        </w:rPr>
        <w:t>2、付款步骤：</w:t>
      </w:r>
    </w:p>
    <w:p>
      <w:pPr>
        <w:widowControl w:val="0"/>
        <w:autoSpaceDE w:val="0"/>
        <w:autoSpaceDN w:val="0"/>
        <w:adjustRightInd w:val="0"/>
        <w:snapToGrid w:val="0"/>
        <w:spacing w:line="360" w:lineRule="auto"/>
        <w:ind w:firstLine="378" w:firstLineChars="180"/>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工程竣工付至合同价的</w:t>
      </w:r>
      <w:r>
        <w:rPr>
          <w:rFonts w:ascii="宋体" w:hAnsi="宋体" w:eastAsia="宋体"/>
          <w:color w:val="auto"/>
          <w:kern w:val="2"/>
          <w:sz w:val="21"/>
          <w:szCs w:val="21"/>
          <w:highlight w:val="none"/>
        </w:rPr>
        <w:t>50%，环境效果评估通过后付至合同价的80%，工程审计结束后付清余款。</w:t>
      </w:r>
      <w:r>
        <w:rPr>
          <w:rFonts w:hint="eastAsia" w:ascii="宋体" w:hAnsi="宋体" w:eastAsia="宋体"/>
          <w:color w:val="auto"/>
          <w:kern w:val="2"/>
          <w:sz w:val="21"/>
          <w:szCs w:val="21"/>
          <w:highlight w:val="none"/>
        </w:rPr>
        <w:t>甲方每次付款时，乙方需先出具等额票据。</w:t>
      </w:r>
    </w:p>
    <w:p>
      <w:pPr>
        <w:widowControl w:val="0"/>
        <w:spacing w:line="360" w:lineRule="auto"/>
        <w:ind w:firstLine="492"/>
        <w:jc w:val="both"/>
        <w:rPr>
          <w:rFonts w:ascii="宋体" w:hAnsi="宋体" w:eastAsia="宋体"/>
          <w:kern w:val="2"/>
          <w:sz w:val="21"/>
          <w:szCs w:val="21"/>
        </w:rPr>
      </w:pPr>
      <w:r>
        <w:rPr>
          <w:rFonts w:ascii="宋体" w:hAnsi="宋体" w:eastAsia="宋体"/>
          <w:kern w:val="2"/>
          <w:sz w:val="21"/>
          <w:szCs w:val="21"/>
        </w:rPr>
        <w:t>3、付款方式：银行汇票或转帐支票、</w:t>
      </w:r>
      <w:r>
        <w:rPr>
          <w:rFonts w:hint="eastAsia" w:ascii="宋体" w:hAnsi="宋体" w:eastAsia="宋体"/>
          <w:kern w:val="2"/>
          <w:sz w:val="21"/>
          <w:szCs w:val="21"/>
        </w:rPr>
        <w:t>网银汇款</w:t>
      </w:r>
    </w:p>
    <w:p>
      <w:pPr>
        <w:widowControl w:val="0"/>
        <w:adjustRightInd w:val="0"/>
        <w:snapToGrid w:val="0"/>
        <w:spacing w:line="360" w:lineRule="auto"/>
        <w:jc w:val="both"/>
        <w:rPr>
          <w:rFonts w:ascii="宋体" w:hAnsi="宋体" w:eastAsia="宋体"/>
          <w:b/>
          <w:color w:val="000000"/>
          <w:kern w:val="2"/>
          <w:sz w:val="21"/>
          <w:szCs w:val="21"/>
        </w:rPr>
      </w:pPr>
      <w:r>
        <w:rPr>
          <w:rFonts w:hint="eastAsia" w:ascii="宋体" w:hAnsi="宋体" w:eastAsia="宋体"/>
          <w:b/>
          <w:color w:val="000000"/>
          <w:kern w:val="2"/>
          <w:sz w:val="21"/>
          <w:szCs w:val="21"/>
        </w:rPr>
        <w:t>四、工期：</w:t>
      </w:r>
    </w:p>
    <w:p>
      <w:pPr>
        <w:widowControl w:val="0"/>
        <w:adjustRightInd w:val="0"/>
        <w:snapToGrid w:val="0"/>
        <w:spacing w:line="360" w:lineRule="auto"/>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监理服务期限：</w:t>
      </w:r>
      <w:r>
        <w:rPr>
          <w:rFonts w:hint="eastAsia" w:ascii="宋体" w:hAnsi="宋体" w:eastAsia="宋体" w:cs="宋体"/>
          <w:color w:val="000000"/>
          <w:kern w:val="2"/>
          <w:sz w:val="21"/>
          <w:szCs w:val="21"/>
          <w:lang w:eastAsia="zh-CN"/>
        </w:rPr>
        <w:t>同施工工期</w:t>
      </w:r>
      <w:r>
        <w:rPr>
          <w:rFonts w:hint="eastAsia" w:ascii="宋体" w:hAnsi="宋体" w:eastAsia="宋体" w:cs="宋体"/>
          <w:color w:val="000000"/>
          <w:kern w:val="2"/>
          <w:sz w:val="21"/>
          <w:szCs w:val="21"/>
        </w:rPr>
        <w:t>，</w:t>
      </w:r>
      <w:r>
        <w:rPr>
          <w:highlight w:val="none"/>
        </w:rPr>
        <w:t>施工结束后的环境监测直至通过效果评估</w:t>
      </w:r>
      <w:r>
        <w:rPr>
          <w:rFonts w:hint="eastAsia" w:ascii="宋体" w:hAnsi="宋体" w:eastAsia="宋体" w:cs="宋体"/>
          <w:color w:val="000000"/>
          <w:kern w:val="2"/>
          <w:sz w:val="21"/>
          <w:szCs w:val="21"/>
        </w:rPr>
        <w:t>。</w:t>
      </w:r>
    </w:p>
    <w:p>
      <w:pPr>
        <w:widowControl w:val="0"/>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五、地点：</w:t>
      </w:r>
    </w:p>
    <w:p>
      <w:pPr>
        <w:widowControl w:val="0"/>
        <w:adjustRightInd w:val="0"/>
        <w:snapToGrid w:val="0"/>
        <w:spacing w:line="360" w:lineRule="auto"/>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 xml:space="preserve"> </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扬州市大学路</w:t>
      </w:r>
    </w:p>
    <w:p>
      <w:pPr>
        <w:widowControl w:val="0"/>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六、违约责任：</w:t>
      </w:r>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1、</w:t>
      </w:r>
      <w:r>
        <w:rPr>
          <w:rFonts w:ascii="宋体" w:hAnsi="宋体" w:eastAsia="宋体"/>
          <w:b/>
          <w:kern w:val="2"/>
          <w:sz w:val="21"/>
          <w:szCs w:val="21"/>
        </w:rPr>
        <w:t>违约责任</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合同乙方不履行合同义务或者履行合同义务不符合规定的，应当承担继续履行、采取补救措施或者赔偿损失等违约责任。</w:t>
      </w:r>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2、</w:t>
      </w:r>
      <w:r>
        <w:rPr>
          <w:rFonts w:ascii="宋体" w:hAnsi="宋体" w:eastAsia="宋体"/>
          <w:b/>
          <w:kern w:val="2"/>
          <w:sz w:val="21"/>
          <w:szCs w:val="21"/>
        </w:rPr>
        <w:t>甲方违约责任</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甲方逾期付款的应按照逾期付款金额的每天万分之四支付逾期付款违约金。</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甲方违反合同规定，拒绝接受乙方交付的合格成果，应当承担乙方由此造成的损失。</w:t>
      </w:r>
    </w:p>
    <w:p>
      <w:pPr>
        <w:widowControl w:val="0"/>
        <w:spacing w:line="360" w:lineRule="exact"/>
        <w:ind w:firstLine="449" w:firstLineChars="213"/>
        <w:jc w:val="both"/>
        <w:rPr>
          <w:rFonts w:ascii="宋体" w:hAnsi="宋体" w:eastAsia="宋体"/>
          <w:b/>
          <w:kern w:val="2"/>
          <w:sz w:val="21"/>
          <w:szCs w:val="21"/>
        </w:rPr>
      </w:pPr>
      <w:r>
        <w:rPr>
          <w:rFonts w:hint="eastAsia" w:ascii="宋体" w:hAnsi="宋体" w:eastAsia="宋体"/>
          <w:b/>
          <w:kern w:val="2"/>
          <w:sz w:val="21"/>
          <w:szCs w:val="21"/>
        </w:rPr>
        <w:t>3、</w:t>
      </w:r>
      <w:r>
        <w:rPr>
          <w:rFonts w:ascii="宋体" w:hAnsi="宋体" w:eastAsia="宋体"/>
          <w:b/>
          <w:kern w:val="2"/>
          <w:sz w:val="21"/>
          <w:szCs w:val="21"/>
        </w:rPr>
        <w:t>乙方违约责任</w:t>
      </w:r>
    </w:p>
    <w:p>
      <w:pPr>
        <w:widowControl w:val="0"/>
        <w:spacing w:line="360" w:lineRule="exact"/>
        <w:ind w:firstLine="447" w:firstLineChars="213"/>
        <w:jc w:val="both"/>
        <w:rPr>
          <w:rFonts w:ascii="宋体" w:hAnsi="宋体" w:eastAsia="宋体"/>
          <w:kern w:val="2"/>
          <w:sz w:val="21"/>
          <w:szCs w:val="21"/>
        </w:rPr>
      </w:pPr>
      <w:r>
        <w:rPr>
          <w:rFonts w:ascii="宋体" w:hAnsi="宋体" w:eastAsia="宋体"/>
          <w:kern w:val="2"/>
          <w:sz w:val="21"/>
          <w:szCs w:val="21"/>
        </w:rPr>
        <w:t>乙方不能提交成果（逾期超过十五天视为不能提交），或提交不合格从而影响甲方按期正常使用的，应向甲方偿付合同总价款5%的违约金，违约金不足以补偿损失的甲方有权要求乙方补足。</w:t>
      </w:r>
    </w:p>
    <w:p>
      <w:pPr>
        <w:widowControl w:val="0"/>
        <w:adjustRightInd w:val="0"/>
        <w:snapToGrid w:val="0"/>
        <w:spacing w:line="420" w:lineRule="exact"/>
        <w:jc w:val="both"/>
        <w:rPr>
          <w:rFonts w:ascii="宋体" w:hAnsi="宋体" w:eastAsia="宋体"/>
          <w:kern w:val="2"/>
          <w:sz w:val="21"/>
          <w:szCs w:val="21"/>
        </w:rPr>
      </w:pPr>
      <w:r>
        <w:rPr>
          <w:rFonts w:hint="eastAsia" w:ascii="宋体" w:hAnsi="宋体" w:eastAsia="宋体"/>
          <w:kern w:val="2"/>
          <w:sz w:val="21"/>
          <w:szCs w:val="21"/>
        </w:rPr>
        <w:t xml:space="preserve">    </w:t>
      </w:r>
      <w:r>
        <w:rPr>
          <w:rFonts w:ascii="宋体" w:hAnsi="宋体" w:eastAsia="宋体"/>
          <w:kern w:val="2"/>
          <w:sz w:val="21"/>
          <w:szCs w:val="21"/>
        </w:rPr>
        <w:t>乙方逾期提交成果，应在提交前与甲方协商，甲方仍需求的，乙方应立即提交并应按照逾期提交部分的合同金额的每天万分之四支付逾期交货违约金，同时承担甲方因此遭致的损失费</w:t>
      </w:r>
    </w:p>
    <w:p>
      <w:pPr>
        <w:widowControl w:val="0"/>
        <w:adjustRightInd w:val="0"/>
        <w:snapToGrid w:val="0"/>
        <w:spacing w:line="420" w:lineRule="exact"/>
        <w:jc w:val="both"/>
        <w:rPr>
          <w:rFonts w:ascii="宋体" w:hAnsi="宋体" w:eastAsia="宋体"/>
          <w:kern w:val="2"/>
          <w:sz w:val="21"/>
          <w:szCs w:val="21"/>
        </w:rPr>
      </w:pPr>
      <w:r>
        <w:rPr>
          <w:rFonts w:hint="eastAsia" w:ascii="宋体" w:hAnsi="宋体" w:eastAsia="宋体"/>
          <w:kern w:val="2"/>
          <w:sz w:val="21"/>
          <w:szCs w:val="21"/>
        </w:rPr>
        <w:t xml:space="preserve">    乙方因过失而造成甲方经济损失的，乙方除了采取补救措施之外，还应当就甲方因此造成的经济损失进行赔偿。</w:t>
      </w:r>
    </w:p>
    <w:p>
      <w:pPr>
        <w:widowControl w:val="0"/>
        <w:adjustRightInd w:val="0"/>
        <w:snapToGrid w:val="0"/>
        <w:spacing w:line="420" w:lineRule="exact"/>
        <w:jc w:val="both"/>
        <w:rPr>
          <w:rFonts w:ascii="宋体" w:hAnsi="宋体" w:eastAsia="宋体"/>
          <w:kern w:val="2"/>
          <w:sz w:val="21"/>
          <w:szCs w:val="21"/>
        </w:rPr>
      </w:pPr>
      <w:r>
        <w:rPr>
          <w:rFonts w:hint="eastAsia" w:ascii="宋体" w:hAnsi="宋体" w:eastAsia="宋体"/>
          <w:kern w:val="2"/>
          <w:sz w:val="21"/>
          <w:szCs w:val="21"/>
        </w:rPr>
        <w:t xml:space="preserve">    乙方环境监理员必须驻场（限本单位工作人员，附三个月以上社保证明）；如未按招标要求驻场，甲方有权作出相应处罚或甲方解除合同，乙方承担相应的违约责任。</w:t>
      </w:r>
    </w:p>
    <w:p>
      <w:pPr>
        <w:widowControl w:val="0"/>
        <w:overflowPunct w:val="0"/>
        <w:adjustRightInd w:val="0"/>
        <w:snapToGrid w:val="0"/>
        <w:spacing w:line="360" w:lineRule="auto"/>
        <w:ind w:firstLine="420"/>
        <w:jc w:val="both"/>
        <w:textAlignment w:val="baseline"/>
        <w:rPr>
          <w:rFonts w:ascii="宋体" w:hAnsi="宋体" w:eastAsia="宋体"/>
          <w:kern w:val="2"/>
          <w:sz w:val="21"/>
          <w:szCs w:val="21"/>
        </w:rPr>
      </w:pPr>
    </w:p>
    <w:p>
      <w:pPr>
        <w:widowControl w:val="0"/>
        <w:overflowPunct w:val="0"/>
        <w:adjustRightInd w:val="0"/>
        <w:snapToGrid w:val="0"/>
        <w:spacing w:line="360" w:lineRule="auto"/>
        <w:textAlignment w:val="baseline"/>
        <w:rPr>
          <w:rFonts w:ascii="宋体" w:hAnsi="宋体" w:eastAsia="宋体"/>
          <w:b/>
          <w:kern w:val="2"/>
          <w:sz w:val="21"/>
          <w:szCs w:val="21"/>
        </w:rPr>
      </w:pPr>
      <w:r>
        <w:rPr>
          <w:rFonts w:hint="eastAsia" w:ascii="宋体" w:hAnsi="宋体" w:eastAsia="宋体"/>
          <w:b/>
          <w:kern w:val="2"/>
          <w:sz w:val="21"/>
          <w:szCs w:val="21"/>
        </w:rPr>
        <w:t>七、监理方案要求</w:t>
      </w:r>
    </w:p>
    <w:p>
      <w:pPr>
        <w:widowControl w:val="0"/>
        <w:ind w:right="-264" w:rightChars="-120" w:firstLine="420"/>
        <w:jc w:val="both"/>
        <w:rPr>
          <w:rFonts w:ascii="宋体" w:hAnsi="宋体" w:eastAsia="宋体"/>
          <w:kern w:val="2"/>
          <w:sz w:val="21"/>
          <w:szCs w:val="21"/>
        </w:rPr>
      </w:pPr>
      <w:r>
        <w:rPr>
          <w:rFonts w:hint="eastAsia" w:ascii="宋体" w:hAnsi="宋体" w:eastAsia="宋体"/>
          <w:kern w:val="2"/>
          <w:sz w:val="21"/>
          <w:szCs w:val="21"/>
        </w:rPr>
        <w:t>监理开始前，乙方需根据甲方提供的招标文件要求提供详细的环境监理方案并经专家论证后方可实行。</w:t>
      </w:r>
    </w:p>
    <w:p>
      <w:pPr>
        <w:widowControl w:val="0"/>
        <w:ind w:right="-264" w:rightChars="-120" w:firstLine="420"/>
        <w:jc w:val="both"/>
        <w:rPr>
          <w:rFonts w:ascii="宋体" w:hAnsi="宋体" w:eastAsia="宋体"/>
          <w:kern w:val="2"/>
          <w:sz w:val="21"/>
          <w:szCs w:val="21"/>
        </w:rPr>
      </w:pPr>
    </w:p>
    <w:p>
      <w:pPr>
        <w:widowControl w:val="0"/>
        <w:adjustRightInd w:val="0"/>
        <w:snapToGrid w:val="0"/>
        <w:spacing w:line="360" w:lineRule="auto"/>
        <w:jc w:val="both"/>
        <w:rPr>
          <w:rFonts w:ascii="宋体" w:hAnsi="宋体" w:eastAsia="宋体"/>
          <w:b/>
          <w:kern w:val="2"/>
          <w:sz w:val="21"/>
          <w:szCs w:val="21"/>
        </w:rPr>
      </w:pPr>
      <w:r>
        <w:rPr>
          <w:rFonts w:hint="eastAsia" w:ascii="宋体" w:hAnsi="宋体" w:eastAsia="宋体"/>
          <w:b/>
          <w:kern w:val="2"/>
          <w:sz w:val="21"/>
          <w:szCs w:val="21"/>
        </w:rPr>
        <w:t>八、合同生效及其它：</w:t>
      </w:r>
    </w:p>
    <w:p>
      <w:pPr>
        <w:widowControl w:val="0"/>
        <w:spacing w:line="360" w:lineRule="auto"/>
        <w:ind w:firstLine="240"/>
        <w:jc w:val="both"/>
        <w:rPr>
          <w:rFonts w:ascii="宋体" w:hAnsi="宋体" w:eastAsia="宋体"/>
          <w:kern w:val="2"/>
          <w:sz w:val="21"/>
          <w:szCs w:val="21"/>
        </w:rPr>
      </w:pPr>
      <w:r>
        <w:rPr>
          <w:rFonts w:ascii="宋体" w:hAnsi="宋体" w:eastAsia="宋体"/>
          <w:kern w:val="2"/>
          <w:sz w:val="21"/>
          <w:szCs w:val="21"/>
        </w:rPr>
        <w:t xml:space="preserve">  1</w:t>
      </w:r>
      <w:r>
        <w:rPr>
          <w:rFonts w:hint="eastAsia" w:ascii="宋体" w:hAnsi="宋体" w:eastAsia="宋体"/>
          <w:kern w:val="2"/>
          <w:sz w:val="21"/>
          <w:szCs w:val="21"/>
        </w:rPr>
        <w:t>、本合同经双方法定（授权）代表人签字（或盖章）并盖单位公章后生效。</w:t>
      </w:r>
    </w:p>
    <w:p>
      <w:pPr>
        <w:widowControl w:val="0"/>
        <w:spacing w:line="360" w:lineRule="auto"/>
        <w:ind w:firstLine="449" w:firstLineChars="214"/>
        <w:jc w:val="both"/>
        <w:rPr>
          <w:rFonts w:ascii="宋体" w:hAnsi="宋体" w:eastAsia="宋体"/>
          <w:kern w:val="2"/>
          <w:sz w:val="21"/>
          <w:szCs w:val="21"/>
        </w:rPr>
      </w:pPr>
      <w:r>
        <w:rPr>
          <w:rFonts w:hint="eastAsia" w:ascii="宋体" w:hAnsi="宋体" w:eastAsia="宋体"/>
          <w:kern w:val="2"/>
          <w:sz w:val="21"/>
          <w:szCs w:val="21"/>
        </w:rPr>
        <w:t>2、本合同一式八份，甲方执四份、乙方执四份。</w:t>
      </w:r>
    </w:p>
    <w:p>
      <w:pPr>
        <w:widowControl w:val="0"/>
        <w:spacing w:line="360" w:lineRule="auto"/>
        <w:ind w:firstLine="240"/>
        <w:jc w:val="both"/>
        <w:rPr>
          <w:rFonts w:ascii="宋体" w:hAnsi="宋体" w:eastAsia="宋体"/>
          <w:kern w:val="2"/>
          <w:sz w:val="21"/>
          <w:szCs w:val="21"/>
        </w:rPr>
      </w:pPr>
      <w:r>
        <w:rPr>
          <w:rFonts w:ascii="宋体" w:hAnsi="宋体" w:eastAsia="宋体"/>
          <w:kern w:val="2"/>
          <w:sz w:val="21"/>
          <w:szCs w:val="21"/>
        </w:rPr>
        <w:t xml:space="preserve">  </w:t>
      </w:r>
      <w:r>
        <w:rPr>
          <w:rFonts w:hint="eastAsia" w:ascii="宋体" w:hAnsi="宋体" w:eastAsia="宋体"/>
          <w:kern w:val="2"/>
          <w:sz w:val="21"/>
          <w:szCs w:val="21"/>
        </w:rPr>
        <w:t>3、合同在执行过程中出现的未尽事宜，双方在不违背本合同和招标文件的原则下协商解决，协商结果以书面形式盖章记录在案，作为本合同的附件，与本合同具有同等效力。</w:t>
      </w:r>
    </w:p>
    <w:p>
      <w:pPr>
        <w:spacing w:line="500" w:lineRule="atLeast"/>
        <w:ind w:left="840" w:firstLine="420"/>
        <w:jc w:val="both"/>
        <w:rPr>
          <w:rFonts w:ascii="宋体" w:hAnsi="宋体" w:eastAsia="宋体"/>
          <w:sz w:val="21"/>
          <w:szCs w:val="21"/>
        </w:rPr>
      </w:pPr>
      <w:r>
        <w:rPr>
          <w:rFonts w:hint="eastAsia" w:ascii="宋体" w:hAnsi="宋体" w:eastAsia="宋体"/>
          <w:sz w:val="21"/>
          <w:szCs w:val="21"/>
        </w:rPr>
        <w:t xml:space="preserve">甲方签章：                </w:t>
      </w:r>
      <w:r>
        <w:rPr>
          <w:rFonts w:hint="eastAsia" w:ascii="宋体" w:hAnsi="宋体" w:eastAsia="宋体"/>
          <w:sz w:val="21"/>
          <w:szCs w:val="21"/>
        </w:rPr>
        <w:tab/>
      </w:r>
      <w:r>
        <w:rPr>
          <w:rFonts w:hint="eastAsia" w:ascii="宋体" w:hAnsi="宋体" w:eastAsia="宋体"/>
          <w:sz w:val="21"/>
          <w:szCs w:val="21"/>
        </w:rPr>
        <w:t xml:space="preserve"> </w:t>
      </w:r>
      <w:r>
        <w:rPr>
          <w:rFonts w:hint="eastAsia" w:ascii="宋体" w:hAnsi="宋体" w:eastAsia="宋体"/>
          <w:sz w:val="21"/>
          <w:szCs w:val="21"/>
        </w:rPr>
        <w:tab/>
      </w:r>
      <w:r>
        <w:rPr>
          <w:rFonts w:hint="eastAsia" w:ascii="宋体" w:hAnsi="宋体" w:eastAsia="宋体"/>
          <w:sz w:val="21"/>
          <w:szCs w:val="21"/>
        </w:rPr>
        <w:t xml:space="preserve">   乙方签章：               </w:t>
      </w:r>
    </w:p>
    <w:p>
      <w:pPr>
        <w:spacing w:line="500" w:lineRule="atLeast"/>
        <w:jc w:val="both"/>
        <w:rPr>
          <w:rFonts w:ascii="宋体" w:hAnsi="宋体" w:eastAsia="宋体"/>
          <w:sz w:val="21"/>
          <w:szCs w:val="21"/>
        </w:rPr>
      </w:pPr>
    </w:p>
    <w:p>
      <w:pPr>
        <w:spacing w:line="500" w:lineRule="atLeast"/>
        <w:ind w:left="840" w:firstLine="420"/>
        <w:jc w:val="both"/>
        <w:rPr>
          <w:rFonts w:ascii="宋体" w:hAnsi="宋体" w:eastAsia="宋体"/>
          <w:sz w:val="21"/>
          <w:szCs w:val="21"/>
        </w:rPr>
      </w:pPr>
      <w:r>
        <w:rPr>
          <w:rFonts w:hint="eastAsia" w:ascii="宋体" w:hAnsi="宋体" w:eastAsia="宋体"/>
          <w:sz w:val="21"/>
          <w:szCs w:val="21"/>
        </w:rPr>
        <w:t xml:space="preserve">代理人：                  </w:t>
      </w:r>
      <w:r>
        <w:rPr>
          <w:rFonts w:hint="eastAsia" w:ascii="宋体" w:hAnsi="宋体" w:eastAsia="宋体"/>
          <w:sz w:val="21"/>
          <w:szCs w:val="21"/>
        </w:rPr>
        <w:tab/>
      </w:r>
      <w:r>
        <w:rPr>
          <w:rFonts w:hint="eastAsia" w:ascii="宋体" w:hAnsi="宋体" w:eastAsia="宋体"/>
          <w:sz w:val="21"/>
          <w:szCs w:val="21"/>
        </w:rPr>
        <w:t xml:space="preserve"> </w:t>
      </w:r>
      <w:r>
        <w:rPr>
          <w:rFonts w:hint="eastAsia" w:ascii="宋体" w:hAnsi="宋体" w:eastAsia="宋体"/>
          <w:sz w:val="21"/>
          <w:szCs w:val="21"/>
        </w:rPr>
        <w:tab/>
      </w:r>
      <w:r>
        <w:rPr>
          <w:rFonts w:hint="eastAsia" w:ascii="宋体" w:hAnsi="宋体" w:eastAsia="宋体"/>
          <w:sz w:val="21"/>
          <w:szCs w:val="21"/>
        </w:rPr>
        <w:t xml:space="preserve">   代理人：               </w:t>
      </w:r>
    </w:p>
    <w:p>
      <w:pPr>
        <w:adjustRightInd w:val="0"/>
        <w:snapToGrid w:val="0"/>
        <w:spacing w:line="360" w:lineRule="auto"/>
        <w:ind w:firstLine="1365" w:firstLineChars="650"/>
        <w:rPr>
          <w:rFonts w:ascii="宋体" w:hAnsi="宋体" w:eastAsia="宋体"/>
          <w:sz w:val="21"/>
          <w:szCs w:val="21"/>
        </w:rPr>
      </w:pP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月  </w:t>
      </w:r>
      <w:r>
        <w:rPr>
          <w:rFonts w:ascii="宋体" w:hAnsi="宋体" w:eastAsia="宋体"/>
          <w:sz w:val="21"/>
          <w:szCs w:val="21"/>
        </w:rPr>
        <w:t xml:space="preserve"> </w:t>
      </w:r>
      <w:r>
        <w:rPr>
          <w:rFonts w:hint="eastAsia" w:ascii="宋体" w:hAnsi="宋体" w:eastAsia="宋体"/>
          <w:sz w:val="21"/>
          <w:szCs w:val="21"/>
        </w:rPr>
        <w:t xml:space="preserve">日             </w:t>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 xml:space="preserve">  </w:t>
      </w:r>
      <w:r>
        <w:rPr>
          <w:rFonts w:hint="eastAsia" w:ascii="宋体" w:hAnsi="宋体" w:eastAsia="宋体"/>
          <w:sz w:val="21"/>
          <w:szCs w:val="21"/>
        </w:rPr>
        <w:tab/>
      </w:r>
      <w:r>
        <w:rPr>
          <w:rFonts w:hint="eastAsia" w:ascii="宋体" w:hAnsi="宋体" w:eastAsia="宋体"/>
          <w:sz w:val="21"/>
          <w:szCs w:val="21"/>
        </w:rPr>
        <w:t xml:space="preserve">年  </w:t>
      </w:r>
      <w:r>
        <w:rPr>
          <w:rFonts w:ascii="宋体" w:hAnsi="宋体" w:eastAsia="宋体"/>
          <w:sz w:val="21"/>
          <w:szCs w:val="21"/>
        </w:rPr>
        <w:t xml:space="preserve"> </w:t>
      </w:r>
      <w:r>
        <w:rPr>
          <w:rFonts w:hint="eastAsia" w:ascii="宋体" w:hAnsi="宋体" w:eastAsia="宋体"/>
          <w:sz w:val="21"/>
          <w:szCs w:val="21"/>
        </w:rPr>
        <w:t xml:space="preserve">月  </w:t>
      </w:r>
      <w:r>
        <w:rPr>
          <w:rFonts w:ascii="宋体" w:hAnsi="宋体" w:eastAsia="宋体"/>
          <w:sz w:val="21"/>
          <w:szCs w:val="21"/>
        </w:rPr>
        <w:t xml:space="preserve"> </w:t>
      </w:r>
      <w:r>
        <w:rPr>
          <w:rFonts w:hint="eastAsia" w:ascii="宋体" w:hAnsi="宋体" w:eastAsia="宋体"/>
          <w:sz w:val="21"/>
          <w:szCs w:val="21"/>
        </w:rPr>
        <w:t xml:space="preserve">日  </w:t>
      </w:r>
    </w:p>
    <w:p>
      <w:pPr>
        <w:adjustRightInd w:val="0"/>
        <w:snapToGrid w:val="0"/>
        <w:spacing w:line="360" w:lineRule="auto"/>
        <w:ind w:firstLine="525" w:firstLineChars="250"/>
        <w:rPr>
          <w:rFonts w:ascii="宋体" w:hAnsi="宋体" w:eastAsia="宋体"/>
          <w:sz w:val="21"/>
          <w:szCs w:val="21"/>
        </w:rPr>
      </w:pPr>
    </w:p>
    <w:p>
      <w:pPr>
        <w:adjustRightInd w:val="0"/>
        <w:snapToGrid w:val="0"/>
        <w:spacing w:line="360" w:lineRule="auto"/>
        <w:ind w:firstLine="525" w:firstLineChars="250"/>
        <w:rPr>
          <w:rFonts w:ascii="宋体" w:hAnsi="宋体" w:eastAsia="宋体"/>
          <w:sz w:val="21"/>
          <w:szCs w:val="21"/>
        </w:rPr>
      </w:pPr>
    </w:p>
    <w:p>
      <w:pPr>
        <w:adjustRightInd w:val="0"/>
        <w:snapToGrid w:val="0"/>
        <w:spacing w:line="360" w:lineRule="auto"/>
        <w:ind w:firstLine="525" w:firstLineChars="250"/>
        <w:rPr>
          <w:rFonts w:ascii="宋体" w:hAnsi="宋体" w:eastAsia="宋体"/>
          <w:sz w:val="21"/>
          <w:szCs w:val="21"/>
        </w:rPr>
      </w:pPr>
    </w:p>
    <w:p>
      <w:pPr>
        <w:adjustRightInd w:val="0"/>
        <w:snapToGrid w:val="0"/>
        <w:spacing w:line="360" w:lineRule="auto"/>
        <w:ind w:firstLine="550" w:firstLineChars="250"/>
        <w:rPr>
          <w:rFonts w:hint="eastAsia" w:ascii="宋体" w:hAnsi="宋体" w:cs="宋体"/>
          <w:bCs/>
          <w:color w:val="000000"/>
          <w:szCs w:val="21"/>
          <w:lang w:eastAsia="zh-CN"/>
        </w:rPr>
      </w:pPr>
    </w:p>
    <w:p>
      <w:pPr>
        <w:adjustRightInd w:val="0"/>
        <w:snapToGrid w:val="0"/>
        <w:spacing w:line="360" w:lineRule="auto"/>
        <w:ind w:firstLine="550" w:firstLineChars="250"/>
        <w:rPr>
          <w:rFonts w:hint="eastAsia" w:ascii="宋体" w:hAnsi="宋体" w:cs="宋体"/>
          <w:bCs/>
          <w:color w:val="000000"/>
          <w:szCs w:val="21"/>
          <w:lang w:eastAsia="zh-CN"/>
        </w:rPr>
      </w:pPr>
    </w:p>
    <w:p>
      <w:pPr>
        <w:adjustRightInd w:val="0"/>
        <w:snapToGrid w:val="0"/>
        <w:spacing w:line="360" w:lineRule="auto"/>
        <w:ind w:firstLine="550" w:firstLineChars="250"/>
        <w:rPr>
          <w:rFonts w:hint="eastAsia" w:ascii="宋体" w:hAnsi="宋体" w:cs="宋体"/>
          <w:bCs/>
          <w:color w:val="000000"/>
          <w:szCs w:val="21"/>
          <w:lang w:eastAsia="zh-CN"/>
        </w:rPr>
      </w:pPr>
    </w:p>
    <w:p>
      <w:pPr>
        <w:adjustRightInd w:val="0"/>
        <w:snapToGrid w:val="0"/>
        <w:spacing w:line="360" w:lineRule="auto"/>
        <w:ind w:firstLine="550" w:firstLineChars="250"/>
        <w:rPr>
          <w:rFonts w:ascii="宋体" w:hAnsi="宋体" w:cs="宋体"/>
          <w:bCs/>
          <w:color w:val="000000"/>
          <w:szCs w:val="21"/>
        </w:rPr>
      </w:pPr>
    </w:p>
    <w:p>
      <w:pPr>
        <w:pStyle w:val="2"/>
        <w:jc w:val="center"/>
        <w:rPr>
          <w:color w:val="000000"/>
        </w:rPr>
      </w:pPr>
      <w:bookmarkStart w:id="102" w:name="br1_58"/>
      <w:bookmarkEnd w:id="102"/>
      <w:bookmarkStart w:id="103" w:name="br1_61"/>
      <w:bookmarkEnd w:id="103"/>
      <w:r>
        <w:rPr>
          <w:rFonts w:hint="eastAsia"/>
          <w:color w:val="000000"/>
        </w:rPr>
        <w:t>第五章  技术资料和设计文件</w:t>
      </w:r>
    </w:p>
    <w:p>
      <w:pPr>
        <w:autoSpaceDE w:val="0"/>
        <w:autoSpaceDN w:val="0"/>
        <w:adjustRightInd w:val="0"/>
        <w:spacing w:before="7" w:line="130" w:lineRule="exact"/>
        <w:rPr>
          <w:rFonts w:ascii="仿宋_GB2312" w:eastAsia="仿宋_GB2312" w:cs="Microsoft JhengHei"/>
          <w:color w:val="000000"/>
          <w:sz w:val="13"/>
          <w:szCs w:val="13"/>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rPr>
          <w:rFonts w:ascii="宋体" w:hAnsi="宋体" w:cs="宋体"/>
          <w:b/>
          <w:color w:val="000000"/>
          <w:szCs w:val="21"/>
        </w:rPr>
      </w:pPr>
    </w:p>
    <w:p>
      <w:pPr>
        <w:pStyle w:val="2"/>
        <w:jc w:val="center"/>
        <w:rPr>
          <w:color w:val="000000"/>
        </w:rPr>
      </w:pPr>
      <w:bookmarkStart w:id="104" w:name="_Toc516082798"/>
      <w:r>
        <w:rPr>
          <w:rFonts w:hint="eastAsia"/>
          <w:color w:val="000000"/>
        </w:rPr>
        <w:br w:type="page"/>
      </w:r>
      <w:r>
        <w:rPr>
          <w:rFonts w:hint="eastAsia"/>
          <w:color w:val="000000"/>
        </w:rPr>
        <w:t>第六章 投标文件格式</w:t>
      </w:r>
      <w:bookmarkEnd w:id="104"/>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pStyle w:val="3"/>
        <w:rPr>
          <w:color w:val="000000"/>
        </w:rPr>
      </w:pPr>
      <w:r>
        <w:rPr>
          <w:rFonts w:hint="eastAsia"/>
          <w:color w:val="000000"/>
        </w:rPr>
        <w:br w:type="page"/>
      </w:r>
      <w:bookmarkStart w:id="105" w:name="_Toc520815295"/>
      <w:r>
        <w:rPr>
          <w:rFonts w:hint="eastAsia"/>
          <w:color w:val="000000"/>
        </w:rPr>
        <w:t>1. 投标文件封面、目录</w:t>
      </w:r>
      <w:bookmarkEnd w:id="105"/>
    </w:p>
    <w:p>
      <w:pPr>
        <w:pStyle w:val="4"/>
        <w:rPr>
          <w:color w:val="000000"/>
        </w:rPr>
      </w:pPr>
      <w:bookmarkStart w:id="106" w:name="_Toc520815296"/>
      <w:r>
        <w:rPr>
          <w:rFonts w:hint="eastAsia"/>
          <w:color w:val="000000"/>
        </w:rPr>
        <w:t>1.1 投标文件封面</w:t>
      </w:r>
      <w:bookmarkEnd w:id="106"/>
    </w:p>
    <w:p>
      <w:pPr>
        <w:jc w:val="center"/>
        <w:rPr>
          <w:rFonts w:ascii="宋体" w:hAnsi="宋体" w:cs="宋体"/>
          <w:color w:val="000000"/>
          <w:szCs w:val="21"/>
          <w:u w:val="single"/>
        </w:rPr>
      </w:pPr>
    </w:p>
    <w:p>
      <w:pPr>
        <w:jc w:val="center"/>
        <w:rPr>
          <w:rFonts w:ascii="宋体" w:hAnsi="宋体" w:cs="宋体"/>
          <w:color w:val="000000"/>
          <w:szCs w:val="21"/>
          <w:u w:val="single"/>
        </w:rPr>
      </w:pPr>
    </w:p>
    <w:p>
      <w:pPr>
        <w:jc w:val="center"/>
        <w:rPr>
          <w:rFonts w:ascii="宋体" w:hAnsi="宋体" w:cs="宋体"/>
          <w:color w:val="000000"/>
          <w:sz w:val="32"/>
          <w:szCs w:val="32"/>
        </w:rPr>
      </w:pPr>
      <w:r>
        <w:rPr>
          <w:rFonts w:hint="eastAsia" w:ascii="宋体" w:hAnsi="宋体" w:cs="宋体"/>
          <w:color w:val="000000"/>
          <w:sz w:val="32"/>
          <w:szCs w:val="32"/>
        </w:rPr>
        <w:t>（项目名称及标段）监理招标</w:t>
      </w:r>
    </w:p>
    <w:p>
      <w:pPr>
        <w:rPr>
          <w:rFonts w:ascii="宋体" w:hAnsi="宋体" w:cs="宋体"/>
          <w:color w:val="000000"/>
          <w:sz w:val="32"/>
          <w:szCs w:val="32"/>
        </w:rPr>
      </w:pPr>
    </w:p>
    <w:p>
      <w:pPr>
        <w:rPr>
          <w:rFonts w:ascii="宋体" w:hAnsi="宋体" w:cs="宋体"/>
          <w:color w:val="000000"/>
          <w:sz w:val="32"/>
          <w:szCs w:val="32"/>
        </w:rPr>
      </w:pPr>
    </w:p>
    <w:p>
      <w:pPr>
        <w:jc w:val="center"/>
        <w:rPr>
          <w:rFonts w:ascii="宋体" w:hAnsi="宋体" w:cs="宋体"/>
          <w:color w:val="000000"/>
          <w:sz w:val="48"/>
          <w:szCs w:val="48"/>
        </w:rPr>
      </w:pPr>
      <w:r>
        <w:rPr>
          <w:rFonts w:hint="eastAsia" w:ascii="宋体" w:hAnsi="宋体" w:cs="宋体"/>
          <w:color w:val="000000"/>
          <w:sz w:val="48"/>
          <w:szCs w:val="48"/>
        </w:rPr>
        <w:t>投标文件</w:t>
      </w:r>
    </w:p>
    <w:p>
      <w:pPr>
        <w:rPr>
          <w:rFonts w:ascii="宋体" w:hAnsi="宋体" w:cs="宋体"/>
          <w:color w:val="000000"/>
          <w:sz w:val="32"/>
          <w:szCs w:val="32"/>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jc w:val="center"/>
        <w:rPr>
          <w:rFonts w:ascii="宋体" w:hAnsi="宋体" w:cs="宋体"/>
          <w:color w:val="000000"/>
          <w:sz w:val="30"/>
          <w:szCs w:val="30"/>
        </w:rPr>
      </w:pPr>
      <w:r>
        <w:rPr>
          <w:rFonts w:hint="eastAsia" w:ascii="宋体" w:hAnsi="宋体" w:cs="宋体"/>
          <w:color w:val="000000"/>
          <w:sz w:val="30"/>
          <w:szCs w:val="30"/>
        </w:rPr>
        <w:t>投标人：（盖单位章）</w:t>
      </w:r>
    </w:p>
    <w:p>
      <w:pPr>
        <w:jc w:val="center"/>
        <w:rPr>
          <w:rFonts w:ascii="宋体" w:hAnsi="宋体" w:cs="宋体"/>
          <w:color w:val="000000"/>
          <w:sz w:val="30"/>
          <w:szCs w:val="30"/>
        </w:rPr>
      </w:pPr>
      <w:r>
        <w:rPr>
          <w:rFonts w:hint="eastAsia" w:ascii="宋体" w:hAnsi="宋体" w:cs="宋体"/>
          <w:color w:val="000000"/>
          <w:sz w:val="30"/>
          <w:szCs w:val="30"/>
        </w:rPr>
        <w:t>法定代表人或其委托代理人：（签字）</w:t>
      </w:r>
    </w:p>
    <w:p>
      <w:pPr>
        <w:ind w:firstLine="2250" w:firstLineChars="750"/>
        <w:rPr>
          <w:rFonts w:ascii="宋体" w:hAnsi="宋体" w:cs="宋体"/>
          <w:color w:val="000000"/>
          <w:sz w:val="30"/>
          <w:szCs w:val="30"/>
        </w:rPr>
      </w:pPr>
      <w:r>
        <w:rPr>
          <w:rFonts w:hint="eastAsia" w:ascii="宋体" w:hAnsi="宋体" w:cs="宋体"/>
          <w:color w:val="000000"/>
          <w:sz w:val="30"/>
          <w:szCs w:val="30"/>
        </w:rPr>
        <w:t>年月日</w:t>
      </w:r>
    </w:p>
    <w:p>
      <w:pPr>
        <w:pStyle w:val="4"/>
        <w:rPr>
          <w:color w:val="000000"/>
        </w:rPr>
      </w:pPr>
      <w:r>
        <w:rPr>
          <w:rFonts w:hint="eastAsia"/>
          <w:color w:val="000000"/>
        </w:rPr>
        <w:br w:type="page"/>
      </w:r>
      <w:bookmarkStart w:id="107" w:name="_Toc520815297"/>
      <w:r>
        <w:rPr>
          <w:rFonts w:hint="eastAsia"/>
          <w:color w:val="000000"/>
        </w:rPr>
        <w:t>1.2 投标文件目录</w:t>
      </w:r>
      <w:bookmarkEnd w:id="107"/>
    </w:p>
    <w:p>
      <w:pPr>
        <w:jc w:val="center"/>
        <w:rPr>
          <w:rFonts w:ascii="宋体" w:hAnsi="宋体" w:cs="宋体"/>
          <w:b/>
          <w:color w:val="000000"/>
          <w:szCs w:val="21"/>
        </w:rPr>
      </w:pPr>
    </w:p>
    <w:p>
      <w:pPr>
        <w:jc w:val="center"/>
        <w:rPr>
          <w:rFonts w:ascii="宋体" w:hAnsi="宋体" w:cs="宋体"/>
          <w:b/>
          <w:color w:val="000000"/>
          <w:szCs w:val="21"/>
        </w:rPr>
      </w:pPr>
      <w:r>
        <w:rPr>
          <w:rFonts w:hint="eastAsia" w:ascii="宋体" w:hAnsi="宋体" w:cs="宋体"/>
          <w:b/>
          <w:color w:val="000000"/>
          <w:szCs w:val="21"/>
        </w:rPr>
        <w:t>目   录</w:t>
      </w:r>
    </w:p>
    <w:p>
      <w:pPr>
        <w:jc w:val="center"/>
        <w:rPr>
          <w:rFonts w:ascii="宋体" w:hAnsi="宋体" w:cs="宋体"/>
          <w:b/>
          <w:color w:val="000000"/>
          <w:szCs w:val="21"/>
        </w:rPr>
      </w:pPr>
    </w:p>
    <w:p>
      <w:pPr>
        <w:rPr>
          <w:rFonts w:ascii="宋体" w:hAnsi="宋体" w:cs="宋体"/>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autoSpaceDE w:val="0"/>
        <w:autoSpaceDN w:val="0"/>
        <w:adjustRightInd w:val="0"/>
        <w:rPr>
          <w:rFonts w:ascii="宋体" w:hAnsi="宋体" w:cs="宋体"/>
          <w:b/>
          <w:color w:val="000000"/>
          <w:szCs w:val="21"/>
        </w:rPr>
      </w:pPr>
    </w:p>
    <w:p>
      <w:pPr>
        <w:pStyle w:val="3"/>
        <w:rPr>
          <w:color w:val="000000"/>
        </w:rPr>
      </w:pPr>
      <w:r>
        <w:rPr>
          <w:rFonts w:hint="eastAsia"/>
          <w:color w:val="000000"/>
        </w:rPr>
        <w:br w:type="page"/>
      </w:r>
      <w:bookmarkStart w:id="108" w:name="_Toc520815298"/>
      <w:r>
        <w:rPr>
          <w:rFonts w:hint="eastAsia"/>
          <w:color w:val="000000"/>
        </w:rPr>
        <w:t>2. 投标函</w:t>
      </w:r>
      <w:bookmarkEnd w:id="108"/>
    </w:p>
    <w:p>
      <w:pPr>
        <w:jc w:val="center"/>
        <w:rPr>
          <w:rFonts w:ascii="宋体" w:hAnsi="宋体" w:cs="宋体"/>
          <w:color w:val="000000"/>
          <w:szCs w:val="21"/>
        </w:rPr>
      </w:pPr>
    </w:p>
    <w:p>
      <w:pPr>
        <w:jc w:val="center"/>
        <w:rPr>
          <w:rFonts w:ascii="宋体" w:hAnsi="宋体" w:cs="宋体"/>
          <w:color w:val="000000"/>
          <w:sz w:val="40"/>
          <w:szCs w:val="21"/>
        </w:rPr>
      </w:pPr>
      <w:r>
        <w:rPr>
          <w:rFonts w:hint="eastAsia" w:ascii="宋体" w:hAnsi="宋体" w:cs="宋体"/>
          <w:color w:val="000000"/>
          <w:sz w:val="40"/>
          <w:szCs w:val="21"/>
        </w:rPr>
        <w:t>投标函</w:t>
      </w:r>
    </w:p>
    <w:p>
      <w:pPr>
        <w:rPr>
          <w:rFonts w:ascii="宋体" w:hAnsi="宋体" w:cs="宋体"/>
          <w:color w:val="000000"/>
          <w:szCs w:val="21"/>
        </w:rPr>
      </w:pPr>
    </w:p>
    <w:p>
      <w:pPr>
        <w:autoSpaceDE w:val="0"/>
        <w:autoSpaceDN w:val="0"/>
        <w:adjustRightInd w:val="0"/>
        <w:rPr>
          <w:rFonts w:ascii="宋体" w:hAnsi="宋体" w:cs="宋体"/>
          <w:color w:val="000000"/>
          <w:szCs w:val="21"/>
        </w:rPr>
      </w:pPr>
      <w:r>
        <w:rPr>
          <w:rFonts w:hint="eastAsia" w:ascii="宋体" w:hAnsi="宋体" w:cs="宋体"/>
          <w:color w:val="000000"/>
          <w:szCs w:val="21"/>
        </w:rPr>
        <w:t>（招标人名称）：</w:t>
      </w:r>
    </w:p>
    <w:p>
      <w:pPr>
        <w:autoSpaceDE w:val="0"/>
        <w:autoSpaceDN w:val="0"/>
        <w:adjustRightInd w:val="0"/>
        <w:rPr>
          <w:rFonts w:ascii="宋体" w:hAnsi="宋体" w:cs="宋体"/>
          <w:color w:val="000000"/>
          <w:szCs w:val="21"/>
        </w:rPr>
      </w:pP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1．在充分研究（项目名称及标段）监理招标文件的全部内容并考察工程现场后，我方兹以：人民币（大写）：元(RMB￥:元)的投标价格，按招标文件规定的监理服务期限和合同约定，实施和完成各项监理任务。</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2.我单位派驻现场的总监理工程师是。</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3．我方承诺，在投标有效期内不修改、撤销投标文件。</w:t>
      </w:r>
    </w:p>
    <w:p>
      <w:pPr>
        <w:autoSpaceDE w:val="0"/>
        <w:autoSpaceDN w:val="0"/>
        <w:adjustRightInd w:val="0"/>
        <w:spacing w:line="360" w:lineRule="auto"/>
        <w:ind w:firstLine="440" w:firstLineChars="200"/>
        <w:rPr>
          <w:rFonts w:hAnsi="宋体"/>
          <w:color w:val="000000"/>
          <w:szCs w:val="21"/>
        </w:rPr>
      </w:pPr>
      <w:r>
        <w:rPr>
          <w:rFonts w:hint="eastAsia" w:ascii="宋体" w:hAnsi="TimesNewRomanPSMT" w:cs="宋体"/>
          <w:color w:val="000000"/>
          <w:szCs w:val="21"/>
        </w:rPr>
        <w:t>4．如我方中标：我方保证按照合同约定履行相关职责和义务</w:t>
      </w:r>
      <w:r>
        <w:rPr>
          <w:rFonts w:hint="eastAsia" w:hAnsi="宋体"/>
          <w:color w:val="000000"/>
          <w:szCs w:val="21"/>
        </w:rPr>
        <w:t>，</w:t>
      </w:r>
      <w:r>
        <w:rPr>
          <w:rFonts w:hint="eastAsia" w:ascii="宋体" w:hAnsi="TimesNewRomanPSMT" w:cs="宋体"/>
          <w:color w:val="000000"/>
          <w:szCs w:val="21"/>
        </w:rPr>
        <w:t>确保工程质量达到。</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5．我方同意本投标函在招标文件规定的提交投标文件截止时间后，在招标文件规定的投标有效期期满前对我方具有约束力，且随时准备接受你方发出的中标通知书。</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6．在签署合同协议书之前，你方的中标通知书连同本投标函，对双方具有约束力。</w:t>
      </w:r>
    </w:p>
    <w:p>
      <w:pPr>
        <w:autoSpaceDE w:val="0"/>
        <w:autoSpaceDN w:val="0"/>
        <w:adjustRightInd w:val="0"/>
        <w:spacing w:line="360" w:lineRule="auto"/>
        <w:ind w:firstLine="440" w:firstLineChars="200"/>
        <w:rPr>
          <w:rFonts w:ascii="宋体" w:hAnsi="TimesNewRomanPSMT" w:cs="宋体"/>
          <w:color w:val="000000"/>
          <w:szCs w:val="21"/>
        </w:rPr>
      </w:pPr>
      <w:r>
        <w:rPr>
          <w:rFonts w:hint="eastAsia" w:ascii="宋体" w:hAnsi="TimesNewRomanPSMT" w:cs="宋体"/>
          <w:color w:val="000000"/>
          <w:szCs w:val="21"/>
        </w:rPr>
        <w:t>7.我方承诺在本次投标过程中无弄虚作假和串通投标等违法、违规行为，并愿意承担因弄虚作假和串通投标所引起的一切法律责任。</w:t>
      </w: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2208" w:firstLineChars="1004"/>
        <w:rPr>
          <w:rFonts w:ascii="宋体" w:hAnsi="宋体" w:cs="宋体"/>
          <w:color w:val="000000"/>
          <w:szCs w:val="21"/>
        </w:rPr>
      </w:pPr>
      <w:r>
        <w:rPr>
          <w:rFonts w:hint="eastAsia" w:ascii="宋体" w:hAnsi="宋体" w:cs="宋体"/>
          <w:color w:val="000000"/>
          <w:szCs w:val="21"/>
        </w:rPr>
        <w:t xml:space="preserve">投标人（盖章）：    </w:t>
      </w:r>
    </w:p>
    <w:p>
      <w:pPr>
        <w:autoSpaceDE w:val="0"/>
        <w:autoSpaceDN w:val="0"/>
        <w:adjustRightInd w:val="0"/>
        <w:ind w:firstLine="2208" w:firstLineChars="1004"/>
        <w:rPr>
          <w:rFonts w:ascii="宋体" w:hAnsi="宋体" w:cs="宋体"/>
          <w:color w:val="000000"/>
          <w:szCs w:val="21"/>
        </w:rPr>
      </w:pPr>
    </w:p>
    <w:p>
      <w:pPr>
        <w:autoSpaceDE w:val="0"/>
        <w:autoSpaceDN w:val="0"/>
        <w:adjustRightInd w:val="0"/>
        <w:ind w:firstLine="2208" w:firstLineChars="1004"/>
        <w:rPr>
          <w:rFonts w:ascii="宋体" w:hAnsi="宋体" w:cs="宋体"/>
          <w:color w:val="000000"/>
          <w:szCs w:val="21"/>
        </w:rPr>
      </w:pPr>
    </w:p>
    <w:p>
      <w:pPr>
        <w:autoSpaceDE w:val="0"/>
        <w:autoSpaceDN w:val="0"/>
        <w:adjustRightInd w:val="0"/>
        <w:ind w:firstLine="2208" w:firstLineChars="1004"/>
        <w:rPr>
          <w:rFonts w:ascii="宋体" w:hAnsi="宋体" w:cs="宋体"/>
          <w:color w:val="000000"/>
          <w:szCs w:val="21"/>
        </w:rPr>
      </w:pPr>
      <w:r>
        <w:rPr>
          <w:rFonts w:hint="eastAsia" w:ascii="宋体" w:hAnsi="宋体" w:cs="宋体"/>
          <w:color w:val="000000"/>
          <w:szCs w:val="21"/>
        </w:rPr>
        <w:t xml:space="preserve">法定代表人或其委托代理人（签字或印章）：     </w:t>
      </w:r>
    </w:p>
    <w:p>
      <w:pPr>
        <w:autoSpaceDE w:val="0"/>
        <w:autoSpaceDN w:val="0"/>
        <w:adjustRightInd w:val="0"/>
        <w:ind w:firstLine="2208" w:firstLineChars="1004"/>
        <w:rPr>
          <w:rFonts w:ascii="宋体" w:hAnsi="宋体" w:cs="宋体"/>
          <w:color w:val="000000"/>
          <w:szCs w:val="21"/>
        </w:rPr>
      </w:pPr>
    </w:p>
    <w:p>
      <w:pPr>
        <w:autoSpaceDE w:val="0"/>
        <w:autoSpaceDN w:val="0"/>
        <w:adjustRightInd w:val="0"/>
        <w:ind w:firstLine="2208" w:firstLineChars="1004"/>
        <w:rPr>
          <w:rFonts w:ascii="宋体" w:hAnsi="宋体" w:cs="宋体"/>
          <w:color w:val="000000"/>
          <w:szCs w:val="21"/>
        </w:rPr>
      </w:pPr>
    </w:p>
    <w:p>
      <w:pPr>
        <w:autoSpaceDE w:val="0"/>
        <w:autoSpaceDN w:val="0"/>
        <w:adjustRightInd w:val="0"/>
        <w:ind w:firstLine="2208" w:firstLineChars="1004"/>
        <w:rPr>
          <w:rFonts w:ascii="宋体" w:hAnsi="宋体" w:cs="宋体"/>
          <w:color w:val="000000"/>
          <w:szCs w:val="21"/>
        </w:rPr>
      </w:pPr>
      <w:r>
        <w:rPr>
          <w:rFonts w:hint="eastAsia" w:ascii="宋体" w:hAnsi="宋体" w:cs="宋体"/>
          <w:color w:val="000000"/>
          <w:szCs w:val="21"/>
        </w:rPr>
        <w:t>日期：年月日</w:t>
      </w:r>
    </w:p>
    <w:p>
      <w:pPr>
        <w:pStyle w:val="3"/>
        <w:rPr>
          <w:color w:val="000000"/>
        </w:rPr>
      </w:pPr>
      <w:r>
        <w:rPr>
          <w:rFonts w:hint="eastAsia"/>
          <w:color w:val="000000"/>
        </w:rPr>
        <w:br w:type="page"/>
      </w:r>
      <w:bookmarkStart w:id="109" w:name="_Toc520815299"/>
      <w:r>
        <w:rPr>
          <w:rFonts w:hint="eastAsia"/>
          <w:color w:val="000000"/>
        </w:rPr>
        <w:t>3. 法定代表人身份证明</w:t>
      </w:r>
      <w:bookmarkEnd w:id="109"/>
    </w:p>
    <w:p>
      <w:pPr>
        <w:autoSpaceDE w:val="0"/>
        <w:autoSpaceDN w:val="0"/>
        <w:adjustRightInd w:val="0"/>
        <w:ind w:firstLine="440" w:firstLineChars="200"/>
        <w:rPr>
          <w:rFonts w:ascii="宋体" w:hAnsi="宋体" w:cs="宋体"/>
          <w:color w:val="000000"/>
          <w:szCs w:val="21"/>
        </w:rPr>
      </w:pPr>
    </w:p>
    <w:p>
      <w:pPr>
        <w:autoSpaceDE w:val="0"/>
        <w:autoSpaceDN w:val="0"/>
        <w:adjustRightInd w:val="0"/>
        <w:ind w:firstLine="440" w:firstLineChars="200"/>
        <w:rPr>
          <w:rFonts w:ascii="宋体" w:hAnsi="宋体" w:cs="宋体"/>
          <w:color w:val="000000"/>
          <w:szCs w:val="21"/>
        </w:rPr>
      </w:pPr>
    </w:p>
    <w:p>
      <w:pPr>
        <w:autoSpaceDE w:val="0"/>
        <w:autoSpaceDN w:val="0"/>
        <w:adjustRightInd w:val="0"/>
        <w:spacing w:line="360" w:lineRule="auto"/>
        <w:jc w:val="center"/>
        <w:rPr>
          <w:rFonts w:ascii="宋体" w:hAnsi="宋体" w:cs="宋体"/>
          <w:color w:val="000000"/>
          <w:szCs w:val="21"/>
        </w:rPr>
      </w:pPr>
      <w:r>
        <w:rPr>
          <w:rFonts w:hint="eastAsia" w:ascii="宋体" w:hAnsi="宋体" w:cs="宋体"/>
          <w:color w:val="000000"/>
          <w:szCs w:val="21"/>
        </w:rPr>
        <w:t>法定代表人身份证明</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投 标 人：</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单位性质：</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地    址：</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成立时间：年月日</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经营期限：</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姓    名：    性        别：</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年    龄：    职        务：</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系（投标人名称）的法定代表人。</w:t>
      </w:r>
    </w:p>
    <w:p>
      <w:pPr>
        <w:autoSpaceDE w:val="0"/>
        <w:autoSpaceDN w:val="0"/>
        <w:adjustRightInd w:val="0"/>
        <w:spacing w:line="360" w:lineRule="auto"/>
        <w:ind w:firstLine="880" w:firstLineChars="400"/>
        <w:rPr>
          <w:rFonts w:ascii="宋体" w:hAnsi="宋体" w:cs="宋体"/>
          <w:color w:val="000000"/>
          <w:szCs w:val="21"/>
        </w:rPr>
      </w:pPr>
      <w:r>
        <w:rPr>
          <w:rFonts w:hint="eastAsia" w:ascii="宋体" w:hAnsi="宋体" w:cs="宋体"/>
          <w:color w:val="000000"/>
          <w:szCs w:val="21"/>
        </w:rPr>
        <w:t>特此证明。</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2090" w:firstLineChars="950"/>
        <w:rPr>
          <w:rFonts w:ascii="宋体" w:hAnsi="宋体" w:cs="宋体"/>
          <w:color w:val="000000"/>
          <w:szCs w:val="21"/>
        </w:rPr>
      </w:pPr>
      <w:r>
        <w:rPr>
          <w:rFonts w:hint="eastAsia" w:ascii="宋体" w:hAnsi="宋体" w:cs="宋体"/>
          <w:color w:val="000000"/>
          <w:szCs w:val="21"/>
        </w:rPr>
        <w:t>投标人：（盖单位章）</w:t>
      </w:r>
    </w:p>
    <w:p>
      <w:pPr>
        <w:autoSpaceDE w:val="0"/>
        <w:autoSpaceDN w:val="0"/>
        <w:adjustRightInd w:val="0"/>
        <w:spacing w:line="360" w:lineRule="auto"/>
        <w:ind w:firstLine="2090" w:firstLineChars="95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 xml:space="preserve">年月日  </w:t>
      </w:r>
    </w:p>
    <w:p>
      <w:pPr>
        <w:pStyle w:val="3"/>
        <w:rPr>
          <w:color w:val="000000"/>
        </w:rPr>
      </w:pPr>
      <w:r>
        <w:rPr>
          <w:rFonts w:hint="eastAsia"/>
          <w:color w:val="000000"/>
        </w:rPr>
        <w:br w:type="page"/>
      </w:r>
      <w:bookmarkStart w:id="110" w:name="_Toc520815300"/>
      <w:r>
        <w:rPr>
          <w:rFonts w:hint="eastAsia"/>
          <w:color w:val="000000"/>
        </w:rPr>
        <w:t>4. 授权委托书</w:t>
      </w:r>
      <w:bookmarkEnd w:id="110"/>
    </w:p>
    <w:p>
      <w:pPr>
        <w:autoSpaceDE w:val="0"/>
        <w:autoSpaceDN w:val="0"/>
        <w:adjustRightInd w:val="0"/>
        <w:rPr>
          <w:rFonts w:ascii="宋体" w:hAnsi="宋体" w:cs="宋体"/>
          <w:color w:val="000000"/>
          <w:szCs w:val="21"/>
        </w:rPr>
      </w:pPr>
    </w:p>
    <w:p>
      <w:pPr>
        <w:autoSpaceDE w:val="0"/>
        <w:autoSpaceDN w:val="0"/>
        <w:adjustRightInd w:val="0"/>
        <w:spacing w:line="360" w:lineRule="auto"/>
        <w:jc w:val="center"/>
        <w:rPr>
          <w:rFonts w:ascii="宋体" w:hAnsi="宋体" w:cs="宋体"/>
          <w:color w:val="000000"/>
          <w:sz w:val="32"/>
          <w:szCs w:val="32"/>
        </w:rPr>
      </w:pPr>
      <w:r>
        <w:rPr>
          <w:rFonts w:hint="eastAsia" w:ascii="宋体" w:hAnsi="宋体" w:cs="宋体"/>
          <w:color w:val="000000"/>
          <w:sz w:val="32"/>
          <w:szCs w:val="32"/>
        </w:rPr>
        <w:t>授权委托书</w:t>
      </w:r>
    </w:p>
    <w:p>
      <w:pPr>
        <w:autoSpaceDE w:val="0"/>
        <w:autoSpaceDN w:val="0"/>
        <w:adjustRightInd w:val="0"/>
        <w:spacing w:line="360" w:lineRule="auto"/>
        <w:jc w:val="center"/>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本人（姓名）系（投标人名称）的法定代表人，现委托（姓名）为我方代理人。代理人根据授权，以我方名义签署、澄清、说明、补正、递交、撤回、修改（项目名称及标段）      监理投标文件、签订合同和处理有关事宜，其法律后果由我方承担。</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委托期限： 。</w:t>
      </w: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代理人无转委托权。</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附：法定代表人身份证明</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投  标  人：（盖单位章）</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法定代表人：（签字）</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u w:val="single"/>
        </w:rPr>
      </w:pPr>
      <w:r>
        <w:rPr>
          <w:rFonts w:hint="eastAsia" w:ascii="宋体" w:hAnsi="宋体" w:cs="宋体"/>
          <w:color w:val="000000"/>
          <w:szCs w:val="21"/>
        </w:rPr>
        <w:t>身份证号码：</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rPr>
      </w:pPr>
      <w:r>
        <w:rPr>
          <w:rFonts w:hint="eastAsia" w:ascii="宋体" w:hAnsi="宋体" w:cs="宋体"/>
          <w:color w:val="000000"/>
          <w:szCs w:val="21"/>
        </w:rPr>
        <w:t>委托代理人：（签字）</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440" w:firstLineChars="200"/>
        <w:rPr>
          <w:rFonts w:ascii="宋体" w:hAnsi="宋体" w:cs="宋体"/>
          <w:color w:val="000000"/>
          <w:szCs w:val="21"/>
          <w:u w:val="single"/>
        </w:rPr>
      </w:pPr>
      <w:r>
        <w:rPr>
          <w:rFonts w:hint="eastAsia" w:ascii="宋体" w:hAnsi="宋体" w:cs="宋体"/>
          <w:color w:val="000000"/>
          <w:szCs w:val="21"/>
        </w:rPr>
        <w:t>身份证号码：</w:t>
      </w:r>
    </w:p>
    <w:p>
      <w:pPr>
        <w:autoSpaceDE w:val="0"/>
        <w:autoSpaceDN w:val="0"/>
        <w:adjustRightInd w:val="0"/>
        <w:spacing w:line="360" w:lineRule="auto"/>
        <w:ind w:firstLine="440" w:firstLineChars="200"/>
        <w:rPr>
          <w:rFonts w:ascii="宋体" w:hAnsi="宋体" w:cs="宋体"/>
          <w:color w:val="000000"/>
          <w:szCs w:val="21"/>
        </w:rPr>
      </w:pPr>
    </w:p>
    <w:p>
      <w:pPr>
        <w:autoSpaceDE w:val="0"/>
        <w:autoSpaceDN w:val="0"/>
        <w:adjustRightInd w:val="0"/>
        <w:spacing w:line="360" w:lineRule="auto"/>
        <w:ind w:firstLine="3410" w:firstLineChars="1550"/>
        <w:rPr>
          <w:rFonts w:ascii="宋体" w:hAnsi="宋体" w:cs="宋体"/>
          <w:color w:val="000000"/>
          <w:szCs w:val="21"/>
          <w:u w:val="single"/>
        </w:rPr>
      </w:pPr>
    </w:p>
    <w:p>
      <w:pPr>
        <w:autoSpaceDE w:val="0"/>
        <w:autoSpaceDN w:val="0"/>
        <w:adjustRightInd w:val="0"/>
        <w:spacing w:line="360" w:lineRule="auto"/>
        <w:ind w:firstLine="3410" w:firstLineChars="1550"/>
        <w:rPr>
          <w:rFonts w:ascii="宋体" w:hAnsi="宋体" w:cs="宋体"/>
          <w:color w:val="000000"/>
          <w:szCs w:val="21"/>
        </w:rPr>
      </w:pPr>
      <w:r>
        <w:rPr>
          <w:rFonts w:hint="eastAsia" w:ascii="宋体" w:hAnsi="宋体" w:cs="宋体"/>
          <w:color w:val="000000"/>
          <w:szCs w:val="21"/>
        </w:rPr>
        <w:t>年月日</w:t>
      </w:r>
    </w:p>
    <w:p>
      <w:pPr>
        <w:pStyle w:val="3"/>
        <w:spacing w:line="360" w:lineRule="auto"/>
        <w:rPr>
          <w:rFonts w:ascii="宋体" w:hAnsi="宋体" w:cs="宋体"/>
          <w:color w:val="000000"/>
          <w:szCs w:val="21"/>
        </w:rPr>
      </w:pPr>
      <w:r>
        <w:rPr>
          <w:color w:val="000000"/>
        </w:rPr>
        <w:br w:type="page"/>
      </w:r>
      <w:bookmarkStart w:id="111" w:name="_Toc520815302"/>
      <w:r>
        <w:rPr>
          <w:rFonts w:hint="eastAsia"/>
          <w:color w:val="000000"/>
        </w:rPr>
        <w:t>5.投标人基本情况表（含附件）</w:t>
      </w:r>
      <w:bookmarkEnd w:id="111"/>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97"/>
        <w:gridCol w:w="1183"/>
        <w:gridCol w:w="669"/>
        <w:gridCol w:w="815"/>
        <w:gridCol w:w="1132"/>
        <w:gridCol w:w="178"/>
        <w:gridCol w:w="50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投标人名称</w:t>
            </w:r>
          </w:p>
        </w:tc>
        <w:tc>
          <w:tcPr>
            <w:tcW w:w="6906" w:type="dxa"/>
            <w:gridSpan w:val="8"/>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注册地址</w:t>
            </w:r>
          </w:p>
        </w:tc>
        <w:tc>
          <w:tcPr>
            <w:tcW w:w="3864" w:type="dxa"/>
            <w:gridSpan w:val="4"/>
            <w:vAlign w:val="center"/>
          </w:tcPr>
          <w:p>
            <w:pPr>
              <w:jc w:val="center"/>
              <w:rPr>
                <w:rFonts w:ascii="宋体" w:hAnsi="宋体" w:cs="宋体"/>
                <w:color w:val="000000"/>
                <w:szCs w:val="21"/>
              </w:rPr>
            </w:pPr>
          </w:p>
        </w:tc>
        <w:tc>
          <w:tcPr>
            <w:tcW w:w="1132" w:type="dxa"/>
            <w:vAlign w:val="center"/>
          </w:tcPr>
          <w:p>
            <w:pPr>
              <w:jc w:val="center"/>
              <w:rPr>
                <w:rFonts w:ascii="宋体" w:hAnsi="宋体" w:cs="宋体"/>
                <w:color w:val="000000"/>
                <w:szCs w:val="21"/>
              </w:rPr>
            </w:pPr>
            <w:r>
              <w:rPr>
                <w:rFonts w:hint="eastAsia" w:ascii="宋体" w:hAnsi="宋体" w:cs="宋体"/>
                <w:color w:val="000000"/>
                <w:szCs w:val="21"/>
              </w:rPr>
              <w:t>邮政编码</w:t>
            </w:r>
          </w:p>
        </w:tc>
        <w:tc>
          <w:tcPr>
            <w:tcW w:w="1910" w:type="dxa"/>
            <w:gridSpan w:val="3"/>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restart"/>
            <w:vAlign w:val="center"/>
          </w:tcPr>
          <w:p>
            <w:pPr>
              <w:jc w:val="center"/>
              <w:rPr>
                <w:rFonts w:ascii="宋体" w:hAnsi="宋体" w:cs="宋体"/>
                <w:color w:val="000000"/>
                <w:szCs w:val="21"/>
              </w:rPr>
            </w:pPr>
            <w:r>
              <w:rPr>
                <w:rFonts w:hint="eastAsia" w:ascii="宋体" w:hAnsi="宋体" w:cs="宋体"/>
                <w:color w:val="000000"/>
                <w:szCs w:val="21"/>
              </w:rPr>
              <w:t>联系方式</w:t>
            </w:r>
          </w:p>
        </w:tc>
        <w:tc>
          <w:tcPr>
            <w:tcW w:w="1197" w:type="dxa"/>
            <w:vAlign w:val="center"/>
          </w:tcPr>
          <w:p>
            <w:pPr>
              <w:jc w:val="center"/>
              <w:rPr>
                <w:rFonts w:ascii="宋体" w:hAnsi="宋体" w:cs="宋体"/>
                <w:color w:val="000000"/>
                <w:szCs w:val="21"/>
              </w:rPr>
            </w:pPr>
            <w:r>
              <w:rPr>
                <w:rFonts w:hint="eastAsia" w:ascii="宋体" w:hAnsi="宋体" w:cs="宋体"/>
                <w:color w:val="000000"/>
                <w:szCs w:val="21"/>
              </w:rPr>
              <w:t>联系人</w:t>
            </w:r>
          </w:p>
        </w:tc>
        <w:tc>
          <w:tcPr>
            <w:tcW w:w="2667" w:type="dxa"/>
            <w:gridSpan w:val="3"/>
            <w:vAlign w:val="center"/>
          </w:tcPr>
          <w:p>
            <w:pPr>
              <w:jc w:val="center"/>
              <w:rPr>
                <w:rFonts w:ascii="宋体" w:hAnsi="宋体" w:cs="宋体"/>
                <w:color w:val="000000"/>
                <w:szCs w:val="21"/>
              </w:rPr>
            </w:pPr>
          </w:p>
        </w:tc>
        <w:tc>
          <w:tcPr>
            <w:tcW w:w="1132" w:type="dxa"/>
            <w:vAlign w:val="center"/>
          </w:tcPr>
          <w:p>
            <w:pPr>
              <w:jc w:val="center"/>
              <w:rPr>
                <w:rFonts w:ascii="宋体" w:hAnsi="宋体" w:cs="宋体"/>
                <w:color w:val="000000"/>
                <w:szCs w:val="21"/>
              </w:rPr>
            </w:pPr>
            <w:r>
              <w:rPr>
                <w:rFonts w:hint="eastAsia" w:ascii="宋体" w:hAnsi="宋体" w:cs="宋体"/>
                <w:color w:val="000000"/>
                <w:szCs w:val="21"/>
              </w:rPr>
              <w:t>电话</w:t>
            </w:r>
          </w:p>
        </w:tc>
        <w:tc>
          <w:tcPr>
            <w:tcW w:w="1910" w:type="dxa"/>
            <w:gridSpan w:val="3"/>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continue"/>
            <w:vAlign w:val="center"/>
          </w:tcPr>
          <w:p>
            <w:pPr>
              <w:jc w:val="center"/>
              <w:rPr>
                <w:rFonts w:ascii="宋体" w:hAnsi="宋体" w:cs="宋体"/>
                <w:color w:val="000000"/>
                <w:szCs w:val="21"/>
              </w:rPr>
            </w:pPr>
          </w:p>
        </w:tc>
        <w:tc>
          <w:tcPr>
            <w:tcW w:w="1197" w:type="dxa"/>
            <w:vAlign w:val="center"/>
          </w:tcPr>
          <w:p>
            <w:pPr>
              <w:jc w:val="center"/>
              <w:rPr>
                <w:rFonts w:ascii="宋体" w:hAnsi="宋体" w:cs="宋体"/>
                <w:color w:val="000000"/>
                <w:szCs w:val="21"/>
              </w:rPr>
            </w:pPr>
            <w:r>
              <w:rPr>
                <w:rFonts w:hint="eastAsia" w:ascii="宋体" w:hAnsi="宋体" w:cs="宋体"/>
                <w:color w:val="000000"/>
                <w:szCs w:val="21"/>
              </w:rPr>
              <w:t>传真</w:t>
            </w:r>
          </w:p>
        </w:tc>
        <w:tc>
          <w:tcPr>
            <w:tcW w:w="2667" w:type="dxa"/>
            <w:gridSpan w:val="3"/>
            <w:vAlign w:val="center"/>
          </w:tcPr>
          <w:p>
            <w:pPr>
              <w:jc w:val="center"/>
              <w:rPr>
                <w:rFonts w:ascii="宋体" w:hAnsi="宋体" w:cs="宋体"/>
                <w:color w:val="000000"/>
                <w:szCs w:val="21"/>
              </w:rPr>
            </w:pPr>
          </w:p>
        </w:tc>
        <w:tc>
          <w:tcPr>
            <w:tcW w:w="1132" w:type="dxa"/>
            <w:vAlign w:val="center"/>
          </w:tcPr>
          <w:p>
            <w:pPr>
              <w:jc w:val="center"/>
              <w:rPr>
                <w:rFonts w:ascii="宋体" w:hAnsi="宋体" w:cs="宋体"/>
                <w:color w:val="000000"/>
                <w:szCs w:val="21"/>
              </w:rPr>
            </w:pPr>
            <w:r>
              <w:rPr>
                <w:rFonts w:hint="eastAsia" w:ascii="宋体" w:hAnsi="宋体" w:cs="宋体"/>
                <w:color w:val="000000"/>
                <w:szCs w:val="21"/>
              </w:rPr>
              <w:t>网址</w:t>
            </w:r>
          </w:p>
        </w:tc>
        <w:tc>
          <w:tcPr>
            <w:tcW w:w="1910" w:type="dxa"/>
            <w:gridSpan w:val="3"/>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组织结构</w:t>
            </w:r>
          </w:p>
        </w:tc>
        <w:tc>
          <w:tcPr>
            <w:tcW w:w="6906" w:type="dxa"/>
            <w:gridSpan w:val="8"/>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法定代表人</w:t>
            </w:r>
          </w:p>
        </w:tc>
        <w:tc>
          <w:tcPr>
            <w:tcW w:w="1197" w:type="dxa"/>
            <w:vAlign w:val="center"/>
          </w:tcPr>
          <w:p>
            <w:pPr>
              <w:jc w:val="center"/>
              <w:rPr>
                <w:rFonts w:ascii="宋体" w:hAnsi="宋体" w:cs="宋体"/>
                <w:color w:val="000000"/>
                <w:szCs w:val="21"/>
              </w:rPr>
            </w:pPr>
            <w:r>
              <w:rPr>
                <w:rFonts w:hint="eastAsia" w:ascii="宋体" w:hAnsi="宋体" w:cs="宋体"/>
                <w:color w:val="000000"/>
                <w:szCs w:val="21"/>
              </w:rPr>
              <w:t>姓名</w:t>
            </w:r>
          </w:p>
        </w:tc>
        <w:tc>
          <w:tcPr>
            <w:tcW w:w="1183" w:type="dxa"/>
            <w:vAlign w:val="center"/>
          </w:tcPr>
          <w:p>
            <w:pPr>
              <w:jc w:val="center"/>
              <w:rPr>
                <w:rFonts w:ascii="宋体" w:hAnsi="宋体" w:cs="宋体"/>
                <w:color w:val="000000"/>
                <w:szCs w:val="21"/>
              </w:rPr>
            </w:pPr>
          </w:p>
        </w:tc>
        <w:tc>
          <w:tcPr>
            <w:tcW w:w="1484" w:type="dxa"/>
            <w:gridSpan w:val="2"/>
            <w:vAlign w:val="center"/>
          </w:tcPr>
          <w:p>
            <w:pPr>
              <w:jc w:val="center"/>
              <w:rPr>
                <w:rFonts w:ascii="宋体" w:hAnsi="宋体" w:cs="宋体"/>
                <w:color w:val="000000"/>
                <w:szCs w:val="21"/>
              </w:rPr>
            </w:pPr>
            <w:r>
              <w:rPr>
                <w:rFonts w:hint="eastAsia" w:ascii="宋体" w:hAnsi="宋体" w:cs="宋体"/>
                <w:color w:val="000000"/>
                <w:szCs w:val="21"/>
              </w:rPr>
              <w:t>技术职称</w:t>
            </w:r>
          </w:p>
        </w:tc>
        <w:tc>
          <w:tcPr>
            <w:tcW w:w="1132" w:type="dxa"/>
            <w:vAlign w:val="center"/>
          </w:tcPr>
          <w:p>
            <w:pPr>
              <w:jc w:val="center"/>
              <w:rPr>
                <w:rFonts w:ascii="宋体" w:hAnsi="宋体" w:cs="宋体"/>
                <w:color w:val="000000"/>
                <w:szCs w:val="21"/>
              </w:rPr>
            </w:pPr>
          </w:p>
        </w:tc>
        <w:tc>
          <w:tcPr>
            <w:tcW w:w="678" w:type="dxa"/>
            <w:gridSpan w:val="2"/>
            <w:vAlign w:val="center"/>
          </w:tcPr>
          <w:p>
            <w:pPr>
              <w:jc w:val="center"/>
              <w:rPr>
                <w:rFonts w:ascii="宋体" w:hAnsi="宋体" w:cs="宋体"/>
                <w:color w:val="000000"/>
                <w:szCs w:val="21"/>
              </w:rPr>
            </w:pPr>
            <w:r>
              <w:rPr>
                <w:rFonts w:hint="eastAsia" w:ascii="宋体" w:hAnsi="宋体" w:cs="宋体"/>
                <w:color w:val="000000"/>
                <w:szCs w:val="21"/>
              </w:rPr>
              <w:t>电话</w:t>
            </w:r>
          </w:p>
        </w:tc>
        <w:tc>
          <w:tcPr>
            <w:tcW w:w="1232"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技术负责人</w:t>
            </w:r>
          </w:p>
        </w:tc>
        <w:tc>
          <w:tcPr>
            <w:tcW w:w="1197" w:type="dxa"/>
            <w:vAlign w:val="center"/>
          </w:tcPr>
          <w:p>
            <w:pPr>
              <w:jc w:val="center"/>
              <w:rPr>
                <w:rFonts w:ascii="宋体" w:hAnsi="宋体" w:cs="宋体"/>
                <w:color w:val="000000"/>
                <w:szCs w:val="21"/>
              </w:rPr>
            </w:pPr>
            <w:r>
              <w:rPr>
                <w:rFonts w:hint="eastAsia" w:ascii="宋体" w:hAnsi="宋体" w:cs="宋体"/>
                <w:color w:val="000000"/>
                <w:szCs w:val="21"/>
              </w:rPr>
              <w:t>姓名</w:t>
            </w:r>
          </w:p>
        </w:tc>
        <w:tc>
          <w:tcPr>
            <w:tcW w:w="1183" w:type="dxa"/>
            <w:vAlign w:val="center"/>
          </w:tcPr>
          <w:p>
            <w:pPr>
              <w:jc w:val="center"/>
              <w:rPr>
                <w:rFonts w:ascii="宋体" w:hAnsi="宋体" w:cs="宋体"/>
                <w:color w:val="000000"/>
                <w:szCs w:val="21"/>
              </w:rPr>
            </w:pPr>
          </w:p>
        </w:tc>
        <w:tc>
          <w:tcPr>
            <w:tcW w:w="1484" w:type="dxa"/>
            <w:gridSpan w:val="2"/>
            <w:vAlign w:val="center"/>
          </w:tcPr>
          <w:p>
            <w:pPr>
              <w:jc w:val="center"/>
              <w:rPr>
                <w:rFonts w:ascii="宋体" w:hAnsi="宋体" w:cs="宋体"/>
                <w:color w:val="000000"/>
                <w:szCs w:val="21"/>
              </w:rPr>
            </w:pPr>
            <w:r>
              <w:rPr>
                <w:rFonts w:hint="eastAsia" w:ascii="宋体" w:hAnsi="宋体" w:cs="宋体"/>
                <w:color w:val="000000"/>
                <w:szCs w:val="21"/>
              </w:rPr>
              <w:t>技术职称</w:t>
            </w:r>
          </w:p>
        </w:tc>
        <w:tc>
          <w:tcPr>
            <w:tcW w:w="1132" w:type="dxa"/>
            <w:vAlign w:val="center"/>
          </w:tcPr>
          <w:p>
            <w:pPr>
              <w:jc w:val="center"/>
              <w:rPr>
                <w:rFonts w:ascii="宋体" w:hAnsi="宋体" w:cs="宋体"/>
                <w:color w:val="000000"/>
                <w:szCs w:val="21"/>
              </w:rPr>
            </w:pPr>
          </w:p>
        </w:tc>
        <w:tc>
          <w:tcPr>
            <w:tcW w:w="678" w:type="dxa"/>
            <w:gridSpan w:val="2"/>
            <w:vAlign w:val="center"/>
          </w:tcPr>
          <w:p>
            <w:pPr>
              <w:jc w:val="center"/>
              <w:rPr>
                <w:rFonts w:ascii="宋体" w:hAnsi="宋体" w:cs="宋体"/>
                <w:color w:val="000000"/>
                <w:szCs w:val="21"/>
              </w:rPr>
            </w:pPr>
            <w:r>
              <w:rPr>
                <w:rFonts w:hint="eastAsia" w:ascii="宋体" w:hAnsi="宋体" w:cs="宋体"/>
                <w:color w:val="000000"/>
                <w:szCs w:val="21"/>
              </w:rPr>
              <w:t>电话</w:t>
            </w:r>
          </w:p>
        </w:tc>
        <w:tc>
          <w:tcPr>
            <w:tcW w:w="1232"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成立时间</w:t>
            </w:r>
          </w:p>
        </w:tc>
        <w:tc>
          <w:tcPr>
            <w:tcW w:w="2380" w:type="dxa"/>
            <w:gridSpan w:val="2"/>
            <w:vAlign w:val="center"/>
          </w:tcPr>
          <w:p>
            <w:pPr>
              <w:jc w:val="center"/>
              <w:rPr>
                <w:rFonts w:ascii="宋体" w:hAnsi="宋体" w:cs="宋体"/>
                <w:color w:val="000000"/>
                <w:szCs w:val="21"/>
              </w:rPr>
            </w:pPr>
          </w:p>
        </w:tc>
        <w:tc>
          <w:tcPr>
            <w:tcW w:w="4526" w:type="dxa"/>
            <w:gridSpan w:val="6"/>
            <w:vAlign w:val="center"/>
          </w:tcPr>
          <w:p>
            <w:pPr>
              <w:jc w:val="center"/>
              <w:rPr>
                <w:rFonts w:ascii="宋体" w:hAnsi="宋体" w:cs="宋体"/>
                <w:color w:val="000000"/>
                <w:szCs w:val="21"/>
              </w:rPr>
            </w:pPr>
            <w:r>
              <w:rPr>
                <w:rFonts w:hint="eastAsia" w:ascii="宋体" w:hAnsi="宋体" w:cs="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企业资质等级</w:t>
            </w:r>
          </w:p>
        </w:tc>
        <w:tc>
          <w:tcPr>
            <w:tcW w:w="2380" w:type="dxa"/>
            <w:gridSpan w:val="2"/>
            <w:vAlign w:val="center"/>
          </w:tcPr>
          <w:p>
            <w:pPr>
              <w:jc w:val="center"/>
              <w:rPr>
                <w:rFonts w:ascii="宋体" w:hAnsi="宋体" w:cs="宋体"/>
                <w:color w:val="000000"/>
                <w:szCs w:val="21"/>
              </w:rPr>
            </w:pPr>
          </w:p>
        </w:tc>
        <w:tc>
          <w:tcPr>
            <w:tcW w:w="669" w:type="dxa"/>
            <w:vMerge w:val="restart"/>
            <w:vAlign w:val="center"/>
          </w:tcPr>
          <w:p>
            <w:pPr>
              <w:jc w:val="center"/>
              <w:rPr>
                <w:rFonts w:ascii="宋体" w:hAnsi="宋体" w:cs="宋体"/>
                <w:color w:val="000000"/>
                <w:szCs w:val="21"/>
              </w:rPr>
            </w:pPr>
            <w:r>
              <w:rPr>
                <w:rFonts w:hint="eastAsia" w:ascii="宋体" w:hAnsi="宋体" w:cs="宋体"/>
                <w:color w:val="000000"/>
                <w:szCs w:val="21"/>
              </w:rPr>
              <w:t>其中</w:t>
            </w:r>
          </w:p>
        </w:tc>
        <w:tc>
          <w:tcPr>
            <w:tcW w:w="2125" w:type="dxa"/>
            <w:gridSpan w:val="3"/>
            <w:vAlign w:val="center"/>
          </w:tcPr>
          <w:p>
            <w:pPr>
              <w:jc w:val="center"/>
              <w:rPr>
                <w:rFonts w:ascii="宋体" w:hAnsi="宋体" w:cs="宋体"/>
                <w:color w:val="000000"/>
                <w:szCs w:val="21"/>
              </w:rPr>
            </w:pPr>
            <w:r>
              <w:rPr>
                <w:rFonts w:hint="eastAsia" w:ascii="宋体" w:hAnsi="宋体" w:cs="宋体"/>
                <w:color w:val="000000"/>
                <w:szCs w:val="21"/>
              </w:rPr>
              <w:t>国家注册监理工程师</w:t>
            </w:r>
          </w:p>
        </w:tc>
        <w:tc>
          <w:tcPr>
            <w:tcW w:w="1732"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营业执照号</w:t>
            </w:r>
          </w:p>
        </w:tc>
        <w:tc>
          <w:tcPr>
            <w:tcW w:w="2380" w:type="dxa"/>
            <w:gridSpan w:val="2"/>
            <w:vAlign w:val="center"/>
          </w:tcPr>
          <w:p>
            <w:pPr>
              <w:jc w:val="center"/>
              <w:rPr>
                <w:rFonts w:ascii="宋体" w:hAnsi="宋体" w:cs="宋体"/>
                <w:color w:val="000000"/>
                <w:szCs w:val="21"/>
              </w:rPr>
            </w:pPr>
          </w:p>
        </w:tc>
        <w:tc>
          <w:tcPr>
            <w:tcW w:w="669" w:type="dxa"/>
            <w:vMerge w:val="continue"/>
            <w:vAlign w:val="center"/>
          </w:tcPr>
          <w:p>
            <w:pPr>
              <w:jc w:val="center"/>
              <w:rPr>
                <w:rFonts w:ascii="宋体" w:hAnsi="宋体" w:cs="宋体"/>
                <w:color w:val="000000"/>
                <w:szCs w:val="21"/>
              </w:rPr>
            </w:pPr>
          </w:p>
        </w:tc>
        <w:tc>
          <w:tcPr>
            <w:tcW w:w="2125" w:type="dxa"/>
            <w:gridSpan w:val="3"/>
            <w:vAlign w:val="center"/>
          </w:tcPr>
          <w:p>
            <w:pPr>
              <w:jc w:val="center"/>
              <w:rPr>
                <w:rFonts w:ascii="宋体" w:hAnsi="宋体" w:cs="宋体"/>
                <w:color w:val="000000"/>
                <w:szCs w:val="21"/>
              </w:rPr>
            </w:pPr>
            <w:r>
              <w:rPr>
                <w:rFonts w:hint="eastAsia" w:ascii="宋体" w:hAnsi="宋体" w:cs="宋体"/>
                <w:color w:val="000000"/>
                <w:szCs w:val="21"/>
              </w:rPr>
              <w:t>省监理工程师</w:t>
            </w:r>
          </w:p>
        </w:tc>
        <w:tc>
          <w:tcPr>
            <w:tcW w:w="1732"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注册资金</w:t>
            </w:r>
          </w:p>
        </w:tc>
        <w:tc>
          <w:tcPr>
            <w:tcW w:w="2380" w:type="dxa"/>
            <w:gridSpan w:val="2"/>
            <w:vAlign w:val="center"/>
          </w:tcPr>
          <w:p>
            <w:pPr>
              <w:jc w:val="center"/>
              <w:rPr>
                <w:rFonts w:ascii="宋体" w:hAnsi="宋体" w:cs="宋体"/>
                <w:color w:val="000000"/>
                <w:szCs w:val="21"/>
              </w:rPr>
            </w:pPr>
          </w:p>
        </w:tc>
        <w:tc>
          <w:tcPr>
            <w:tcW w:w="669" w:type="dxa"/>
            <w:vMerge w:val="continue"/>
            <w:vAlign w:val="center"/>
          </w:tcPr>
          <w:p>
            <w:pPr>
              <w:jc w:val="center"/>
              <w:rPr>
                <w:rFonts w:ascii="宋体" w:hAnsi="宋体" w:cs="宋体"/>
                <w:color w:val="000000"/>
                <w:szCs w:val="21"/>
              </w:rPr>
            </w:pPr>
          </w:p>
        </w:tc>
        <w:tc>
          <w:tcPr>
            <w:tcW w:w="2125" w:type="dxa"/>
            <w:gridSpan w:val="3"/>
            <w:vAlign w:val="center"/>
          </w:tcPr>
          <w:p>
            <w:pPr>
              <w:jc w:val="center"/>
              <w:rPr>
                <w:rFonts w:ascii="宋体" w:hAnsi="宋体" w:cs="宋体"/>
                <w:color w:val="000000"/>
                <w:szCs w:val="21"/>
              </w:rPr>
            </w:pPr>
            <w:r>
              <w:rPr>
                <w:rFonts w:hint="eastAsia" w:ascii="宋体" w:hAnsi="宋体" w:cs="宋体"/>
                <w:color w:val="000000"/>
                <w:szCs w:val="21"/>
              </w:rPr>
              <w:t>已培训的监理员人数</w:t>
            </w:r>
          </w:p>
        </w:tc>
        <w:tc>
          <w:tcPr>
            <w:tcW w:w="1732"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开户银行</w:t>
            </w:r>
          </w:p>
        </w:tc>
        <w:tc>
          <w:tcPr>
            <w:tcW w:w="2380" w:type="dxa"/>
            <w:gridSpan w:val="2"/>
            <w:vAlign w:val="center"/>
          </w:tcPr>
          <w:p>
            <w:pPr>
              <w:jc w:val="center"/>
              <w:rPr>
                <w:rFonts w:ascii="宋体" w:hAnsi="宋体" w:cs="宋体"/>
                <w:color w:val="000000"/>
                <w:szCs w:val="21"/>
              </w:rPr>
            </w:pPr>
          </w:p>
        </w:tc>
        <w:tc>
          <w:tcPr>
            <w:tcW w:w="669" w:type="dxa"/>
            <w:vMerge w:val="continue"/>
            <w:vAlign w:val="center"/>
          </w:tcPr>
          <w:p>
            <w:pPr>
              <w:jc w:val="center"/>
              <w:rPr>
                <w:rFonts w:ascii="宋体" w:hAnsi="宋体" w:cs="宋体"/>
                <w:color w:val="000000"/>
                <w:szCs w:val="21"/>
              </w:rPr>
            </w:pPr>
          </w:p>
        </w:tc>
        <w:tc>
          <w:tcPr>
            <w:tcW w:w="2125" w:type="dxa"/>
            <w:gridSpan w:val="3"/>
            <w:vAlign w:val="center"/>
          </w:tcPr>
          <w:p>
            <w:pPr>
              <w:jc w:val="center"/>
              <w:rPr>
                <w:rFonts w:ascii="宋体" w:hAnsi="宋体" w:cs="宋体"/>
                <w:color w:val="000000"/>
                <w:szCs w:val="21"/>
              </w:rPr>
            </w:pPr>
            <w:r>
              <w:rPr>
                <w:rFonts w:hint="eastAsia" w:ascii="宋体" w:hAnsi="宋体" w:cs="宋体"/>
                <w:color w:val="000000"/>
                <w:szCs w:val="21"/>
              </w:rPr>
              <w:t>高级职称人员</w:t>
            </w:r>
          </w:p>
        </w:tc>
        <w:tc>
          <w:tcPr>
            <w:tcW w:w="1732"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账号</w:t>
            </w:r>
          </w:p>
        </w:tc>
        <w:tc>
          <w:tcPr>
            <w:tcW w:w="2380" w:type="dxa"/>
            <w:gridSpan w:val="2"/>
            <w:vAlign w:val="center"/>
          </w:tcPr>
          <w:p>
            <w:pPr>
              <w:jc w:val="center"/>
              <w:rPr>
                <w:rFonts w:ascii="宋体" w:hAnsi="宋体" w:cs="宋体"/>
                <w:color w:val="000000"/>
                <w:szCs w:val="21"/>
              </w:rPr>
            </w:pPr>
          </w:p>
        </w:tc>
        <w:tc>
          <w:tcPr>
            <w:tcW w:w="669" w:type="dxa"/>
            <w:vMerge w:val="continue"/>
            <w:vAlign w:val="center"/>
          </w:tcPr>
          <w:p>
            <w:pPr>
              <w:jc w:val="center"/>
              <w:rPr>
                <w:rFonts w:ascii="宋体" w:hAnsi="宋体" w:cs="宋体"/>
                <w:color w:val="000000"/>
                <w:szCs w:val="21"/>
              </w:rPr>
            </w:pPr>
          </w:p>
        </w:tc>
        <w:tc>
          <w:tcPr>
            <w:tcW w:w="2125" w:type="dxa"/>
            <w:gridSpan w:val="3"/>
            <w:vAlign w:val="center"/>
          </w:tcPr>
          <w:p>
            <w:pPr>
              <w:jc w:val="center"/>
              <w:rPr>
                <w:rFonts w:ascii="宋体" w:hAnsi="宋体" w:cs="宋体"/>
                <w:color w:val="000000"/>
                <w:szCs w:val="21"/>
              </w:rPr>
            </w:pPr>
            <w:r>
              <w:rPr>
                <w:rFonts w:hint="eastAsia" w:ascii="宋体" w:hAnsi="宋体" w:cs="宋体"/>
                <w:color w:val="000000"/>
                <w:szCs w:val="21"/>
              </w:rPr>
              <w:t>中级职称人员</w:t>
            </w:r>
          </w:p>
        </w:tc>
        <w:tc>
          <w:tcPr>
            <w:tcW w:w="1732"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经营范围</w:t>
            </w:r>
          </w:p>
        </w:tc>
        <w:tc>
          <w:tcPr>
            <w:tcW w:w="6906" w:type="dxa"/>
            <w:gridSpan w:val="8"/>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08" w:type="dxa"/>
            <w:vAlign w:val="center"/>
          </w:tcPr>
          <w:p>
            <w:pPr>
              <w:jc w:val="center"/>
              <w:rPr>
                <w:rFonts w:ascii="宋体" w:hAnsi="宋体" w:cs="宋体"/>
                <w:color w:val="000000"/>
                <w:szCs w:val="21"/>
              </w:rPr>
            </w:pPr>
            <w:r>
              <w:rPr>
                <w:rFonts w:hint="eastAsia" w:ascii="宋体" w:hAnsi="宋体" w:cs="宋体"/>
                <w:color w:val="000000"/>
                <w:szCs w:val="21"/>
              </w:rPr>
              <w:t>备注</w:t>
            </w:r>
          </w:p>
        </w:tc>
        <w:tc>
          <w:tcPr>
            <w:tcW w:w="6906" w:type="dxa"/>
            <w:gridSpan w:val="8"/>
            <w:vAlign w:val="center"/>
          </w:tcPr>
          <w:p>
            <w:pPr>
              <w:ind w:firstLine="440" w:firstLineChars="200"/>
              <w:jc w:val="center"/>
              <w:rPr>
                <w:rFonts w:ascii="宋体" w:hAnsi="宋体" w:cs="宋体"/>
                <w:color w:val="000000"/>
                <w:szCs w:val="21"/>
              </w:rPr>
            </w:pPr>
          </w:p>
        </w:tc>
      </w:tr>
    </w:tbl>
    <w:p>
      <w:pPr>
        <w:rPr>
          <w:rFonts w:ascii="宋体" w:hAnsi="宋体" w:cs="宋体"/>
          <w:color w:val="000000"/>
          <w:szCs w:val="21"/>
        </w:rPr>
      </w:pPr>
      <w:r>
        <w:rPr>
          <w:rFonts w:hint="eastAsia" w:ascii="宋体" w:hAnsi="宋体" w:cs="宋体"/>
          <w:color w:val="000000"/>
          <w:szCs w:val="21"/>
        </w:rPr>
        <w:t>说明：投标人编制投标文件时，应将</w:t>
      </w:r>
      <w:r>
        <w:rPr>
          <w:rFonts w:hint="eastAsia" w:ascii="宋体" w:hAnsi="宋体" w:cs="宋体"/>
          <w:color w:val="000000"/>
          <w:szCs w:val="21"/>
          <w:u w:val="single"/>
        </w:rPr>
        <w:t xml:space="preserve">  营业执照、企业资质证书 、</w:t>
      </w:r>
      <w:r>
        <w:rPr>
          <w:rFonts w:hint="eastAsia" w:ascii="宋体" w:hAnsi="宋体" w:cs="宋体"/>
          <w:color w:val="000000"/>
          <w:szCs w:val="21"/>
        </w:rPr>
        <w:t>的复印件作为本表的附件。</w:t>
      </w:r>
    </w:p>
    <w:p>
      <w:pPr>
        <w:rPr>
          <w:rFonts w:ascii="宋体" w:hAnsi="宋体" w:cs="宋体"/>
          <w:color w:val="000000"/>
          <w:szCs w:val="21"/>
        </w:rPr>
      </w:pPr>
    </w:p>
    <w:p>
      <w:pPr>
        <w:rPr>
          <w:rFonts w:ascii="宋体" w:hAnsi="宋体" w:cs="宋体"/>
          <w:color w:val="000000"/>
          <w:szCs w:val="21"/>
        </w:rPr>
      </w:pPr>
    </w:p>
    <w:p>
      <w:pPr>
        <w:rPr>
          <w:rFonts w:ascii="宋体" w:hAnsi="宋体" w:cs="宋体"/>
          <w:color w:val="000000"/>
          <w:szCs w:val="21"/>
        </w:rPr>
      </w:pPr>
    </w:p>
    <w:p>
      <w:pPr>
        <w:pStyle w:val="3"/>
        <w:rPr>
          <w:color w:val="000000"/>
        </w:rPr>
      </w:pPr>
      <w:r>
        <w:rPr>
          <w:rFonts w:hint="eastAsia"/>
          <w:color w:val="000000"/>
        </w:rPr>
        <w:br w:type="page"/>
      </w:r>
      <w:bookmarkStart w:id="112" w:name="_Toc520815303"/>
      <w:r>
        <w:rPr>
          <w:rFonts w:hint="eastAsia"/>
          <w:color w:val="000000"/>
        </w:rPr>
        <w:t>6.监理机构及人员配备</w:t>
      </w:r>
      <w:bookmarkEnd w:id="112"/>
    </w:p>
    <w:p>
      <w:pPr>
        <w:rPr>
          <w:rFonts w:ascii="宋体" w:hAnsi="宋体" w:cs="宋体"/>
          <w:color w:val="000000"/>
          <w:szCs w:val="21"/>
        </w:rPr>
      </w:pPr>
    </w:p>
    <w:p>
      <w:pPr>
        <w:pStyle w:val="4"/>
        <w:rPr>
          <w:color w:val="000000"/>
        </w:rPr>
      </w:pPr>
      <w:bookmarkStart w:id="113" w:name="_Toc520815304"/>
      <w:r>
        <w:rPr>
          <w:rFonts w:hint="eastAsia"/>
          <w:color w:val="000000"/>
        </w:rPr>
        <w:t>6.1拟选派项目监理机构人员一览表</w:t>
      </w:r>
      <w:bookmarkEnd w:id="113"/>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09"/>
        <w:gridCol w:w="709"/>
        <w:gridCol w:w="708"/>
        <w:gridCol w:w="1512"/>
        <w:gridCol w:w="1276"/>
        <w:gridCol w:w="709"/>
        <w:gridCol w:w="70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pPr>
              <w:jc w:val="center"/>
              <w:rPr>
                <w:rFonts w:ascii="宋体" w:hAnsi="宋体" w:cs="宋体"/>
                <w:color w:val="000000"/>
                <w:szCs w:val="21"/>
              </w:rPr>
            </w:pPr>
            <w:r>
              <w:rPr>
                <w:rFonts w:hint="eastAsia" w:ascii="宋体" w:hAnsi="宋体" w:cs="宋体"/>
                <w:color w:val="000000"/>
                <w:szCs w:val="21"/>
              </w:rPr>
              <w:t>拟任岗位</w:t>
            </w:r>
          </w:p>
        </w:tc>
        <w:tc>
          <w:tcPr>
            <w:tcW w:w="709" w:type="dxa"/>
            <w:vMerge w:val="restart"/>
            <w:vAlign w:val="center"/>
          </w:tcPr>
          <w:p>
            <w:pPr>
              <w:jc w:val="center"/>
              <w:rPr>
                <w:rFonts w:ascii="宋体" w:hAnsi="宋体" w:cs="宋体"/>
                <w:color w:val="000000"/>
                <w:szCs w:val="21"/>
              </w:rPr>
            </w:pPr>
            <w:r>
              <w:rPr>
                <w:rFonts w:hint="eastAsia" w:ascii="宋体" w:hAnsi="宋体" w:cs="宋体"/>
                <w:color w:val="000000"/>
                <w:szCs w:val="21"/>
              </w:rPr>
              <w:t>姓名</w:t>
            </w:r>
          </w:p>
        </w:tc>
        <w:tc>
          <w:tcPr>
            <w:tcW w:w="709" w:type="dxa"/>
            <w:vMerge w:val="restart"/>
            <w:vAlign w:val="center"/>
          </w:tcPr>
          <w:p>
            <w:pPr>
              <w:jc w:val="center"/>
              <w:rPr>
                <w:rFonts w:ascii="宋体" w:hAnsi="宋体" w:cs="宋体"/>
                <w:color w:val="000000"/>
                <w:szCs w:val="21"/>
              </w:rPr>
            </w:pPr>
            <w:r>
              <w:rPr>
                <w:rFonts w:hint="eastAsia" w:ascii="宋体" w:hAnsi="宋体" w:cs="宋体"/>
                <w:color w:val="000000"/>
                <w:szCs w:val="21"/>
              </w:rPr>
              <w:t>年龄</w:t>
            </w:r>
          </w:p>
        </w:tc>
        <w:tc>
          <w:tcPr>
            <w:tcW w:w="708" w:type="dxa"/>
            <w:vMerge w:val="restart"/>
            <w:vAlign w:val="center"/>
          </w:tcPr>
          <w:p>
            <w:pPr>
              <w:jc w:val="center"/>
              <w:rPr>
                <w:rFonts w:ascii="宋体" w:hAnsi="宋体" w:cs="宋体"/>
                <w:color w:val="000000"/>
                <w:szCs w:val="21"/>
              </w:rPr>
            </w:pPr>
            <w:r>
              <w:rPr>
                <w:rFonts w:hint="eastAsia" w:ascii="宋体" w:hAnsi="宋体" w:cs="宋体"/>
                <w:color w:val="000000"/>
                <w:szCs w:val="21"/>
              </w:rPr>
              <w:t>职称</w:t>
            </w:r>
          </w:p>
        </w:tc>
        <w:tc>
          <w:tcPr>
            <w:tcW w:w="1512" w:type="dxa"/>
            <w:vMerge w:val="restart"/>
            <w:vAlign w:val="center"/>
          </w:tcPr>
          <w:p>
            <w:pPr>
              <w:jc w:val="center"/>
              <w:rPr>
                <w:rFonts w:ascii="宋体" w:hAnsi="宋体" w:cs="宋体"/>
                <w:color w:val="000000"/>
                <w:szCs w:val="21"/>
              </w:rPr>
            </w:pPr>
            <w:r>
              <w:rPr>
                <w:rFonts w:hint="eastAsia" w:ascii="宋体" w:hAnsi="宋体" w:cs="宋体"/>
                <w:color w:val="000000"/>
                <w:szCs w:val="21"/>
              </w:rPr>
              <w:t>从事监理工作年限</w:t>
            </w:r>
          </w:p>
        </w:tc>
        <w:tc>
          <w:tcPr>
            <w:tcW w:w="3402" w:type="dxa"/>
            <w:gridSpan w:val="4"/>
            <w:vAlign w:val="center"/>
          </w:tcPr>
          <w:p>
            <w:pPr>
              <w:jc w:val="center"/>
              <w:rPr>
                <w:rFonts w:ascii="宋体" w:hAnsi="宋体" w:cs="宋体"/>
                <w:color w:val="000000"/>
                <w:szCs w:val="21"/>
              </w:rPr>
            </w:pPr>
            <w:r>
              <w:rPr>
                <w:rFonts w:hint="eastAsia" w:ascii="宋体" w:hAnsi="宋体" w:cs="宋体"/>
                <w:color w:val="000000"/>
                <w:szCs w:val="21"/>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pPr>
              <w:jc w:val="center"/>
              <w:rPr>
                <w:rFonts w:ascii="宋体" w:hAnsi="宋体" w:cs="宋体"/>
                <w:color w:val="000000"/>
                <w:szCs w:val="21"/>
              </w:rPr>
            </w:pPr>
          </w:p>
        </w:tc>
        <w:tc>
          <w:tcPr>
            <w:tcW w:w="709" w:type="dxa"/>
            <w:vMerge w:val="continue"/>
            <w:vAlign w:val="center"/>
          </w:tcPr>
          <w:p>
            <w:pPr>
              <w:jc w:val="center"/>
              <w:rPr>
                <w:rFonts w:ascii="宋体" w:hAnsi="宋体" w:cs="宋体"/>
                <w:color w:val="000000"/>
                <w:szCs w:val="21"/>
              </w:rPr>
            </w:pPr>
          </w:p>
        </w:tc>
        <w:tc>
          <w:tcPr>
            <w:tcW w:w="709" w:type="dxa"/>
            <w:vMerge w:val="continue"/>
            <w:vAlign w:val="center"/>
          </w:tcPr>
          <w:p>
            <w:pPr>
              <w:jc w:val="center"/>
              <w:rPr>
                <w:rFonts w:ascii="宋体" w:hAnsi="宋体" w:cs="宋体"/>
                <w:color w:val="000000"/>
                <w:szCs w:val="21"/>
              </w:rPr>
            </w:pPr>
          </w:p>
        </w:tc>
        <w:tc>
          <w:tcPr>
            <w:tcW w:w="708" w:type="dxa"/>
            <w:vMerge w:val="continue"/>
            <w:vAlign w:val="center"/>
          </w:tcPr>
          <w:p>
            <w:pPr>
              <w:jc w:val="center"/>
              <w:rPr>
                <w:rFonts w:ascii="宋体" w:hAnsi="宋体" w:cs="宋体"/>
                <w:color w:val="000000"/>
                <w:szCs w:val="21"/>
              </w:rPr>
            </w:pPr>
          </w:p>
        </w:tc>
        <w:tc>
          <w:tcPr>
            <w:tcW w:w="1512" w:type="dxa"/>
            <w:vMerge w:val="continue"/>
            <w:vAlign w:val="center"/>
          </w:tcPr>
          <w:p>
            <w:pPr>
              <w:jc w:val="center"/>
              <w:rPr>
                <w:rFonts w:ascii="宋体" w:hAnsi="宋体" w:cs="宋体"/>
                <w:color w:val="000000"/>
                <w:szCs w:val="21"/>
              </w:rPr>
            </w:pPr>
          </w:p>
        </w:tc>
        <w:tc>
          <w:tcPr>
            <w:tcW w:w="1276" w:type="dxa"/>
            <w:vAlign w:val="center"/>
          </w:tcPr>
          <w:p>
            <w:pPr>
              <w:jc w:val="center"/>
              <w:rPr>
                <w:rFonts w:ascii="宋体" w:hAnsi="宋体" w:cs="宋体"/>
                <w:color w:val="000000"/>
                <w:szCs w:val="21"/>
              </w:rPr>
            </w:pPr>
            <w:r>
              <w:rPr>
                <w:rFonts w:hint="eastAsia" w:ascii="宋体" w:hAnsi="宋体" w:cs="宋体"/>
                <w:color w:val="000000"/>
                <w:szCs w:val="21"/>
              </w:rPr>
              <w:t>证书名称</w:t>
            </w:r>
          </w:p>
        </w:tc>
        <w:tc>
          <w:tcPr>
            <w:tcW w:w="709" w:type="dxa"/>
            <w:vAlign w:val="center"/>
          </w:tcPr>
          <w:p>
            <w:pPr>
              <w:jc w:val="center"/>
              <w:rPr>
                <w:rFonts w:ascii="宋体" w:hAnsi="宋体" w:cs="宋体"/>
                <w:color w:val="000000"/>
                <w:szCs w:val="21"/>
              </w:rPr>
            </w:pPr>
            <w:r>
              <w:rPr>
                <w:rFonts w:hint="eastAsia" w:ascii="宋体" w:hAnsi="宋体" w:cs="宋体"/>
                <w:color w:val="000000"/>
                <w:szCs w:val="21"/>
              </w:rPr>
              <w:t>级别</w:t>
            </w:r>
          </w:p>
        </w:tc>
        <w:tc>
          <w:tcPr>
            <w:tcW w:w="708" w:type="dxa"/>
            <w:vAlign w:val="center"/>
          </w:tcPr>
          <w:p>
            <w:pPr>
              <w:jc w:val="center"/>
              <w:rPr>
                <w:rFonts w:ascii="宋体" w:hAnsi="宋体" w:cs="宋体"/>
                <w:color w:val="000000"/>
                <w:szCs w:val="21"/>
              </w:rPr>
            </w:pPr>
            <w:r>
              <w:rPr>
                <w:rFonts w:hint="eastAsia" w:ascii="宋体" w:hAnsi="宋体" w:cs="宋体"/>
                <w:color w:val="000000"/>
                <w:szCs w:val="21"/>
              </w:rPr>
              <w:t>证号</w:t>
            </w:r>
          </w:p>
        </w:tc>
        <w:tc>
          <w:tcPr>
            <w:tcW w:w="709" w:type="dxa"/>
            <w:vAlign w:val="center"/>
          </w:tcPr>
          <w:p>
            <w:pPr>
              <w:jc w:val="center"/>
              <w:rPr>
                <w:rFonts w:ascii="宋体" w:hAnsi="宋体" w:cs="宋体"/>
                <w:color w:val="000000"/>
                <w:szCs w:val="21"/>
              </w:rPr>
            </w:pPr>
            <w:r>
              <w:rPr>
                <w:rFonts w:hint="eastAsia" w:ascii="宋体" w:hAnsi="宋体" w:cs="宋体"/>
                <w:color w:val="00000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pPr>
              <w:jc w:val="center"/>
              <w:rPr>
                <w:rFonts w:ascii="宋体" w:hAnsi="宋体" w:cs="宋体"/>
                <w:color w:val="000000"/>
                <w:szCs w:val="21"/>
              </w:rPr>
            </w:pPr>
            <w:r>
              <w:rPr>
                <w:rFonts w:hint="eastAsia" w:ascii="宋体" w:hAnsi="宋体" w:cs="宋体"/>
                <w:color w:val="000000"/>
                <w:szCs w:val="21"/>
              </w:rPr>
              <w:t>总监</w:t>
            </w:r>
          </w:p>
        </w:tc>
        <w:tc>
          <w:tcPr>
            <w:tcW w:w="709"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c>
          <w:tcPr>
            <w:tcW w:w="708" w:type="dxa"/>
            <w:vAlign w:val="center"/>
          </w:tcPr>
          <w:p>
            <w:pPr>
              <w:jc w:val="center"/>
              <w:rPr>
                <w:rFonts w:ascii="宋体" w:hAnsi="宋体" w:cs="宋体"/>
                <w:color w:val="000000"/>
                <w:szCs w:val="21"/>
              </w:rPr>
            </w:pPr>
          </w:p>
        </w:tc>
        <w:tc>
          <w:tcPr>
            <w:tcW w:w="1512" w:type="dxa"/>
            <w:vAlign w:val="center"/>
          </w:tcPr>
          <w:p>
            <w:pPr>
              <w:jc w:val="center"/>
              <w:rPr>
                <w:rFonts w:ascii="宋体" w:hAnsi="宋体" w:cs="宋体"/>
                <w:color w:val="000000"/>
                <w:szCs w:val="21"/>
              </w:rPr>
            </w:pPr>
          </w:p>
        </w:tc>
        <w:tc>
          <w:tcPr>
            <w:tcW w:w="1276"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c>
          <w:tcPr>
            <w:tcW w:w="708"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pPr>
              <w:jc w:val="center"/>
              <w:rPr>
                <w:rFonts w:ascii="宋体" w:hAnsi="宋体" w:cs="宋体"/>
                <w:color w:val="000000"/>
                <w:szCs w:val="21"/>
              </w:rPr>
            </w:pPr>
            <w:r>
              <w:rPr>
                <w:rFonts w:hint="eastAsia" w:ascii="宋体" w:hAnsi="宋体" w:cs="宋体"/>
                <w:color w:val="000000"/>
                <w:szCs w:val="21"/>
              </w:rPr>
              <w:t>专业监理工程师</w:t>
            </w:r>
          </w:p>
        </w:tc>
        <w:tc>
          <w:tcPr>
            <w:tcW w:w="709"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c>
          <w:tcPr>
            <w:tcW w:w="708" w:type="dxa"/>
            <w:tcBorders>
              <w:bottom w:val="single" w:color="auto" w:sz="4" w:space="0"/>
            </w:tcBorders>
            <w:vAlign w:val="center"/>
          </w:tcPr>
          <w:p>
            <w:pPr>
              <w:jc w:val="center"/>
              <w:rPr>
                <w:rFonts w:ascii="宋体" w:hAnsi="宋体" w:cs="宋体"/>
                <w:color w:val="000000"/>
                <w:szCs w:val="21"/>
              </w:rPr>
            </w:pPr>
          </w:p>
        </w:tc>
        <w:tc>
          <w:tcPr>
            <w:tcW w:w="1512" w:type="dxa"/>
            <w:tcBorders>
              <w:bottom w:val="single" w:color="auto" w:sz="4" w:space="0"/>
            </w:tcBorders>
            <w:vAlign w:val="center"/>
          </w:tcPr>
          <w:p>
            <w:pPr>
              <w:jc w:val="center"/>
              <w:rPr>
                <w:rFonts w:ascii="宋体" w:hAnsi="宋体" w:cs="宋体"/>
                <w:color w:val="000000"/>
                <w:szCs w:val="21"/>
              </w:rPr>
            </w:pPr>
          </w:p>
        </w:tc>
        <w:tc>
          <w:tcPr>
            <w:tcW w:w="1276"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c>
          <w:tcPr>
            <w:tcW w:w="708"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1512" w:type="dxa"/>
            <w:tcBorders>
              <w:top w:val="single" w:color="auto" w:sz="4" w:space="0"/>
              <w:bottom w:val="single" w:color="auto" w:sz="4" w:space="0"/>
            </w:tcBorders>
            <w:vAlign w:val="center"/>
          </w:tcPr>
          <w:p>
            <w:pPr>
              <w:jc w:val="center"/>
              <w:rPr>
                <w:rFonts w:ascii="宋体" w:hAnsi="宋体" w:cs="宋体"/>
                <w:color w:val="000000"/>
                <w:szCs w:val="21"/>
              </w:rPr>
            </w:pPr>
          </w:p>
        </w:tc>
        <w:tc>
          <w:tcPr>
            <w:tcW w:w="1276"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1512" w:type="dxa"/>
            <w:tcBorders>
              <w:top w:val="single" w:color="auto" w:sz="4" w:space="0"/>
              <w:bottom w:val="single" w:color="auto" w:sz="4" w:space="0"/>
            </w:tcBorders>
            <w:vAlign w:val="center"/>
          </w:tcPr>
          <w:p>
            <w:pPr>
              <w:jc w:val="center"/>
              <w:rPr>
                <w:rFonts w:ascii="宋体" w:hAnsi="宋体" w:cs="宋体"/>
                <w:color w:val="000000"/>
                <w:szCs w:val="21"/>
              </w:rPr>
            </w:pPr>
          </w:p>
        </w:tc>
        <w:tc>
          <w:tcPr>
            <w:tcW w:w="1276"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1512" w:type="dxa"/>
            <w:tcBorders>
              <w:top w:val="single" w:color="auto" w:sz="4" w:space="0"/>
              <w:bottom w:val="single" w:color="auto" w:sz="4" w:space="0"/>
            </w:tcBorders>
            <w:vAlign w:val="center"/>
          </w:tcPr>
          <w:p>
            <w:pPr>
              <w:jc w:val="center"/>
              <w:rPr>
                <w:rFonts w:ascii="宋体" w:hAnsi="宋体" w:cs="宋体"/>
                <w:color w:val="000000"/>
                <w:szCs w:val="21"/>
              </w:rPr>
            </w:pPr>
          </w:p>
        </w:tc>
        <w:tc>
          <w:tcPr>
            <w:tcW w:w="1276"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c>
          <w:tcPr>
            <w:tcW w:w="709" w:type="dxa"/>
            <w:tcBorders>
              <w:top w:val="single" w:color="auto" w:sz="4" w:space="0"/>
            </w:tcBorders>
            <w:vAlign w:val="center"/>
          </w:tcPr>
          <w:p>
            <w:pPr>
              <w:jc w:val="center"/>
              <w:rPr>
                <w:rFonts w:ascii="宋体" w:hAnsi="宋体" w:cs="宋体"/>
                <w:color w:val="000000"/>
                <w:szCs w:val="21"/>
              </w:rPr>
            </w:pPr>
          </w:p>
        </w:tc>
        <w:tc>
          <w:tcPr>
            <w:tcW w:w="708" w:type="dxa"/>
            <w:tcBorders>
              <w:top w:val="single" w:color="auto" w:sz="4" w:space="0"/>
            </w:tcBorders>
            <w:vAlign w:val="center"/>
          </w:tcPr>
          <w:p>
            <w:pPr>
              <w:jc w:val="center"/>
              <w:rPr>
                <w:rFonts w:ascii="宋体" w:hAnsi="宋体" w:cs="宋体"/>
                <w:color w:val="000000"/>
                <w:szCs w:val="21"/>
              </w:rPr>
            </w:pPr>
          </w:p>
        </w:tc>
        <w:tc>
          <w:tcPr>
            <w:tcW w:w="1512" w:type="dxa"/>
            <w:tcBorders>
              <w:top w:val="single" w:color="auto" w:sz="4" w:space="0"/>
            </w:tcBorders>
            <w:vAlign w:val="center"/>
          </w:tcPr>
          <w:p>
            <w:pPr>
              <w:jc w:val="center"/>
              <w:rPr>
                <w:rFonts w:ascii="宋体" w:hAnsi="宋体" w:cs="宋体"/>
                <w:color w:val="000000"/>
                <w:szCs w:val="21"/>
              </w:rPr>
            </w:pPr>
          </w:p>
        </w:tc>
        <w:tc>
          <w:tcPr>
            <w:tcW w:w="1276" w:type="dxa"/>
            <w:tcBorders>
              <w:top w:val="single" w:color="auto" w:sz="4" w:space="0"/>
            </w:tcBorders>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p>
        </w:tc>
        <w:tc>
          <w:tcPr>
            <w:tcW w:w="708" w:type="dxa"/>
            <w:tcBorders>
              <w:top w:val="single" w:color="auto" w:sz="4" w:space="0"/>
            </w:tcBorders>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pPr>
              <w:jc w:val="center"/>
              <w:rPr>
                <w:rFonts w:ascii="宋体" w:hAnsi="宋体" w:cs="宋体"/>
                <w:color w:val="000000"/>
                <w:szCs w:val="21"/>
              </w:rPr>
            </w:pPr>
            <w:r>
              <w:rPr>
                <w:rFonts w:hint="eastAsia" w:ascii="宋体" w:hAnsi="宋体" w:cs="宋体"/>
                <w:color w:val="000000"/>
                <w:szCs w:val="21"/>
              </w:rPr>
              <w:t>监理员</w:t>
            </w:r>
          </w:p>
        </w:tc>
        <w:tc>
          <w:tcPr>
            <w:tcW w:w="709"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c>
          <w:tcPr>
            <w:tcW w:w="708" w:type="dxa"/>
            <w:tcBorders>
              <w:bottom w:val="single" w:color="auto" w:sz="4" w:space="0"/>
            </w:tcBorders>
            <w:vAlign w:val="center"/>
          </w:tcPr>
          <w:p>
            <w:pPr>
              <w:jc w:val="center"/>
              <w:rPr>
                <w:rFonts w:ascii="宋体" w:hAnsi="宋体" w:cs="宋体"/>
                <w:color w:val="000000"/>
                <w:szCs w:val="21"/>
              </w:rPr>
            </w:pPr>
          </w:p>
        </w:tc>
        <w:tc>
          <w:tcPr>
            <w:tcW w:w="1512" w:type="dxa"/>
            <w:tcBorders>
              <w:bottom w:val="single" w:color="auto" w:sz="4" w:space="0"/>
            </w:tcBorders>
            <w:vAlign w:val="center"/>
          </w:tcPr>
          <w:p>
            <w:pPr>
              <w:jc w:val="center"/>
              <w:rPr>
                <w:rFonts w:ascii="宋体" w:hAnsi="宋体" w:cs="宋体"/>
                <w:color w:val="000000"/>
                <w:szCs w:val="21"/>
              </w:rPr>
            </w:pPr>
          </w:p>
        </w:tc>
        <w:tc>
          <w:tcPr>
            <w:tcW w:w="1276"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c>
          <w:tcPr>
            <w:tcW w:w="708" w:type="dxa"/>
            <w:tcBorders>
              <w:bottom w:val="single" w:color="auto" w:sz="4" w:space="0"/>
            </w:tcBorders>
            <w:vAlign w:val="center"/>
          </w:tcPr>
          <w:p>
            <w:pPr>
              <w:jc w:val="center"/>
              <w:rPr>
                <w:rFonts w:ascii="宋体" w:hAnsi="宋体" w:cs="宋体"/>
                <w:color w:val="000000"/>
                <w:szCs w:val="21"/>
              </w:rPr>
            </w:pPr>
          </w:p>
        </w:tc>
        <w:tc>
          <w:tcPr>
            <w:tcW w:w="709" w:type="dxa"/>
            <w:tcBorders>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1512" w:type="dxa"/>
            <w:tcBorders>
              <w:top w:val="single" w:color="auto" w:sz="4" w:space="0"/>
              <w:bottom w:val="single" w:color="auto" w:sz="4" w:space="0"/>
            </w:tcBorders>
            <w:vAlign w:val="center"/>
          </w:tcPr>
          <w:p>
            <w:pPr>
              <w:jc w:val="center"/>
              <w:rPr>
                <w:rFonts w:ascii="宋体" w:hAnsi="宋体" w:cs="宋体"/>
                <w:color w:val="000000"/>
                <w:szCs w:val="21"/>
              </w:rPr>
            </w:pPr>
          </w:p>
        </w:tc>
        <w:tc>
          <w:tcPr>
            <w:tcW w:w="1276"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c>
          <w:tcPr>
            <w:tcW w:w="708" w:type="dxa"/>
            <w:tcBorders>
              <w:top w:val="single" w:color="auto" w:sz="4" w:space="0"/>
              <w:bottom w:val="single" w:color="auto" w:sz="4" w:space="0"/>
            </w:tcBorders>
            <w:vAlign w:val="center"/>
          </w:tcPr>
          <w:p>
            <w:pPr>
              <w:jc w:val="center"/>
              <w:rPr>
                <w:rFonts w:ascii="宋体" w:hAnsi="宋体" w:cs="宋体"/>
                <w:color w:val="000000"/>
                <w:szCs w:val="21"/>
              </w:rPr>
            </w:pPr>
          </w:p>
        </w:tc>
        <w:tc>
          <w:tcPr>
            <w:tcW w:w="709" w:type="dxa"/>
            <w:tcBorders>
              <w:top w:val="single" w:color="auto" w:sz="4" w:space="0"/>
              <w:bottom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c>
          <w:tcPr>
            <w:tcW w:w="709" w:type="dxa"/>
            <w:tcBorders>
              <w:top w:val="single" w:color="auto" w:sz="4" w:space="0"/>
            </w:tcBorders>
            <w:vAlign w:val="center"/>
          </w:tcPr>
          <w:p>
            <w:pPr>
              <w:jc w:val="center"/>
              <w:rPr>
                <w:rFonts w:ascii="宋体" w:hAnsi="宋体" w:cs="宋体"/>
                <w:color w:val="000000"/>
                <w:szCs w:val="21"/>
              </w:rPr>
            </w:pPr>
          </w:p>
        </w:tc>
        <w:tc>
          <w:tcPr>
            <w:tcW w:w="708" w:type="dxa"/>
            <w:tcBorders>
              <w:top w:val="single" w:color="auto" w:sz="4" w:space="0"/>
            </w:tcBorders>
            <w:vAlign w:val="center"/>
          </w:tcPr>
          <w:p>
            <w:pPr>
              <w:jc w:val="center"/>
              <w:rPr>
                <w:rFonts w:ascii="宋体" w:hAnsi="宋体" w:cs="宋体"/>
                <w:color w:val="000000"/>
                <w:szCs w:val="21"/>
              </w:rPr>
            </w:pPr>
          </w:p>
        </w:tc>
        <w:tc>
          <w:tcPr>
            <w:tcW w:w="1512" w:type="dxa"/>
            <w:tcBorders>
              <w:top w:val="single" w:color="auto" w:sz="4" w:space="0"/>
            </w:tcBorders>
            <w:vAlign w:val="center"/>
          </w:tcPr>
          <w:p>
            <w:pPr>
              <w:jc w:val="center"/>
              <w:rPr>
                <w:rFonts w:ascii="宋体" w:hAnsi="宋体" w:cs="宋体"/>
                <w:color w:val="000000"/>
                <w:szCs w:val="21"/>
              </w:rPr>
            </w:pPr>
          </w:p>
        </w:tc>
        <w:tc>
          <w:tcPr>
            <w:tcW w:w="1276" w:type="dxa"/>
            <w:tcBorders>
              <w:top w:val="single" w:color="auto" w:sz="4" w:space="0"/>
            </w:tcBorders>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p>
        </w:tc>
        <w:tc>
          <w:tcPr>
            <w:tcW w:w="708" w:type="dxa"/>
            <w:tcBorders>
              <w:top w:val="single" w:color="auto" w:sz="4" w:space="0"/>
            </w:tcBorders>
            <w:vAlign w:val="center"/>
          </w:tcPr>
          <w:p>
            <w:pPr>
              <w:jc w:val="center"/>
              <w:rPr>
                <w:rFonts w:ascii="宋体" w:hAnsi="宋体" w:cs="宋体"/>
                <w:color w:val="000000"/>
                <w:szCs w:val="21"/>
              </w:rPr>
            </w:pPr>
          </w:p>
        </w:tc>
        <w:tc>
          <w:tcPr>
            <w:tcW w:w="709" w:type="dxa"/>
            <w:tcBorders>
              <w:top w:val="single" w:color="auto" w:sz="4" w:space="0"/>
            </w:tcBorders>
            <w:vAlign w:val="center"/>
          </w:tcPr>
          <w:p>
            <w:pPr>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pPr>
              <w:jc w:val="center"/>
              <w:rPr>
                <w:rFonts w:ascii="宋体" w:hAnsi="宋体" w:cs="宋体"/>
                <w:color w:val="000000"/>
                <w:szCs w:val="21"/>
              </w:rPr>
            </w:pPr>
            <w:r>
              <w:rPr>
                <w:rFonts w:hint="eastAsia" w:ascii="宋体" w:hAnsi="宋体" w:cs="宋体"/>
                <w:color w:val="000000"/>
                <w:szCs w:val="21"/>
              </w:rPr>
              <w:t>…</w:t>
            </w:r>
          </w:p>
        </w:tc>
        <w:tc>
          <w:tcPr>
            <w:tcW w:w="709"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c>
          <w:tcPr>
            <w:tcW w:w="708" w:type="dxa"/>
            <w:vAlign w:val="center"/>
          </w:tcPr>
          <w:p>
            <w:pPr>
              <w:jc w:val="center"/>
              <w:rPr>
                <w:rFonts w:ascii="宋体" w:hAnsi="宋体" w:cs="宋体"/>
                <w:color w:val="000000"/>
                <w:szCs w:val="21"/>
              </w:rPr>
            </w:pPr>
          </w:p>
        </w:tc>
        <w:tc>
          <w:tcPr>
            <w:tcW w:w="1512" w:type="dxa"/>
            <w:vAlign w:val="center"/>
          </w:tcPr>
          <w:p>
            <w:pPr>
              <w:jc w:val="center"/>
              <w:rPr>
                <w:rFonts w:ascii="宋体" w:hAnsi="宋体" w:cs="宋体"/>
                <w:color w:val="000000"/>
                <w:szCs w:val="21"/>
              </w:rPr>
            </w:pPr>
          </w:p>
        </w:tc>
        <w:tc>
          <w:tcPr>
            <w:tcW w:w="1276"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c>
          <w:tcPr>
            <w:tcW w:w="708" w:type="dxa"/>
            <w:vAlign w:val="center"/>
          </w:tcPr>
          <w:p>
            <w:pPr>
              <w:jc w:val="center"/>
              <w:rPr>
                <w:rFonts w:ascii="宋体" w:hAnsi="宋体" w:cs="宋体"/>
                <w:color w:val="000000"/>
                <w:szCs w:val="21"/>
              </w:rPr>
            </w:pPr>
          </w:p>
        </w:tc>
        <w:tc>
          <w:tcPr>
            <w:tcW w:w="709" w:type="dxa"/>
            <w:vAlign w:val="center"/>
          </w:tcPr>
          <w:p>
            <w:pPr>
              <w:jc w:val="center"/>
              <w:rPr>
                <w:rFonts w:ascii="宋体" w:hAnsi="宋体" w:cs="宋体"/>
                <w:color w:val="000000"/>
                <w:szCs w:val="21"/>
              </w:rPr>
            </w:pPr>
          </w:p>
        </w:tc>
      </w:tr>
    </w:tbl>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rPr>
          <w:rFonts w:ascii="宋体" w:hAnsi="宋体" w:cs="宋体"/>
          <w:b/>
          <w:color w:val="000000"/>
          <w:szCs w:val="21"/>
        </w:rPr>
      </w:pPr>
    </w:p>
    <w:p>
      <w:pPr>
        <w:rPr>
          <w:rFonts w:ascii="宋体" w:hAnsi="宋体" w:cs="宋体"/>
          <w:b/>
          <w:color w:val="000000"/>
          <w:szCs w:val="21"/>
        </w:rPr>
      </w:pPr>
    </w:p>
    <w:p>
      <w:pPr>
        <w:rPr>
          <w:rFonts w:ascii="宋体" w:hAnsi="宋体" w:cs="宋体"/>
          <w:b/>
          <w:color w:val="000000"/>
          <w:szCs w:val="21"/>
        </w:rPr>
      </w:pPr>
    </w:p>
    <w:p>
      <w:pPr>
        <w:pStyle w:val="4"/>
        <w:rPr>
          <w:color w:val="000000"/>
        </w:rPr>
      </w:pPr>
      <w:r>
        <w:rPr>
          <w:rFonts w:hint="eastAsia"/>
          <w:color w:val="000000"/>
        </w:rPr>
        <w:br w:type="page"/>
      </w:r>
      <w:bookmarkStart w:id="114" w:name="_Toc520815305"/>
      <w:r>
        <w:rPr>
          <w:rFonts w:hint="eastAsia"/>
          <w:color w:val="000000"/>
        </w:rPr>
        <w:t>6.2  拟选派项目监理机构人员简历表（含附件）</w:t>
      </w:r>
      <w:bookmarkEnd w:id="11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552"/>
        <w:gridCol w:w="961"/>
        <w:gridCol w:w="1326"/>
        <w:gridCol w:w="235"/>
        <w:gridCol w:w="1222"/>
        <w:gridCol w:w="1392"/>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vAlign w:val="center"/>
          </w:tcPr>
          <w:p>
            <w:pPr>
              <w:jc w:val="center"/>
              <w:rPr>
                <w:rFonts w:ascii="宋体" w:hAnsi="宋体" w:cs="宋体"/>
                <w:color w:val="000000"/>
                <w:szCs w:val="21"/>
              </w:rPr>
            </w:pPr>
            <w:r>
              <w:rPr>
                <w:rFonts w:hint="eastAsia" w:ascii="宋体" w:hAnsi="宋体" w:cs="宋体"/>
                <w:color w:val="000000"/>
                <w:szCs w:val="21"/>
              </w:rPr>
              <w:t>姓名</w:t>
            </w:r>
          </w:p>
        </w:tc>
        <w:tc>
          <w:tcPr>
            <w:tcW w:w="1552" w:type="dxa"/>
            <w:vAlign w:val="center"/>
          </w:tcPr>
          <w:p>
            <w:pPr>
              <w:jc w:val="center"/>
              <w:rPr>
                <w:rFonts w:ascii="宋体" w:hAnsi="宋体" w:cs="宋体"/>
                <w:color w:val="000000"/>
                <w:szCs w:val="21"/>
              </w:rPr>
            </w:pPr>
          </w:p>
        </w:tc>
        <w:tc>
          <w:tcPr>
            <w:tcW w:w="961" w:type="dxa"/>
            <w:vAlign w:val="center"/>
          </w:tcPr>
          <w:p>
            <w:pPr>
              <w:jc w:val="center"/>
              <w:rPr>
                <w:rFonts w:ascii="宋体" w:hAnsi="宋体" w:cs="宋体"/>
                <w:color w:val="000000"/>
                <w:szCs w:val="21"/>
              </w:rPr>
            </w:pPr>
            <w:r>
              <w:rPr>
                <w:rFonts w:hint="eastAsia" w:ascii="宋体" w:hAnsi="宋体" w:cs="宋体"/>
                <w:color w:val="000000"/>
                <w:szCs w:val="21"/>
              </w:rPr>
              <w:t>性别</w:t>
            </w:r>
          </w:p>
        </w:tc>
        <w:tc>
          <w:tcPr>
            <w:tcW w:w="1326" w:type="dxa"/>
            <w:vAlign w:val="center"/>
          </w:tcPr>
          <w:p>
            <w:pPr>
              <w:jc w:val="center"/>
              <w:rPr>
                <w:rFonts w:ascii="宋体" w:hAnsi="宋体" w:cs="宋体"/>
                <w:color w:val="000000"/>
                <w:szCs w:val="21"/>
              </w:rPr>
            </w:pPr>
          </w:p>
        </w:tc>
        <w:tc>
          <w:tcPr>
            <w:tcW w:w="1457" w:type="dxa"/>
            <w:gridSpan w:val="2"/>
            <w:vAlign w:val="center"/>
          </w:tcPr>
          <w:p>
            <w:pPr>
              <w:jc w:val="center"/>
              <w:rPr>
                <w:rFonts w:ascii="宋体" w:hAnsi="宋体" w:cs="宋体"/>
                <w:color w:val="000000"/>
                <w:szCs w:val="21"/>
              </w:rPr>
            </w:pPr>
            <w:r>
              <w:rPr>
                <w:rFonts w:hint="eastAsia" w:ascii="宋体" w:hAnsi="宋体" w:cs="宋体"/>
                <w:color w:val="000000"/>
                <w:szCs w:val="21"/>
              </w:rPr>
              <w:t>职称</w:t>
            </w:r>
          </w:p>
        </w:tc>
        <w:tc>
          <w:tcPr>
            <w:tcW w:w="2696"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vAlign w:val="center"/>
          </w:tcPr>
          <w:p>
            <w:pPr>
              <w:jc w:val="center"/>
              <w:rPr>
                <w:rFonts w:ascii="宋体" w:hAnsi="宋体" w:cs="宋体"/>
                <w:color w:val="000000"/>
                <w:szCs w:val="21"/>
              </w:rPr>
            </w:pPr>
            <w:r>
              <w:rPr>
                <w:rFonts w:hint="eastAsia" w:ascii="宋体" w:hAnsi="宋体" w:cs="宋体"/>
                <w:color w:val="000000"/>
                <w:szCs w:val="21"/>
              </w:rPr>
              <w:t>职务</w:t>
            </w:r>
          </w:p>
        </w:tc>
        <w:tc>
          <w:tcPr>
            <w:tcW w:w="1552" w:type="dxa"/>
            <w:vAlign w:val="center"/>
          </w:tcPr>
          <w:p>
            <w:pPr>
              <w:jc w:val="center"/>
              <w:rPr>
                <w:rFonts w:ascii="宋体" w:hAnsi="宋体" w:cs="宋体"/>
                <w:color w:val="000000"/>
                <w:szCs w:val="21"/>
              </w:rPr>
            </w:pPr>
          </w:p>
        </w:tc>
        <w:tc>
          <w:tcPr>
            <w:tcW w:w="961" w:type="dxa"/>
            <w:vAlign w:val="center"/>
          </w:tcPr>
          <w:p>
            <w:pPr>
              <w:jc w:val="center"/>
              <w:rPr>
                <w:rFonts w:ascii="宋体" w:hAnsi="宋体" w:cs="宋体"/>
                <w:color w:val="000000"/>
                <w:szCs w:val="21"/>
              </w:rPr>
            </w:pPr>
            <w:r>
              <w:rPr>
                <w:rFonts w:hint="eastAsia" w:ascii="宋体" w:hAnsi="宋体" w:cs="宋体"/>
                <w:color w:val="000000"/>
                <w:szCs w:val="21"/>
              </w:rPr>
              <w:t>年龄</w:t>
            </w:r>
          </w:p>
        </w:tc>
        <w:tc>
          <w:tcPr>
            <w:tcW w:w="1326" w:type="dxa"/>
            <w:vAlign w:val="center"/>
          </w:tcPr>
          <w:p>
            <w:pPr>
              <w:jc w:val="center"/>
              <w:rPr>
                <w:rFonts w:ascii="宋体" w:hAnsi="宋体" w:cs="宋体"/>
                <w:color w:val="000000"/>
                <w:szCs w:val="21"/>
              </w:rPr>
            </w:pPr>
          </w:p>
        </w:tc>
        <w:tc>
          <w:tcPr>
            <w:tcW w:w="1457" w:type="dxa"/>
            <w:gridSpan w:val="2"/>
            <w:vAlign w:val="center"/>
          </w:tcPr>
          <w:p>
            <w:pPr>
              <w:jc w:val="center"/>
              <w:rPr>
                <w:rFonts w:ascii="宋体" w:hAnsi="宋体" w:cs="宋体"/>
                <w:color w:val="000000"/>
                <w:szCs w:val="21"/>
              </w:rPr>
            </w:pPr>
            <w:r>
              <w:rPr>
                <w:rFonts w:hint="eastAsia" w:ascii="宋体" w:hAnsi="宋体" w:cs="宋体"/>
                <w:color w:val="000000"/>
                <w:szCs w:val="21"/>
              </w:rPr>
              <w:t>学历及专业</w:t>
            </w:r>
          </w:p>
        </w:tc>
        <w:tc>
          <w:tcPr>
            <w:tcW w:w="2696"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vAlign w:val="center"/>
          </w:tcPr>
          <w:p>
            <w:pPr>
              <w:jc w:val="center"/>
              <w:rPr>
                <w:rFonts w:ascii="宋体" w:hAnsi="宋体" w:cs="宋体"/>
                <w:color w:val="000000"/>
                <w:szCs w:val="21"/>
              </w:rPr>
            </w:pPr>
            <w:r>
              <w:rPr>
                <w:rFonts w:hint="eastAsia" w:ascii="宋体" w:hAnsi="宋体" w:cs="宋体"/>
                <w:color w:val="000000"/>
                <w:szCs w:val="21"/>
              </w:rPr>
              <w:t>监理注册证号</w:t>
            </w:r>
          </w:p>
        </w:tc>
        <w:tc>
          <w:tcPr>
            <w:tcW w:w="2513" w:type="dxa"/>
            <w:gridSpan w:val="2"/>
            <w:vAlign w:val="center"/>
          </w:tcPr>
          <w:p>
            <w:pPr>
              <w:jc w:val="center"/>
              <w:rPr>
                <w:rFonts w:ascii="宋体" w:hAnsi="宋体" w:cs="宋体"/>
                <w:color w:val="000000"/>
                <w:szCs w:val="21"/>
              </w:rPr>
            </w:pPr>
          </w:p>
        </w:tc>
        <w:tc>
          <w:tcPr>
            <w:tcW w:w="2783" w:type="dxa"/>
            <w:gridSpan w:val="3"/>
            <w:vAlign w:val="center"/>
          </w:tcPr>
          <w:p>
            <w:pPr>
              <w:jc w:val="center"/>
              <w:rPr>
                <w:rFonts w:ascii="宋体" w:hAnsi="宋体" w:cs="宋体"/>
                <w:color w:val="000000"/>
                <w:szCs w:val="21"/>
              </w:rPr>
            </w:pPr>
            <w:r>
              <w:rPr>
                <w:rFonts w:hint="eastAsia" w:ascii="宋体" w:hAnsi="宋体" w:cs="宋体"/>
                <w:color w:val="000000"/>
                <w:szCs w:val="21"/>
              </w:rPr>
              <w:t>从事工程施工监理年限</w:t>
            </w:r>
          </w:p>
        </w:tc>
        <w:tc>
          <w:tcPr>
            <w:tcW w:w="2696"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vAlign w:val="center"/>
          </w:tcPr>
          <w:p>
            <w:pPr>
              <w:jc w:val="center"/>
              <w:rPr>
                <w:rFonts w:ascii="宋体" w:hAnsi="宋体" w:cs="宋体"/>
                <w:color w:val="000000"/>
                <w:szCs w:val="21"/>
              </w:rPr>
            </w:pPr>
            <w:r>
              <w:rPr>
                <w:rFonts w:hint="eastAsia" w:ascii="宋体" w:hAnsi="宋体" w:cs="宋体"/>
                <w:color w:val="000000"/>
                <w:szCs w:val="21"/>
              </w:rPr>
              <w:t>专业</w:t>
            </w:r>
          </w:p>
        </w:tc>
        <w:tc>
          <w:tcPr>
            <w:tcW w:w="2513" w:type="dxa"/>
            <w:gridSpan w:val="2"/>
            <w:vAlign w:val="center"/>
          </w:tcPr>
          <w:p>
            <w:pPr>
              <w:jc w:val="center"/>
              <w:rPr>
                <w:rFonts w:ascii="宋体" w:hAnsi="宋体" w:cs="宋体"/>
                <w:color w:val="000000"/>
                <w:szCs w:val="21"/>
              </w:rPr>
            </w:pPr>
          </w:p>
        </w:tc>
        <w:tc>
          <w:tcPr>
            <w:tcW w:w="2783" w:type="dxa"/>
            <w:gridSpan w:val="3"/>
            <w:vAlign w:val="center"/>
          </w:tcPr>
          <w:p>
            <w:pPr>
              <w:jc w:val="center"/>
              <w:rPr>
                <w:rFonts w:ascii="宋体" w:hAnsi="宋体" w:cs="宋体"/>
                <w:color w:val="000000"/>
                <w:szCs w:val="21"/>
              </w:rPr>
            </w:pPr>
            <w:r>
              <w:rPr>
                <w:rFonts w:hint="eastAsia" w:ascii="宋体" w:hAnsi="宋体" w:cs="宋体"/>
                <w:color w:val="000000"/>
                <w:szCs w:val="21"/>
              </w:rPr>
              <w:t>在本项目中拟任职务</w:t>
            </w:r>
          </w:p>
        </w:tc>
        <w:tc>
          <w:tcPr>
            <w:tcW w:w="2696" w:type="dxa"/>
            <w:gridSpan w:val="2"/>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8" w:type="dxa"/>
            <w:gridSpan w:val="8"/>
            <w:vAlign w:val="center"/>
          </w:tcPr>
          <w:p>
            <w:pPr>
              <w:jc w:val="center"/>
              <w:rPr>
                <w:rFonts w:ascii="宋体" w:hAnsi="宋体" w:cs="宋体"/>
                <w:color w:val="000000"/>
                <w:szCs w:val="21"/>
              </w:rPr>
            </w:pPr>
            <w:r>
              <w:rPr>
                <w:rFonts w:hint="eastAsia" w:ascii="宋体" w:hAnsi="宋体" w:cs="宋体"/>
                <w:color w:val="000000"/>
                <w:szCs w:val="21"/>
              </w:rPr>
              <w:t>已完成监理项目情况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vAlign w:val="center"/>
          </w:tcPr>
          <w:p>
            <w:pPr>
              <w:jc w:val="center"/>
              <w:rPr>
                <w:rFonts w:ascii="宋体" w:hAnsi="宋体" w:cs="宋体"/>
                <w:color w:val="000000"/>
                <w:szCs w:val="21"/>
              </w:rPr>
            </w:pPr>
            <w:r>
              <w:rPr>
                <w:rFonts w:hint="eastAsia" w:ascii="宋体" w:hAnsi="宋体" w:cs="宋体"/>
                <w:color w:val="000000"/>
                <w:szCs w:val="21"/>
              </w:rPr>
              <w:t>建设单位</w:t>
            </w:r>
          </w:p>
        </w:tc>
        <w:tc>
          <w:tcPr>
            <w:tcW w:w="1552"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961" w:type="dxa"/>
            <w:vAlign w:val="center"/>
          </w:tcPr>
          <w:p>
            <w:pPr>
              <w:jc w:val="center"/>
              <w:rPr>
                <w:rFonts w:ascii="宋体" w:hAnsi="宋体" w:cs="宋体"/>
                <w:color w:val="000000"/>
                <w:szCs w:val="21"/>
              </w:rPr>
            </w:pPr>
            <w:r>
              <w:rPr>
                <w:rFonts w:hint="eastAsia" w:ascii="宋体" w:hAnsi="宋体" w:cs="宋体"/>
                <w:color w:val="000000"/>
                <w:szCs w:val="21"/>
              </w:rPr>
              <w:t>建设</w:t>
            </w:r>
          </w:p>
          <w:p>
            <w:pPr>
              <w:jc w:val="center"/>
              <w:rPr>
                <w:rFonts w:ascii="宋体" w:hAnsi="宋体" w:cs="宋体"/>
                <w:color w:val="000000"/>
                <w:szCs w:val="21"/>
              </w:rPr>
            </w:pPr>
            <w:r>
              <w:rPr>
                <w:rFonts w:hint="eastAsia" w:ascii="宋体" w:hAnsi="宋体" w:cs="宋体"/>
                <w:color w:val="000000"/>
                <w:szCs w:val="21"/>
              </w:rPr>
              <w:t>规模</w:t>
            </w:r>
          </w:p>
        </w:tc>
        <w:tc>
          <w:tcPr>
            <w:tcW w:w="1561" w:type="dxa"/>
            <w:gridSpan w:val="2"/>
            <w:vAlign w:val="center"/>
          </w:tcPr>
          <w:p>
            <w:pPr>
              <w:jc w:val="center"/>
              <w:rPr>
                <w:rFonts w:ascii="宋体" w:hAnsi="宋体" w:cs="宋体"/>
                <w:color w:val="000000"/>
                <w:szCs w:val="21"/>
              </w:rPr>
            </w:pPr>
            <w:r>
              <w:rPr>
                <w:rFonts w:hint="eastAsia" w:ascii="宋体" w:hAnsi="宋体" w:cs="宋体"/>
                <w:color w:val="000000"/>
                <w:szCs w:val="21"/>
              </w:rPr>
              <w:t>开、竣工时间</w:t>
            </w:r>
          </w:p>
        </w:tc>
        <w:tc>
          <w:tcPr>
            <w:tcW w:w="1222" w:type="dxa"/>
            <w:vAlign w:val="center"/>
          </w:tcPr>
          <w:p>
            <w:pPr>
              <w:jc w:val="center"/>
              <w:rPr>
                <w:rFonts w:ascii="宋体" w:hAnsi="宋体" w:cs="宋体"/>
                <w:color w:val="000000"/>
                <w:szCs w:val="21"/>
              </w:rPr>
            </w:pPr>
            <w:r>
              <w:rPr>
                <w:rFonts w:hint="eastAsia" w:ascii="宋体" w:hAnsi="宋体" w:cs="宋体"/>
                <w:color w:val="000000"/>
                <w:szCs w:val="21"/>
              </w:rPr>
              <w:t>合同质量标准</w:t>
            </w:r>
          </w:p>
        </w:tc>
        <w:tc>
          <w:tcPr>
            <w:tcW w:w="1392" w:type="dxa"/>
            <w:vAlign w:val="center"/>
          </w:tcPr>
          <w:p>
            <w:pPr>
              <w:jc w:val="center"/>
              <w:rPr>
                <w:rFonts w:ascii="宋体" w:hAnsi="宋体" w:cs="宋体"/>
                <w:color w:val="000000"/>
                <w:szCs w:val="21"/>
              </w:rPr>
            </w:pPr>
            <w:r>
              <w:rPr>
                <w:rFonts w:hint="eastAsia" w:ascii="宋体" w:hAnsi="宋体" w:cs="宋体"/>
                <w:color w:val="000000"/>
                <w:szCs w:val="21"/>
              </w:rPr>
              <w:t>质量评定</w:t>
            </w:r>
          </w:p>
          <w:p>
            <w:pPr>
              <w:jc w:val="center"/>
              <w:rPr>
                <w:rFonts w:ascii="宋体" w:hAnsi="宋体" w:cs="宋体"/>
                <w:color w:val="000000"/>
                <w:szCs w:val="21"/>
              </w:rPr>
            </w:pPr>
            <w:r>
              <w:rPr>
                <w:rFonts w:hint="eastAsia" w:ascii="宋体" w:hAnsi="宋体" w:cs="宋体"/>
                <w:color w:val="000000"/>
                <w:szCs w:val="21"/>
              </w:rPr>
              <w:t>等级</w:t>
            </w:r>
          </w:p>
        </w:tc>
        <w:tc>
          <w:tcPr>
            <w:tcW w:w="1304" w:type="dxa"/>
            <w:vAlign w:val="center"/>
          </w:tcPr>
          <w:p>
            <w:pPr>
              <w:jc w:val="center"/>
              <w:rPr>
                <w:rFonts w:ascii="宋体" w:hAnsi="宋体" w:cs="宋体"/>
                <w:color w:val="000000"/>
                <w:szCs w:val="21"/>
              </w:rPr>
            </w:pPr>
            <w:r>
              <w:rPr>
                <w:rFonts w:hint="eastAsia" w:ascii="宋体" w:hAnsi="宋体" w:cs="宋体"/>
                <w:color w:val="000000"/>
                <w:szCs w:val="21"/>
              </w:rPr>
              <w:t>担任</w:t>
            </w:r>
          </w:p>
          <w:p>
            <w:pPr>
              <w:jc w:val="center"/>
              <w:rPr>
                <w:rFonts w:ascii="宋体" w:hAnsi="宋体" w:cs="宋体"/>
                <w:color w:val="000000"/>
                <w:szCs w:val="21"/>
              </w:rPr>
            </w:pPr>
            <w:r>
              <w:rPr>
                <w:rFonts w:hint="eastAsia" w:ascii="宋体" w:hAnsi="宋体" w:cs="宋体"/>
                <w:color w:val="00000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rPr>
                <w:rFonts w:ascii="宋体" w:hAnsi="宋体" w:cs="宋体"/>
                <w:color w:val="000000"/>
                <w:szCs w:val="21"/>
              </w:rPr>
            </w:pPr>
          </w:p>
        </w:tc>
        <w:tc>
          <w:tcPr>
            <w:tcW w:w="1552" w:type="dxa"/>
          </w:tcPr>
          <w:p>
            <w:pPr>
              <w:rPr>
                <w:rFonts w:ascii="宋体" w:hAnsi="宋体" w:cs="宋体"/>
                <w:color w:val="000000"/>
                <w:szCs w:val="21"/>
              </w:rPr>
            </w:pPr>
          </w:p>
        </w:tc>
        <w:tc>
          <w:tcPr>
            <w:tcW w:w="961" w:type="dxa"/>
          </w:tcPr>
          <w:p>
            <w:pPr>
              <w:rPr>
                <w:rFonts w:ascii="宋体" w:hAnsi="宋体" w:cs="宋体"/>
                <w:color w:val="000000"/>
                <w:szCs w:val="21"/>
              </w:rPr>
            </w:pPr>
          </w:p>
        </w:tc>
        <w:tc>
          <w:tcPr>
            <w:tcW w:w="1561" w:type="dxa"/>
            <w:gridSpan w:val="2"/>
          </w:tcPr>
          <w:p>
            <w:pPr>
              <w:rPr>
                <w:rFonts w:ascii="宋体" w:hAnsi="宋体" w:cs="宋体"/>
                <w:color w:val="000000"/>
                <w:szCs w:val="21"/>
              </w:rPr>
            </w:pPr>
          </w:p>
        </w:tc>
        <w:tc>
          <w:tcPr>
            <w:tcW w:w="1222" w:type="dxa"/>
          </w:tcPr>
          <w:p>
            <w:pPr>
              <w:rPr>
                <w:rFonts w:ascii="宋体" w:hAnsi="宋体" w:cs="宋体"/>
                <w:color w:val="000000"/>
                <w:szCs w:val="21"/>
              </w:rPr>
            </w:pPr>
          </w:p>
        </w:tc>
        <w:tc>
          <w:tcPr>
            <w:tcW w:w="1392" w:type="dxa"/>
          </w:tcPr>
          <w:p>
            <w:pPr>
              <w:rPr>
                <w:rFonts w:ascii="宋体" w:hAnsi="宋体" w:cs="宋体"/>
                <w:color w:val="000000"/>
                <w:szCs w:val="21"/>
              </w:rPr>
            </w:pPr>
          </w:p>
        </w:tc>
        <w:tc>
          <w:tcPr>
            <w:tcW w:w="1304" w:type="dxa"/>
          </w:tcPr>
          <w:p>
            <w:pPr>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pacing w:val="-2"/>
          <w:szCs w:val="21"/>
        </w:rPr>
        <w:t>说明：</w:t>
      </w:r>
      <w:r>
        <w:rPr>
          <w:rFonts w:hint="eastAsia" w:ascii="宋体" w:hAnsi="宋体" w:cs="宋体"/>
          <w:color w:val="000000"/>
          <w:szCs w:val="21"/>
        </w:rPr>
        <w:t>投标人编制投标文件</w:t>
      </w:r>
      <w:r>
        <w:rPr>
          <w:rFonts w:hint="eastAsia" w:ascii="宋体" w:hAnsi="宋体" w:cs="宋体"/>
          <w:color w:val="000000"/>
          <w:spacing w:val="-2"/>
          <w:szCs w:val="21"/>
        </w:rPr>
        <w:t>时，应将“拟选派项目监理机构人员一览表”所列监理人员的</w:t>
      </w:r>
      <w:r>
        <w:rPr>
          <w:rFonts w:hint="eastAsia" w:ascii="宋体" w:hAnsi="宋体" w:cs="宋体"/>
          <w:color w:val="000000"/>
          <w:spacing w:val="-2"/>
          <w:szCs w:val="21"/>
          <w:u w:val="single"/>
        </w:rPr>
        <w:t xml:space="preserve">  资质证书或上岗证、身份证、职称证、劳动合同</w:t>
      </w:r>
      <w:r>
        <w:rPr>
          <w:rFonts w:hint="eastAsia" w:ascii="宋体" w:hAnsi="宋体" w:cs="宋体"/>
          <w:color w:val="000000"/>
          <w:spacing w:val="-2"/>
          <w:szCs w:val="21"/>
        </w:rPr>
        <w:t>的复印件作为本表的附件</w:t>
      </w:r>
    </w:p>
    <w:p>
      <w:pPr>
        <w:pStyle w:val="3"/>
        <w:keepNext w:val="0"/>
        <w:keepLines w:val="0"/>
        <w:spacing w:line="415" w:lineRule="auto"/>
        <w:rPr>
          <w:color w:val="000000"/>
        </w:rPr>
      </w:pPr>
      <w:r>
        <w:rPr>
          <w:rFonts w:hint="eastAsia"/>
          <w:color w:val="000000"/>
        </w:rPr>
        <w:br w:type="page"/>
      </w:r>
      <w:bookmarkStart w:id="115" w:name="_Toc520815322"/>
      <w:bookmarkStart w:id="116" w:name="_Toc520815321"/>
      <w:r>
        <w:rPr>
          <w:rFonts w:hint="eastAsia"/>
          <w:color w:val="000000"/>
        </w:rPr>
        <w:t>7. 拟投入现场的设备、检测仪器</w:t>
      </w:r>
      <w:bookmarkEnd w:id="115"/>
      <w:bookmarkEnd w:id="116"/>
    </w:p>
    <w:p>
      <w:pPr>
        <w:jc w:val="center"/>
        <w:rPr>
          <w:sz w:val="32"/>
          <w:szCs w:val="32"/>
        </w:rPr>
      </w:pPr>
      <w:r>
        <w:rPr>
          <w:rFonts w:hint="eastAsia"/>
          <w:sz w:val="32"/>
          <w:szCs w:val="32"/>
        </w:rPr>
        <w:t>拟投入现场的设备、检测仪器一览表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3"/>
        <w:gridCol w:w="1253"/>
        <w:gridCol w:w="834"/>
        <w:gridCol w:w="696"/>
        <w:gridCol w:w="864"/>
        <w:gridCol w:w="1626"/>
        <w:gridCol w:w="978"/>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序号</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设备或仪器名称</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型号规格</w:t>
            </w: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数量</w:t>
            </w: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国别产地</w:t>
            </w: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制造年份</w:t>
            </w: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己使用台时数</w:t>
            </w: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用途</w:t>
            </w: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szCs w:val="21"/>
              </w:rPr>
            </w:pPr>
          </w:p>
        </w:tc>
      </w:tr>
    </w:tbl>
    <w:p>
      <w:pPr>
        <w:rPr>
          <w:rFonts w:ascii="宋体" w:hAnsi="宋体" w:cs="宋体"/>
          <w:color w:val="000000"/>
          <w:szCs w:val="21"/>
        </w:rPr>
      </w:pPr>
    </w:p>
    <w:p>
      <w:pPr>
        <w:jc w:val="center"/>
        <w:rPr>
          <w:rFonts w:ascii="宋体" w:hAnsi="宋体" w:cs="宋体"/>
          <w:b/>
          <w:color w:val="000000"/>
          <w:szCs w:val="21"/>
        </w:rPr>
      </w:pPr>
    </w:p>
    <w:p>
      <w:pPr>
        <w:jc w:val="center"/>
        <w:rPr>
          <w:rFonts w:ascii="宋体" w:hAnsi="宋体" w:cs="宋体"/>
          <w:b/>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rPr>
          <w:rFonts w:ascii="方正小标宋_GBK" w:hAnsi="宋体" w:eastAsia="方正小标宋_GBK" w:cs="宋体"/>
          <w:b/>
          <w:bCs/>
          <w:color w:val="000000"/>
          <w:sz w:val="36"/>
          <w:szCs w:val="36"/>
        </w:rPr>
      </w:pPr>
      <w:bookmarkStart w:id="117" w:name="_Toc19852"/>
      <w:r>
        <w:rPr>
          <w:color w:val="000000"/>
        </w:rPr>
        <w:br w:type="page"/>
      </w:r>
      <w:bookmarkEnd w:id="117"/>
      <w:bookmarkStart w:id="118" w:name="_Toc398107944"/>
      <w:r>
        <w:rPr>
          <w:rFonts w:hint="eastAsia" w:ascii="方正小标宋_GBK" w:hAnsi="宋体" w:eastAsia="方正小标宋_GBK" w:cs="宋体"/>
          <w:b/>
          <w:bCs/>
          <w:color w:val="000000"/>
          <w:sz w:val="36"/>
          <w:szCs w:val="36"/>
        </w:rPr>
        <w:t>8. 投标安全承诺书</w:t>
      </w:r>
    </w:p>
    <w:p>
      <w:pPr>
        <w:jc w:val="center"/>
        <w:rPr>
          <w:rFonts w:hAnsi="宋体"/>
          <w:b/>
          <w:bCs/>
          <w:color w:val="000000"/>
          <w:sz w:val="36"/>
          <w:szCs w:val="36"/>
        </w:rPr>
      </w:pPr>
    </w:p>
    <w:p>
      <w:pPr>
        <w:spacing w:line="560" w:lineRule="exact"/>
        <w:rPr>
          <w:rFonts w:ascii="宋体" w:hAnsi="宋体" w:cs="宋体"/>
          <w:color w:val="000000"/>
          <w:sz w:val="24"/>
          <w:u w:val="single"/>
        </w:rPr>
      </w:pPr>
      <w:r>
        <w:rPr>
          <w:rFonts w:hint="eastAsia" w:ascii="宋体" w:hAnsi="宋体" w:cs="宋体"/>
          <w:color w:val="000000"/>
          <w:sz w:val="24"/>
        </w:rPr>
        <w:t>本单位郑重承诺：我单位如中标，在</w:t>
      </w:r>
    </w:p>
    <w:p>
      <w:pPr>
        <w:spacing w:line="560" w:lineRule="exact"/>
        <w:rPr>
          <w:rFonts w:ascii="宋体" w:hAnsi="宋体" w:cs="宋体"/>
          <w:color w:val="000000"/>
          <w:sz w:val="24"/>
        </w:rPr>
      </w:pPr>
      <w:r>
        <w:rPr>
          <w:rFonts w:hint="eastAsia" w:ascii="宋体" w:hAnsi="宋体" w:cs="宋体"/>
          <w:color w:val="000000"/>
          <w:sz w:val="24"/>
        </w:rPr>
        <w:t>工程监理过程中，严格遵守《建筑法》、《安全生产法》、《建设工程安全生产管理条例》、《安全生产许可证条例》、《建设工程监理规范》、《</w:t>
      </w:r>
      <w:r>
        <w:rPr>
          <w:rFonts w:ascii="宋体" w:hAnsi="宋体" w:cs="宋体"/>
          <w:color w:val="000000"/>
          <w:sz w:val="24"/>
        </w:rPr>
        <w:t>危险性较大的分部分项工程安全管理规定</w:t>
      </w:r>
      <w:r>
        <w:rPr>
          <w:rFonts w:hint="eastAsia" w:ascii="宋体" w:hAnsi="宋体" w:cs="宋体"/>
          <w:color w:val="000000"/>
          <w:sz w:val="24"/>
        </w:rPr>
        <w:t>》等法律法规、规范标准和各项规定。</w:t>
      </w:r>
    </w:p>
    <w:p>
      <w:pPr>
        <w:spacing w:line="560" w:lineRule="exact"/>
        <w:ind w:firstLine="645"/>
        <w:rPr>
          <w:rFonts w:ascii="宋体"/>
          <w:color w:val="000000"/>
          <w:sz w:val="24"/>
        </w:rPr>
      </w:pPr>
      <w:r>
        <w:rPr>
          <w:rFonts w:hint="eastAsia" w:ascii="宋体" w:hAnsi="宋体"/>
          <w:color w:val="000000"/>
          <w:sz w:val="24"/>
        </w:rPr>
        <w:t>将安全生产管理内容纳入监理规划和监理细则，审查施工组织设计中的安全技术措施或者专项施工方案是否符合工程建设强制性标准，督促施工单位进行安全自查工作，</w:t>
      </w:r>
      <w:r>
        <w:rPr>
          <w:rFonts w:hint="eastAsia" w:ascii="宋体"/>
          <w:color w:val="000000"/>
          <w:sz w:val="24"/>
        </w:rPr>
        <w:t>严格执行现场巡查、旁站监理、平行检验等制度，及时发现并制止安全生产违法违规行为，</w:t>
      </w:r>
      <w:r>
        <w:rPr>
          <w:rFonts w:hint="eastAsia" w:ascii="宋体" w:hAnsi="宋体" w:cs="宋体"/>
          <w:color w:val="000000"/>
          <w:sz w:val="24"/>
        </w:rPr>
        <w:t>确保工程建设施工过程中安全生产，依法承担和落实建设工程安全生产主体责任。</w:t>
      </w:r>
    </w:p>
    <w:p>
      <w:pPr>
        <w:spacing w:line="560" w:lineRule="exact"/>
        <w:ind w:firstLine="645"/>
        <w:rPr>
          <w:rFonts w:ascii="宋体"/>
          <w:color w:val="000000"/>
          <w:sz w:val="24"/>
        </w:rPr>
      </w:pPr>
      <w:r>
        <w:rPr>
          <w:rFonts w:hint="eastAsia" w:ascii="宋体" w:hAnsi="宋体" w:cs="宋体"/>
          <w:color w:val="000000"/>
          <w:sz w:val="24"/>
        </w:rPr>
        <w:t>单位法定代表人将授权为本工程总监理工程师。</w:t>
      </w:r>
    </w:p>
    <w:p>
      <w:pPr>
        <w:spacing w:line="560" w:lineRule="exact"/>
        <w:ind w:firstLine="645"/>
        <w:rPr>
          <w:rFonts w:ascii="宋体"/>
          <w:color w:val="000000"/>
          <w:sz w:val="24"/>
        </w:rPr>
      </w:pPr>
      <w:r>
        <w:rPr>
          <w:rFonts w:hint="eastAsia" w:ascii="宋体" w:hAnsi="宋体" w:cs="宋体"/>
          <w:color w:val="000000"/>
          <w:sz w:val="24"/>
        </w:rPr>
        <w:t>承诺期内，若违反上述承诺内容，本企业和承诺人愿意接受建设行政主管部门及其他有关部门依据有关法律法规给予的处罚。</w:t>
      </w:r>
    </w:p>
    <w:tbl>
      <w:tblPr>
        <w:tblStyle w:val="9"/>
        <w:tblW w:w="8872" w:type="dxa"/>
        <w:jc w:val="center"/>
        <w:tblLayout w:type="fixed"/>
        <w:tblCellMar>
          <w:top w:w="0" w:type="dxa"/>
          <w:left w:w="0" w:type="dxa"/>
          <w:bottom w:w="0" w:type="dxa"/>
          <w:right w:w="0" w:type="dxa"/>
        </w:tblCellMar>
      </w:tblPr>
      <w:tblGrid>
        <w:gridCol w:w="2736"/>
        <w:gridCol w:w="2585"/>
        <w:gridCol w:w="1445"/>
        <w:gridCol w:w="2106"/>
      </w:tblGrid>
      <w:tr>
        <w:tblPrEx>
          <w:tblCellMar>
            <w:top w:w="0" w:type="dxa"/>
            <w:left w:w="0" w:type="dxa"/>
            <w:bottom w:w="0" w:type="dxa"/>
            <w:right w:w="0" w:type="dxa"/>
          </w:tblCellMar>
        </w:tblPrEx>
        <w:trPr>
          <w:trHeight w:val="698" w:hRule="atLeast"/>
          <w:jc w:val="center"/>
        </w:trPr>
        <w:tc>
          <w:tcPr>
            <w:tcW w:w="2736" w:type="dxa"/>
            <w:tcBorders>
              <w:top w:val="single" w:color="auto" w:sz="4" w:space="0"/>
              <w:left w:val="single" w:color="auto" w:sz="8"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r>
              <w:rPr>
                <w:rFonts w:hint="eastAsia" w:ascii="宋体" w:hAnsi="宋体" w:cs="宋体"/>
                <w:color w:val="000000"/>
                <w:kern w:val="36"/>
                <w:sz w:val="24"/>
              </w:rPr>
              <w:t>法定代表人（签名）</w:t>
            </w:r>
          </w:p>
        </w:tc>
        <w:tc>
          <w:tcPr>
            <w:tcW w:w="2585" w:type="dxa"/>
            <w:tcBorders>
              <w:top w:val="single" w:color="auto" w:sz="4" w:space="0"/>
              <w:left w:val="single" w:color="auto" w:sz="4" w:space="0"/>
              <w:bottom w:val="single" w:color="auto" w:sz="4" w:space="0"/>
              <w:right w:val="single" w:color="auto" w:sz="4" w:space="0"/>
            </w:tcBorders>
            <w:vAlign w:val="center"/>
          </w:tcPr>
          <w:p>
            <w:pPr>
              <w:spacing w:line="560" w:lineRule="exact"/>
              <w:outlineLvl w:val="0"/>
              <w:rPr>
                <w:rFonts w:ascii="宋体"/>
                <w:color w:val="000000"/>
                <w:kern w:val="36"/>
                <w:sz w:val="24"/>
              </w:rPr>
            </w:pPr>
            <w:r>
              <w:rPr>
                <w:rFonts w:ascii="宋体"/>
                <w:color w:val="000000"/>
                <w:kern w:val="36"/>
                <w:sz w:val="24"/>
              </w:rPr>
              <w:t> </w:t>
            </w:r>
          </w:p>
        </w:tc>
        <w:tc>
          <w:tcPr>
            <w:tcW w:w="14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r>
              <w:rPr>
                <w:rFonts w:hint="eastAsia" w:ascii="宋体" w:hAnsi="宋体" w:cs="宋体"/>
                <w:color w:val="000000"/>
                <w:kern w:val="36"/>
                <w:sz w:val="24"/>
              </w:rPr>
              <w:t>承诺日期</w:t>
            </w:r>
          </w:p>
        </w:tc>
        <w:tc>
          <w:tcPr>
            <w:tcW w:w="2106" w:type="dxa"/>
            <w:tcBorders>
              <w:top w:val="single" w:color="auto" w:sz="4" w:space="0"/>
              <w:left w:val="single" w:color="auto" w:sz="4" w:space="0"/>
              <w:bottom w:val="single" w:color="auto" w:sz="4" w:space="0"/>
              <w:right w:val="single" w:color="auto" w:sz="4" w:space="0"/>
            </w:tcBorders>
            <w:vAlign w:val="center"/>
          </w:tcPr>
          <w:p>
            <w:pPr>
              <w:spacing w:line="560" w:lineRule="exact"/>
              <w:outlineLvl w:val="0"/>
              <w:rPr>
                <w:rFonts w:ascii="宋体"/>
                <w:color w:val="000000"/>
                <w:kern w:val="36"/>
                <w:sz w:val="24"/>
              </w:rPr>
            </w:pPr>
          </w:p>
        </w:tc>
      </w:tr>
      <w:tr>
        <w:tblPrEx>
          <w:tblCellMar>
            <w:top w:w="0" w:type="dxa"/>
            <w:left w:w="0" w:type="dxa"/>
            <w:bottom w:w="0" w:type="dxa"/>
            <w:right w:w="0" w:type="dxa"/>
          </w:tblCellMar>
        </w:tblPrEx>
        <w:trPr>
          <w:trHeight w:val="609" w:hRule="atLeast"/>
          <w:jc w:val="center"/>
        </w:trPr>
        <w:tc>
          <w:tcPr>
            <w:tcW w:w="2736" w:type="dxa"/>
            <w:tcBorders>
              <w:top w:val="single" w:color="auto" w:sz="4" w:space="0"/>
              <w:left w:val="single" w:color="auto" w:sz="8"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r>
              <w:rPr>
                <w:rFonts w:hint="eastAsia" w:ascii="宋体" w:hAnsi="宋体" w:cs="宋体"/>
                <w:color w:val="000000"/>
                <w:kern w:val="36"/>
                <w:sz w:val="24"/>
              </w:rPr>
              <w:t>联系方式</w:t>
            </w:r>
          </w:p>
        </w:tc>
        <w:tc>
          <w:tcPr>
            <w:tcW w:w="613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307" w:hanging="307" w:hangingChars="128"/>
              <w:jc w:val="center"/>
              <w:outlineLvl w:val="0"/>
              <w:rPr>
                <w:rFonts w:ascii="宋体"/>
                <w:color w:val="000000"/>
                <w:kern w:val="36"/>
                <w:sz w:val="24"/>
              </w:rPr>
            </w:pPr>
          </w:p>
        </w:tc>
      </w:tr>
      <w:tr>
        <w:tblPrEx>
          <w:tblCellMar>
            <w:top w:w="0" w:type="dxa"/>
            <w:left w:w="0" w:type="dxa"/>
            <w:bottom w:w="0" w:type="dxa"/>
            <w:right w:w="0" w:type="dxa"/>
          </w:tblCellMar>
        </w:tblPrEx>
        <w:trPr>
          <w:trHeight w:val="593" w:hRule="atLeast"/>
          <w:jc w:val="center"/>
        </w:trPr>
        <w:tc>
          <w:tcPr>
            <w:tcW w:w="2736" w:type="dxa"/>
            <w:tcBorders>
              <w:top w:val="single" w:color="auto" w:sz="4" w:space="0"/>
              <w:left w:val="single" w:color="auto" w:sz="8" w:space="0"/>
              <w:bottom w:val="single" w:color="auto" w:sz="4" w:space="0"/>
              <w:right w:val="single" w:color="auto" w:sz="4" w:space="0"/>
            </w:tcBorders>
            <w:vAlign w:val="center"/>
          </w:tcPr>
          <w:p>
            <w:pPr>
              <w:spacing w:line="560" w:lineRule="exact"/>
              <w:jc w:val="center"/>
              <w:outlineLvl w:val="0"/>
              <w:rPr>
                <w:rFonts w:ascii="宋体"/>
                <w:b/>
                <w:bCs/>
                <w:color w:val="000000"/>
                <w:kern w:val="36"/>
                <w:sz w:val="24"/>
              </w:rPr>
            </w:pPr>
            <w:r>
              <w:rPr>
                <w:rFonts w:hint="eastAsia" w:ascii="宋体" w:hAnsi="宋体" w:cs="宋体"/>
                <w:color w:val="000000"/>
                <w:kern w:val="36"/>
                <w:sz w:val="24"/>
              </w:rPr>
              <w:t>投标总监理工程师（签名）</w:t>
            </w:r>
          </w:p>
        </w:tc>
        <w:tc>
          <w:tcPr>
            <w:tcW w:w="25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outlineLvl w:val="0"/>
              <w:rPr>
                <w:rFonts w:ascii="宋体"/>
                <w:b/>
                <w:bCs/>
                <w:color w:val="000000"/>
                <w:kern w:val="36"/>
                <w:sz w:val="24"/>
              </w:rPr>
            </w:pPr>
            <w:r>
              <w:rPr>
                <w:rFonts w:ascii="宋体"/>
                <w:color w:val="000000"/>
                <w:kern w:val="36"/>
                <w:sz w:val="24"/>
              </w:rPr>
              <w:t> </w:t>
            </w:r>
          </w:p>
        </w:tc>
        <w:tc>
          <w:tcPr>
            <w:tcW w:w="14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r>
              <w:rPr>
                <w:rFonts w:hint="eastAsia" w:ascii="宋体" w:hAnsi="宋体" w:cs="宋体"/>
                <w:color w:val="000000"/>
                <w:kern w:val="36"/>
                <w:sz w:val="24"/>
              </w:rPr>
              <w:t>承诺日期</w:t>
            </w:r>
          </w:p>
        </w:tc>
        <w:tc>
          <w:tcPr>
            <w:tcW w:w="210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outlineLvl w:val="0"/>
              <w:rPr>
                <w:rFonts w:ascii="宋体"/>
                <w:b/>
                <w:bCs/>
                <w:color w:val="000000"/>
                <w:kern w:val="36"/>
                <w:sz w:val="24"/>
              </w:rPr>
            </w:pPr>
          </w:p>
        </w:tc>
      </w:tr>
      <w:tr>
        <w:tblPrEx>
          <w:tblCellMar>
            <w:top w:w="0" w:type="dxa"/>
            <w:left w:w="0" w:type="dxa"/>
            <w:bottom w:w="0" w:type="dxa"/>
            <w:right w:w="0" w:type="dxa"/>
          </w:tblCellMar>
        </w:tblPrEx>
        <w:trPr>
          <w:trHeight w:val="523" w:hRule="atLeast"/>
          <w:jc w:val="center"/>
        </w:trPr>
        <w:tc>
          <w:tcPr>
            <w:tcW w:w="2736" w:type="dxa"/>
            <w:tcBorders>
              <w:top w:val="single" w:color="auto" w:sz="4" w:space="0"/>
              <w:left w:val="single" w:color="auto" w:sz="8"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r>
              <w:rPr>
                <w:rFonts w:hint="eastAsia" w:ascii="宋体" w:hAnsi="宋体" w:cs="宋体"/>
                <w:color w:val="000000"/>
                <w:kern w:val="36"/>
                <w:sz w:val="24"/>
              </w:rPr>
              <w:t>联系方式</w:t>
            </w:r>
          </w:p>
        </w:tc>
        <w:tc>
          <w:tcPr>
            <w:tcW w:w="613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outlineLvl w:val="0"/>
              <w:rPr>
                <w:rFonts w:ascii="宋体"/>
                <w:color w:val="000000"/>
                <w:kern w:val="36"/>
                <w:sz w:val="24"/>
              </w:rPr>
            </w:pPr>
          </w:p>
        </w:tc>
      </w:tr>
    </w:tbl>
    <w:p>
      <w:pPr>
        <w:shd w:val="clear" w:color="auto" w:fill="FFFFFF"/>
        <w:spacing w:line="560" w:lineRule="exact"/>
        <w:rPr>
          <w:rFonts w:ascii="宋体" w:hAnsi="宋体" w:cs="宋体"/>
          <w:color w:val="000000"/>
          <w:sz w:val="24"/>
        </w:rPr>
      </w:pPr>
    </w:p>
    <w:p>
      <w:pPr>
        <w:rPr>
          <w:rFonts w:ascii="宋体" w:hAnsi="宋体" w:cs="宋体"/>
          <w:color w:val="000000"/>
          <w:sz w:val="24"/>
        </w:rPr>
      </w:pPr>
      <w:r>
        <w:rPr>
          <w:rFonts w:hint="eastAsia" w:ascii="宋体" w:hAnsi="宋体" w:cs="宋体"/>
          <w:color w:val="000000"/>
          <w:sz w:val="24"/>
        </w:rPr>
        <w:t>（单位公章）</w:t>
      </w:r>
    </w:p>
    <w:p>
      <w:pPr>
        <w:rPr>
          <w:rFonts w:ascii="Arial" w:hAnsi="Arial" w:eastAsia="黑体"/>
          <w:bCs/>
          <w:color w:val="000000"/>
          <w:sz w:val="32"/>
          <w:szCs w:val="32"/>
        </w:rPr>
      </w:pPr>
    </w:p>
    <w:p>
      <w:pPr>
        <w:rPr>
          <w:rFonts w:ascii="Arial" w:hAnsi="Arial" w:eastAsia="黑体"/>
          <w:bCs/>
          <w:color w:val="000000"/>
          <w:sz w:val="32"/>
          <w:szCs w:val="32"/>
        </w:rPr>
      </w:pPr>
      <w:r>
        <w:rPr>
          <w:rFonts w:hint="eastAsia" w:ascii="Arial" w:hAnsi="Arial" w:eastAsia="黑体"/>
          <w:bCs/>
          <w:color w:val="000000"/>
          <w:sz w:val="32"/>
          <w:szCs w:val="32"/>
        </w:rPr>
        <w:t>9. 监理取费</w:t>
      </w:r>
    </w:p>
    <w:p>
      <w:pPr>
        <w:pStyle w:val="3"/>
        <w:keepNext w:val="0"/>
        <w:keepLines w:val="0"/>
        <w:spacing w:line="415" w:lineRule="auto"/>
        <w:rPr>
          <w:color w:val="000000"/>
        </w:rPr>
      </w:pPr>
      <w:r>
        <w:rPr>
          <w:rFonts w:hint="eastAsia"/>
          <w:color w:val="000000"/>
        </w:rPr>
        <w:t>10. 其他材料</w:t>
      </w:r>
      <w:bookmarkEnd w:id="118"/>
    </w:p>
    <w:p>
      <w:pPr>
        <w:tabs>
          <w:tab w:val="left" w:pos="-1843"/>
          <w:tab w:val="left" w:pos="-1560"/>
          <w:tab w:val="left" w:pos="-1276"/>
        </w:tabs>
        <w:adjustRightInd w:val="0"/>
        <w:snapToGrid w:val="0"/>
        <w:spacing w:line="312" w:lineRule="auto"/>
        <w:jc w:val="center"/>
        <w:rPr>
          <w:rFonts w:asciiTheme="minorEastAsia" w:hAnsiTheme="minorEastAsia"/>
          <w:sz w:val="20"/>
          <w:szCs w:val="20"/>
        </w:rPr>
      </w:pPr>
    </w:p>
    <w:p>
      <w:pPr>
        <w:tabs>
          <w:tab w:val="left" w:pos="5700"/>
        </w:tabs>
        <w:spacing w:line="360" w:lineRule="auto"/>
        <w:rPr>
          <w:rFonts w:cs="宋体" w:asciiTheme="minorEastAsia" w:hAnsi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1E8E2"/>
    <w:multiLevelType w:val="singleLevel"/>
    <w:tmpl w:val="B9C1E8E2"/>
    <w:lvl w:ilvl="0" w:tentative="0">
      <w:start w:val="4"/>
      <w:numFmt w:val="decimal"/>
      <w:lvlText w:val="%1."/>
      <w:lvlJc w:val="left"/>
      <w:pPr>
        <w:tabs>
          <w:tab w:val="left" w:pos="312"/>
        </w:tabs>
      </w:pPr>
    </w:lvl>
  </w:abstractNum>
  <w:abstractNum w:abstractNumId="1">
    <w:nsid w:val="D2E0419D"/>
    <w:multiLevelType w:val="singleLevel"/>
    <w:tmpl w:val="D2E0419D"/>
    <w:lvl w:ilvl="0" w:tentative="0">
      <w:start w:val="1"/>
      <w:numFmt w:val="decimal"/>
      <w:suff w:val="space"/>
      <w:lvlText w:val="%1、"/>
      <w:lvlJc w:val="left"/>
    </w:lvl>
  </w:abstractNum>
  <w:abstractNum w:abstractNumId="2">
    <w:nsid w:val="427A0686"/>
    <w:multiLevelType w:val="multilevel"/>
    <w:tmpl w:val="427A0686"/>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CE"/>
    <w:rsid w:val="000140BD"/>
    <w:rsid w:val="00037EF6"/>
    <w:rsid w:val="000618CE"/>
    <w:rsid w:val="00087CBF"/>
    <w:rsid w:val="000E7537"/>
    <w:rsid w:val="00110D0F"/>
    <w:rsid w:val="001719C5"/>
    <w:rsid w:val="001F2A7F"/>
    <w:rsid w:val="002360D3"/>
    <w:rsid w:val="002476F1"/>
    <w:rsid w:val="00266B44"/>
    <w:rsid w:val="002700DC"/>
    <w:rsid w:val="002B648A"/>
    <w:rsid w:val="002C3353"/>
    <w:rsid w:val="003729BA"/>
    <w:rsid w:val="003B3671"/>
    <w:rsid w:val="004006FF"/>
    <w:rsid w:val="00465F39"/>
    <w:rsid w:val="00471744"/>
    <w:rsid w:val="004A6770"/>
    <w:rsid w:val="00505D3F"/>
    <w:rsid w:val="00525F93"/>
    <w:rsid w:val="00537A06"/>
    <w:rsid w:val="00577908"/>
    <w:rsid w:val="005B1866"/>
    <w:rsid w:val="0064183B"/>
    <w:rsid w:val="006540F5"/>
    <w:rsid w:val="006B6121"/>
    <w:rsid w:val="006C3077"/>
    <w:rsid w:val="006D1530"/>
    <w:rsid w:val="00702F1C"/>
    <w:rsid w:val="0071480E"/>
    <w:rsid w:val="007205A9"/>
    <w:rsid w:val="007570AC"/>
    <w:rsid w:val="00765515"/>
    <w:rsid w:val="007B4C0B"/>
    <w:rsid w:val="007D2048"/>
    <w:rsid w:val="007E73E9"/>
    <w:rsid w:val="007F5D27"/>
    <w:rsid w:val="00815246"/>
    <w:rsid w:val="00817C50"/>
    <w:rsid w:val="008429F7"/>
    <w:rsid w:val="00856CCE"/>
    <w:rsid w:val="008735B2"/>
    <w:rsid w:val="00897643"/>
    <w:rsid w:val="008B22DD"/>
    <w:rsid w:val="008F04F8"/>
    <w:rsid w:val="009260A5"/>
    <w:rsid w:val="009306A1"/>
    <w:rsid w:val="00954270"/>
    <w:rsid w:val="009853CF"/>
    <w:rsid w:val="0098768E"/>
    <w:rsid w:val="009954A8"/>
    <w:rsid w:val="009E2931"/>
    <w:rsid w:val="00A47F73"/>
    <w:rsid w:val="00A60028"/>
    <w:rsid w:val="00A60137"/>
    <w:rsid w:val="00B10FEC"/>
    <w:rsid w:val="00B13045"/>
    <w:rsid w:val="00B33394"/>
    <w:rsid w:val="00B4103E"/>
    <w:rsid w:val="00B57D98"/>
    <w:rsid w:val="00B719E1"/>
    <w:rsid w:val="00BA2E09"/>
    <w:rsid w:val="00BC18D2"/>
    <w:rsid w:val="00BD7251"/>
    <w:rsid w:val="00BE2303"/>
    <w:rsid w:val="00C013B8"/>
    <w:rsid w:val="00C0207C"/>
    <w:rsid w:val="00C11087"/>
    <w:rsid w:val="00C422F0"/>
    <w:rsid w:val="00C5051A"/>
    <w:rsid w:val="00CA71AB"/>
    <w:rsid w:val="00CB3D39"/>
    <w:rsid w:val="00CD4076"/>
    <w:rsid w:val="00CD4E1D"/>
    <w:rsid w:val="00D023DE"/>
    <w:rsid w:val="00D04B40"/>
    <w:rsid w:val="00D34A1A"/>
    <w:rsid w:val="00D41EF4"/>
    <w:rsid w:val="00D51894"/>
    <w:rsid w:val="00D85371"/>
    <w:rsid w:val="00DF7D13"/>
    <w:rsid w:val="00E67325"/>
    <w:rsid w:val="00EB597D"/>
    <w:rsid w:val="00ED6C2B"/>
    <w:rsid w:val="00F066DC"/>
    <w:rsid w:val="00F1313D"/>
    <w:rsid w:val="00F16D9A"/>
    <w:rsid w:val="00F21C9D"/>
    <w:rsid w:val="00FB1DB8"/>
    <w:rsid w:val="01AE7FC2"/>
    <w:rsid w:val="07512C6C"/>
    <w:rsid w:val="0C2A71A9"/>
    <w:rsid w:val="15AF13EE"/>
    <w:rsid w:val="1D9B0678"/>
    <w:rsid w:val="26DE57B7"/>
    <w:rsid w:val="31B342A0"/>
    <w:rsid w:val="400A3A2E"/>
    <w:rsid w:val="43143A5C"/>
    <w:rsid w:val="488903DA"/>
    <w:rsid w:val="4DDC5863"/>
    <w:rsid w:val="4F9E67D4"/>
    <w:rsid w:val="52867280"/>
    <w:rsid w:val="553B6D7D"/>
    <w:rsid w:val="572218CE"/>
    <w:rsid w:val="64840078"/>
    <w:rsid w:val="6BE56DA6"/>
    <w:rsid w:val="6D19680D"/>
    <w:rsid w:val="70B43B51"/>
    <w:rsid w:val="73C858D2"/>
    <w:rsid w:val="7DBA3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link w:val="11"/>
    <w:qFormat/>
    <w:uiPriority w:val="0"/>
    <w:pPr>
      <w:keepNext/>
      <w:keepLines/>
      <w:contextualSpacing/>
      <w:outlineLvl w:val="0"/>
    </w:pPr>
    <w:rPr>
      <w:rFonts w:eastAsia="宋体"/>
      <w:b/>
      <w:bCs/>
      <w:kern w:val="44"/>
      <w:sz w:val="32"/>
      <w:szCs w:val="44"/>
    </w:rPr>
  </w:style>
  <w:style w:type="paragraph" w:styleId="3">
    <w:name w:val="heading 2"/>
    <w:basedOn w:val="1"/>
    <w:next w:val="1"/>
    <w:link w:val="12"/>
    <w:unhideWhenUsed/>
    <w:qFormat/>
    <w:uiPriority w:val="0"/>
    <w:pPr>
      <w:keepNext/>
      <w:keepLines/>
      <w:outlineLvl w:val="1"/>
    </w:pPr>
    <w:rPr>
      <w:rFonts w:asciiTheme="majorHAnsi" w:hAnsiTheme="majorHAnsi" w:eastAsiaTheme="majorEastAsia" w:cstheme="majorBidi"/>
      <w:b/>
      <w:bCs/>
      <w:sz w:val="28"/>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ind w:firstLine="420"/>
      <w:jc w:val="both"/>
    </w:pPr>
    <w:rPr>
      <w:rFonts w:eastAsia="宋体"/>
      <w:kern w:val="2"/>
      <w:sz w:val="21"/>
      <w:szCs w:val="24"/>
      <w:u w:val="single"/>
    </w:rPr>
  </w:style>
  <w:style w:type="paragraph" w:styleId="6">
    <w:name w:val="Plain Text"/>
    <w:basedOn w:val="1"/>
    <w:link w:val="18"/>
    <w:qFormat/>
    <w:uiPriority w:val="99"/>
    <w:pPr>
      <w:widowControl w:val="0"/>
      <w:jc w:val="both"/>
    </w:pPr>
    <w:rPr>
      <w:rFonts w:ascii="宋体" w:eastAsia="宋体" w:cs="Courier New"/>
      <w:kern w:val="2"/>
      <w:sz w:val="21"/>
      <w:szCs w:val="21"/>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uiPriority w:val="0"/>
    <w:rPr>
      <w:rFonts w:ascii="Times New Roman" w:hAnsi="Times New Roman" w:eastAsia="宋体" w:cs="Times New Roman"/>
      <w:b/>
      <w:bCs/>
      <w:kern w:val="44"/>
      <w:sz w:val="32"/>
      <w:szCs w:val="44"/>
    </w:rPr>
  </w:style>
  <w:style w:type="character" w:customStyle="1" w:styleId="12">
    <w:name w:val="标题 2 字符"/>
    <w:basedOn w:val="10"/>
    <w:link w:val="3"/>
    <w:qFormat/>
    <w:uiPriority w:val="0"/>
    <w:rPr>
      <w:rFonts w:asciiTheme="majorHAnsi" w:hAnsiTheme="majorHAnsi" w:eastAsiaTheme="majorEastAsia" w:cstheme="majorBidi"/>
      <w:b/>
      <w:bCs/>
      <w:sz w:val="28"/>
      <w:szCs w:val="32"/>
    </w:rPr>
  </w:style>
  <w:style w:type="character" w:customStyle="1" w:styleId="13">
    <w:name w:val="页眉 字符"/>
    <w:basedOn w:val="10"/>
    <w:link w:val="8"/>
    <w:qFormat/>
    <w:uiPriority w:val="99"/>
    <w:rPr>
      <w:sz w:val="18"/>
      <w:szCs w:val="18"/>
    </w:rPr>
  </w:style>
  <w:style w:type="character" w:customStyle="1" w:styleId="14">
    <w:name w:val="页脚 字符"/>
    <w:basedOn w:val="10"/>
    <w:link w:val="7"/>
    <w:qFormat/>
    <w:uiPriority w:val="99"/>
    <w:rPr>
      <w:sz w:val="18"/>
      <w:szCs w:val="18"/>
    </w:rPr>
  </w:style>
  <w:style w:type="paragraph" w:styleId="15">
    <w:name w:val="List Paragraph"/>
    <w:basedOn w:val="1"/>
    <w:qFormat/>
    <w:uiPriority w:val="34"/>
    <w:pPr>
      <w:spacing w:before="100" w:beforeAutospacing="1" w:after="100" w:afterAutospacing="1"/>
    </w:pPr>
    <w:rPr>
      <w:rFonts w:ascii="宋体" w:hAnsi="宋体" w:eastAsia="宋体" w:cs="宋体"/>
      <w:sz w:val="24"/>
      <w:szCs w:val="24"/>
    </w:rPr>
  </w:style>
  <w:style w:type="paragraph" w:customStyle="1" w:styleId="16">
    <w:name w:val="Blockquote"/>
    <w:basedOn w:val="1"/>
    <w:qFormat/>
    <w:uiPriority w:val="0"/>
    <w:pPr>
      <w:widowControl w:val="0"/>
      <w:autoSpaceDE w:val="0"/>
      <w:autoSpaceDN w:val="0"/>
      <w:adjustRightInd w:val="0"/>
      <w:spacing w:before="100" w:after="100"/>
      <w:ind w:left="360" w:right="360"/>
    </w:pPr>
    <w:rPr>
      <w:rFonts w:eastAsia="宋体"/>
      <w:sz w:val="24"/>
      <w:szCs w:val="24"/>
    </w:rPr>
  </w:style>
  <w:style w:type="paragraph" w:customStyle="1" w:styleId="1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纯文本 字符"/>
    <w:link w:val="6"/>
    <w:qFormat/>
    <w:uiPriority w:val="99"/>
    <w:rPr>
      <w:rFonts w:ascii="宋体" w:hAnsi="Times New Roman" w:eastAsia="宋体" w:cs="Courier New"/>
      <w:szCs w:val="21"/>
    </w:rPr>
  </w:style>
  <w:style w:type="character" w:customStyle="1" w:styleId="19">
    <w:name w:val="纯文本 Char1"/>
    <w:basedOn w:val="10"/>
    <w:semiHidden/>
    <w:qFormat/>
    <w:uiPriority w:val="99"/>
    <w:rPr>
      <w:rFonts w:ascii="宋体" w:hAnsi="Courier New" w:eastAsia="宋体" w:cs="Courier New"/>
      <w:kern w:val="0"/>
      <w:szCs w:val="21"/>
    </w:rPr>
  </w:style>
  <w:style w:type="character" w:customStyle="1" w:styleId="20">
    <w:name w:val="标题 3 字符"/>
    <w:basedOn w:val="10"/>
    <w:link w:val="4"/>
    <w:semiHidden/>
    <w:qFormat/>
    <w:uiPriority w:val="9"/>
    <w:rPr>
      <w:rFonts w:ascii="Times New Roman" w:hAnsi="Times New Roman" w:cs="Times New Roman"/>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2701</Words>
  <Characters>15402</Characters>
  <Lines>128</Lines>
  <Paragraphs>36</Paragraphs>
  <TotalTime>2</TotalTime>
  <ScaleCrop>false</ScaleCrop>
  <LinksUpToDate>false</LinksUpToDate>
  <CharactersWithSpaces>18067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2020-02-26T08:34:00Z</dcterms:created>
  <dc:creator>jslx_yz@163.com</dc:creator>
  <cp:lastModifiedBy>蓓蓓酱要取个萌萌哒的名字</cp:lastModifiedBy>
  <dcterms:modified xsi:type="dcterms:W3CDTF">2021-10-29T06:48:22Z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CDB245B4EF2542F99C486DC185E30EC6</vt:lpwstr>
  </property>
</Properties>
</file>