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rPr>
      </w:pPr>
      <w:bookmarkStart w:id="29" w:name="_GoBack"/>
      <w:bookmarkEnd w:id="29"/>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w:t>
      </w:r>
      <w:r>
        <w:rPr>
          <w:rFonts w:hint="eastAsia" w:ascii="宋体" w:hAnsi="宋体"/>
          <w:b/>
          <w:sz w:val="72"/>
          <w:szCs w:val="72"/>
          <w:lang w:eastAsia="zh-CN"/>
        </w:rPr>
        <w:t>京杭融园</w:t>
      </w:r>
      <w:r>
        <w:rPr>
          <w:rFonts w:hint="eastAsia" w:ascii="宋体" w:hAnsi="宋体"/>
          <w:b/>
          <w:sz w:val="72"/>
          <w:szCs w:val="72"/>
        </w:rPr>
        <w:t>】</w:t>
      </w: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保</w:t>
      </w:r>
    </w:p>
    <w:p>
      <w:pPr>
        <w:jc w:val="center"/>
        <w:rPr>
          <w:rFonts w:ascii="宋体" w:hAnsi="宋体"/>
          <w:b/>
          <w:sz w:val="52"/>
          <w:szCs w:val="52"/>
        </w:rPr>
      </w:pPr>
      <w:r>
        <w:rPr>
          <w:rFonts w:hint="eastAsia" w:ascii="宋体" w:hAnsi="宋体"/>
          <w:b/>
          <w:sz w:val="52"/>
          <w:szCs w:val="52"/>
        </w:rPr>
        <w:t>安</w:t>
      </w:r>
    </w:p>
    <w:p>
      <w:pPr>
        <w:jc w:val="center"/>
        <w:rPr>
          <w:rFonts w:ascii="宋体" w:hAnsi="宋体"/>
          <w:b/>
          <w:sz w:val="52"/>
          <w:szCs w:val="52"/>
        </w:rPr>
      </w:pPr>
      <w:r>
        <w:rPr>
          <w:rFonts w:hint="eastAsia" w:ascii="宋体" w:hAnsi="宋体"/>
          <w:b/>
          <w:sz w:val="52"/>
          <w:szCs w:val="52"/>
        </w:rPr>
        <w:t>服</w:t>
      </w:r>
    </w:p>
    <w:p>
      <w:pPr>
        <w:jc w:val="center"/>
        <w:rPr>
          <w:rFonts w:ascii="宋体" w:hAnsi="宋体"/>
          <w:b/>
          <w:sz w:val="52"/>
          <w:szCs w:val="52"/>
        </w:rPr>
      </w:pPr>
      <w:r>
        <w:rPr>
          <w:rFonts w:hint="eastAsia" w:ascii="宋体" w:hAnsi="宋体"/>
          <w:b/>
          <w:sz w:val="52"/>
          <w:szCs w:val="52"/>
        </w:rPr>
        <w:t>务</w:t>
      </w:r>
    </w:p>
    <w:p>
      <w:pPr>
        <w:jc w:val="center"/>
        <w:rPr>
          <w:rFonts w:ascii="宋体" w:hAnsi="宋体"/>
          <w:b/>
          <w:sz w:val="52"/>
          <w:szCs w:val="52"/>
        </w:rPr>
      </w:pPr>
      <w:r>
        <w:rPr>
          <w:rFonts w:hint="eastAsia" w:ascii="宋体" w:hAnsi="宋体"/>
          <w:b/>
          <w:sz w:val="52"/>
          <w:szCs w:val="52"/>
        </w:rPr>
        <w:t>招</w:t>
      </w:r>
    </w:p>
    <w:p>
      <w:pPr>
        <w:jc w:val="center"/>
        <w:rPr>
          <w:rFonts w:ascii="宋体" w:hAnsi="宋体"/>
          <w:b/>
          <w:sz w:val="52"/>
          <w:szCs w:val="52"/>
        </w:rPr>
      </w:pPr>
      <w:r>
        <w:rPr>
          <w:rFonts w:hint="eastAsia" w:ascii="宋体" w:hAnsi="宋体"/>
          <w:b/>
          <w:sz w:val="52"/>
          <w:szCs w:val="52"/>
        </w:rPr>
        <w:t>标</w:t>
      </w:r>
    </w:p>
    <w:p>
      <w:pPr>
        <w:jc w:val="center"/>
        <w:rPr>
          <w:rFonts w:ascii="宋体" w:hAnsi="宋体"/>
          <w:b/>
          <w:sz w:val="52"/>
          <w:szCs w:val="52"/>
        </w:rPr>
      </w:pPr>
      <w:r>
        <w:rPr>
          <w:rFonts w:hint="eastAsia" w:ascii="宋体" w:hAnsi="宋体"/>
          <w:b/>
          <w:sz w:val="52"/>
          <w:szCs w:val="52"/>
        </w:rPr>
        <w:t>文</w:t>
      </w:r>
    </w:p>
    <w:p>
      <w:pPr>
        <w:jc w:val="center"/>
        <w:rPr>
          <w:rFonts w:ascii="宋体" w:hAnsi="宋体"/>
          <w:b/>
          <w:sz w:val="52"/>
          <w:szCs w:val="52"/>
        </w:rPr>
      </w:pPr>
      <w:r>
        <w:rPr>
          <w:rFonts w:hint="eastAsia" w:ascii="宋体" w:hAnsi="宋体"/>
          <w:b/>
          <w:sz w:val="52"/>
          <w:szCs w:val="52"/>
        </w:rPr>
        <w:t>件</w:t>
      </w:r>
    </w:p>
    <w:p>
      <w:pPr>
        <w:rPr>
          <w:rFonts w:ascii="宋体" w:hAnsi="宋体"/>
          <w:b/>
          <w:sz w:val="52"/>
          <w:szCs w:val="52"/>
        </w:rPr>
      </w:pPr>
    </w:p>
    <w:p>
      <w:pPr>
        <w:rPr>
          <w:rFonts w:ascii="宋体" w:hAnsi="宋体"/>
          <w:b/>
        </w:rPr>
      </w:pPr>
    </w:p>
    <w:p>
      <w:pPr>
        <w:ind w:firstLine="596" w:firstLineChars="198"/>
        <w:rPr>
          <w:rFonts w:ascii="宋体" w:hAnsi="宋体"/>
          <w:b/>
          <w:sz w:val="30"/>
          <w:szCs w:val="30"/>
        </w:rPr>
      </w:pPr>
      <w:r>
        <w:rPr>
          <w:rFonts w:hint="eastAsia" w:ascii="宋体" w:hAnsi="宋体"/>
          <w:b/>
          <w:sz w:val="30"/>
          <w:szCs w:val="30"/>
        </w:rPr>
        <w:t>招标人（章）：扬州市城建物业服务有限责任公司</w:t>
      </w:r>
    </w:p>
    <w:p>
      <w:pPr>
        <w:ind w:firstLine="596" w:firstLineChars="198"/>
        <w:rPr>
          <w:rFonts w:ascii="宋体" w:hAnsi="宋体"/>
          <w:b/>
          <w:sz w:val="30"/>
          <w:szCs w:val="30"/>
        </w:rPr>
      </w:pPr>
      <w:r>
        <w:rPr>
          <w:rFonts w:hint="eastAsia" w:ascii="宋体" w:hAnsi="宋体"/>
          <w:b/>
          <w:sz w:val="30"/>
          <w:szCs w:val="30"/>
        </w:rPr>
        <w:t>编 制 时 间：二零一八年</w:t>
      </w:r>
      <w:r>
        <w:rPr>
          <w:rFonts w:hint="eastAsia" w:ascii="宋体" w:hAnsi="宋体"/>
          <w:b/>
          <w:sz w:val="30"/>
          <w:szCs w:val="30"/>
          <w:lang w:eastAsia="zh-CN"/>
        </w:rPr>
        <w:t>十一</w:t>
      </w:r>
      <w:r>
        <w:rPr>
          <w:rFonts w:hint="eastAsia" w:ascii="宋体" w:hAnsi="宋体"/>
          <w:b/>
          <w:sz w:val="30"/>
          <w:szCs w:val="30"/>
        </w:rPr>
        <w:t>月</w:t>
      </w:r>
      <w:r>
        <w:rPr>
          <w:rFonts w:hint="eastAsia" w:ascii="宋体" w:hAnsi="宋体"/>
          <w:b/>
          <w:sz w:val="30"/>
          <w:szCs w:val="30"/>
          <w:lang w:val="en-US" w:eastAsia="zh-CN"/>
        </w:rPr>
        <w:t>三十</w:t>
      </w:r>
      <w:r>
        <w:rPr>
          <w:rFonts w:hint="eastAsia" w:ascii="宋体" w:hAnsi="宋体"/>
          <w:b/>
          <w:sz w:val="30"/>
          <w:szCs w:val="30"/>
        </w:rPr>
        <w:t>日</w:t>
      </w:r>
    </w:p>
    <w:p>
      <w:pPr>
        <w:rPr>
          <w:rFonts w:ascii="宋体" w:hAnsi="宋体"/>
          <w:bCs/>
          <w:sz w:val="48"/>
          <w:szCs w:val="48"/>
        </w:rPr>
        <w:sectPr>
          <w:headerReference r:id="rId3" w:type="default"/>
          <w:footerReference r:id="rId4" w:type="default"/>
          <w:pgSz w:w="11906" w:h="16838"/>
          <w:pgMar w:top="1090" w:right="1286" w:bottom="1440" w:left="1440" w:header="851" w:footer="992" w:gutter="0"/>
          <w:pgNumType w:fmt="decimal"/>
          <w:cols w:space="720" w:num="1"/>
          <w:titlePg/>
          <w:docGrid w:type="lines" w:linePitch="312" w:charSpace="0"/>
        </w:sectPr>
      </w:pPr>
    </w:p>
    <w:p>
      <w:pPr>
        <w:rPr>
          <w:rFonts w:ascii="宋体" w:hAnsi="宋体"/>
          <w:bCs/>
          <w:sz w:val="48"/>
          <w:szCs w:val="48"/>
        </w:rPr>
      </w:pPr>
    </w:p>
    <w:p>
      <w:pPr>
        <w:ind w:left="176" w:leftChars="84"/>
        <w:jc w:val="center"/>
        <w:rPr>
          <w:rFonts w:ascii="宋体" w:hAnsi="宋体"/>
          <w:bCs/>
          <w:sz w:val="48"/>
          <w:szCs w:val="48"/>
        </w:rPr>
      </w:pPr>
      <w:r>
        <w:rPr>
          <w:rFonts w:hint="eastAsia" w:ascii="宋体" w:hAnsi="宋体"/>
          <w:bCs/>
          <w:sz w:val="48"/>
          <w:szCs w:val="48"/>
        </w:rPr>
        <w:t>目    录</w:t>
      </w:r>
    </w:p>
    <w:p>
      <w:pPr>
        <w:rPr>
          <w:rFonts w:ascii="宋体" w:hAnsi="宋体"/>
          <w:b/>
          <w:sz w:val="28"/>
          <w:szCs w:val="28"/>
        </w:rPr>
      </w:pPr>
      <w:r>
        <w:rPr>
          <w:rFonts w:hint="eastAsia" w:ascii="宋体" w:hAnsi="宋体"/>
          <w:b/>
          <w:bCs/>
          <w:sz w:val="28"/>
          <w:szCs w:val="28"/>
        </w:rPr>
        <w:t>第一部分 招标公告</w:t>
      </w:r>
    </w:p>
    <w:p>
      <w:pPr>
        <w:pStyle w:val="8"/>
        <w:tabs>
          <w:tab w:val="right" w:leader="dot" w:pos="8990"/>
        </w:tabs>
        <w:rPr>
          <w:b/>
          <w:sz w:val="28"/>
          <w:szCs w:val="28"/>
        </w:rPr>
      </w:pPr>
      <w:r>
        <w:rPr>
          <w:rFonts w:ascii="宋体" w:hAnsi="宋体"/>
          <w:b/>
          <w:sz w:val="28"/>
          <w:szCs w:val="28"/>
        </w:rPr>
        <w:fldChar w:fldCharType="begin"/>
      </w:r>
      <w:r>
        <w:rPr>
          <w:rFonts w:hint="eastAsia" w:ascii="宋体" w:hAnsi="宋体"/>
          <w:b/>
          <w:sz w:val="28"/>
          <w:szCs w:val="28"/>
        </w:rPr>
        <w:instrText xml:space="preserve">TOC \o "1-3" \h \z \u</w:instrText>
      </w:r>
      <w:r>
        <w:rPr>
          <w:rFonts w:ascii="宋体" w:hAnsi="宋体"/>
          <w:b/>
          <w:sz w:val="28"/>
          <w:szCs w:val="28"/>
        </w:rPr>
        <w:fldChar w:fldCharType="separate"/>
      </w:r>
      <w:r>
        <w:fldChar w:fldCharType="begin"/>
      </w:r>
      <w:r>
        <w:instrText xml:space="preserve"> HYPERLINK \l "_Toc346202428" </w:instrText>
      </w:r>
      <w:r>
        <w:fldChar w:fldCharType="separate"/>
      </w:r>
      <w:r>
        <w:rPr>
          <w:rStyle w:val="12"/>
          <w:rFonts w:hint="eastAsia" w:ascii="宋体" w:hAnsi="宋体"/>
          <w:b/>
          <w:sz w:val="28"/>
          <w:szCs w:val="28"/>
        </w:rPr>
        <w:t>第二部分投标人须知</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"_Toc346202429" </w:instrText>
      </w:r>
      <w:r>
        <w:fldChar w:fldCharType="separate"/>
      </w:r>
      <w:r>
        <w:rPr>
          <w:rStyle w:val="12"/>
          <w:rFonts w:hint="eastAsia" w:ascii="宋体" w:hAnsi="宋体"/>
          <w:b/>
          <w:sz w:val="28"/>
          <w:szCs w:val="28"/>
        </w:rPr>
        <w:t>一、前附表</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"_Toc346202430" </w:instrText>
      </w:r>
      <w:r>
        <w:fldChar w:fldCharType="separate"/>
      </w:r>
      <w:r>
        <w:rPr>
          <w:rStyle w:val="12"/>
          <w:rFonts w:hint="eastAsia" w:ascii="宋体" w:hAnsi="宋体"/>
          <w:b/>
          <w:sz w:val="28"/>
          <w:szCs w:val="28"/>
        </w:rPr>
        <w:t>二、投标方</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"_Toc346202431" </w:instrText>
      </w:r>
      <w:r>
        <w:fldChar w:fldCharType="separate"/>
      </w:r>
      <w:r>
        <w:rPr>
          <w:rStyle w:val="12"/>
          <w:rFonts w:hint="eastAsia" w:ascii="宋体" w:hAnsi="宋体"/>
          <w:b/>
          <w:sz w:val="28"/>
          <w:szCs w:val="28"/>
        </w:rPr>
        <w:t>三、招标文件相关</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"_Toc346202432" </w:instrText>
      </w:r>
      <w:r>
        <w:fldChar w:fldCharType="separate"/>
      </w:r>
      <w:r>
        <w:rPr>
          <w:rStyle w:val="12"/>
          <w:rFonts w:hint="eastAsia" w:ascii="宋体" w:hAnsi="宋体"/>
          <w:b/>
          <w:sz w:val="28"/>
          <w:szCs w:val="28"/>
        </w:rPr>
        <w:t>四、投标文件部分</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"_Toc346202433" </w:instrText>
      </w:r>
      <w:r>
        <w:fldChar w:fldCharType="separate"/>
      </w:r>
      <w:r>
        <w:rPr>
          <w:rStyle w:val="12"/>
          <w:rFonts w:hint="eastAsia" w:ascii="宋体" w:hAnsi="宋体"/>
          <w:b/>
          <w:sz w:val="28"/>
          <w:szCs w:val="28"/>
        </w:rPr>
        <w:t>五、开标及评标</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"_Toc346202434" </w:instrText>
      </w:r>
      <w:r>
        <w:fldChar w:fldCharType="separate"/>
      </w:r>
      <w:r>
        <w:rPr>
          <w:rStyle w:val="12"/>
          <w:rFonts w:hint="eastAsia" w:ascii="宋体" w:hAnsi="宋体"/>
          <w:b/>
          <w:sz w:val="28"/>
          <w:szCs w:val="28"/>
        </w:rPr>
        <w:t>六、定标办法</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"_Toc346202435" </w:instrText>
      </w:r>
      <w:r>
        <w:fldChar w:fldCharType="separate"/>
      </w:r>
      <w:r>
        <w:rPr>
          <w:rStyle w:val="12"/>
          <w:rFonts w:hint="eastAsia" w:ascii="宋体" w:hAnsi="宋体"/>
          <w:b/>
          <w:sz w:val="28"/>
          <w:szCs w:val="28"/>
        </w:rPr>
        <w:t>七、中标通知</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"_Toc346202436" </w:instrText>
      </w:r>
      <w:r>
        <w:fldChar w:fldCharType="separate"/>
      </w:r>
      <w:r>
        <w:rPr>
          <w:rStyle w:val="12"/>
          <w:rFonts w:hint="eastAsia" w:ascii="宋体" w:hAnsi="宋体"/>
          <w:b/>
          <w:sz w:val="28"/>
          <w:szCs w:val="28"/>
        </w:rPr>
        <w:t>八、签定合同</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"_Toc346202438" </w:instrText>
      </w:r>
      <w:r>
        <w:fldChar w:fldCharType="separate"/>
      </w:r>
      <w:r>
        <w:rPr>
          <w:rStyle w:val="12"/>
          <w:rFonts w:hint="eastAsia" w:ascii="宋体" w:hAnsi="宋体"/>
          <w:b/>
          <w:sz w:val="28"/>
          <w:szCs w:val="28"/>
        </w:rPr>
        <w:t>九、中标方经营方式</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"_Toc346202439" </w:instrText>
      </w:r>
      <w:r>
        <w:fldChar w:fldCharType="separate"/>
      </w:r>
      <w:r>
        <w:rPr>
          <w:rStyle w:val="12"/>
          <w:rFonts w:hint="eastAsia" w:ascii="宋体" w:hAnsi="宋体"/>
          <w:b/>
          <w:sz w:val="28"/>
          <w:szCs w:val="28"/>
        </w:rPr>
        <w:t>第三部分技术条款</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"_Toc346202440" </w:instrText>
      </w:r>
      <w:r>
        <w:fldChar w:fldCharType="separate"/>
      </w:r>
      <w:r>
        <w:rPr>
          <w:rStyle w:val="12"/>
          <w:rFonts w:hint="eastAsia" w:ascii="宋体" w:hAnsi="宋体"/>
          <w:b/>
          <w:sz w:val="28"/>
          <w:szCs w:val="28"/>
        </w:rPr>
        <w:t>一、项目总预算</w:t>
      </w:r>
      <w:r>
        <w:rPr>
          <w:b/>
          <w:sz w:val="28"/>
          <w:szCs w:val="28"/>
        </w:rPr>
        <w:tab/>
      </w:r>
      <w:r>
        <w:rPr>
          <w:b/>
          <w:sz w:val="28"/>
          <w:szCs w:val="28"/>
        </w:rPr>
        <w:fldChar w:fldCharType="end"/>
      </w:r>
    </w:p>
    <w:p>
      <w:pPr>
        <w:pStyle w:val="8"/>
        <w:tabs>
          <w:tab w:val="right" w:leader="dot" w:pos="8990"/>
        </w:tabs>
        <w:rPr>
          <w:rStyle w:val="12"/>
          <w:b/>
          <w:sz w:val="28"/>
          <w:szCs w:val="28"/>
        </w:rPr>
      </w:pPr>
      <w:r>
        <w:fldChar w:fldCharType="begin"/>
      </w:r>
      <w:r>
        <w:instrText xml:space="preserve"> HYPERLINK \l "_Toc346202441" </w:instrText>
      </w:r>
      <w:r>
        <w:fldChar w:fldCharType="separate"/>
      </w:r>
      <w:r>
        <w:rPr>
          <w:rStyle w:val="12"/>
          <w:rFonts w:hint="eastAsia" w:ascii="宋体" w:hAnsi="宋体"/>
          <w:b/>
          <w:bCs/>
          <w:sz w:val="28"/>
          <w:szCs w:val="28"/>
        </w:rPr>
        <w:t>二、项目情况简介</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"_Toc346202444" </w:instrText>
      </w:r>
      <w:r>
        <w:fldChar w:fldCharType="separate"/>
      </w:r>
      <w:r>
        <w:rPr>
          <w:rStyle w:val="12"/>
          <w:rFonts w:hint="eastAsia" w:ascii="宋体" w:hAnsi="宋体"/>
          <w:b/>
          <w:sz w:val="28"/>
          <w:szCs w:val="28"/>
        </w:rPr>
        <w:t>三、保安管理内容</w:t>
      </w:r>
      <w:r>
        <w:rPr>
          <w:b/>
          <w:sz w:val="28"/>
          <w:szCs w:val="28"/>
        </w:rPr>
        <w:tab/>
      </w:r>
      <w:r>
        <w:rPr>
          <w:b/>
          <w:sz w:val="28"/>
          <w:szCs w:val="28"/>
        </w:rPr>
        <w:fldChar w:fldCharType="end"/>
      </w:r>
    </w:p>
    <w:p>
      <w:pPr>
        <w:rPr>
          <w:b/>
          <w:sz w:val="28"/>
          <w:szCs w:val="28"/>
        </w:rPr>
      </w:pPr>
      <w:r>
        <w:rPr>
          <w:rFonts w:hint="eastAsia"/>
          <w:b/>
          <w:sz w:val="28"/>
          <w:szCs w:val="28"/>
        </w:rPr>
        <w:t>四、保安服务标准及考核依据</w:t>
      </w:r>
      <w:r>
        <w:rPr>
          <w:b/>
          <w:sz w:val="28"/>
          <w:szCs w:val="28"/>
        </w:rPr>
        <w:t>…………………………………………………</w:t>
      </w:r>
    </w:p>
    <w:p>
      <w:pPr>
        <w:pStyle w:val="8"/>
        <w:tabs>
          <w:tab w:val="right" w:leader="dot" w:pos="8990"/>
        </w:tabs>
        <w:rPr>
          <w:b/>
          <w:sz w:val="28"/>
          <w:szCs w:val="28"/>
        </w:rPr>
      </w:pPr>
      <w:r>
        <w:fldChar w:fldCharType="begin"/>
      </w:r>
      <w:r>
        <w:instrText xml:space="preserve"> HYPERLINK \l "_Toc346202445" </w:instrText>
      </w:r>
      <w:r>
        <w:fldChar w:fldCharType="separate"/>
      </w:r>
      <w:r>
        <w:rPr>
          <w:rStyle w:val="12"/>
          <w:rFonts w:hint="eastAsia" w:ascii="宋体" w:hAnsi="宋体"/>
          <w:b/>
          <w:sz w:val="28"/>
          <w:szCs w:val="28"/>
        </w:rPr>
        <w:t>第四部分招投标工作计划与时间安排</w:t>
      </w:r>
      <w:r>
        <w:rPr>
          <w:b/>
          <w:sz w:val="28"/>
          <w:szCs w:val="28"/>
        </w:rPr>
        <w:tab/>
      </w:r>
      <w:r>
        <w:rPr>
          <w:b/>
          <w:sz w:val="28"/>
          <w:szCs w:val="28"/>
        </w:rPr>
        <w:fldChar w:fldCharType="end"/>
      </w:r>
    </w:p>
    <w:p>
      <w:pPr>
        <w:pStyle w:val="8"/>
        <w:tabs>
          <w:tab w:val="right" w:leader="dot" w:pos="8990"/>
        </w:tabs>
        <w:rPr>
          <w:b/>
          <w:sz w:val="28"/>
          <w:szCs w:val="28"/>
        </w:rPr>
      </w:pPr>
      <w:r>
        <w:fldChar w:fldCharType="begin"/>
      </w:r>
      <w:r>
        <w:instrText xml:space="preserve"> HYPERLINK \l "_Toc346202446" </w:instrText>
      </w:r>
      <w:r>
        <w:fldChar w:fldCharType="separate"/>
      </w:r>
      <w:r>
        <w:rPr>
          <w:rStyle w:val="12"/>
          <w:rFonts w:hint="eastAsia" w:ascii="宋体" w:hAnsi="宋体"/>
          <w:b/>
          <w:sz w:val="28"/>
          <w:szCs w:val="28"/>
        </w:rPr>
        <w:t>第五部分附件</w:t>
      </w:r>
      <w:r>
        <w:rPr>
          <w:b/>
          <w:sz w:val="28"/>
          <w:szCs w:val="28"/>
        </w:rPr>
        <w:tab/>
      </w:r>
      <w:r>
        <w:rPr>
          <w:b/>
          <w:sz w:val="28"/>
          <w:szCs w:val="28"/>
        </w:rPr>
        <w:fldChar w:fldCharType="end"/>
      </w:r>
    </w:p>
    <w:p>
      <w:pPr>
        <w:tabs>
          <w:tab w:val="left" w:pos="1701"/>
          <w:tab w:val="left" w:pos="2127"/>
          <w:tab w:val="left" w:pos="4111"/>
        </w:tabs>
        <w:rPr>
          <w:rFonts w:ascii="宋体" w:hAnsi="宋体"/>
          <w:sz w:val="24"/>
        </w:rPr>
      </w:pPr>
      <w:r>
        <w:rPr>
          <w:rFonts w:ascii="宋体" w:hAnsi="宋体"/>
          <w:b/>
          <w:sz w:val="28"/>
          <w:szCs w:val="28"/>
        </w:rPr>
        <w:fldChar w:fldCharType="end"/>
      </w:r>
    </w:p>
    <w:p>
      <w:pPr>
        <w:tabs>
          <w:tab w:val="left" w:pos="1701"/>
          <w:tab w:val="left" w:pos="2127"/>
          <w:tab w:val="left" w:pos="4111"/>
        </w:tabs>
        <w:rPr>
          <w:rFonts w:ascii="宋体" w:hAnsi="宋体"/>
          <w:sz w:val="28"/>
          <w:szCs w:val="28"/>
        </w:rPr>
      </w:pPr>
    </w:p>
    <w:p>
      <w:pPr>
        <w:jc w:val="both"/>
        <w:rPr>
          <w:rFonts w:asciiTheme="majorEastAsia" w:hAnsiTheme="majorEastAsia" w:eastAsiaTheme="majorEastAsia"/>
          <w:b/>
          <w:sz w:val="44"/>
          <w:szCs w:val="44"/>
        </w:rPr>
      </w:pPr>
      <w:bookmarkStart w:id="0" w:name="_Toc346202428"/>
    </w:p>
    <w:p>
      <w:pPr>
        <w:ind w:left="426"/>
        <w:jc w:val="center"/>
        <w:rPr>
          <w:rFonts w:hint="eastAsia" w:asciiTheme="majorEastAsia" w:hAnsiTheme="majorEastAsia" w:eastAsiaTheme="majorEastAsia"/>
          <w:b/>
          <w:sz w:val="44"/>
          <w:szCs w:val="44"/>
        </w:rPr>
        <w:sectPr>
          <w:footerReference r:id="rId6" w:type="first"/>
          <w:footerReference r:id="rId5" w:type="default"/>
          <w:pgSz w:w="11906" w:h="16838"/>
          <w:pgMar w:top="1090" w:right="1286" w:bottom="1440" w:left="1440" w:header="851" w:footer="992" w:gutter="0"/>
          <w:pgNumType w:fmt="decimal" w:start="2"/>
          <w:cols w:space="720" w:num="1"/>
          <w:titlePg/>
          <w:docGrid w:type="lines" w:linePitch="312" w:charSpace="0"/>
        </w:sectPr>
      </w:pPr>
    </w:p>
    <w:p>
      <w:pPr>
        <w:ind w:left="426"/>
        <w:jc w:val="center"/>
        <w:rPr>
          <w:rFonts w:hint="eastAsia" w:asciiTheme="minorEastAsia" w:hAnsiTheme="minorEastAsia" w:eastAsiaTheme="minorEastAsia" w:cstheme="minorEastAsia"/>
          <w:b/>
          <w:bCs/>
          <w:sz w:val="30"/>
          <w:szCs w:val="30"/>
        </w:rPr>
      </w:pPr>
      <w:r>
        <w:rPr>
          <w:rFonts w:hint="eastAsia" w:asciiTheme="majorEastAsia" w:hAnsiTheme="majorEastAsia" w:eastAsiaTheme="majorEastAsia"/>
          <w:b/>
          <w:sz w:val="44"/>
          <w:szCs w:val="44"/>
        </w:rPr>
        <w:t>第一部分   招标公告</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一、招标项目概况</w:t>
      </w:r>
    </w:p>
    <w:p>
      <w:pPr>
        <w:keepNext w:val="0"/>
        <w:keepLines w:val="0"/>
        <w:pageBreakBefore w:val="0"/>
        <w:tabs>
          <w:tab w:val="left" w:pos="900"/>
        </w:tabs>
        <w:kinsoku/>
        <w:wordWrap/>
        <w:overflowPunct/>
        <w:topLinePunct w:val="0"/>
        <w:autoSpaceDE/>
        <w:autoSpaceDN/>
        <w:bidi w:val="0"/>
        <w:adjustRightInd/>
        <w:snapToGrid/>
        <w:spacing w:line="360" w:lineRule="auto"/>
        <w:ind w:firstLine="528" w:firstLineChars="200"/>
        <w:textAlignment w:val="auto"/>
        <w:outlineLvl w:val="9"/>
        <w:rPr>
          <w:rFonts w:hint="eastAsia" w:ascii="宋体" w:hAnsi="宋体" w:cs="宋体"/>
          <w:spacing w:val="12"/>
          <w:kern w:val="0"/>
          <w:sz w:val="24"/>
        </w:rPr>
      </w:pPr>
      <w:r>
        <w:rPr>
          <w:rFonts w:hint="eastAsia" w:ascii="宋体" w:hAnsi="宋体" w:cs="宋体"/>
          <w:spacing w:val="12"/>
          <w:kern w:val="0"/>
          <w:sz w:val="24"/>
          <w:lang w:val="en-US" w:eastAsia="zh-CN"/>
        </w:rPr>
        <w:t>1、</w:t>
      </w:r>
      <w:r>
        <w:rPr>
          <w:rFonts w:hint="eastAsia" w:ascii="宋体" w:hAnsi="宋体" w:cs="宋体"/>
          <w:spacing w:val="12"/>
          <w:kern w:val="0"/>
          <w:sz w:val="24"/>
        </w:rPr>
        <w:t>“京杭融园”由扬州市城建置业有限公司开发，位于健民路南侧、福康路西侧、运河东路北侧、人民路东侧；分A区、E区，住宅楼14幢、商业楼1幢、物管及社区用房2幢。规划总用地面积71120㎡，规划总建筑面积186508.19㎡，其中住宅面积129101.68㎡，商业3279.04㎡，其中：</w:t>
      </w:r>
    </w:p>
    <w:p>
      <w:pPr>
        <w:keepNext w:val="0"/>
        <w:keepLines w:val="0"/>
        <w:pageBreakBefore w:val="0"/>
        <w:tabs>
          <w:tab w:val="left" w:pos="900"/>
        </w:tabs>
        <w:kinsoku/>
        <w:wordWrap/>
        <w:overflowPunct/>
        <w:topLinePunct w:val="0"/>
        <w:autoSpaceDE/>
        <w:autoSpaceDN/>
        <w:bidi w:val="0"/>
        <w:adjustRightInd/>
        <w:snapToGrid/>
        <w:spacing w:line="360" w:lineRule="auto"/>
        <w:ind w:firstLine="528" w:firstLineChars="200"/>
        <w:textAlignment w:val="auto"/>
        <w:outlineLvl w:val="9"/>
        <w:rPr>
          <w:rFonts w:hint="eastAsia" w:ascii="宋体" w:hAnsi="宋体" w:cs="宋体"/>
          <w:spacing w:val="12"/>
          <w:kern w:val="0"/>
          <w:sz w:val="24"/>
        </w:rPr>
      </w:pPr>
      <w:r>
        <w:rPr>
          <w:rFonts w:hint="eastAsia" w:ascii="宋体" w:hAnsi="宋体" w:cs="宋体"/>
          <w:spacing w:val="12"/>
          <w:kern w:val="0"/>
          <w:sz w:val="24"/>
        </w:rPr>
        <w:t>A区总用地面积为26869㎡，总建筑面积为70097.26㎡，住宅建筑面积46365.06㎡，商业建筑面积3279.04㎡，建筑密度20%，容积率1.9，绿地率30%。E区总用地面积为44251总建筑面积为116410.93㎡，住宅建筑面积82736.62㎡；建筑密度14.5%，容积率1.9，绿地率35.5%。</w:t>
      </w:r>
    </w:p>
    <w:p>
      <w:pPr>
        <w:keepNext w:val="0"/>
        <w:keepLines w:val="0"/>
        <w:pageBreakBefore w:val="0"/>
        <w:tabs>
          <w:tab w:val="left" w:pos="900"/>
        </w:tabs>
        <w:kinsoku/>
        <w:wordWrap/>
        <w:overflowPunct/>
        <w:topLinePunct w:val="0"/>
        <w:autoSpaceDE/>
        <w:autoSpaceDN/>
        <w:bidi w:val="0"/>
        <w:adjustRightInd/>
        <w:snapToGrid/>
        <w:spacing w:line="360" w:lineRule="auto"/>
        <w:ind w:firstLine="528" w:firstLineChars="200"/>
        <w:textAlignment w:val="auto"/>
        <w:outlineLvl w:val="9"/>
        <w:rPr>
          <w:rFonts w:hint="eastAsia" w:ascii="宋体" w:hAnsi="宋体" w:cs="宋体"/>
          <w:spacing w:val="12"/>
          <w:kern w:val="0"/>
          <w:sz w:val="24"/>
        </w:rPr>
      </w:pPr>
      <w:r>
        <w:rPr>
          <w:rFonts w:hint="eastAsia" w:ascii="宋体" w:hAnsi="宋体" w:cs="宋体"/>
          <w:spacing w:val="12"/>
          <w:kern w:val="0"/>
          <w:sz w:val="24"/>
          <w:lang w:val="en-US" w:eastAsia="zh-CN"/>
        </w:rPr>
        <w:t>2、</w:t>
      </w:r>
      <w:r>
        <w:rPr>
          <w:rFonts w:hint="eastAsia" w:ascii="宋体" w:hAnsi="宋体" w:cs="宋体"/>
          <w:spacing w:val="12"/>
          <w:kern w:val="0"/>
          <w:sz w:val="24"/>
        </w:rPr>
        <w:t>电梯：59部，运行-2F至18F。</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spacing w:val="12"/>
        </w:rPr>
      </w:pPr>
      <w:r>
        <w:rPr>
          <w:rFonts w:hint="eastAsia"/>
          <w:lang w:val="en-US" w:eastAsia="zh-CN"/>
        </w:rPr>
        <w:t>3、</w:t>
      </w:r>
      <w:r>
        <w:rPr>
          <w:rFonts w:hint="eastAsia"/>
        </w:rPr>
        <w:t>小区出入口：两主三次（地下车库出入口五个）</w:t>
      </w:r>
      <w:r>
        <w:rPr>
          <w:rFonts w:hint="eastAsia"/>
          <w:spacing w:val="12"/>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outlineLvl w:val="9"/>
        <w:rPr>
          <w:rFonts w:hint="eastAsia"/>
          <w:spacing w:val="12"/>
        </w:rPr>
      </w:pPr>
      <w:r>
        <w:rPr>
          <w:rFonts w:hint="eastAsia"/>
          <w:spacing w:val="12"/>
          <w:lang w:val="en-US" w:eastAsia="zh-CN"/>
        </w:rPr>
        <w:t>4、</w:t>
      </w:r>
      <w:r>
        <w:rPr>
          <w:rFonts w:hint="eastAsia"/>
          <w:spacing w:val="12"/>
        </w:rPr>
        <w:t>小区配套设施设备：周界管理系统、智能化监控系统、门禁对讲系统、停车场监控系统、电子巡更系统、消防喷淋系统、背景音乐系统。</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outlineLvl w:val="9"/>
        <w:rPr>
          <w:rFonts w:hint="eastAsia"/>
          <w:spacing w:val="12"/>
        </w:rPr>
      </w:pPr>
      <w:r>
        <w:rPr>
          <w:rFonts w:hint="eastAsia"/>
          <w:spacing w:val="12"/>
          <w:lang w:val="en-US" w:eastAsia="zh-CN"/>
        </w:rPr>
        <w:t>5、</w:t>
      </w:r>
      <w:r>
        <w:rPr>
          <w:rFonts w:hint="eastAsia"/>
          <w:spacing w:val="12"/>
        </w:rPr>
        <w:t>总户数：A区396户(含商铺10户)、E区699户。</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outlineLvl w:val="9"/>
        <w:rPr>
          <w:rFonts w:hint="eastAsia"/>
          <w:spacing w:val="12"/>
        </w:rPr>
      </w:pPr>
      <w:r>
        <w:rPr>
          <w:rFonts w:hint="eastAsia"/>
          <w:spacing w:val="12"/>
          <w:lang w:val="en-US" w:eastAsia="zh-CN"/>
        </w:rPr>
        <w:t>6、</w:t>
      </w:r>
      <w:r>
        <w:rPr>
          <w:rFonts w:hint="eastAsia"/>
          <w:spacing w:val="12"/>
        </w:rPr>
        <w:t>机动车停车位：A区地下348个(出售)，E区地下570辆(出售)。</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outlineLvl w:val="9"/>
        <w:rPr>
          <w:rFonts w:hint="eastAsia"/>
          <w:spacing w:val="12"/>
        </w:rPr>
      </w:pPr>
      <w:r>
        <w:rPr>
          <w:rFonts w:hint="eastAsia"/>
          <w:spacing w:val="12"/>
          <w:lang w:val="en-US" w:eastAsia="zh-CN"/>
        </w:rPr>
        <w:t>7、</w:t>
      </w:r>
      <w:r>
        <w:rPr>
          <w:rFonts w:hint="eastAsia"/>
          <w:spacing w:val="12"/>
        </w:rPr>
        <w:t>消防监控室1处。</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二、招标单位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rPr>
        <w:t>三、招标对象</w:t>
      </w:r>
      <w:r>
        <w:rPr>
          <w:rFonts w:hint="eastAsia" w:asciiTheme="minorEastAsia" w:hAnsiTheme="minorEastAsia" w:eastAsiaTheme="minorEastAsia" w:cstheme="minorEastAsia"/>
          <w:b/>
          <w:bCs/>
          <w:sz w:val="30"/>
          <w:szCs w:val="30"/>
          <w:lang w:eastAsia="zh-CN"/>
        </w:rPr>
        <w:t>要求</w:t>
      </w:r>
    </w:p>
    <w:p>
      <w:pPr>
        <w:pStyle w:val="4"/>
        <w:spacing w:line="360" w:lineRule="auto"/>
        <w:ind w:firstLine="528"/>
        <w:jc w:val="left"/>
        <w:rPr>
          <w:rFonts w:hint="eastAsia" w:ascii="宋体" w:hAnsi="宋体" w:cs="宋体"/>
          <w:spacing w:val="12"/>
          <w:kern w:val="0"/>
          <w:sz w:val="24"/>
        </w:rPr>
      </w:pPr>
      <w:r>
        <w:rPr>
          <w:rFonts w:hint="eastAsia" w:ascii="宋体" w:hAnsi="宋体" w:cs="宋体"/>
          <w:spacing w:val="12"/>
          <w:kern w:val="0"/>
          <w:sz w:val="24"/>
          <w:lang w:val="en-US" w:eastAsia="zh-CN"/>
        </w:rPr>
        <w:t>1、</w:t>
      </w:r>
      <w:r>
        <w:rPr>
          <w:rFonts w:hint="eastAsia" w:ascii="宋体" w:hAnsi="宋体" w:cs="宋体"/>
          <w:spacing w:val="12"/>
          <w:kern w:val="0"/>
          <w:sz w:val="24"/>
        </w:rPr>
        <w:t>必须</w:t>
      </w:r>
      <w:r>
        <w:rPr>
          <w:rFonts w:hint="eastAsia" w:ascii="宋体" w:hAnsi="宋体" w:cs="宋体"/>
          <w:spacing w:val="12"/>
          <w:kern w:val="0"/>
          <w:sz w:val="24"/>
          <w:lang w:eastAsia="zh-CN"/>
        </w:rPr>
        <w:t>具备</w:t>
      </w:r>
      <w:r>
        <w:rPr>
          <w:rFonts w:hint="eastAsia" w:ascii="宋体" w:hAnsi="宋体" w:cs="宋体"/>
          <w:spacing w:val="12"/>
          <w:kern w:val="0"/>
          <w:sz w:val="24"/>
        </w:rPr>
        <w:t>有效的营业执照、税务登记证及其相应经营范围；</w:t>
      </w:r>
    </w:p>
    <w:p>
      <w:pPr>
        <w:pStyle w:val="4"/>
        <w:spacing w:line="360" w:lineRule="auto"/>
        <w:ind w:firstLine="528"/>
        <w:jc w:val="left"/>
        <w:rPr>
          <w:rFonts w:hint="eastAsia" w:asciiTheme="minorEastAsia" w:hAnsiTheme="minorEastAsia" w:eastAsiaTheme="minorEastAsia" w:cstheme="minorEastAsia"/>
          <w:sz w:val="24"/>
          <w:szCs w:val="24"/>
        </w:rPr>
      </w:pPr>
      <w:r>
        <w:rPr>
          <w:rFonts w:hint="eastAsia" w:ascii="宋体" w:hAnsi="宋体" w:cs="宋体"/>
          <w:spacing w:val="12"/>
          <w:kern w:val="0"/>
          <w:sz w:val="24"/>
          <w:lang w:val="en-US" w:eastAsia="zh-CN"/>
        </w:rPr>
        <w:t>2、</w:t>
      </w:r>
      <w:r>
        <w:rPr>
          <w:rFonts w:hint="eastAsia" w:asciiTheme="minorEastAsia" w:hAnsiTheme="minorEastAsia" w:eastAsiaTheme="minorEastAsia" w:cstheme="minorEastAsia"/>
          <w:sz w:val="24"/>
          <w:szCs w:val="24"/>
        </w:rPr>
        <w:t>具有独立法人资格</w:t>
      </w:r>
      <w:r>
        <w:rPr>
          <w:rFonts w:hint="eastAsia" w:asciiTheme="minorEastAsia" w:hAnsiTheme="minorEastAsia" w:eastAsiaTheme="minorEastAsia" w:cstheme="minorEastAsia"/>
          <w:sz w:val="24"/>
          <w:szCs w:val="24"/>
          <w:lang w:eastAsia="zh-CN"/>
        </w:rPr>
        <w:t>的</w:t>
      </w:r>
      <w:r>
        <w:rPr>
          <w:rFonts w:hint="eastAsia" w:ascii="宋体" w:hAnsi="宋体" w:cs="宋体"/>
          <w:spacing w:val="12"/>
          <w:kern w:val="0"/>
          <w:sz w:val="24"/>
        </w:rPr>
        <w:t>保安公司</w:t>
      </w:r>
      <w:r>
        <w:rPr>
          <w:rFonts w:hint="eastAsia" w:ascii="宋体" w:hAnsi="宋体" w:cs="宋体"/>
          <w:spacing w:val="12"/>
          <w:kern w:val="0"/>
          <w:sz w:val="24"/>
          <w:lang w:eastAsia="zh-CN"/>
        </w:rPr>
        <w:t>或</w:t>
      </w:r>
      <w:r>
        <w:rPr>
          <w:rFonts w:hint="eastAsia" w:ascii="宋体" w:hAnsi="宋体" w:cs="宋体"/>
          <w:spacing w:val="12"/>
          <w:kern w:val="0"/>
          <w:sz w:val="24"/>
        </w:rPr>
        <w:t>已取得贰级资质的物业服务企业。</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四、招标说明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1、有意向参加投标的单位请于</w:t>
      </w:r>
      <w:r>
        <w:rPr>
          <w:rFonts w:hint="eastAsia" w:asciiTheme="minorEastAsia" w:hAnsiTheme="minorEastAsia" w:eastAsiaTheme="minorEastAsia" w:cstheme="minorEastAsia"/>
          <w:sz w:val="24"/>
          <w:szCs w:val="24"/>
          <w:lang w:eastAsia="zh-CN"/>
        </w:rPr>
        <w:t>城控集团网站下载相关文件</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2、参加投标的单位以书面报名为准</w:t>
      </w:r>
      <w:r>
        <w:rPr>
          <w:rFonts w:hint="eastAsia" w:asciiTheme="minorEastAsia" w:hAnsiTheme="minorEastAsia" w:eastAsiaTheme="minorEastAsia" w:cstheme="minorEastAsia"/>
          <w:sz w:val="24"/>
          <w:szCs w:val="24"/>
          <w:lang w:eastAsia="zh-CN"/>
        </w:rPr>
        <w:t>，报名截止时间为</w:t>
      </w:r>
      <w:r>
        <w:rPr>
          <w:rFonts w:hint="eastAsia" w:asciiTheme="minorEastAsia" w:hAnsiTheme="minorEastAsia" w:eastAsiaTheme="minorEastAsia" w:cstheme="minorEastAsia"/>
          <w:sz w:val="24"/>
          <w:szCs w:val="24"/>
          <w:lang w:val="en-US" w:eastAsia="zh-CN"/>
        </w:rPr>
        <w:t>2018年12月10日17:30</w:t>
      </w:r>
      <w:r>
        <w:rPr>
          <w:rFonts w:hint="eastAsia" w:asciiTheme="minorEastAsia" w:hAnsiTheme="minorEastAsia" w:eastAsiaTheme="minorEastAsia" w:cstheme="minorEastAsia"/>
          <w:sz w:val="24"/>
          <w:szCs w:val="24"/>
        </w:rPr>
        <w:t>。在书面报名时，须交纳投标保证金贰万元，否则视为无效报名。招标结束后，投标保证金在一周内无息全额返还未入围单位；中标单位的保证金不予退还，自动转为履约保证金的一部分。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3、招标单位不得以不合理条件限制或者排斥潜在投标人。招投标过程中如出现违法、违规、违纪现象的，当事人可向扬州市城建资产经营管理有限责任公司举报（举报电话：0514—87370502）。</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五、投标人报名需提供的材料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1、投标报名申请表；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2、企业营业执照</w:t>
      </w:r>
      <w:r>
        <w:rPr>
          <w:rFonts w:hint="eastAsia" w:asciiTheme="minorEastAsia" w:hAnsiTheme="minorEastAsia" w:eastAsiaTheme="minorEastAsia" w:cstheme="minorEastAsia"/>
          <w:sz w:val="24"/>
          <w:szCs w:val="24"/>
          <w:lang w:eastAsia="zh-CN"/>
        </w:rPr>
        <w:t>原件、复印件</w:t>
      </w:r>
      <w:r>
        <w:rPr>
          <w:rFonts w:hint="eastAsia" w:asciiTheme="minorEastAsia" w:hAnsiTheme="minorEastAsia" w:eastAsiaTheme="minorEastAsia" w:cstheme="minorEastAsia"/>
          <w:sz w:val="24"/>
          <w:szCs w:val="24"/>
        </w:rPr>
        <w:t>（经年检合格）；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保安公司提供</w:t>
      </w:r>
      <w:r>
        <w:rPr>
          <w:rFonts w:hint="eastAsia" w:asciiTheme="minorEastAsia" w:hAnsiTheme="minorEastAsia" w:eastAsiaTheme="minorEastAsia" w:cstheme="minorEastAsia"/>
          <w:sz w:val="24"/>
          <w:szCs w:val="24"/>
        </w:rPr>
        <w:t>保安服务许可证书原件、复印件；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物业公司提供物业服务资质证明原件、复印件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、企业在管项目情况</w:t>
      </w:r>
      <w:r>
        <w:rPr>
          <w:rFonts w:hint="eastAsia" w:asciiTheme="minorEastAsia" w:hAnsiTheme="minorEastAsia" w:eastAsiaTheme="minorEastAsia" w:cstheme="minorEastAsia"/>
          <w:sz w:val="24"/>
          <w:szCs w:val="24"/>
          <w:lang w:eastAsia="zh-CN"/>
        </w:rPr>
        <w:t>加盖公章</w:t>
      </w:r>
      <w:r>
        <w:rPr>
          <w:rFonts w:hint="eastAsia" w:asciiTheme="minorEastAsia" w:hAnsiTheme="minorEastAsia" w:eastAsiaTheme="minorEastAsia" w:cstheme="minorEastAsia"/>
          <w:sz w:val="24"/>
          <w:szCs w:val="24"/>
        </w:rPr>
        <w:t>（须注明规模、类型、接管时间、项目所在地）</w:t>
      </w:r>
      <w:r>
        <w:rPr>
          <w:rFonts w:hint="eastAsia" w:asciiTheme="minorEastAsia" w:hAnsiTheme="minorEastAsia" w:eastAsiaTheme="minorEastAsia" w:cstheme="minorEastAsia"/>
          <w:color w:val="0070C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、外地企业参与竞标的，应有当地行政主管部门出具的诚信证明（本地已接管项目且在本地行政主管部门进行企业备案的除外）。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1、投标申请人提供的以上资料均一式一份，并按上述顺序装订，所有复印件需加盖企业公章。上述资料有任何一项缺漏，报名都将被拒绝。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2、投标申请人要对报名材料的真实性负责，若有弄虚作假的行为，一经查实，将取消投标资格。</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0"/>
          <w:szCs w:val="30"/>
        </w:rPr>
        <w:t>六、资</w:t>
      </w:r>
      <w:r>
        <w:rPr>
          <w:rFonts w:hint="eastAsia" w:asciiTheme="minorEastAsia" w:hAnsiTheme="minorEastAsia" w:eastAsiaTheme="minorEastAsia" w:cstheme="minorEastAsia"/>
          <w:b/>
          <w:bCs/>
          <w:sz w:val="30"/>
          <w:szCs w:val="30"/>
          <w:lang w:eastAsia="zh-CN"/>
        </w:rPr>
        <w:t>格</w:t>
      </w:r>
      <w:r>
        <w:rPr>
          <w:rFonts w:hint="eastAsia" w:asciiTheme="minorEastAsia" w:hAnsiTheme="minorEastAsia" w:eastAsiaTheme="minorEastAsia" w:cstheme="minorEastAsia"/>
          <w:b/>
          <w:bCs/>
          <w:sz w:val="30"/>
          <w:szCs w:val="30"/>
        </w:rPr>
        <w:t>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单位报名后，由扬州市城建资产经营管理有限责任公司、招标单位对报名单位进行资格预审，并确定入围单位名单。当投标单位过多时，可以按照资质等级、经营业绩进行先后排序的方法，从中选择不少于3家资格预审合格的投标单位。</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七、联系方式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地址：扬州市城建物业服务有限责任公司（扬州沿河街56号工艺坊一楼）</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 系 人： 羊煜     联系电话：</w:t>
      </w:r>
      <w:r>
        <w:rPr>
          <w:rFonts w:hint="eastAsia" w:asciiTheme="minorEastAsia" w:hAnsiTheme="minorEastAsia" w:eastAsiaTheme="minorEastAsia" w:cstheme="minorEastAsia"/>
          <w:sz w:val="24"/>
          <w:szCs w:val="24"/>
          <w:lang w:val="en-US" w:eastAsia="zh-CN"/>
        </w:rPr>
        <w:t>0514-87370626</w:t>
      </w: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w:t>
      </w:r>
    </w:p>
    <w:p>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二〇一八年</w:t>
      </w:r>
      <w:r>
        <w:rPr>
          <w:rFonts w:hint="eastAsia" w:asciiTheme="minorEastAsia" w:hAnsiTheme="minorEastAsia" w:eastAsiaTheme="minorEastAsia" w:cstheme="minorEastAsia"/>
          <w:sz w:val="24"/>
          <w:szCs w:val="24"/>
          <w:lang w:eastAsia="zh-CN"/>
        </w:rPr>
        <w:t>十一</w:t>
      </w:r>
      <w:r>
        <w:rPr>
          <w:rFonts w:hint="eastAsia" w:asciiTheme="minorEastAsia" w:hAnsiTheme="minorEastAsia" w:eastAsiaTheme="minorEastAsia" w:cstheme="minorEastAsia"/>
          <w:sz w:val="24"/>
          <w:szCs w:val="24"/>
        </w:rPr>
        <w:t>月</w:t>
      </w:r>
    </w:p>
    <w:p>
      <w:pPr>
        <w:pStyle w:val="2"/>
        <w:spacing w:line="240" w:lineRule="auto"/>
        <w:jc w:val="center"/>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rPr>
        <w:t>第二部分  投标人须知</w:t>
      </w:r>
      <w:bookmarkEnd w:id="0"/>
    </w:p>
    <w:p>
      <w:pPr>
        <w:ind w:firstLine="602" w:firstLineChars="200"/>
        <w:jc w:val="left"/>
        <w:outlineLvl w:val="0"/>
        <w:rPr>
          <w:rFonts w:hint="eastAsia" w:asciiTheme="minorEastAsia" w:hAnsiTheme="minorEastAsia" w:eastAsiaTheme="minorEastAsia" w:cstheme="minorEastAsia"/>
          <w:b/>
          <w:sz w:val="30"/>
          <w:szCs w:val="30"/>
        </w:rPr>
      </w:pPr>
      <w:bookmarkStart w:id="1" w:name="_Toc346202429"/>
      <w:r>
        <w:rPr>
          <w:rFonts w:hint="eastAsia" w:asciiTheme="minorEastAsia" w:hAnsiTheme="minorEastAsia" w:eastAsiaTheme="minorEastAsia" w:cstheme="minorEastAsia"/>
          <w:b/>
          <w:sz w:val="30"/>
          <w:szCs w:val="30"/>
        </w:rPr>
        <w:t>一、前附表</w:t>
      </w:r>
      <w:bookmarkEnd w:id="1"/>
    </w:p>
    <w:tbl>
      <w:tblPr>
        <w:tblStyle w:val="13"/>
        <w:tblW w:w="846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招标单位</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标的名称</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京杭融园</w:t>
            </w:r>
            <w:r>
              <w:rPr>
                <w:rFonts w:hint="eastAsia" w:asciiTheme="minorEastAsia" w:hAnsiTheme="minorEastAsia" w:eastAsiaTheme="minorEastAsia" w:cstheme="minorEastAsia"/>
                <w:sz w:val="24"/>
                <w:szCs w:val="24"/>
              </w:rPr>
              <w:t>”保安服务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标的地点</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宋体" w:hAnsi="宋体" w:cs="宋体"/>
                <w:spacing w:val="12"/>
                <w:kern w:val="0"/>
                <w:sz w:val="24"/>
              </w:rPr>
              <w:t>健民路南侧、福康路西侧、运河东路北侧、人民路东侧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项目概况</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宋体" w:hAnsi="宋体"/>
                <w:sz w:val="24"/>
              </w:rPr>
              <w:t>2016年1月1日入住，商住，总建筑面积181672m</w:t>
            </w:r>
            <w:r>
              <w:rPr>
                <w:rFonts w:hint="eastAsia"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现场勘察</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投标人自行对现场和周围环境进行勘察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投标文件份数</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共计2本（正本1本、副本1本）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投标文件递交</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扬州市城建物业服务有限责任公司办公室（扬州市沿河街56号工艺坊一楼）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招标方式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市城控集团网站公开招标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zh-CN"/>
              </w:rPr>
              <w:t>价款结算办法及报价</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行总价包干制，包干费用包括（但不仅限于）人员工资、伙食费、保险、企业利润、管理费、税金、以及安保过程所需的设备设施及低值易耗品等所有工料均包含在承包费用中。设备设施及低值易耗品需报明细，招标方可根据需要确定甲供或由投标方包干。保安负责人不单独设岗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zh-CN"/>
              </w:rPr>
              <w:t>付款方式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 w:val="left" w:pos="2397"/>
              </w:tabs>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本劳务项目无预付款，按月支付，于进场之日起服务满1个月后，经甲方评价考核合格后，支付上月的服务费，依此类推。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1800" w:type="dxa"/>
            <w:vMerge w:val="restart"/>
            <w:tcBorders>
              <w:top w:val="single" w:color="auto" w:sz="4" w:space="0"/>
              <w:left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联系方法</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p>
        </w:tc>
        <w:tc>
          <w:tcPr>
            <w:tcW w:w="522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扬州市城建物业服务有限责任公司（扬州市沿河街56号工艺坊一楼）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trPr>
        <w:tc>
          <w:tcPr>
            <w:tcW w:w="1800" w:type="dxa"/>
            <w:vMerge w:val="continue"/>
            <w:tcBorders>
              <w:left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5220" w:type="dxa"/>
            <w:tcBorders>
              <w:top w:val="single" w:color="auto" w:sz="4" w:space="0"/>
              <w:left w:val="single" w:color="auto" w:sz="4" w:space="0"/>
              <w:bottom w:val="single" w:color="auto" w:sz="4" w:space="0"/>
              <w:right w:val="single" w:color="auto" w:sz="4" w:space="0"/>
            </w:tcBorders>
            <w:vAlign w:val="center"/>
          </w:tcPr>
          <w:p>
            <w:pPr>
              <w:ind w:firstLine="2160" w:firstLineChars="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羊煜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800"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tc>
        <w:tc>
          <w:tcPr>
            <w:tcW w:w="522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0514-87370626</w:t>
            </w:r>
          </w:p>
        </w:tc>
      </w:tr>
    </w:tbl>
    <w:p>
      <w:pPr>
        <w:ind w:firstLine="602" w:firstLineChars="200"/>
        <w:jc w:val="left"/>
        <w:outlineLvl w:val="0"/>
        <w:rPr>
          <w:rFonts w:hint="eastAsia" w:asciiTheme="minorEastAsia" w:hAnsiTheme="minorEastAsia" w:eastAsiaTheme="minorEastAsia" w:cstheme="minorEastAsia"/>
          <w:b/>
          <w:sz w:val="30"/>
          <w:szCs w:val="30"/>
        </w:rPr>
      </w:pPr>
      <w:bookmarkStart w:id="2" w:name="_Toc346202430"/>
      <w:bookmarkStart w:id="3" w:name="_Toc77757107"/>
      <w:r>
        <w:rPr>
          <w:rFonts w:hint="eastAsia" w:asciiTheme="minorEastAsia" w:hAnsiTheme="minorEastAsia" w:eastAsiaTheme="minorEastAsia" w:cstheme="minorEastAsia"/>
          <w:b/>
          <w:sz w:val="30"/>
          <w:szCs w:val="30"/>
        </w:rPr>
        <w:t>二、投标方</w:t>
      </w:r>
      <w:bookmarkEnd w:id="2"/>
    </w:p>
    <w:p>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1、对投标方的资格根据下列标准进行审查</w:t>
      </w:r>
      <w:bookmarkEnd w:id="3"/>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1）具备一般纳税人资格，可开具增值税专用发票；</w:t>
      </w:r>
    </w:p>
    <w:p>
      <w:pPr>
        <w:pStyle w:val="4"/>
        <w:spacing w:line="360" w:lineRule="auto"/>
        <w:ind w:firstLine="528"/>
        <w:jc w:val="left"/>
        <w:rPr>
          <w:rFonts w:hint="eastAsia" w:ascii="宋体" w:hAnsi="宋体" w:cs="宋体"/>
          <w:spacing w:val="12"/>
          <w:kern w:val="0"/>
          <w:sz w:val="24"/>
        </w:rPr>
      </w:pPr>
      <w:r>
        <w:rPr>
          <w:rFonts w:hint="eastAsia" w:asciiTheme="minorEastAsia" w:hAnsiTheme="minorEastAsia" w:eastAsiaTheme="minorEastAsia" w:cstheme="minorEastAsia"/>
          <w:spacing w:val="12"/>
          <w:kern w:val="0"/>
          <w:sz w:val="24"/>
        </w:rPr>
        <w:t>2）</w:t>
      </w:r>
      <w:r>
        <w:rPr>
          <w:rFonts w:hint="eastAsia" w:ascii="宋体" w:hAnsi="宋体" w:cs="宋体"/>
          <w:spacing w:val="12"/>
          <w:kern w:val="0"/>
          <w:sz w:val="24"/>
        </w:rPr>
        <w:t>具有有效的营业执照、税务登记证及其相应经营范围；</w:t>
      </w:r>
    </w:p>
    <w:p>
      <w:pPr>
        <w:pStyle w:val="4"/>
        <w:spacing w:line="360" w:lineRule="auto"/>
        <w:ind w:firstLine="528"/>
        <w:jc w:val="left"/>
        <w:rPr>
          <w:rFonts w:hint="eastAsia" w:eastAsia="宋体" w:asciiTheme="minorEastAsia" w:hAnsiTheme="minorEastAsia" w:cstheme="minorEastAsia"/>
          <w:spacing w:val="12"/>
          <w:kern w:val="0"/>
          <w:sz w:val="24"/>
          <w:lang w:eastAsia="zh-CN"/>
        </w:rPr>
      </w:pPr>
      <w:r>
        <w:rPr>
          <w:rFonts w:hint="eastAsia" w:asciiTheme="minorEastAsia" w:hAnsiTheme="minorEastAsia" w:eastAsiaTheme="minorEastAsia" w:cstheme="minorEastAsia"/>
          <w:spacing w:val="12"/>
          <w:kern w:val="0"/>
          <w:sz w:val="24"/>
          <w:lang w:val="en-US" w:eastAsia="zh-CN"/>
        </w:rPr>
        <w:t>3）</w:t>
      </w:r>
      <w:r>
        <w:rPr>
          <w:rFonts w:hint="eastAsia" w:asciiTheme="minorEastAsia" w:hAnsiTheme="minorEastAsia" w:eastAsiaTheme="minorEastAsia" w:cstheme="minorEastAsia"/>
          <w:spacing w:val="12"/>
          <w:kern w:val="0"/>
          <w:sz w:val="24"/>
        </w:rPr>
        <w:t>具有独立法人资格</w:t>
      </w:r>
      <w:r>
        <w:rPr>
          <w:rFonts w:hint="eastAsia" w:asciiTheme="minorEastAsia" w:hAnsiTheme="minorEastAsia" w:eastAsiaTheme="minorEastAsia" w:cstheme="minorEastAsia"/>
          <w:spacing w:val="12"/>
          <w:kern w:val="0"/>
          <w:sz w:val="24"/>
          <w:lang w:eastAsia="zh-CN"/>
        </w:rPr>
        <w:t>的</w:t>
      </w:r>
      <w:r>
        <w:rPr>
          <w:rFonts w:hint="eastAsia" w:asciiTheme="minorEastAsia" w:hAnsiTheme="minorEastAsia" w:eastAsiaTheme="minorEastAsia" w:cstheme="minorEastAsia"/>
          <w:spacing w:val="12"/>
          <w:kern w:val="0"/>
          <w:sz w:val="24"/>
        </w:rPr>
        <w:t>保安公司</w:t>
      </w:r>
      <w:r>
        <w:rPr>
          <w:rFonts w:hint="eastAsia" w:asciiTheme="minorEastAsia" w:hAnsiTheme="minorEastAsia" w:eastAsiaTheme="minorEastAsia" w:cstheme="minorEastAsia"/>
          <w:spacing w:val="12"/>
          <w:kern w:val="0"/>
          <w:sz w:val="24"/>
          <w:lang w:eastAsia="zh-CN"/>
        </w:rPr>
        <w:t>或</w:t>
      </w:r>
      <w:r>
        <w:rPr>
          <w:rFonts w:hint="eastAsia" w:ascii="宋体" w:hAnsi="宋体" w:cs="宋体"/>
          <w:spacing w:val="12"/>
          <w:kern w:val="0"/>
          <w:sz w:val="24"/>
        </w:rPr>
        <w:t>已取得贰级资质的物业服务企业</w:t>
      </w:r>
      <w:r>
        <w:rPr>
          <w:rFonts w:hint="eastAsia" w:asciiTheme="minorEastAsia" w:hAnsiTheme="minorEastAsia" w:eastAsiaTheme="minorEastAsia" w:cstheme="minorEastAsia"/>
          <w:spacing w:val="12"/>
          <w:kern w:val="0"/>
          <w:sz w:val="24"/>
          <w:lang w:eastAsia="zh-CN"/>
        </w:rPr>
        <w:t>。</w:t>
      </w:r>
    </w:p>
    <w:p>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2、投标委托</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如投标方代表不是法人代表，须持有《法人代表授权书》(见附件)。</w:t>
      </w:r>
    </w:p>
    <w:p>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3、投标费用</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无论招投标最终结果如何，投标方自行承担参与投标有关的全部费用。</w:t>
      </w:r>
    </w:p>
    <w:p>
      <w:pPr>
        <w:ind w:firstLine="602" w:firstLineChars="200"/>
        <w:jc w:val="left"/>
        <w:outlineLvl w:val="0"/>
        <w:rPr>
          <w:rFonts w:hint="eastAsia" w:asciiTheme="minorEastAsia" w:hAnsiTheme="minorEastAsia" w:eastAsiaTheme="minorEastAsia" w:cstheme="minorEastAsia"/>
          <w:b/>
          <w:sz w:val="30"/>
          <w:szCs w:val="30"/>
        </w:rPr>
      </w:pPr>
      <w:bookmarkStart w:id="4" w:name="_Toc346202431"/>
      <w:r>
        <w:rPr>
          <w:rFonts w:hint="eastAsia" w:asciiTheme="minorEastAsia" w:hAnsiTheme="minorEastAsia" w:eastAsiaTheme="minorEastAsia" w:cstheme="minorEastAsia"/>
          <w:b/>
          <w:sz w:val="30"/>
          <w:szCs w:val="30"/>
        </w:rPr>
        <w:t>三、招标文件相关</w:t>
      </w:r>
      <w:bookmarkEnd w:id="4"/>
    </w:p>
    <w:p>
      <w:pPr>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1、招标文件</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1）招标文件由招标文件目录所列内容组成。</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2）投标方应详细阅读招标文件的全部内容。不按招标文件要求提供的投标文件和资料，一律按废标处理。</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2、现场踏勘与招标文件的澄清</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1）投标方在获得投标资格后，自行组织踏勘现场，进入施工工地需服从现场安全人员管理。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但不标明问题查询的来源)，分发给所取得同一招标文件的投标方。</w:t>
      </w: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3、招标文件的修改</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1）在投标截止时间3日前，招标方无论出于自己的考虑，还是出于对投标方提问的澄清，在法律、法规规定的时间内均可对招标文件用补充文件的方式进行修改。</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2）对招标文件的修改，将以书面、传真的形式通知已购买招标文件的每一投标方。补充文件将作为招标文件的组成部分，对所有投标方有约束力。</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3）为使投标方有足够的时间按招标文件的修改要求考虑修正投标文件，招标方可根据实际情况酌情推迟投标的截止日期和开标日期，并将此变更通知每一投标方。</w:t>
      </w:r>
    </w:p>
    <w:p>
      <w:pPr>
        <w:ind w:firstLine="602" w:firstLineChars="200"/>
        <w:jc w:val="left"/>
        <w:outlineLvl w:val="0"/>
        <w:rPr>
          <w:rFonts w:hint="eastAsia" w:asciiTheme="minorEastAsia" w:hAnsiTheme="minorEastAsia" w:eastAsiaTheme="minorEastAsia" w:cstheme="minorEastAsia"/>
          <w:b/>
          <w:sz w:val="30"/>
          <w:szCs w:val="30"/>
        </w:rPr>
      </w:pPr>
      <w:bookmarkStart w:id="5" w:name="_Toc346202432"/>
      <w:r>
        <w:rPr>
          <w:rFonts w:hint="eastAsia" w:asciiTheme="minorEastAsia" w:hAnsiTheme="minorEastAsia" w:eastAsiaTheme="minorEastAsia" w:cstheme="minorEastAsia"/>
          <w:b/>
          <w:sz w:val="30"/>
          <w:szCs w:val="30"/>
        </w:rPr>
        <w:t>四、投标文件部分</w:t>
      </w:r>
      <w:bookmarkEnd w:id="5"/>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1、投标文件必须的组成</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1）投标函（格式见附件）</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2）编制依据</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3）企业简介</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4）资格证明文件，包括但不限于：</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营业执照副本（复印件加盖投标人公章）；</w:t>
      </w:r>
    </w:p>
    <w:p>
      <w:pPr>
        <w:numPr>
          <w:ilvl w:val="0"/>
          <w:numId w:val="1"/>
        </w:num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保安公司提供</w:t>
      </w:r>
      <w:r>
        <w:rPr>
          <w:rFonts w:hint="eastAsia" w:asciiTheme="minorEastAsia" w:hAnsiTheme="minorEastAsia" w:eastAsiaTheme="minorEastAsia" w:cstheme="minorEastAsia"/>
          <w:sz w:val="24"/>
        </w:rPr>
        <w:t>公安主管部门颁发的保安服务许可证（复印件加盖投标人公章）；</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lang w:eastAsia="zh-CN"/>
        </w:rPr>
        <w:t>物业公司提供</w:t>
      </w:r>
      <w:r>
        <w:rPr>
          <w:rFonts w:hint="eastAsia" w:asciiTheme="minorEastAsia" w:hAnsiTheme="minorEastAsia" w:eastAsiaTheme="minorEastAsia" w:cstheme="minorEastAsia"/>
          <w:sz w:val="24"/>
          <w:szCs w:val="24"/>
          <w:lang w:eastAsia="zh-CN"/>
        </w:rPr>
        <w:t>物业服务企业资质证书</w:t>
      </w:r>
      <w:r>
        <w:rPr>
          <w:rFonts w:hint="eastAsia" w:asciiTheme="minorEastAsia" w:hAnsiTheme="minorEastAsia" w:eastAsiaTheme="minorEastAsia" w:cstheme="minorEastAsia"/>
          <w:sz w:val="24"/>
        </w:rPr>
        <w:t>（复印件加盖投标人公章）</w:t>
      </w:r>
      <w:r>
        <w:rPr>
          <w:rFonts w:hint="eastAsia" w:asciiTheme="minorEastAsia" w:hAnsiTheme="minorEastAsia" w:eastAsiaTheme="minorEastAsia" w:cstheme="minorEastAsia"/>
          <w:sz w:val="24"/>
          <w:lang w:eastAsia="zh-CN"/>
        </w:rPr>
        <w:t>；</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法人代表身份证明函，法定代表人身份证复印件；</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法人代表授权书，委托代理人身份证及身份证复印件（在委托投标情况下）；</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拟定项目负责人上岗证（复印件）、简历及相关荣誉；</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投标方现有项目获荣誉情况明细；</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廉洁投标承诺书（格式见附件）；</w:t>
      </w:r>
    </w:p>
    <w:p>
      <w:pPr>
        <w:pStyle w:val="4"/>
        <w:numPr>
          <w:ilvl w:val="0"/>
          <w:numId w:val="1"/>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投标人近三年内在经营活动中没有重大违法记录的书面声明原件（格式见附件）。</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4）技术标（管理方案）</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5）商务标（报价）</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6）投标保证金复印件或有效的进账回执单复印件</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2、投标报价</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1）所有投标均以人民币“元”为单位报价（保留小数点两位），不按要求则为无效。</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2）投标方严格按照招标文件要求格式填写报价，以及所包含项目单价、总价及明细等其他内容，并由法人代表或授权代表签署并加盖单位公章。</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3）投标报价需计算准确，各明细报价表报价加总合计应与总报价相等，如出现不等，则以明细报价进行加总后得数为准。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4）最低报价不作为中标的保证。</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5）投标方的报价总价作为商务标评分依据。</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3、投标文件</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1）投标书的份数和签署</w:t>
      </w:r>
    </w:p>
    <w:p>
      <w:pPr>
        <w:pStyle w:val="4"/>
        <w:spacing w:line="360" w:lineRule="auto"/>
        <w:ind w:firstLine="53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b/>
          <w:spacing w:val="12"/>
          <w:kern w:val="0"/>
          <w:sz w:val="24"/>
          <w:u w:val="single"/>
        </w:rPr>
        <w:t>编制标书共2套，正本1份，副本1份</w:t>
      </w:r>
      <w:r>
        <w:rPr>
          <w:rFonts w:hint="eastAsia" w:asciiTheme="minorEastAsia" w:hAnsiTheme="minorEastAsia" w:eastAsiaTheme="minorEastAsia" w:cstheme="minorEastAsia"/>
          <w:spacing w:val="12"/>
          <w:kern w:val="0"/>
          <w:sz w:val="24"/>
        </w:rPr>
        <w:t>。须在封面明确注明“正本”或“副本”字样，一旦正本和副本有差异，以正本为准。投标书须打印并由投标方法定代表人签署和加盖公章。电报、电话、传真形式的投标概不接受。</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2）投标文件应按以下方法装袋密封：</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投标书正本应单独密封，副本另行密封袋密封。封口处应同时“骑封”加盖有法人代表的签章与投标单位公章。封皮上写明：</w:t>
      </w:r>
    </w:p>
    <w:p>
      <w:pPr>
        <w:pStyle w:val="4"/>
        <w:numPr>
          <w:ilvl w:val="0"/>
          <w:numId w:val="2"/>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项目名称、投标方名称、投标日期</w:t>
      </w:r>
    </w:p>
    <w:p>
      <w:pPr>
        <w:pStyle w:val="4"/>
        <w:numPr>
          <w:ilvl w:val="0"/>
          <w:numId w:val="2"/>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相应正副本密封袋外注明，投标书正本、投标书副本。</w:t>
      </w:r>
    </w:p>
    <w:p>
      <w:pPr>
        <w:autoSpaceDE w:val="0"/>
        <w:autoSpaceDN w:val="0"/>
        <w:adjustRightInd w:val="0"/>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注：如果投标方未按上述要求密封，则作废标处理。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3）无效投标书的认定：投标书有下列情况之一的，应当视为废标：</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投标书未按要求密封；</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投标书未同时加盖单位公章和法人代表或法定代表人委托人印鉴；</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投标书没有响应招标文件。</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投标书逾期送达；</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经评委组一致认定物业管理服务费用报价明显低于成本的；</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投标书未按编标依据编制；</w:t>
      </w:r>
    </w:p>
    <w:p>
      <w:pPr>
        <w:pStyle w:val="4"/>
        <w:numPr>
          <w:ilvl w:val="0"/>
          <w:numId w:val="3"/>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隐瞒真实情况，弄虚作假的。</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4、投标保证金</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1）投标人提供人民币20000元（大写：贰万元整）的投标保证金，必须在2018年1</w:t>
      </w:r>
      <w:r>
        <w:rPr>
          <w:rFonts w:hint="eastAsia" w:asciiTheme="minorEastAsia" w:hAnsiTheme="minorEastAsia" w:eastAsiaTheme="minorEastAsia" w:cstheme="minorEastAsia"/>
          <w:spacing w:val="12"/>
          <w:kern w:val="0"/>
          <w:sz w:val="24"/>
          <w:lang w:val="en-US" w:eastAsia="zh-CN"/>
        </w:rPr>
        <w:t>2</w:t>
      </w:r>
      <w:r>
        <w:rPr>
          <w:rFonts w:hint="eastAsia" w:asciiTheme="minorEastAsia" w:hAnsiTheme="minorEastAsia" w:eastAsiaTheme="minorEastAsia" w:cstheme="minorEastAsia"/>
          <w:spacing w:val="12"/>
          <w:kern w:val="0"/>
          <w:sz w:val="24"/>
        </w:rPr>
        <w:t>月</w:t>
      </w:r>
      <w:r>
        <w:rPr>
          <w:rFonts w:hint="eastAsia" w:asciiTheme="minorEastAsia" w:hAnsiTheme="minorEastAsia" w:eastAsiaTheme="minorEastAsia" w:cstheme="minorEastAsia"/>
          <w:spacing w:val="12"/>
          <w:kern w:val="0"/>
          <w:sz w:val="24"/>
          <w:lang w:val="en-US" w:eastAsia="zh-CN"/>
        </w:rPr>
        <w:t>10</w:t>
      </w:r>
      <w:r>
        <w:rPr>
          <w:rFonts w:hint="eastAsia" w:asciiTheme="minorEastAsia" w:hAnsiTheme="minorEastAsia" w:eastAsiaTheme="minorEastAsia" w:cstheme="minorEastAsia"/>
          <w:spacing w:val="12"/>
          <w:kern w:val="0"/>
          <w:sz w:val="24"/>
        </w:rPr>
        <w:t>日</w:t>
      </w:r>
      <w:r>
        <w:rPr>
          <w:rFonts w:hint="eastAsia" w:asciiTheme="minorEastAsia" w:hAnsiTheme="minorEastAsia" w:eastAsiaTheme="minorEastAsia" w:cstheme="minorEastAsia"/>
          <w:spacing w:val="12"/>
          <w:kern w:val="0"/>
          <w:sz w:val="24"/>
          <w:lang w:val="en-US" w:eastAsia="zh-CN"/>
        </w:rPr>
        <w:t>17:30</w:t>
      </w:r>
      <w:r>
        <w:rPr>
          <w:rFonts w:hint="eastAsia" w:asciiTheme="minorEastAsia" w:hAnsiTheme="minorEastAsia" w:eastAsiaTheme="minorEastAsia" w:cstheme="minorEastAsia"/>
          <w:spacing w:val="12"/>
          <w:kern w:val="0"/>
          <w:sz w:val="24"/>
        </w:rPr>
        <w:t>前存入招标人指定银行账号直至交至招标人（以有效的进账回执单为准），投标保证金有效的进账回执单是投标文件的一个组成部分。</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户名：扬州市城建物业服务有限责任公司</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纳税人识别号：913210000763413113</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账号：90090188000068033</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开户行：江苏银行联谊支行</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地址：扬州市沿河街56号工艺坊A区</w:t>
      </w:r>
    </w:p>
    <w:p>
      <w:pPr>
        <w:pStyle w:val="4"/>
        <w:spacing w:line="360" w:lineRule="auto"/>
        <w:ind w:firstLine="570" w:firstLineChars="0"/>
        <w:jc w:val="left"/>
        <w:rPr>
          <w:rFonts w:hint="eastAsia" w:asciiTheme="minorEastAsia" w:hAnsiTheme="minorEastAsia" w:eastAsiaTheme="minorEastAsia" w:cstheme="minorEastAsia"/>
          <w:spacing w:val="12"/>
          <w:kern w:val="0"/>
          <w:sz w:val="24"/>
          <w:u w:val="single"/>
        </w:rPr>
      </w:pPr>
      <w:r>
        <w:rPr>
          <w:rFonts w:hint="eastAsia" w:asciiTheme="minorEastAsia" w:hAnsiTheme="minorEastAsia" w:eastAsiaTheme="minorEastAsia" w:cstheme="minorEastAsia"/>
          <w:spacing w:val="12"/>
          <w:kern w:val="0"/>
          <w:sz w:val="24"/>
        </w:rPr>
        <w:t>电话：0514-87370502</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投标人于招标结束后在投标保证金单据背面填写投标单位户名、账号和开户行、联系人、联系电话，并交由招标人统一退还保证金，中标人投标保证金转为履约保证金，未中标的投标人投标保证金将在宣布结果后七个工作日内无息退还，中标候选人的投标保证金在招标人与中标人签订合同完毕后七个工作日内无息退还，招标人不针对个人账户退还投标保证金。</w:t>
      </w:r>
    </w:p>
    <w:p>
      <w:pPr>
        <w:pStyle w:val="4"/>
        <w:spacing w:line="360" w:lineRule="auto"/>
        <w:ind w:firstLine="570"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3）如有下列情况，将没收投标保证金：</w:t>
      </w:r>
    </w:p>
    <w:p>
      <w:pPr>
        <w:pStyle w:val="4"/>
        <w:numPr>
          <w:ilvl w:val="0"/>
          <w:numId w:val="4"/>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投标人交纳投标保证金后放弃投标的，因不可抗力除外；</w:t>
      </w:r>
    </w:p>
    <w:p>
      <w:pPr>
        <w:pStyle w:val="4"/>
        <w:numPr>
          <w:ilvl w:val="0"/>
          <w:numId w:val="4"/>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因中标人原因未能在招标文件规定期限内签署合同或不签署合同的；</w:t>
      </w:r>
    </w:p>
    <w:p>
      <w:pPr>
        <w:pStyle w:val="4"/>
        <w:numPr>
          <w:ilvl w:val="0"/>
          <w:numId w:val="4"/>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招标人发现在开标、评标现场有恶意扰乱招标程序或串标者或投标人私下进行沟通的；</w:t>
      </w:r>
    </w:p>
    <w:p>
      <w:pPr>
        <w:pStyle w:val="4"/>
        <w:numPr>
          <w:ilvl w:val="0"/>
          <w:numId w:val="4"/>
        </w:numPr>
        <w:spacing w:line="360" w:lineRule="auto"/>
        <w:ind w:firstLineChars="0"/>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中标人在中标后不按照招标文件、投标文件、现场统一标准签订合同的。</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5、投标截止时间</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1）投标文件必须在投标截止时间前送达到指定的投标地点（以招标方具体通知为准）。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2）在投标截止时间以后送达的投标文件，招标方拒绝接收。</w:t>
      </w:r>
    </w:p>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6、开标后投标文件的处理</w:t>
      </w:r>
    </w:p>
    <w:p>
      <w:pPr>
        <w:pStyle w:val="4"/>
        <w:spacing w:line="360" w:lineRule="auto"/>
        <w:ind w:firstLine="528"/>
        <w:jc w:val="left"/>
        <w:rPr>
          <w:rFonts w:hint="eastAsia" w:asciiTheme="minorEastAsia" w:hAnsiTheme="minorEastAsia" w:eastAsiaTheme="minorEastAsia" w:cstheme="minorEastAsia"/>
          <w:b/>
          <w:spacing w:val="12"/>
          <w:kern w:val="0"/>
          <w:sz w:val="24"/>
          <w:u w:val="single"/>
        </w:rPr>
      </w:pPr>
      <w:r>
        <w:rPr>
          <w:rFonts w:hint="eastAsia" w:asciiTheme="minorEastAsia" w:hAnsiTheme="minorEastAsia" w:eastAsiaTheme="minorEastAsia" w:cstheme="minorEastAsia"/>
          <w:spacing w:val="12"/>
          <w:kern w:val="0"/>
          <w:sz w:val="24"/>
        </w:rPr>
        <w:t>1）</w:t>
      </w:r>
      <w:r>
        <w:rPr>
          <w:rFonts w:hint="eastAsia" w:asciiTheme="minorEastAsia" w:hAnsiTheme="minorEastAsia" w:eastAsiaTheme="minorEastAsia" w:cstheme="minorEastAsia"/>
          <w:b/>
          <w:spacing w:val="12"/>
          <w:kern w:val="0"/>
          <w:sz w:val="24"/>
          <w:u w:val="single"/>
        </w:rPr>
        <w:t>所有有效投标人在正式参加投标后，即作为其同意投标书所有权的无偿转让；</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2）招标方可根据实际情况需要退还或不退还投标方的投标书，以及在投标过程中所作出的相关书面承诺文件。</w:t>
      </w:r>
    </w:p>
    <w:p>
      <w:pPr>
        <w:spacing w:line="360" w:lineRule="auto"/>
        <w:ind w:firstLine="602" w:firstLineChars="200"/>
        <w:jc w:val="left"/>
        <w:outlineLvl w:val="0"/>
        <w:rPr>
          <w:rFonts w:hint="eastAsia" w:asciiTheme="minorEastAsia" w:hAnsiTheme="minorEastAsia" w:eastAsiaTheme="minorEastAsia" w:cstheme="minorEastAsia"/>
          <w:b/>
          <w:sz w:val="30"/>
          <w:szCs w:val="30"/>
        </w:rPr>
      </w:pPr>
      <w:bookmarkStart w:id="6" w:name="_Toc346202433"/>
      <w:r>
        <w:rPr>
          <w:rFonts w:hint="eastAsia" w:asciiTheme="minorEastAsia" w:hAnsiTheme="minorEastAsia" w:eastAsiaTheme="minorEastAsia" w:cstheme="minorEastAsia"/>
          <w:b/>
          <w:sz w:val="30"/>
          <w:szCs w:val="30"/>
        </w:rPr>
        <w:t>五、开标及评标</w:t>
      </w:r>
      <w:bookmarkEnd w:id="6"/>
    </w:p>
    <w:p>
      <w:pPr>
        <w:autoSpaceDE w:val="0"/>
        <w:autoSpaceDN w:val="0"/>
        <w:adjustRightInd w:val="0"/>
        <w:spacing w:line="360" w:lineRule="auto"/>
        <w:ind w:firstLine="602" w:firstLineChars="20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1、开标</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开标由扬州市城建资产经营管理有限责任公司招标小组人员参加开标。</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开标时由监标组相关人员查验投标文件密封情况，确认无误后拆封。</w:t>
      </w:r>
    </w:p>
    <w:p>
      <w:pPr>
        <w:autoSpaceDE w:val="0"/>
        <w:autoSpaceDN w:val="0"/>
        <w:adjustRightInd w:val="0"/>
        <w:spacing w:line="360" w:lineRule="auto"/>
        <w:ind w:firstLine="602" w:firstLineChars="20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2、投标的澄清</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评标委员会有权就投标文件中含混之处向投标方提出询问或澄清要求。投标方必须按照评标组的要求进行答疑和澄清。</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必要时评标组可要求投标方就澄清的问题作书面回答，该书面回答应有投标方全权代表的签章，并将作为投标文件的一部分。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投标方对投标文件的澄清不得改变投标价格及实质内容。</w:t>
      </w:r>
    </w:p>
    <w:p>
      <w:pPr>
        <w:autoSpaceDE w:val="0"/>
        <w:autoSpaceDN w:val="0"/>
        <w:adjustRightInd w:val="0"/>
        <w:spacing w:line="360" w:lineRule="auto"/>
        <w:ind w:firstLine="602" w:firstLineChars="20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3、评标</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（1）评标委员会由扬州市城建资产经营管理有限责任公司招标小组人员组成，只对具备实质性响应的投标文件进行评估，评标委员会独立开展评审工作。</w:t>
      </w:r>
    </w:p>
    <w:p>
      <w:pPr>
        <w:pStyle w:val="4"/>
        <w:spacing w:line="360" w:lineRule="auto"/>
        <w:ind w:firstLine="528"/>
        <w:jc w:val="left"/>
        <w:rPr>
          <w:rFonts w:hint="eastAsia" w:ascii="宋体" w:hAnsi="宋体"/>
          <w:sz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）本次评标采用综合评分法，</w:t>
      </w:r>
      <w:r>
        <w:rPr>
          <w:rFonts w:hint="eastAsia" w:ascii="宋体" w:hAnsi="宋体"/>
          <w:sz w:val="24"/>
        </w:rPr>
        <w:t>主要因素及其权值如下：</w:t>
      </w:r>
    </w:p>
    <w:p>
      <w:pPr>
        <w:pStyle w:val="4"/>
        <w:spacing w:line="360" w:lineRule="auto"/>
        <w:ind w:firstLine="528"/>
        <w:jc w:val="left"/>
        <w:rPr>
          <w:rFonts w:hint="eastAsia" w:ascii="宋体" w:hAnsi="宋体"/>
          <w:sz w:val="24"/>
        </w:rPr>
      </w:pPr>
    </w:p>
    <w:tbl>
      <w:tblPr>
        <w:tblStyle w:val="13"/>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3" w:type="dxa"/>
            <w:vAlign w:val="center"/>
          </w:tcPr>
          <w:p>
            <w:pPr>
              <w:jc w:val="center"/>
              <w:rPr>
                <w:rFonts w:hAnsi="宋体" w:cs="宋体"/>
                <w:szCs w:val="21"/>
              </w:rPr>
            </w:pPr>
            <w:r>
              <w:rPr>
                <w:rFonts w:hint="eastAsia" w:hAnsi="宋体" w:cs="宋体"/>
                <w:szCs w:val="21"/>
              </w:rPr>
              <w:t>项  目</w:t>
            </w:r>
          </w:p>
        </w:tc>
        <w:tc>
          <w:tcPr>
            <w:tcW w:w="7277" w:type="dxa"/>
            <w:vAlign w:val="center"/>
          </w:tcPr>
          <w:p>
            <w:pPr>
              <w:jc w:val="center"/>
              <w:rPr>
                <w:rFonts w:hAnsi="宋体" w:cs="宋体"/>
                <w:szCs w:val="21"/>
              </w:rPr>
            </w:pPr>
            <w:r>
              <w:rPr>
                <w:rFonts w:hint="eastAsia" w:hAnsi="宋体" w:cs="宋体"/>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3" w:type="dxa"/>
            <w:tcBorders>
              <w:bottom w:val="single" w:color="auto" w:sz="4" w:space="0"/>
            </w:tcBorders>
            <w:vAlign w:val="center"/>
          </w:tcPr>
          <w:p>
            <w:pPr>
              <w:jc w:val="center"/>
              <w:rPr>
                <w:rFonts w:hAnsi="宋体" w:cs="宋体"/>
                <w:szCs w:val="21"/>
              </w:rPr>
            </w:pPr>
            <w:r>
              <w:rPr>
                <w:rFonts w:hint="eastAsia" w:hAnsi="宋体" w:cs="宋体"/>
                <w:szCs w:val="21"/>
              </w:rPr>
              <w:t>报价</w:t>
            </w:r>
          </w:p>
          <w:p>
            <w:pPr>
              <w:jc w:val="center"/>
              <w:rPr>
                <w:rFonts w:hAnsi="宋体" w:cs="宋体"/>
                <w:szCs w:val="21"/>
              </w:rPr>
            </w:pPr>
            <w:r>
              <w:rPr>
                <w:rFonts w:hint="eastAsia" w:hAnsi="宋体" w:cs="宋体"/>
                <w:szCs w:val="21"/>
              </w:rPr>
              <w:t>（30分）</w:t>
            </w:r>
          </w:p>
        </w:tc>
        <w:tc>
          <w:tcPr>
            <w:tcW w:w="7277" w:type="dxa"/>
            <w:vAlign w:val="center"/>
          </w:tcPr>
          <w:p>
            <w:pPr>
              <w:spacing w:line="360" w:lineRule="auto"/>
              <w:rPr>
                <w:rFonts w:hAnsi="宋体" w:cs="宋体"/>
                <w:szCs w:val="21"/>
              </w:rPr>
            </w:pPr>
            <w:r>
              <w:rPr>
                <w:rFonts w:hint="eastAsia" w:ascii="宋体" w:hAnsi="宋体"/>
                <w:kern w:val="0"/>
                <w:szCs w:val="21"/>
                <w:lang w:val="zh-CN"/>
              </w:rPr>
              <w:t>以满足招标文件要求的所有合格供应商的报价进行平均，以平均值为评标基准价，得满分30分；投标报价与评标基准价的差值，每高1%扣1分，每低1%扣0.5分。最多扣5分，不足1%按插入法计算。                                                          备注：报价大于最高限价的不参加平均值计算，为零分。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3" w:type="dxa"/>
            <w:vAlign w:val="center"/>
          </w:tcPr>
          <w:p>
            <w:pPr>
              <w:jc w:val="center"/>
              <w:rPr>
                <w:rFonts w:hAnsi="宋体" w:cs="宋体"/>
                <w:szCs w:val="21"/>
                <w:lang w:val="zh-CN"/>
              </w:rPr>
            </w:pPr>
            <w:r>
              <w:rPr>
                <w:rFonts w:hint="eastAsia" w:hAnsi="宋体" w:cs="宋体"/>
                <w:szCs w:val="21"/>
                <w:lang w:val="zh-CN"/>
              </w:rPr>
              <w:t>服务方案</w:t>
            </w:r>
          </w:p>
          <w:p>
            <w:pPr>
              <w:jc w:val="center"/>
              <w:rPr>
                <w:rFonts w:hAnsi="宋体" w:cs="宋体"/>
                <w:szCs w:val="21"/>
              </w:rPr>
            </w:pPr>
            <w:r>
              <w:rPr>
                <w:rFonts w:hint="eastAsia" w:hAnsi="宋体" w:cs="宋体"/>
                <w:szCs w:val="21"/>
                <w:lang w:val="zh-CN"/>
              </w:rPr>
              <w:t>（</w:t>
            </w:r>
            <w:r>
              <w:rPr>
                <w:rFonts w:hint="eastAsia" w:hAnsi="宋体" w:cs="宋体"/>
                <w:szCs w:val="21"/>
                <w:lang w:val="en-US" w:eastAsia="zh-CN"/>
              </w:rPr>
              <w:t>5</w:t>
            </w:r>
            <w:r>
              <w:rPr>
                <w:rFonts w:hint="eastAsia" w:hAnsi="宋体" w:cs="宋体"/>
                <w:szCs w:val="21"/>
              </w:rPr>
              <w:t>0</w:t>
            </w:r>
            <w:r>
              <w:rPr>
                <w:rFonts w:hint="eastAsia" w:hAnsi="宋体" w:cs="宋体"/>
                <w:szCs w:val="21"/>
                <w:lang w:val="zh-CN"/>
              </w:rPr>
              <w:t>分）</w:t>
            </w:r>
          </w:p>
        </w:tc>
        <w:tc>
          <w:tcPr>
            <w:tcW w:w="7277" w:type="dxa"/>
            <w:vAlign w:val="center"/>
          </w:tcPr>
          <w:p>
            <w:pPr>
              <w:numPr>
                <w:ilvl w:val="0"/>
                <w:numId w:val="5"/>
              </w:numPr>
              <w:spacing w:line="360" w:lineRule="auto"/>
              <w:rPr>
                <w:rFonts w:hAnsi="宋体" w:cs="宋体"/>
                <w:szCs w:val="21"/>
              </w:rPr>
            </w:pPr>
            <w:r>
              <w:rPr>
                <w:rFonts w:hint="eastAsia" w:hAnsi="宋体" w:cs="宋体"/>
                <w:szCs w:val="21"/>
              </w:rPr>
              <w:t>总体服务方案科学合理，内容详细，亮点多，针对性强，各投标人横向对比，优得18-20分，良得15-17分，一般得13-14分，总体服务方案无特点，无针对性，不能满足采购人实际需求，不进入实质性评标。</w:t>
            </w:r>
          </w:p>
          <w:p>
            <w:pPr>
              <w:numPr>
                <w:ilvl w:val="0"/>
                <w:numId w:val="5"/>
              </w:numPr>
              <w:spacing w:line="360" w:lineRule="auto"/>
              <w:rPr>
                <w:rFonts w:ascii="仿宋_GB2312" w:hAnsi="仿宋_GB2312" w:eastAsia="仿宋_GB2312" w:cs="仿宋_GB2312"/>
                <w:sz w:val="24"/>
              </w:rPr>
            </w:pPr>
            <w:r>
              <w:rPr>
                <w:rFonts w:hint="eastAsia" w:hAnsi="宋体" w:cs="宋体"/>
                <w:szCs w:val="21"/>
              </w:rPr>
              <w:t>应对反恐，处理突发事件的方案。对比最优得</w:t>
            </w:r>
            <w:r>
              <w:rPr>
                <w:rFonts w:hint="eastAsia" w:hAnsi="宋体" w:cs="宋体"/>
                <w:szCs w:val="21"/>
                <w:lang w:val="en-US" w:eastAsia="zh-CN"/>
              </w:rPr>
              <w:t>13-15</w:t>
            </w:r>
            <w:r>
              <w:rPr>
                <w:rFonts w:hint="eastAsia" w:hAnsi="宋体" w:cs="宋体"/>
                <w:szCs w:val="21"/>
              </w:rPr>
              <w:t>分，良得</w:t>
            </w:r>
            <w:r>
              <w:rPr>
                <w:rFonts w:hint="eastAsia" w:hAnsi="宋体" w:cs="宋体"/>
                <w:szCs w:val="21"/>
                <w:lang w:val="en-US" w:eastAsia="zh-CN"/>
              </w:rPr>
              <w:t>10-12</w:t>
            </w:r>
            <w:r>
              <w:rPr>
                <w:rFonts w:hint="eastAsia" w:hAnsi="宋体" w:cs="宋体"/>
                <w:szCs w:val="21"/>
              </w:rPr>
              <w:t>分，一般得</w:t>
            </w:r>
            <w:r>
              <w:rPr>
                <w:rFonts w:hint="eastAsia" w:hAnsi="宋体" w:cs="宋体"/>
                <w:szCs w:val="21"/>
                <w:lang w:val="en-US" w:eastAsia="zh-CN"/>
              </w:rPr>
              <w:t>8-9</w:t>
            </w:r>
            <w:r>
              <w:rPr>
                <w:rFonts w:hint="eastAsia" w:hAnsi="宋体" w:cs="宋体"/>
                <w:szCs w:val="21"/>
              </w:rPr>
              <w:t>分，没有此项不得分。</w:t>
            </w:r>
          </w:p>
          <w:p>
            <w:pPr>
              <w:numPr>
                <w:ilvl w:val="0"/>
                <w:numId w:val="5"/>
              </w:numPr>
              <w:spacing w:line="360" w:lineRule="auto"/>
              <w:rPr>
                <w:rFonts w:ascii="仿宋_GB2312" w:hAnsi="仿宋_GB2312" w:eastAsia="仿宋_GB2312" w:cs="仿宋_GB2312"/>
                <w:sz w:val="24"/>
              </w:rPr>
            </w:pPr>
            <w:r>
              <w:rPr>
                <w:rFonts w:hint="eastAsia" w:hAnsi="宋体" w:cs="宋体"/>
                <w:szCs w:val="21"/>
              </w:rPr>
              <w:t>保安员培训及管理。人员培训及管理合理可行。消防控制室所有值班人员均能持消防证上岗。对比最优得</w:t>
            </w:r>
            <w:r>
              <w:rPr>
                <w:rFonts w:hint="eastAsia" w:hAnsi="宋体" w:cs="宋体"/>
                <w:szCs w:val="21"/>
                <w:lang w:val="en-US" w:eastAsia="zh-CN"/>
              </w:rPr>
              <w:t>13-15</w:t>
            </w:r>
            <w:r>
              <w:rPr>
                <w:rFonts w:hint="eastAsia" w:hAnsi="宋体" w:cs="宋体"/>
                <w:szCs w:val="21"/>
              </w:rPr>
              <w:t>分，良得</w:t>
            </w:r>
            <w:r>
              <w:rPr>
                <w:rFonts w:hint="eastAsia" w:hAnsi="宋体" w:cs="宋体"/>
                <w:szCs w:val="21"/>
                <w:lang w:val="en-US" w:eastAsia="zh-CN"/>
              </w:rPr>
              <w:t>10-12</w:t>
            </w:r>
            <w:r>
              <w:rPr>
                <w:rFonts w:hint="eastAsia" w:hAnsi="宋体" w:cs="宋体"/>
                <w:szCs w:val="21"/>
              </w:rPr>
              <w:t>分，一般得</w:t>
            </w:r>
            <w:r>
              <w:rPr>
                <w:rFonts w:hint="eastAsia" w:hAnsi="宋体" w:cs="宋体"/>
                <w:szCs w:val="21"/>
                <w:lang w:val="en-US" w:eastAsia="zh-CN"/>
              </w:rPr>
              <w:t>8-9</w:t>
            </w:r>
            <w:r>
              <w:rPr>
                <w:rFonts w:hint="eastAsia" w:hAnsi="宋体" w:cs="宋体"/>
                <w:szCs w:val="21"/>
              </w:rPr>
              <w:t>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3" w:type="dxa"/>
            <w:vAlign w:val="center"/>
          </w:tcPr>
          <w:p>
            <w:pPr>
              <w:jc w:val="center"/>
              <w:rPr>
                <w:rFonts w:hAnsi="宋体" w:cs="宋体"/>
                <w:szCs w:val="21"/>
                <w:lang w:val="zh-CN"/>
              </w:rPr>
            </w:pPr>
            <w:r>
              <w:rPr>
                <w:rFonts w:hint="eastAsia" w:hAnsi="宋体" w:cs="宋体"/>
                <w:szCs w:val="21"/>
                <w:lang w:val="zh-CN"/>
              </w:rPr>
              <w:t>资质业绩</w:t>
            </w:r>
          </w:p>
          <w:p>
            <w:pPr>
              <w:jc w:val="center"/>
              <w:rPr>
                <w:rFonts w:hAnsi="宋体" w:cs="宋体"/>
                <w:szCs w:val="21"/>
                <w:lang w:val="zh-CN"/>
              </w:rPr>
            </w:pPr>
            <w:r>
              <w:rPr>
                <w:rFonts w:hint="eastAsia" w:hAnsi="宋体" w:cs="宋体"/>
                <w:szCs w:val="21"/>
                <w:lang w:val="zh-CN"/>
              </w:rPr>
              <w:t>（</w:t>
            </w:r>
            <w:r>
              <w:rPr>
                <w:rFonts w:hint="eastAsia" w:hAnsi="宋体" w:cs="宋体"/>
                <w:szCs w:val="21"/>
                <w:lang w:val="en-US" w:eastAsia="zh-CN"/>
              </w:rPr>
              <w:t>20</w:t>
            </w:r>
            <w:r>
              <w:rPr>
                <w:rFonts w:hint="eastAsia" w:hAnsi="宋体" w:cs="宋体"/>
                <w:szCs w:val="21"/>
                <w:lang w:val="zh-CN"/>
              </w:rPr>
              <w:t>分）</w:t>
            </w:r>
          </w:p>
        </w:tc>
        <w:tc>
          <w:tcPr>
            <w:tcW w:w="7277" w:type="dxa"/>
            <w:vAlign w:val="center"/>
          </w:tcPr>
          <w:p>
            <w:pPr>
              <w:numPr>
                <w:ilvl w:val="0"/>
                <w:numId w:val="6"/>
              </w:numPr>
              <w:spacing w:line="360" w:lineRule="auto"/>
              <w:rPr>
                <w:rFonts w:hAnsi="宋体" w:cs="宋体"/>
                <w:szCs w:val="21"/>
              </w:rPr>
            </w:pPr>
            <w:r>
              <w:rPr>
                <w:rFonts w:hint="eastAsia" w:hAnsi="宋体" w:cs="宋体"/>
                <w:szCs w:val="21"/>
              </w:rPr>
              <w:t>项目负责人具有高级保安员证书的，得</w:t>
            </w:r>
            <w:r>
              <w:rPr>
                <w:rFonts w:hint="eastAsia" w:hAnsi="宋体" w:cs="宋体"/>
                <w:szCs w:val="21"/>
                <w:lang w:val="en-US" w:eastAsia="zh-CN"/>
              </w:rPr>
              <w:t>2</w:t>
            </w:r>
            <w:r>
              <w:rPr>
                <w:rFonts w:hint="eastAsia" w:hAnsi="宋体" w:cs="宋体"/>
                <w:szCs w:val="21"/>
              </w:rPr>
              <w:t>分；</w:t>
            </w:r>
          </w:p>
          <w:p>
            <w:pPr>
              <w:spacing w:line="360" w:lineRule="auto"/>
              <w:rPr>
                <w:rFonts w:hAnsi="宋体" w:cs="宋体"/>
                <w:szCs w:val="21"/>
              </w:rPr>
            </w:pPr>
            <w:r>
              <w:rPr>
                <w:rFonts w:hint="eastAsia" w:hAnsi="宋体" w:cs="宋体"/>
                <w:szCs w:val="21"/>
              </w:rPr>
              <w:t>（提供项目负责人相关证书及近三个月社保证明复印件</w:t>
            </w:r>
            <w:r>
              <w:rPr>
                <w:rFonts w:hint="eastAsia" w:hAnsi="宋体" w:cs="宋体"/>
                <w:szCs w:val="21"/>
                <w:lang w:val="zh-CN"/>
              </w:rPr>
              <w:t>并加盖投标人公章</w:t>
            </w:r>
            <w:r>
              <w:rPr>
                <w:rFonts w:hint="eastAsia" w:hAnsi="宋体" w:cs="宋体"/>
                <w:szCs w:val="21"/>
              </w:rPr>
              <w:t>，原件备查）</w:t>
            </w:r>
          </w:p>
          <w:p>
            <w:pPr>
              <w:spacing w:line="360" w:lineRule="auto"/>
              <w:rPr>
                <w:rFonts w:hAnsi="宋体" w:cs="宋体"/>
                <w:szCs w:val="21"/>
              </w:rPr>
            </w:pPr>
            <w:r>
              <w:rPr>
                <w:rFonts w:hint="eastAsia" w:hAnsi="宋体" w:cs="宋体"/>
                <w:szCs w:val="21"/>
                <w:lang w:val="en-US" w:eastAsia="zh-CN"/>
              </w:rPr>
              <w:t>2、</w:t>
            </w:r>
            <w:r>
              <w:rPr>
                <w:rFonts w:hint="eastAsia" w:hAnsi="宋体" w:cs="宋体"/>
                <w:szCs w:val="21"/>
              </w:rPr>
              <w:t>投标人2016年01月01日至今</w:t>
            </w:r>
            <w:r>
              <w:rPr>
                <w:rFonts w:hint="eastAsia" w:hAnsi="宋体" w:cs="宋体"/>
                <w:szCs w:val="21"/>
                <w:lang w:eastAsia="zh-CN"/>
              </w:rPr>
              <w:t>，</w:t>
            </w:r>
            <w:r>
              <w:rPr>
                <w:rFonts w:hint="eastAsia" w:hAnsi="宋体" w:cs="宋体"/>
                <w:szCs w:val="21"/>
              </w:rPr>
              <w:t>获得过地级市及以上</w:t>
            </w:r>
            <w:r>
              <w:rPr>
                <w:rFonts w:hint="eastAsia" w:hAnsi="宋体" w:cs="宋体"/>
                <w:szCs w:val="21"/>
                <w:lang w:eastAsia="zh-CN"/>
              </w:rPr>
              <w:t>相关市政</w:t>
            </w:r>
            <w:r>
              <w:rPr>
                <w:rFonts w:hint="eastAsia" w:hAnsi="宋体" w:cs="宋体"/>
                <w:szCs w:val="21"/>
              </w:rPr>
              <w:t>部门颁发的先进保安组织</w:t>
            </w:r>
            <w:r>
              <w:rPr>
                <w:rFonts w:hint="eastAsia" w:hAnsi="宋体" w:cs="宋体"/>
                <w:szCs w:val="21"/>
                <w:lang w:eastAsia="zh-CN"/>
              </w:rPr>
              <w:t>、保安资质等级、</w:t>
            </w:r>
            <w:r>
              <w:rPr>
                <w:rFonts w:hint="eastAsia" w:hAnsi="宋体" w:cs="宋体"/>
                <w:szCs w:val="21"/>
              </w:rPr>
              <w:t>优秀企业</w:t>
            </w:r>
            <w:r>
              <w:rPr>
                <w:rFonts w:hint="eastAsia" w:hAnsi="宋体" w:cs="宋体"/>
                <w:szCs w:val="21"/>
                <w:lang w:eastAsia="zh-CN"/>
              </w:rPr>
              <w:t>、优秀物业服务项目等资质荣誉的</w:t>
            </w:r>
            <w:r>
              <w:rPr>
                <w:rFonts w:hint="eastAsia" w:hAnsi="宋体" w:cs="宋体"/>
                <w:szCs w:val="21"/>
              </w:rPr>
              <w:t>，国家级荣誉得</w:t>
            </w:r>
            <w:r>
              <w:rPr>
                <w:rFonts w:hint="eastAsia" w:hAnsi="宋体" w:cs="宋体"/>
                <w:szCs w:val="21"/>
                <w:lang w:val="en-US" w:eastAsia="zh-CN"/>
              </w:rPr>
              <w:t>4</w:t>
            </w:r>
            <w:r>
              <w:rPr>
                <w:rFonts w:hint="eastAsia" w:hAnsi="宋体" w:cs="宋体"/>
                <w:szCs w:val="21"/>
              </w:rPr>
              <w:t>分/个，省级荣誉得</w:t>
            </w:r>
            <w:r>
              <w:rPr>
                <w:rFonts w:hint="eastAsia" w:hAnsi="宋体" w:cs="宋体"/>
                <w:szCs w:val="21"/>
                <w:lang w:val="en-US" w:eastAsia="zh-CN"/>
              </w:rPr>
              <w:t>2</w:t>
            </w:r>
            <w:r>
              <w:rPr>
                <w:rFonts w:hint="eastAsia" w:hAnsi="宋体" w:cs="宋体"/>
                <w:szCs w:val="21"/>
              </w:rPr>
              <w:t>分/个，地市级荣誉得</w:t>
            </w:r>
            <w:r>
              <w:rPr>
                <w:rFonts w:hint="eastAsia" w:hAnsi="宋体" w:cs="宋体"/>
                <w:szCs w:val="21"/>
                <w:lang w:val="en-US" w:eastAsia="zh-CN"/>
              </w:rPr>
              <w:t>1</w:t>
            </w:r>
            <w:r>
              <w:rPr>
                <w:rFonts w:hint="eastAsia" w:hAnsi="宋体" w:cs="宋体"/>
                <w:szCs w:val="21"/>
              </w:rPr>
              <w:t>分/个，最多得</w:t>
            </w:r>
            <w:r>
              <w:rPr>
                <w:rFonts w:hint="eastAsia" w:hAnsi="宋体" w:cs="宋体"/>
                <w:szCs w:val="21"/>
                <w:lang w:val="en-US" w:eastAsia="zh-CN"/>
              </w:rPr>
              <w:t>10</w:t>
            </w:r>
            <w:r>
              <w:rPr>
                <w:rFonts w:hint="eastAsia" w:hAnsi="宋体" w:cs="宋体"/>
                <w:szCs w:val="21"/>
              </w:rPr>
              <w:t>分。（需提供相关证书或奖牌（具体时间以</w:t>
            </w:r>
            <w:r>
              <w:rPr>
                <w:rFonts w:hint="eastAsia" w:hAnsi="宋体" w:cs="宋体"/>
                <w:szCs w:val="21"/>
                <w:lang w:eastAsia="zh-CN"/>
              </w:rPr>
              <w:t>相关</w:t>
            </w:r>
            <w:r>
              <w:rPr>
                <w:rFonts w:hint="eastAsia" w:hAnsi="宋体" w:cs="宋体"/>
                <w:szCs w:val="21"/>
              </w:rPr>
              <w:t>部门发文时间为准）复印件</w:t>
            </w:r>
            <w:r>
              <w:rPr>
                <w:rFonts w:hint="eastAsia" w:hAnsi="宋体" w:cs="宋体"/>
                <w:szCs w:val="21"/>
                <w:lang w:val="zh-CN"/>
              </w:rPr>
              <w:t>并加盖投标人公章</w:t>
            </w:r>
            <w:r>
              <w:rPr>
                <w:rFonts w:hint="eastAsia" w:hAnsi="宋体" w:cs="宋体"/>
                <w:szCs w:val="21"/>
              </w:rPr>
              <w:t>，原件备查）</w:t>
            </w:r>
          </w:p>
          <w:p>
            <w:pPr>
              <w:numPr>
                <w:ilvl w:val="0"/>
                <w:numId w:val="0"/>
              </w:numPr>
              <w:spacing w:line="360" w:lineRule="auto"/>
              <w:ind w:leftChars="0"/>
              <w:rPr>
                <w:rFonts w:hint="eastAsia" w:hAnsi="宋体" w:cs="宋体"/>
                <w:szCs w:val="21"/>
              </w:rPr>
            </w:pPr>
            <w:r>
              <w:rPr>
                <w:rFonts w:hint="eastAsia" w:hAnsi="宋体" w:cs="宋体"/>
                <w:szCs w:val="21"/>
                <w:lang w:val="en-US" w:eastAsia="zh-CN"/>
              </w:rPr>
              <w:t>3、</w:t>
            </w:r>
            <w:r>
              <w:rPr>
                <w:rFonts w:hint="eastAsia" w:hAnsi="宋体" w:cs="宋体"/>
                <w:szCs w:val="21"/>
              </w:rPr>
              <w:t>投标人2016年01月01日至今，承担过</w:t>
            </w:r>
            <w:r>
              <w:rPr>
                <w:rFonts w:hint="eastAsia" w:hAnsi="宋体" w:cs="宋体"/>
                <w:szCs w:val="21"/>
                <w:lang w:val="zh-CN"/>
              </w:rPr>
              <w:t>单项合同金额</w:t>
            </w:r>
            <w:r>
              <w:rPr>
                <w:rFonts w:hint="eastAsia" w:hAnsi="宋体" w:cs="宋体"/>
                <w:szCs w:val="21"/>
              </w:rPr>
              <w:t>100万元及以上保安</w:t>
            </w:r>
            <w:r>
              <w:rPr>
                <w:rFonts w:hint="eastAsia" w:hAnsi="宋体" w:cs="宋体"/>
                <w:szCs w:val="21"/>
                <w:lang w:val="zh-CN"/>
              </w:rPr>
              <w:t>服务项目</w:t>
            </w:r>
            <w:r>
              <w:rPr>
                <w:rFonts w:hint="eastAsia" w:hAnsi="宋体" w:cs="宋体"/>
                <w:szCs w:val="21"/>
              </w:rPr>
              <w:t>，每有一项得</w:t>
            </w:r>
            <w:r>
              <w:rPr>
                <w:rFonts w:hint="eastAsia" w:hAnsi="宋体" w:cs="宋体"/>
                <w:szCs w:val="21"/>
                <w:lang w:val="en-US" w:eastAsia="zh-CN"/>
              </w:rPr>
              <w:t>2</w:t>
            </w:r>
            <w:r>
              <w:rPr>
                <w:rFonts w:hint="eastAsia" w:hAnsi="宋体" w:cs="宋体"/>
                <w:szCs w:val="21"/>
              </w:rPr>
              <w:t>分。</w:t>
            </w:r>
            <w:r>
              <w:rPr>
                <w:rFonts w:hint="eastAsia" w:hAnsi="宋体" w:cs="宋体"/>
                <w:szCs w:val="21"/>
                <w:lang w:eastAsia="zh-CN"/>
              </w:rPr>
              <w:t>最高可得</w:t>
            </w:r>
            <w:r>
              <w:rPr>
                <w:rFonts w:hint="eastAsia" w:hAnsi="宋体" w:cs="宋体"/>
                <w:szCs w:val="21"/>
                <w:lang w:val="en-US" w:eastAsia="zh-CN"/>
              </w:rPr>
              <w:t>8分</w:t>
            </w:r>
            <w:r>
              <w:rPr>
                <w:rFonts w:hint="eastAsia" w:hAnsi="宋体" w:cs="宋体"/>
                <w:szCs w:val="21"/>
              </w:rPr>
              <w:t>。</w:t>
            </w:r>
          </w:p>
          <w:p>
            <w:pPr>
              <w:numPr>
                <w:ilvl w:val="0"/>
                <w:numId w:val="0"/>
              </w:numPr>
              <w:spacing w:line="360" w:lineRule="auto"/>
              <w:ind w:leftChars="0"/>
              <w:rPr>
                <w:rFonts w:hint="eastAsia" w:hAnsi="宋体" w:cs="宋体"/>
                <w:szCs w:val="21"/>
                <w:lang w:val="en-US" w:eastAsia="zh-CN"/>
              </w:rPr>
            </w:pPr>
            <w:r>
              <w:rPr>
                <w:rFonts w:hint="eastAsia" w:hAnsi="宋体" w:cs="宋体"/>
                <w:szCs w:val="21"/>
              </w:rPr>
              <w:t>（以合同签订日期及金额为准，提供合同复印件加盖投标人公章，原件备查）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80" w:type="dxa"/>
            <w:gridSpan w:val="2"/>
            <w:vAlign w:val="center"/>
          </w:tcPr>
          <w:p>
            <w:pPr>
              <w:spacing w:line="360" w:lineRule="auto"/>
              <w:jc w:val="center"/>
              <w:rPr>
                <w:rFonts w:hint="eastAsia" w:hAnsi="宋体" w:cs="宋体"/>
                <w:szCs w:val="21"/>
                <w:lang w:val="en-US" w:eastAsia="zh-CN"/>
              </w:rPr>
            </w:pPr>
            <w:r>
              <w:rPr>
                <w:rFonts w:hint="eastAsia" w:hAnsi="宋体" w:cs="宋体"/>
                <w:szCs w:val="21"/>
              </w:rPr>
              <w:t>满分100分</w:t>
            </w:r>
          </w:p>
        </w:tc>
      </w:tr>
    </w:tbl>
    <w:p>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备注：以上所提及的相关证明材料必须提供齐全，否则该项目不得分。</w:t>
      </w:r>
    </w:p>
    <w:p>
      <w:pPr>
        <w:autoSpaceDE w:val="0"/>
        <w:autoSpaceDN w:val="0"/>
        <w:adjustRightInd w:val="0"/>
        <w:spacing w:line="360" w:lineRule="auto"/>
        <w:ind w:firstLine="602" w:firstLineChars="200"/>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4、评标依据</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评标委员会严格按照招标文件的要求进行评标。</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评标委员会根据上述原则综合评出中标优选方案，并依据确定的定标程序选出中标方。</w:t>
      </w:r>
      <w:bookmarkStart w:id="7" w:name="_Toc77757131"/>
    </w:p>
    <w:p>
      <w:pPr>
        <w:pStyle w:val="5"/>
        <w:spacing w:line="360" w:lineRule="auto"/>
        <w:ind w:firstLine="482"/>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5、评标过程保密</w:t>
      </w:r>
      <w:bookmarkEnd w:id="7"/>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开标之后，直到授予投标方合同为止，凡是属于审查、澄清、评价和比较投标的有关资料以及授标意向等，均不得向投标方或其他无关的人员透露。</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在评标期间，投标方企图影响招标方的任何活动，将导致投标被拒绝，并承担相应的法律责任。</w:t>
      </w:r>
    </w:p>
    <w:p>
      <w:pPr>
        <w:ind w:firstLine="602" w:firstLineChars="200"/>
        <w:jc w:val="left"/>
        <w:outlineLvl w:val="0"/>
        <w:rPr>
          <w:rFonts w:hint="eastAsia" w:asciiTheme="minorEastAsia" w:hAnsiTheme="minorEastAsia" w:eastAsiaTheme="minorEastAsia" w:cstheme="minorEastAsia"/>
          <w:b/>
          <w:sz w:val="30"/>
          <w:szCs w:val="30"/>
        </w:rPr>
      </w:pPr>
      <w:bookmarkStart w:id="8" w:name="_Toc346202434"/>
      <w:r>
        <w:rPr>
          <w:rFonts w:hint="eastAsia" w:asciiTheme="minorEastAsia" w:hAnsiTheme="minorEastAsia" w:eastAsiaTheme="minorEastAsia" w:cstheme="minorEastAsia"/>
          <w:b/>
          <w:sz w:val="30"/>
          <w:szCs w:val="30"/>
        </w:rPr>
        <w:t>六、定标办法</w:t>
      </w:r>
      <w:bookmarkEnd w:id="8"/>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1、评标委员会按照综合得分顺序推荐得分最高单位为意向中标单位。</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2、当确定的意向中标单位因不可抗力提出不能履行合同，招标单位可以依照评标得分顺序确定得分第二名投标单位为意向中标单位，依此类推。</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3、若多家总得分相同而影响到评定结果时，则由评委组对得分相同的投标单位再进行评定后确定。</w:t>
      </w:r>
    </w:p>
    <w:p>
      <w:pPr>
        <w:ind w:firstLine="602" w:firstLineChars="200"/>
        <w:jc w:val="left"/>
        <w:outlineLvl w:val="0"/>
        <w:rPr>
          <w:rFonts w:hint="eastAsia" w:asciiTheme="minorEastAsia" w:hAnsiTheme="minorEastAsia" w:eastAsiaTheme="minorEastAsia" w:cstheme="minorEastAsia"/>
          <w:b/>
          <w:sz w:val="30"/>
          <w:szCs w:val="30"/>
        </w:rPr>
      </w:pPr>
      <w:bookmarkStart w:id="9" w:name="_Toc346202435"/>
      <w:r>
        <w:rPr>
          <w:rFonts w:hint="eastAsia" w:asciiTheme="minorEastAsia" w:hAnsiTheme="minorEastAsia" w:eastAsiaTheme="minorEastAsia" w:cstheme="minorEastAsia"/>
          <w:b/>
          <w:sz w:val="30"/>
          <w:szCs w:val="30"/>
        </w:rPr>
        <w:t>七、中标通知</w:t>
      </w:r>
      <w:bookmarkEnd w:id="9"/>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1、在定标后，招标方通知中标单位，发放中标通知书。</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2、中标通知书将是合同的一个组成部分。</w:t>
      </w:r>
      <w:bookmarkStart w:id="10" w:name="_Toc77757135"/>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3、招标方对落标的投标方不作落标原因的解释。</w:t>
      </w:r>
    </w:p>
    <w:p>
      <w:pPr>
        <w:ind w:firstLine="602" w:firstLineChars="200"/>
        <w:jc w:val="left"/>
        <w:outlineLvl w:val="0"/>
        <w:rPr>
          <w:rFonts w:hint="eastAsia" w:asciiTheme="minorEastAsia" w:hAnsiTheme="minorEastAsia" w:eastAsiaTheme="minorEastAsia" w:cstheme="minorEastAsia"/>
          <w:b/>
          <w:sz w:val="30"/>
          <w:szCs w:val="30"/>
        </w:rPr>
      </w:pPr>
      <w:bookmarkStart w:id="11" w:name="_Toc346202436"/>
      <w:r>
        <w:rPr>
          <w:rFonts w:hint="eastAsia" w:asciiTheme="minorEastAsia" w:hAnsiTheme="minorEastAsia" w:eastAsiaTheme="minorEastAsia" w:cstheme="minorEastAsia"/>
          <w:b/>
          <w:sz w:val="30"/>
          <w:szCs w:val="30"/>
        </w:rPr>
        <w:t>八、签定合同</w:t>
      </w:r>
      <w:bookmarkEnd w:id="10"/>
      <w:bookmarkEnd w:id="11"/>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1、招投标双方应按中标通知书中规定的时间、地点签订合同，否则按开标后撤回投标处理。</w:t>
      </w:r>
    </w:p>
    <w:p>
      <w:pPr>
        <w:pStyle w:val="4"/>
        <w:spacing w:line="360" w:lineRule="auto"/>
        <w:ind w:firstLine="528"/>
        <w:jc w:val="left"/>
        <w:rPr>
          <w:rFonts w:hint="eastAsia" w:asciiTheme="minorEastAsia" w:hAnsiTheme="minorEastAsia" w:eastAsiaTheme="minorEastAsia" w:cstheme="minorEastAsia"/>
          <w:spacing w:val="12"/>
          <w:kern w:val="0"/>
          <w:sz w:val="24"/>
        </w:rPr>
      </w:pPr>
      <w:r>
        <w:rPr>
          <w:rFonts w:hint="eastAsia" w:asciiTheme="minorEastAsia" w:hAnsiTheme="minorEastAsia" w:eastAsiaTheme="minorEastAsia" w:cstheme="minorEastAsia"/>
          <w:spacing w:val="12"/>
          <w:kern w:val="0"/>
          <w:sz w:val="24"/>
        </w:rPr>
        <w:t>2、合同是本次中标方必须签定的文件。</w:t>
      </w:r>
      <w:bookmarkStart w:id="12" w:name="_Toc77757136"/>
    </w:p>
    <w:p>
      <w:pPr>
        <w:spacing w:line="360" w:lineRule="auto"/>
        <w:ind w:firstLine="528" w:firstLineChars="200"/>
        <w:rPr>
          <w:rFonts w:hint="eastAsia" w:asciiTheme="minorEastAsia" w:hAnsiTheme="minorEastAsia" w:eastAsiaTheme="minorEastAsia" w:cstheme="minorEastAsia"/>
          <w:spacing w:val="12"/>
          <w:kern w:val="0"/>
          <w:sz w:val="24"/>
          <w:szCs w:val="24"/>
        </w:rPr>
      </w:pPr>
      <w:r>
        <w:rPr>
          <w:rFonts w:hint="eastAsia" w:asciiTheme="minorEastAsia" w:hAnsiTheme="minorEastAsia" w:eastAsiaTheme="minorEastAsia" w:cstheme="minorEastAsia"/>
          <w:spacing w:val="12"/>
          <w:kern w:val="0"/>
          <w:sz w:val="24"/>
          <w:szCs w:val="24"/>
        </w:rPr>
        <w:t>3、合同期限为：暂定1年。</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pacing w:val="12"/>
          <w:kern w:val="0"/>
          <w:sz w:val="24"/>
          <w:szCs w:val="24"/>
        </w:rPr>
        <w:t>方履行合同期满时，经甲方组织评审，对乙方服务情况满意的，经甲、乙双方商定同意，可续签1年合同。</w:t>
      </w:r>
    </w:p>
    <w:p>
      <w:pPr>
        <w:spacing w:line="360" w:lineRule="auto"/>
        <w:ind w:firstLine="528"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pacing w:val="12"/>
          <w:kern w:val="0"/>
          <w:sz w:val="24"/>
          <w:szCs w:val="24"/>
        </w:rPr>
        <w:t>4、</w:t>
      </w:r>
      <w:r>
        <w:rPr>
          <w:rFonts w:hint="eastAsia" w:asciiTheme="minorEastAsia" w:hAnsiTheme="minorEastAsia" w:eastAsiaTheme="minorEastAsia" w:cstheme="minorEastAsia"/>
          <w:sz w:val="24"/>
          <w:szCs w:val="24"/>
        </w:rPr>
        <w:t>招标方在实际运作中按照岗位需求有权随时增加或减少保安人员，双方给予书面确认，服务费用按照实际发生结算。</w:t>
      </w:r>
    </w:p>
    <w:bookmarkEnd w:id="12"/>
    <w:p>
      <w:pPr>
        <w:spacing w:line="360" w:lineRule="auto"/>
        <w:ind w:firstLine="602" w:firstLineChars="200"/>
        <w:jc w:val="left"/>
        <w:outlineLvl w:val="0"/>
        <w:rPr>
          <w:rFonts w:hint="eastAsia" w:asciiTheme="minorEastAsia" w:hAnsiTheme="minorEastAsia" w:eastAsiaTheme="minorEastAsia" w:cstheme="minorEastAsia"/>
          <w:b/>
          <w:sz w:val="30"/>
          <w:szCs w:val="30"/>
        </w:rPr>
      </w:pPr>
      <w:bookmarkStart w:id="13" w:name="_Toc346202438"/>
      <w:r>
        <w:rPr>
          <w:rFonts w:hint="eastAsia" w:asciiTheme="minorEastAsia" w:hAnsiTheme="minorEastAsia" w:eastAsiaTheme="minorEastAsia" w:cstheme="minorEastAsia"/>
          <w:b/>
          <w:sz w:val="30"/>
          <w:szCs w:val="30"/>
        </w:rPr>
        <w:t>九、中标方经营方式</w:t>
      </w:r>
      <w:bookmarkEnd w:id="13"/>
    </w:p>
    <w:p>
      <w:pPr>
        <w:pStyle w:val="4"/>
        <w:spacing w:line="360" w:lineRule="auto"/>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中标方在日常服务管理中经营方式为：包干制。</w:t>
      </w:r>
    </w:p>
    <w:p>
      <w:pPr>
        <w:rPr>
          <w:rFonts w:hint="eastAsia" w:asciiTheme="minorEastAsia" w:hAnsiTheme="minorEastAsia" w:eastAsiaTheme="minorEastAsia" w:cstheme="minorEastAsia"/>
        </w:rPr>
      </w:pPr>
      <w:bookmarkStart w:id="14" w:name="_Toc346202439"/>
    </w:p>
    <w:p>
      <w:pPr>
        <w:rPr>
          <w:rFonts w:hint="eastAsia" w:asciiTheme="minorEastAsia" w:hAnsiTheme="minorEastAsia" w:eastAsiaTheme="minorEastAsia" w:cstheme="minorEastAsia"/>
        </w:rPr>
      </w:pPr>
    </w:p>
    <w:p>
      <w:pPr>
        <w:pStyle w:val="2"/>
        <w:spacing w:before="0" w:after="0" w:line="240" w:lineRule="auto"/>
        <w:jc w:val="both"/>
        <w:rPr>
          <w:rFonts w:hint="eastAsia" w:asciiTheme="minorEastAsia" w:hAnsiTheme="minorEastAsia" w:eastAsiaTheme="minorEastAsia" w:cstheme="minorEastAsia"/>
        </w:rPr>
      </w:pPr>
    </w:p>
    <w:p>
      <w:pPr>
        <w:rPr>
          <w:rFonts w:hint="eastAsia"/>
        </w:rPr>
      </w:pPr>
    </w:p>
    <w:p>
      <w:pPr>
        <w:pStyle w:val="2"/>
        <w:spacing w:before="0" w:after="0"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第三部分  </w:t>
      </w:r>
      <w:bookmarkEnd w:id="14"/>
      <w:r>
        <w:rPr>
          <w:rFonts w:hint="eastAsia" w:asciiTheme="minorEastAsia" w:hAnsiTheme="minorEastAsia" w:eastAsiaTheme="minorEastAsia" w:cstheme="minorEastAsia"/>
        </w:rPr>
        <w:t>技术条款</w:t>
      </w:r>
    </w:p>
    <w:p>
      <w:pPr>
        <w:pStyle w:val="4"/>
        <w:spacing w:line="240" w:lineRule="auto"/>
        <w:ind w:firstLine="482"/>
        <w:outlineLvl w:val="0"/>
        <w:rPr>
          <w:rFonts w:hint="eastAsia" w:asciiTheme="minorEastAsia" w:hAnsiTheme="minorEastAsia" w:eastAsiaTheme="minorEastAsia" w:cstheme="minorEastAsia"/>
          <w:b/>
          <w:sz w:val="24"/>
        </w:rPr>
      </w:pPr>
      <w:bookmarkStart w:id="15" w:name="_Toc346202440"/>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eastAsia="zh-CN"/>
        </w:rPr>
        <w:t>一、</w:t>
      </w:r>
      <w:r>
        <w:rPr>
          <w:rFonts w:hint="eastAsia" w:asciiTheme="minorEastAsia" w:hAnsiTheme="minorEastAsia" w:eastAsiaTheme="minorEastAsia" w:cstheme="minorEastAsia"/>
          <w:b/>
          <w:bCs/>
          <w:sz w:val="30"/>
          <w:szCs w:val="30"/>
        </w:rPr>
        <w:t>本项目总预算：</w:t>
      </w:r>
      <w:r>
        <w:rPr>
          <w:rFonts w:hint="eastAsia" w:asciiTheme="minorEastAsia" w:hAnsiTheme="minorEastAsia" w:eastAsiaTheme="minorEastAsia" w:cstheme="minorEastAsia"/>
          <w:b/>
          <w:bCs/>
          <w:sz w:val="30"/>
          <w:szCs w:val="30"/>
          <w:lang w:val="en-US" w:eastAsia="zh-CN"/>
        </w:rPr>
        <w:t>105.84</w:t>
      </w:r>
      <w:r>
        <w:rPr>
          <w:rFonts w:hint="eastAsia" w:asciiTheme="minorEastAsia" w:hAnsiTheme="minorEastAsia" w:eastAsiaTheme="minorEastAsia" w:cstheme="minorEastAsia"/>
          <w:b/>
          <w:bCs/>
          <w:sz w:val="30"/>
          <w:szCs w:val="30"/>
        </w:rPr>
        <w:t>万元。投标报价不得高于预算价，否则作无效标处理。</w:t>
      </w:r>
    </w:p>
    <w:p>
      <w:pPr>
        <w:pStyle w:val="4"/>
        <w:spacing w:line="240" w:lineRule="auto"/>
        <w:ind w:firstLine="482"/>
        <w:outlineLvl w:val="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二、项目情况简介</w:t>
      </w:r>
      <w:bookmarkEnd w:id="15"/>
      <w:r>
        <w:rPr>
          <w:rFonts w:hint="eastAsia" w:asciiTheme="minorEastAsia" w:hAnsiTheme="minorEastAsia" w:eastAsiaTheme="minorEastAsia" w:cstheme="minorEastAsia"/>
          <w:b/>
          <w:sz w:val="30"/>
          <w:szCs w:val="30"/>
        </w:rPr>
        <w:t>：</w:t>
      </w:r>
    </w:p>
    <w:p>
      <w:pPr>
        <w:keepNext w:val="0"/>
        <w:keepLines w:val="0"/>
        <w:pageBreakBefore w:val="0"/>
        <w:tabs>
          <w:tab w:val="left" w:pos="900"/>
        </w:tabs>
        <w:kinsoku/>
        <w:wordWrap/>
        <w:overflowPunct/>
        <w:topLinePunct w:val="0"/>
        <w:autoSpaceDE/>
        <w:autoSpaceDN/>
        <w:bidi w:val="0"/>
        <w:adjustRightInd/>
        <w:snapToGrid/>
        <w:spacing w:line="360" w:lineRule="auto"/>
        <w:ind w:firstLine="528" w:firstLineChars="200"/>
        <w:textAlignment w:val="auto"/>
        <w:outlineLvl w:val="9"/>
        <w:rPr>
          <w:rFonts w:hint="eastAsia" w:ascii="宋体" w:hAnsi="宋体" w:cs="宋体"/>
          <w:spacing w:val="12"/>
          <w:kern w:val="0"/>
          <w:sz w:val="24"/>
        </w:rPr>
      </w:pPr>
      <w:bookmarkStart w:id="16" w:name="_Toc346202441"/>
      <w:r>
        <w:rPr>
          <w:rFonts w:hint="eastAsia" w:ascii="宋体" w:hAnsi="宋体" w:cs="宋体"/>
          <w:spacing w:val="12"/>
          <w:kern w:val="0"/>
          <w:sz w:val="24"/>
          <w:lang w:val="en-US" w:eastAsia="zh-CN"/>
        </w:rPr>
        <w:t>1、</w:t>
      </w:r>
      <w:r>
        <w:rPr>
          <w:rFonts w:hint="eastAsia" w:ascii="宋体" w:hAnsi="宋体" w:cs="宋体"/>
          <w:spacing w:val="12"/>
          <w:kern w:val="0"/>
          <w:sz w:val="24"/>
        </w:rPr>
        <w:t>“京杭融园”由扬州市城建置业有限公司开发，位于健民路南侧、福康路西侧、运河东路北侧、人民路东侧；分A区、E区，住宅楼14幢、商业楼1幢、物管及社区用房2幢。规划总用地面积71120㎡，规划总建筑面积186508.19㎡，其中住宅面积129101.68㎡，商业3279.04㎡，其中：</w:t>
      </w:r>
    </w:p>
    <w:p>
      <w:pPr>
        <w:keepNext w:val="0"/>
        <w:keepLines w:val="0"/>
        <w:pageBreakBefore w:val="0"/>
        <w:tabs>
          <w:tab w:val="left" w:pos="900"/>
        </w:tabs>
        <w:kinsoku/>
        <w:wordWrap/>
        <w:overflowPunct/>
        <w:topLinePunct w:val="0"/>
        <w:autoSpaceDE/>
        <w:autoSpaceDN/>
        <w:bidi w:val="0"/>
        <w:adjustRightInd/>
        <w:snapToGrid/>
        <w:spacing w:line="360" w:lineRule="auto"/>
        <w:ind w:firstLine="528" w:firstLineChars="200"/>
        <w:textAlignment w:val="auto"/>
        <w:outlineLvl w:val="9"/>
        <w:rPr>
          <w:rFonts w:hint="eastAsia" w:ascii="宋体" w:hAnsi="宋体" w:cs="宋体"/>
          <w:spacing w:val="12"/>
          <w:kern w:val="0"/>
          <w:sz w:val="24"/>
        </w:rPr>
      </w:pPr>
      <w:r>
        <w:rPr>
          <w:rFonts w:hint="eastAsia" w:ascii="宋体" w:hAnsi="宋体" w:cs="宋体"/>
          <w:spacing w:val="12"/>
          <w:kern w:val="0"/>
          <w:sz w:val="24"/>
        </w:rPr>
        <w:t>A区总用地面积为26869㎡，总建筑面积为70097.26㎡，住宅建筑面积46365.06㎡，商业建筑面积3279.04㎡，建筑密度20%，容积率1.9，绿地率30%。E区总用地面积为44251总建筑面积为116410.93㎡，住宅建筑面积82736.62㎡；建筑密度14.5%，容积率1.9，绿地率35.5%。</w:t>
      </w:r>
    </w:p>
    <w:p>
      <w:pPr>
        <w:keepNext w:val="0"/>
        <w:keepLines w:val="0"/>
        <w:pageBreakBefore w:val="0"/>
        <w:tabs>
          <w:tab w:val="left" w:pos="900"/>
        </w:tabs>
        <w:kinsoku/>
        <w:wordWrap/>
        <w:overflowPunct/>
        <w:topLinePunct w:val="0"/>
        <w:autoSpaceDE/>
        <w:autoSpaceDN/>
        <w:bidi w:val="0"/>
        <w:adjustRightInd/>
        <w:snapToGrid/>
        <w:spacing w:line="360" w:lineRule="auto"/>
        <w:ind w:firstLine="528" w:firstLineChars="200"/>
        <w:textAlignment w:val="auto"/>
        <w:outlineLvl w:val="9"/>
        <w:rPr>
          <w:rFonts w:hint="eastAsia" w:ascii="宋体" w:hAnsi="宋体" w:cs="宋体"/>
          <w:spacing w:val="12"/>
          <w:kern w:val="0"/>
          <w:sz w:val="24"/>
        </w:rPr>
      </w:pPr>
      <w:r>
        <w:rPr>
          <w:rFonts w:hint="eastAsia" w:ascii="宋体" w:hAnsi="宋体" w:cs="宋体"/>
          <w:spacing w:val="12"/>
          <w:kern w:val="0"/>
          <w:sz w:val="24"/>
          <w:lang w:val="en-US" w:eastAsia="zh-CN"/>
        </w:rPr>
        <w:t>2、</w:t>
      </w:r>
      <w:r>
        <w:rPr>
          <w:rFonts w:hint="eastAsia" w:ascii="宋体" w:hAnsi="宋体" w:cs="宋体"/>
          <w:spacing w:val="12"/>
          <w:kern w:val="0"/>
          <w:sz w:val="24"/>
        </w:rPr>
        <w:t>电梯：59部，运行-2F至18F。</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spacing w:val="12"/>
        </w:rPr>
      </w:pPr>
      <w:r>
        <w:rPr>
          <w:rFonts w:hint="eastAsia"/>
          <w:lang w:val="en-US" w:eastAsia="zh-CN"/>
        </w:rPr>
        <w:t>3、</w:t>
      </w:r>
      <w:r>
        <w:rPr>
          <w:rFonts w:hint="eastAsia"/>
        </w:rPr>
        <w:t>小区出入口：两主三次（地下车库出入口五个）</w:t>
      </w:r>
      <w:r>
        <w:rPr>
          <w:rFonts w:hint="eastAsia"/>
          <w:spacing w:val="12"/>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outlineLvl w:val="9"/>
        <w:rPr>
          <w:rFonts w:hint="eastAsia"/>
          <w:spacing w:val="12"/>
        </w:rPr>
      </w:pPr>
      <w:r>
        <w:rPr>
          <w:rFonts w:hint="eastAsia"/>
          <w:spacing w:val="12"/>
          <w:lang w:val="en-US" w:eastAsia="zh-CN"/>
        </w:rPr>
        <w:t>4、</w:t>
      </w:r>
      <w:r>
        <w:rPr>
          <w:rFonts w:hint="eastAsia"/>
          <w:spacing w:val="12"/>
        </w:rPr>
        <w:t>小区配套设施设备：周界管理系统、智能化监控系统、门禁对讲系统、停车场监控系统、电子巡更系统、消防喷淋系统、背景音乐系统。</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outlineLvl w:val="9"/>
        <w:rPr>
          <w:rFonts w:hint="eastAsia"/>
          <w:spacing w:val="12"/>
        </w:rPr>
      </w:pPr>
      <w:r>
        <w:rPr>
          <w:rFonts w:hint="eastAsia"/>
          <w:spacing w:val="12"/>
          <w:lang w:val="en-US" w:eastAsia="zh-CN"/>
        </w:rPr>
        <w:t>5、</w:t>
      </w:r>
      <w:r>
        <w:rPr>
          <w:rFonts w:hint="eastAsia"/>
          <w:spacing w:val="12"/>
        </w:rPr>
        <w:t>总户数：A区396户(含商铺10户)、E区699户。</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outlineLvl w:val="9"/>
        <w:rPr>
          <w:rFonts w:hint="eastAsia"/>
          <w:spacing w:val="12"/>
        </w:rPr>
      </w:pPr>
      <w:r>
        <w:rPr>
          <w:rFonts w:hint="eastAsia"/>
          <w:spacing w:val="12"/>
          <w:lang w:val="en-US" w:eastAsia="zh-CN"/>
        </w:rPr>
        <w:t>6、</w:t>
      </w:r>
      <w:r>
        <w:rPr>
          <w:rFonts w:hint="eastAsia"/>
          <w:spacing w:val="12"/>
        </w:rPr>
        <w:t>机动车停车位：A区地下348个(出售)，E区地下570辆(出售)。</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outlineLvl w:val="9"/>
        <w:rPr>
          <w:rFonts w:hint="eastAsia"/>
          <w:spacing w:val="12"/>
        </w:rPr>
      </w:pPr>
      <w:r>
        <w:rPr>
          <w:rFonts w:hint="eastAsia"/>
          <w:spacing w:val="12"/>
          <w:lang w:val="en-US" w:eastAsia="zh-CN"/>
        </w:rPr>
        <w:t>7、</w:t>
      </w:r>
      <w:r>
        <w:rPr>
          <w:rFonts w:hint="eastAsia"/>
          <w:spacing w:val="12"/>
        </w:rPr>
        <w:t>消防监控室1处。</w:t>
      </w:r>
    </w:p>
    <w:p>
      <w:pPr>
        <w:keepNext w:val="0"/>
        <w:keepLines w:val="0"/>
        <w:pageBreakBefore w:val="0"/>
        <w:tabs>
          <w:tab w:val="left" w:pos="1701"/>
          <w:tab w:val="left" w:pos="2127"/>
          <w:tab w:val="left" w:pos="4111"/>
        </w:tabs>
        <w:kinsoku/>
        <w:wordWrap/>
        <w:overflowPunct/>
        <w:topLinePunct w:val="0"/>
        <w:autoSpaceDE/>
        <w:autoSpaceDN/>
        <w:bidi w:val="0"/>
        <w:adjustRightInd/>
        <w:snapToGrid/>
        <w:spacing w:line="360" w:lineRule="auto"/>
        <w:ind w:firstLine="602" w:firstLineChars="200"/>
        <w:textAlignment w:val="auto"/>
        <w:outlineLvl w:val="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三、保安管理委托内容</w:t>
      </w:r>
      <w:bookmarkEnd w:id="16"/>
    </w:p>
    <w:p>
      <w:pPr>
        <w:pStyle w:val="9"/>
        <w:spacing w:before="0" w:beforeAutospacing="0" w:after="0" w:afterAutospacing="0" w:line="360" w:lineRule="auto"/>
        <w:ind w:firstLine="528" w:firstLineChars="200"/>
        <w:jc w:val="both"/>
        <w:rPr>
          <w:rFonts w:hint="eastAsia"/>
          <w:spacing w:val="12"/>
        </w:rPr>
      </w:pPr>
      <w:r>
        <w:rPr>
          <w:rFonts w:hint="eastAsia"/>
          <w:spacing w:val="12"/>
        </w:rPr>
        <w:t>1、管理服务区域范围内道路、车辆管理；</w:t>
      </w:r>
    </w:p>
    <w:p>
      <w:pPr>
        <w:pStyle w:val="9"/>
        <w:spacing w:before="0" w:beforeAutospacing="0" w:after="0" w:afterAutospacing="0" w:line="360" w:lineRule="auto"/>
        <w:ind w:firstLine="528" w:firstLineChars="200"/>
        <w:jc w:val="both"/>
        <w:rPr>
          <w:rFonts w:hint="eastAsia"/>
          <w:spacing w:val="12"/>
        </w:rPr>
      </w:pPr>
      <w:r>
        <w:rPr>
          <w:rFonts w:hint="eastAsia"/>
          <w:spacing w:val="12"/>
        </w:rPr>
        <w:t>2、管理服务区域范围内公共秩序维护、安全防范、消防管理等事项；</w:t>
      </w:r>
    </w:p>
    <w:p>
      <w:pPr>
        <w:pStyle w:val="9"/>
        <w:spacing w:before="0" w:beforeAutospacing="0" w:after="0" w:afterAutospacing="0" w:line="360" w:lineRule="auto"/>
        <w:ind w:firstLine="528" w:firstLineChars="200"/>
        <w:jc w:val="both"/>
        <w:rPr>
          <w:rFonts w:hint="eastAsia"/>
          <w:spacing w:val="12"/>
        </w:rPr>
      </w:pPr>
      <w:r>
        <w:rPr>
          <w:rFonts w:hint="eastAsia"/>
          <w:spacing w:val="12"/>
        </w:rPr>
        <w:t>3、管理服务区域范围内装饰装修管理服务；</w:t>
      </w:r>
    </w:p>
    <w:p>
      <w:pPr>
        <w:pStyle w:val="9"/>
        <w:spacing w:before="0" w:beforeAutospacing="0" w:after="0" w:afterAutospacing="0" w:line="360" w:lineRule="auto"/>
        <w:ind w:firstLine="528" w:firstLineChars="200"/>
        <w:jc w:val="both"/>
        <w:rPr>
          <w:rFonts w:hint="eastAsia"/>
          <w:spacing w:val="12"/>
        </w:rPr>
      </w:pPr>
      <w:r>
        <w:rPr>
          <w:rFonts w:hint="eastAsia"/>
          <w:spacing w:val="12"/>
        </w:rPr>
        <w:t>4、管理服务区域范围礼宾服务；</w:t>
      </w:r>
    </w:p>
    <w:p>
      <w:pPr>
        <w:keepNext w:val="0"/>
        <w:keepLines w:val="0"/>
        <w:pageBreakBefore w:val="0"/>
        <w:tabs>
          <w:tab w:val="left" w:pos="1701"/>
          <w:tab w:val="left" w:pos="2127"/>
          <w:tab w:val="left" w:pos="4111"/>
        </w:tabs>
        <w:kinsoku/>
        <w:wordWrap/>
        <w:overflowPunct/>
        <w:topLinePunct w:val="0"/>
        <w:autoSpaceDE/>
        <w:autoSpaceDN/>
        <w:bidi w:val="0"/>
        <w:adjustRightInd/>
        <w:snapToGrid/>
        <w:spacing w:line="360" w:lineRule="auto"/>
        <w:ind w:firstLine="528" w:firstLineChars="200"/>
        <w:textAlignment w:val="auto"/>
        <w:outlineLvl w:val="0"/>
        <w:rPr>
          <w:rFonts w:hint="eastAsia" w:asciiTheme="minorEastAsia" w:hAnsiTheme="minorEastAsia" w:eastAsiaTheme="minorEastAsia" w:cstheme="minorEastAsia"/>
          <w:spacing w:val="12"/>
          <w:sz w:val="24"/>
          <w:lang w:eastAsia="zh-CN"/>
        </w:rPr>
      </w:pPr>
      <w:r>
        <w:rPr>
          <w:rFonts w:hint="eastAsia" w:asciiTheme="minorEastAsia" w:hAnsiTheme="minorEastAsia" w:eastAsiaTheme="minorEastAsia" w:cstheme="minorEastAsia"/>
          <w:spacing w:val="12"/>
          <w:sz w:val="24"/>
          <w:lang w:val="en-US" w:eastAsia="zh-CN"/>
        </w:rPr>
        <w:t>5</w:t>
      </w:r>
      <w:r>
        <w:rPr>
          <w:rFonts w:hint="eastAsia" w:asciiTheme="minorEastAsia" w:hAnsiTheme="minorEastAsia" w:eastAsiaTheme="minorEastAsia" w:cstheme="minorEastAsia"/>
          <w:spacing w:val="12"/>
          <w:sz w:val="24"/>
        </w:rPr>
        <w:t>、完成招标方指派的其他临时工作</w:t>
      </w:r>
      <w:r>
        <w:rPr>
          <w:rFonts w:hint="eastAsia" w:asciiTheme="minorEastAsia" w:hAnsiTheme="minorEastAsia" w:eastAsiaTheme="minorEastAsia" w:cstheme="minorEastAsia"/>
          <w:spacing w:val="12"/>
          <w:sz w:val="24"/>
          <w:lang w:eastAsia="zh-CN"/>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8" w:firstLineChars="200"/>
        <w:jc w:val="both"/>
        <w:textAlignment w:val="auto"/>
        <w:rPr>
          <w:rFonts w:hint="eastAsia" w:asciiTheme="minorEastAsia" w:hAnsiTheme="minorEastAsia" w:eastAsiaTheme="minorEastAsia" w:cstheme="minorEastAsia"/>
          <w:spacing w:val="12"/>
        </w:rPr>
      </w:pPr>
      <w:r>
        <w:rPr>
          <w:rFonts w:hint="eastAsia" w:asciiTheme="minorEastAsia" w:hAnsiTheme="minorEastAsia" w:eastAsiaTheme="minorEastAsia" w:cstheme="minorEastAsia"/>
          <w:spacing w:val="12"/>
          <w:lang w:val="en-US" w:eastAsia="zh-CN"/>
        </w:rPr>
        <w:t>6</w:t>
      </w:r>
      <w:r>
        <w:rPr>
          <w:rFonts w:hint="eastAsia" w:asciiTheme="minorEastAsia" w:hAnsiTheme="minorEastAsia" w:eastAsiaTheme="minorEastAsia" w:cstheme="minorEastAsia"/>
          <w:spacing w:val="12"/>
        </w:rPr>
        <w:t>、投标单位另行承诺提供的服务。</w:t>
      </w:r>
    </w:p>
    <w:p>
      <w:pPr>
        <w:pStyle w:val="4"/>
        <w:keepNext w:val="0"/>
        <w:keepLines w:val="0"/>
        <w:pageBreakBefore w:val="0"/>
        <w:kinsoku/>
        <w:wordWrap/>
        <w:overflowPunct/>
        <w:topLinePunct w:val="0"/>
        <w:autoSpaceDE/>
        <w:autoSpaceDN/>
        <w:bidi w:val="0"/>
        <w:adjustRightInd/>
        <w:snapToGrid/>
        <w:spacing w:line="360" w:lineRule="auto"/>
        <w:ind w:firstLine="482"/>
        <w:textAlignment w:val="auto"/>
        <w:outlineLvl w:val="0"/>
        <w:rPr>
          <w:rFonts w:hint="eastAsia" w:asciiTheme="minorEastAsia" w:hAnsiTheme="minorEastAsia" w:eastAsiaTheme="minorEastAsia" w:cstheme="minorEastAsia"/>
          <w:b/>
          <w:sz w:val="30"/>
          <w:szCs w:val="30"/>
        </w:rPr>
      </w:pPr>
      <w:bookmarkStart w:id="17" w:name="_Toc346202444"/>
      <w:r>
        <w:rPr>
          <w:rFonts w:hint="eastAsia" w:asciiTheme="minorEastAsia" w:hAnsiTheme="minorEastAsia" w:eastAsiaTheme="minorEastAsia" w:cstheme="minorEastAsia"/>
          <w:b/>
          <w:sz w:val="30"/>
          <w:szCs w:val="30"/>
        </w:rPr>
        <w:t>四、保安服务等级标准及考核依据</w:t>
      </w:r>
      <w:bookmarkEnd w:id="1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1、保安服务人员标准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rPr>
      </w:pPr>
      <w:r>
        <w:rPr>
          <w:rFonts w:hint="eastAsia"/>
          <w:kern w:val="2"/>
        </w:rPr>
        <w:t>（1）</w:t>
      </w:r>
      <w:r>
        <w:rPr>
          <w:rFonts w:hint="eastAsia" w:asciiTheme="minorEastAsia" w:hAnsiTheme="minorEastAsia" w:eastAsiaTheme="minorEastAsia" w:cstheme="minorEastAsia"/>
          <w:sz w:val="24"/>
          <w:szCs w:val="24"/>
        </w:rPr>
        <w:t>、普通公共秩序维护人员年龄</w:t>
      </w:r>
      <w:r>
        <w:rPr>
          <w:rFonts w:hint="eastAsia" w:asciiTheme="minorEastAsia" w:hAnsiTheme="minorEastAsia" w:eastAsiaTheme="minorEastAsia" w:cstheme="minorEastAsia"/>
          <w:sz w:val="24"/>
          <w:szCs w:val="24"/>
          <w:lang w:val="en-US" w:eastAsia="zh-CN"/>
        </w:rPr>
        <w:t>45</w:t>
      </w:r>
      <w:r>
        <w:rPr>
          <w:rFonts w:hint="eastAsia" w:asciiTheme="minorEastAsia" w:hAnsiTheme="minorEastAsia" w:eastAsiaTheme="minorEastAsia" w:cstheme="minorEastAsia"/>
          <w:sz w:val="24"/>
          <w:szCs w:val="24"/>
        </w:rPr>
        <w:t>周岁以下，</w:t>
      </w:r>
      <w:r>
        <w:rPr>
          <w:rFonts w:hint="eastAsia" w:asciiTheme="minorEastAsia" w:hAnsiTheme="minorEastAsia" w:eastAsiaTheme="minorEastAsia" w:cstheme="minorEastAsia"/>
          <w:color w:val="000000"/>
          <w:sz w:val="24"/>
          <w:szCs w:val="24"/>
        </w:rPr>
        <w:t>智力正常、身体健康、五官端正；</w:t>
      </w:r>
      <w:r>
        <w:rPr>
          <w:rFonts w:hint="eastAsia" w:asciiTheme="minorEastAsia" w:hAnsiTheme="minorEastAsia" w:eastAsiaTheme="minorEastAsia" w:cstheme="minorEastAsia"/>
          <w:sz w:val="24"/>
          <w:szCs w:val="24"/>
        </w:rPr>
        <w:t>形象岗人员，立岗服务，年龄</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周岁以下、五官端正、身高</w:t>
      </w:r>
      <w:r>
        <w:rPr>
          <w:rFonts w:hint="eastAsia" w:asciiTheme="minorEastAsia" w:hAnsiTheme="minorEastAsia" w:eastAsiaTheme="minorEastAsia" w:cstheme="minorEastAsia"/>
          <w:b/>
          <w:sz w:val="24"/>
          <w:szCs w:val="24"/>
        </w:rPr>
        <w:t>173cm</w:t>
      </w:r>
      <w:r>
        <w:rPr>
          <w:rFonts w:hint="eastAsia" w:asciiTheme="minorEastAsia" w:hAnsiTheme="minorEastAsia" w:eastAsiaTheme="minorEastAsia" w:cstheme="minorEastAsia"/>
          <w:sz w:val="24"/>
          <w:szCs w:val="24"/>
        </w:rPr>
        <w:t>以</w:t>
      </w:r>
      <w:r>
        <w:rPr>
          <w:rFonts w:hint="eastAsia" w:asciiTheme="minorEastAsia" w:hAnsiTheme="minorEastAsia" w:eastAsiaTheme="minorEastAsia" w:cstheme="minorEastAsia"/>
          <w:color w:val="000000"/>
          <w:sz w:val="24"/>
          <w:szCs w:val="24"/>
        </w:rPr>
        <w:t>上（女性身高在</w:t>
      </w:r>
      <w:r>
        <w:rPr>
          <w:rFonts w:hint="eastAsia" w:asciiTheme="minorEastAsia" w:hAnsiTheme="minorEastAsia" w:eastAsiaTheme="minorEastAsia" w:cstheme="minorEastAsia"/>
          <w:b/>
          <w:bCs/>
          <w:color w:val="000000"/>
          <w:sz w:val="24"/>
          <w:szCs w:val="24"/>
        </w:rPr>
        <w:t>1</w:t>
      </w:r>
      <w:r>
        <w:rPr>
          <w:rFonts w:hint="eastAsia" w:asciiTheme="minorEastAsia" w:hAnsiTheme="minorEastAsia" w:eastAsiaTheme="minorEastAsia" w:cstheme="minorEastAsia"/>
          <w:b/>
          <w:bCs/>
          <w:color w:val="000000"/>
          <w:sz w:val="24"/>
          <w:szCs w:val="24"/>
          <w:lang w:val="en-US" w:eastAsia="zh-CN"/>
        </w:rPr>
        <w:t>62cm</w:t>
      </w:r>
      <w:r>
        <w:rPr>
          <w:rFonts w:hint="eastAsia" w:asciiTheme="minorEastAsia" w:hAnsiTheme="minorEastAsia" w:eastAsiaTheme="minorEastAsia" w:cstheme="minorEastAsia"/>
          <w:color w:val="000000"/>
          <w:sz w:val="24"/>
          <w:szCs w:val="24"/>
        </w:rPr>
        <w:t>以上）</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rPr>
      </w:pPr>
      <w:r>
        <w:rPr>
          <w:rFonts w:hint="eastAsia"/>
          <w:kern w:val="2"/>
        </w:rPr>
        <w:t>（</w:t>
      </w:r>
      <w:r>
        <w:rPr>
          <w:rFonts w:hint="eastAsia"/>
          <w:kern w:val="2"/>
          <w:lang w:val="en-US" w:eastAsia="zh-CN"/>
        </w:rPr>
        <w:t>2</w:t>
      </w:r>
      <w:r>
        <w:rPr>
          <w:rFonts w:hint="eastAsia"/>
          <w:kern w:val="2"/>
        </w:rPr>
        <w:t>）</w:t>
      </w:r>
      <w:r>
        <w:rPr>
          <w:rFonts w:hint="eastAsia" w:asciiTheme="minorEastAsia" w:hAnsiTheme="minorEastAsia" w:eastAsiaTheme="minorEastAsia" w:cstheme="minorEastAsia"/>
          <w:color w:val="000000"/>
          <w:sz w:val="24"/>
          <w:szCs w:val="24"/>
        </w:rPr>
        <w:t>、具有初中以上的文化程度，</w:t>
      </w:r>
      <w:r>
        <w:rPr>
          <w:rFonts w:hint="eastAsia" w:asciiTheme="minorEastAsia" w:hAnsiTheme="minorEastAsia" w:eastAsiaTheme="minorEastAsia" w:cstheme="minorEastAsia"/>
          <w:sz w:val="24"/>
          <w:szCs w:val="24"/>
        </w:rPr>
        <w:t>持保安员证上岗；消控室人员需持消防员证。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rPr>
      </w:pPr>
      <w:r>
        <w:rPr>
          <w:rFonts w:hint="eastAsia"/>
          <w:kern w:val="2"/>
        </w:rPr>
        <w:t>（</w:t>
      </w:r>
      <w:r>
        <w:rPr>
          <w:rFonts w:hint="eastAsia"/>
          <w:kern w:val="2"/>
          <w:lang w:val="en-US" w:eastAsia="zh-CN"/>
        </w:rPr>
        <w:t>3</w:t>
      </w:r>
      <w:r>
        <w:rPr>
          <w:rFonts w:hint="eastAsia"/>
          <w:kern w:val="2"/>
        </w:rPr>
        <w:t>）</w:t>
      </w:r>
      <w:r>
        <w:rPr>
          <w:rFonts w:hint="eastAsia" w:asciiTheme="minorEastAsia" w:hAnsiTheme="minorEastAsia" w:eastAsiaTheme="minorEastAsia" w:cstheme="minorEastAsia"/>
          <w:sz w:val="24"/>
          <w:szCs w:val="24"/>
        </w:rPr>
        <w:t>、注重形象，吃苦耐劳，服从管理，有保安基础知识，秩序维护工作外</w:t>
      </w:r>
      <w:r>
        <w:rPr>
          <w:rFonts w:hint="eastAsia" w:asciiTheme="minorEastAsia" w:hAnsiTheme="minorEastAsia" w:eastAsiaTheme="minorEastAsia" w:cstheme="minorEastAsia"/>
          <w:sz w:val="24"/>
          <w:szCs w:val="24"/>
          <w:lang w:eastAsia="zh-CN"/>
        </w:rPr>
        <w:t>，</w:t>
      </w:r>
      <w:r>
        <w:rPr>
          <w:rFonts w:hint="eastAsia"/>
          <w:sz w:val="24"/>
          <w:szCs w:val="28"/>
        </w:rPr>
        <w:t>还需立岗服务，日常做到敬礼、开车门、打雨伞等</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4"/>
          <w:szCs w:val="24"/>
        </w:rPr>
      </w:pPr>
      <w:r>
        <w:rPr>
          <w:rFonts w:hint="eastAsia"/>
          <w:kern w:val="2"/>
        </w:rPr>
        <w:t>（</w:t>
      </w:r>
      <w:r>
        <w:rPr>
          <w:rFonts w:hint="eastAsia"/>
          <w:kern w:val="2"/>
          <w:lang w:val="en-US" w:eastAsia="zh-CN"/>
        </w:rPr>
        <w:t>4</w:t>
      </w:r>
      <w:r>
        <w:rPr>
          <w:rFonts w:hint="eastAsia"/>
          <w:kern w:val="2"/>
        </w:rPr>
        <w:t>）</w:t>
      </w:r>
      <w:r>
        <w:rPr>
          <w:rFonts w:hint="eastAsia" w:asciiTheme="minorEastAsia" w:hAnsiTheme="minorEastAsia" w:eastAsiaTheme="minorEastAsia" w:cstheme="minorEastAsia"/>
          <w:color w:val="000000"/>
          <w:sz w:val="24"/>
          <w:szCs w:val="24"/>
        </w:rPr>
        <w:t>、政治历史清楚、品行端正、思想作风正派、无违法犯罪的经历。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4"/>
          <w:szCs w:val="24"/>
        </w:rPr>
      </w:pPr>
      <w:r>
        <w:rPr>
          <w:rFonts w:hint="eastAsia"/>
          <w:kern w:val="2"/>
        </w:rPr>
        <w:t>（</w:t>
      </w:r>
      <w:r>
        <w:rPr>
          <w:rFonts w:hint="eastAsia"/>
          <w:kern w:val="2"/>
          <w:lang w:val="en-US" w:eastAsia="zh-CN"/>
        </w:rPr>
        <w:t>5</w:t>
      </w:r>
      <w:r>
        <w:rPr>
          <w:rFonts w:hint="eastAsia"/>
          <w:kern w:val="2"/>
        </w:rPr>
        <w:t>）</w:t>
      </w:r>
      <w:r>
        <w:rPr>
          <w:rFonts w:hint="eastAsia" w:asciiTheme="minorEastAsia" w:hAnsiTheme="minorEastAsia" w:eastAsiaTheme="minorEastAsia" w:cstheme="minorEastAsia"/>
          <w:sz w:val="24"/>
          <w:szCs w:val="24"/>
        </w:rPr>
        <w:t>、遵纪守法观念强，能严格执行国家法律法规，自觉遵守甲、乙双方制定的各项规章制度。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2、保安服务要求</w:t>
      </w:r>
    </w:p>
    <w:p>
      <w:pPr>
        <w:pStyle w:val="9"/>
        <w:spacing w:before="0" w:beforeAutospacing="0" w:after="0" w:afterAutospacing="0" w:line="360" w:lineRule="auto"/>
        <w:ind w:firstLine="480" w:firstLineChars="200"/>
        <w:jc w:val="both"/>
        <w:rPr>
          <w:rFonts w:hint="eastAsia"/>
          <w:kern w:val="2"/>
        </w:rPr>
      </w:pPr>
      <w:r>
        <w:rPr>
          <w:rFonts w:hint="eastAsia"/>
          <w:kern w:val="2"/>
        </w:rPr>
        <w:t>（1）、专职公共秩序维护人员，身体健康，责任心强；定期进行安全防范学习；当班时应佩戴统一标志和执勤工号，穿戴统一制服；工具佩戴规范，仪容仪表规范整齐；配备对讲装置和其他必备的公共秩序维护工具；交接班制度完善，并有工作及交接班记录。</w:t>
      </w:r>
    </w:p>
    <w:p>
      <w:pPr>
        <w:pStyle w:val="9"/>
        <w:spacing w:before="0" w:beforeAutospacing="0" w:after="0" w:afterAutospacing="0" w:line="360" w:lineRule="auto"/>
        <w:ind w:firstLine="480" w:firstLineChars="200"/>
        <w:jc w:val="both"/>
        <w:rPr>
          <w:rFonts w:hint="eastAsia"/>
          <w:kern w:val="2"/>
        </w:rPr>
      </w:pPr>
      <w:r>
        <w:rPr>
          <w:rFonts w:hint="eastAsia"/>
          <w:kern w:val="2"/>
        </w:rPr>
        <w:t>（2）、白天巡逻次数不少于8次，夜间巡逻次数不少于8次；在遇到突发事件时，及时报告警方，必要时采取正当防卫，防止事态扩大，协助保护现场和证据；安全巡逻有记录有检查。</w:t>
      </w:r>
    </w:p>
    <w:p>
      <w:pPr>
        <w:pStyle w:val="9"/>
        <w:spacing w:before="0" w:beforeAutospacing="0" w:after="0" w:afterAutospacing="0" w:line="360" w:lineRule="auto"/>
        <w:ind w:firstLine="480" w:firstLineChars="200"/>
        <w:jc w:val="both"/>
        <w:rPr>
          <w:rFonts w:hint="eastAsia"/>
          <w:kern w:val="2"/>
        </w:rPr>
      </w:pPr>
      <w:r>
        <w:rPr>
          <w:rFonts w:hint="eastAsia"/>
          <w:kern w:val="2"/>
        </w:rPr>
        <w:t>（3）、制定紧急事故处理预案，定期组织员工和业主参与演练。</w:t>
      </w:r>
    </w:p>
    <w:p>
      <w:pPr>
        <w:pStyle w:val="9"/>
        <w:spacing w:before="0" w:beforeAutospacing="0" w:after="0" w:afterAutospacing="0" w:line="360" w:lineRule="auto"/>
        <w:ind w:firstLine="480" w:firstLineChars="200"/>
        <w:jc w:val="both"/>
        <w:rPr>
          <w:rFonts w:hint="eastAsia"/>
          <w:kern w:val="2"/>
        </w:rPr>
      </w:pPr>
      <w:r>
        <w:rPr>
          <w:rFonts w:hint="eastAsia"/>
          <w:kern w:val="2"/>
        </w:rPr>
        <w:t>（4）、设有业主（使用人）24小时求助与报警电话；涉及人身安全处，设有明显标志并有防护措施；协助有关部门维持小区正常生活秩序。</w:t>
      </w:r>
    </w:p>
    <w:p>
      <w:pPr>
        <w:pStyle w:val="9"/>
        <w:spacing w:before="0" w:beforeAutospacing="0" w:after="0" w:afterAutospacing="0" w:line="360" w:lineRule="auto"/>
        <w:ind w:firstLine="480" w:firstLineChars="200"/>
        <w:jc w:val="both"/>
        <w:rPr>
          <w:rFonts w:hint="eastAsia"/>
          <w:kern w:val="2"/>
        </w:rPr>
      </w:pPr>
      <w:r>
        <w:rPr>
          <w:rFonts w:hint="eastAsia"/>
          <w:kern w:val="2"/>
        </w:rPr>
        <w:t>（5）、有完善的车辆管理制度；按照委托合同的约定进行进出车辆管理等工作。小区设置明显的交通标志；维持交通秩序；按照合同特别约定履行车辆保管责任。</w:t>
      </w:r>
    </w:p>
    <w:p>
      <w:pPr>
        <w:pStyle w:val="9"/>
        <w:spacing w:before="0" w:beforeAutospacing="0" w:after="0" w:afterAutospacing="0" w:line="360" w:lineRule="auto"/>
        <w:ind w:firstLine="480" w:firstLineChars="200"/>
        <w:jc w:val="both"/>
        <w:rPr>
          <w:rFonts w:hint="eastAsia"/>
          <w:kern w:val="2"/>
        </w:rPr>
      </w:pPr>
      <w:r>
        <w:rPr>
          <w:rFonts w:hint="eastAsia"/>
          <w:kern w:val="2"/>
        </w:rPr>
        <w:t>（6）、健全消防组织，建立消防责任制；根据防火、灭火的需要，配置相应种类、数量的消防器材、设备和设施；保持消防通道畅通；发现火警有义务迅速向消防队报警。每月1次巡查消防栓、箱、烟感头、喷淋头、消防水阀、消防标志等消防设备是否完好、齐全，并及时给予维修；每日检测1次喷淋管网水压；消防监控室保持清洁；每日填写工作记录，建档备查。</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spacing w:val="12"/>
        </w:rPr>
      </w:pPr>
      <w:r>
        <w:rPr>
          <w:rFonts w:hint="eastAsia"/>
          <w:kern w:val="2"/>
        </w:rPr>
        <w:t>（</w:t>
      </w:r>
      <w:r>
        <w:rPr>
          <w:rFonts w:hint="eastAsia"/>
          <w:spacing w:val="12"/>
          <w:lang w:val="en-US" w:eastAsia="zh-CN"/>
        </w:rPr>
        <w:t>7</w:t>
      </w:r>
      <w:r>
        <w:rPr>
          <w:rFonts w:hint="eastAsia"/>
          <w:kern w:val="2"/>
        </w:rPr>
        <w:t>）、</w:t>
      </w:r>
      <w:r>
        <w:rPr>
          <w:spacing w:val="12"/>
        </w:rPr>
        <w:t>发现违反装修管理制度</w:t>
      </w:r>
      <w:r>
        <w:rPr>
          <w:rFonts w:hint="eastAsia"/>
          <w:spacing w:val="12"/>
        </w:rPr>
        <w:t>或违章搭建</w:t>
      </w:r>
      <w:r>
        <w:rPr>
          <w:spacing w:val="12"/>
        </w:rPr>
        <w:t>的行为、现象应及时劝阻、制止。</w:t>
      </w:r>
    </w:p>
    <w:p>
      <w:pPr>
        <w:pStyle w:val="9"/>
        <w:spacing w:before="0" w:beforeAutospacing="0" w:after="0" w:afterAutospacing="0" w:line="360" w:lineRule="auto"/>
        <w:ind w:firstLine="480" w:firstLineChars="200"/>
        <w:jc w:val="both"/>
        <w:rPr>
          <w:rFonts w:hint="eastAsia"/>
          <w:kern w:val="2"/>
        </w:rPr>
      </w:pPr>
      <w:r>
        <w:rPr>
          <w:rFonts w:hint="eastAsia"/>
          <w:kern w:val="2"/>
        </w:rPr>
        <w:t>（8）、出入口24小时有人值班看守，白天实行立岗。</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3、保安岗位设置</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kern w:val="2"/>
          <w:lang w:eastAsia="zh-CN"/>
        </w:rPr>
      </w:pPr>
      <w:r>
        <w:rPr>
          <w:rFonts w:hint="eastAsia" w:asciiTheme="minorEastAsia" w:hAnsiTheme="minorEastAsia" w:eastAsiaTheme="minorEastAsia" w:cstheme="minorEastAsia"/>
          <w:kern w:val="2"/>
        </w:rPr>
        <w:t>根据现场项目管理要求，商务标要求按照普通岗</w:t>
      </w:r>
      <w:r>
        <w:rPr>
          <w:rFonts w:hint="eastAsia" w:asciiTheme="minorEastAsia" w:hAnsiTheme="minorEastAsia" w:eastAsiaTheme="minorEastAsia" w:cstheme="minorEastAsia"/>
          <w:kern w:val="2"/>
          <w:lang w:val="en-US" w:eastAsia="zh-CN"/>
        </w:rPr>
        <w:t>6</w:t>
      </w:r>
      <w:r>
        <w:rPr>
          <w:rFonts w:hint="eastAsia" w:asciiTheme="minorEastAsia" w:hAnsiTheme="minorEastAsia" w:eastAsiaTheme="minorEastAsia" w:cstheme="minorEastAsia"/>
          <w:kern w:val="2"/>
        </w:rPr>
        <w:t>个、形象岗</w:t>
      </w:r>
      <w:r>
        <w:rPr>
          <w:rFonts w:hint="eastAsia" w:asciiTheme="minorEastAsia" w:hAnsiTheme="minorEastAsia" w:eastAsiaTheme="minorEastAsia" w:cstheme="minorEastAsia"/>
          <w:kern w:val="2"/>
          <w:lang w:val="en-US" w:eastAsia="zh-CN"/>
        </w:rPr>
        <w:t>2</w:t>
      </w:r>
      <w:r>
        <w:rPr>
          <w:rFonts w:hint="eastAsia" w:asciiTheme="minorEastAsia" w:hAnsiTheme="minorEastAsia" w:eastAsiaTheme="minorEastAsia" w:cstheme="minorEastAsia"/>
          <w:kern w:val="2"/>
        </w:rPr>
        <w:t>个报价</w:t>
      </w:r>
      <w:r>
        <w:rPr>
          <w:rFonts w:hint="eastAsia" w:asciiTheme="minorEastAsia" w:hAnsiTheme="minorEastAsia" w:eastAsiaTheme="minorEastAsia" w:cstheme="minorEastAsia"/>
          <w:kern w:val="2"/>
          <w:lang w:eastAsia="zh-CN"/>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4、考核及依据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招标方有权利在保安服务合同履行期间，对中标方的服务质量、业主满意度进行定期或随机的考核，考核方式可由招标方自行组织或委托第三方进行。奖惩措施双方在合同中可商定。</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5、其他事项</w:t>
      </w:r>
    </w:p>
    <w:p>
      <w:pPr>
        <w:keepNext w:val="0"/>
        <w:keepLines w:val="0"/>
        <w:pageBreakBefore w:val="0"/>
        <w:tabs>
          <w:tab w:val="left" w:pos="1701"/>
          <w:tab w:val="left" w:pos="2127"/>
          <w:tab w:val="left" w:pos="4111"/>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违反招标文件规定或投标过程中有违法、违纪、违规行为的，一经查实，一切后果由责任者自负。</w:t>
      </w:r>
      <w:bookmarkStart w:id="18" w:name="_Toc346202445"/>
    </w:p>
    <w:p>
      <w:pPr>
        <w:pStyle w:val="2"/>
        <w:spacing w:before="0" w:after="0" w:line="360" w:lineRule="auto"/>
        <w:jc w:val="both"/>
        <w:rPr>
          <w:rFonts w:hint="eastAsia" w:asciiTheme="minorEastAsia" w:hAnsiTheme="minorEastAsia" w:eastAsiaTheme="minorEastAsia" w:cstheme="minorEastAsia"/>
        </w:rPr>
      </w:pPr>
    </w:p>
    <w:p>
      <w:pPr>
        <w:rPr>
          <w:rFonts w:hint="eastAsia"/>
        </w:rPr>
      </w:pPr>
    </w:p>
    <w:p>
      <w:pPr>
        <w:pStyle w:val="2"/>
        <w:spacing w:before="0" w:after="0" w:line="360" w:lineRule="auto"/>
        <w:jc w:val="center"/>
        <w:rPr>
          <w:rFonts w:hint="eastAsia" w:asciiTheme="minorEastAsia" w:hAnsiTheme="minorEastAsia" w:eastAsiaTheme="minorEastAsia" w:cstheme="minorEastAsia"/>
        </w:rPr>
      </w:pPr>
    </w:p>
    <w:p>
      <w:pPr>
        <w:pStyle w:val="2"/>
        <w:spacing w:before="0" w:after="0" w:line="360" w:lineRule="auto"/>
        <w:jc w:val="both"/>
        <w:rPr>
          <w:rFonts w:hint="eastAsia" w:asciiTheme="minorEastAsia" w:hAnsiTheme="minorEastAsia" w:eastAsiaTheme="minorEastAsia" w:cstheme="minorEastAsia"/>
        </w:rPr>
      </w:pPr>
    </w:p>
    <w:p>
      <w:pPr>
        <w:pStyle w:val="2"/>
        <w:spacing w:before="0" w:after="0" w:line="360" w:lineRule="auto"/>
        <w:jc w:val="both"/>
        <w:rPr>
          <w:rFonts w:hint="eastAsia" w:asciiTheme="minorEastAsia" w:hAnsiTheme="minorEastAsia" w:eastAsiaTheme="minorEastAsia" w:cstheme="minorEastAsia"/>
        </w:rPr>
      </w:pPr>
    </w:p>
    <w:p>
      <w:pPr>
        <w:pStyle w:val="2"/>
        <w:spacing w:before="0" w:after="0" w:line="360" w:lineRule="auto"/>
        <w:jc w:val="cente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rPr>
      </w:pPr>
    </w:p>
    <w:p>
      <w:pPr>
        <w:pStyle w:val="2"/>
        <w:spacing w:before="0" w:after="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第四部分  招投标工作计划与时间安排</w:t>
      </w:r>
      <w:bookmarkEnd w:id="18"/>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1、2018年</w:t>
      </w:r>
      <w:r>
        <w:rPr>
          <w:rFonts w:hint="eastAsia" w:asciiTheme="minorEastAsia" w:hAnsiTheme="minorEastAsia" w:eastAsiaTheme="minorEastAsia" w:cstheme="minorEastAsia"/>
          <w:sz w:val="24"/>
          <w:lang w:val="en-US" w:eastAsia="zh-CN"/>
        </w:rPr>
        <w:t xml:space="preserve">12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日1</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0前，报名截止；</w:t>
      </w: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2、2018年12月11日对各报名单位进行资格预审，确定投标单位；</w:t>
      </w: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2、2018年</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17</w:t>
      </w:r>
      <w:r>
        <w:rPr>
          <w:rFonts w:hint="eastAsia" w:asciiTheme="minorEastAsia" w:hAnsiTheme="minorEastAsia" w:eastAsiaTheme="minorEastAsia" w:cstheme="minorEastAsia"/>
          <w:sz w:val="24"/>
        </w:rPr>
        <w:t>日1</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0前，投标文件递交截止；</w:t>
      </w: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3、2018年</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18</w:t>
      </w:r>
      <w:r>
        <w:rPr>
          <w:rFonts w:hint="eastAsia" w:asciiTheme="minorEastAsia" w:hAnsiTheme="minorEastAsia" w:eastAsiaTheme="minorEastAsia" w:cstheme="minorEastAsia"/>
          <w:sz w:val="24"/>
        </w:rPr>
        <w:t>日对各投标单位进行评标、定标；</w:t>
      </w:r>
    </w:p>
    <w:p>
      <w:pPr>
        <w:tabs>
          <w:tab w:val="left" w:pos="1701"/>
          <w:tab w:val="left" w:pos="2127"/>
          <w:tab w:val="left" w:pos="4111"/>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保安服务招标投标各事项的时间安排如有变更，以具体通知为准。</w:t>
      </w:r>
    </w:p>
    <w:p>
      <w:pPr>
        <w:rPr>
          <w:rFonts w:hint="eastAsia" w:asciiTheme="minorEastAsia" w:hAnsiTheme="minorEastAsia" w:eastAsiaTheme="minorEastAsia" w:cstheme="minorEastAsia"/>
        </w:rPr>
      </w:pPr>
      <w:bookmarkStart w:id="19" w:name="_Toc346202446"/>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numPr>
          <w:ilvl w:val="0"/>
          <w:numId w:val="7"/>
        </w:numPr>
        <w:spacing w:before="0" w:after="0" w:line="360" w:lineRule="auto"/>
        <w:ind w:firstLine="2615" w:firstLineChars="592"/>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附  件</w:t>
      </w:r>
      <w:bookmarkEnd w:id="19"/>
    </w:p>
    <w:p>
      <w:pPr>
        <w:spacing w:line="360" w:lineRule="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eastAsia="zh-CN"/>
        </w:rPr>
        <w:t>附件</w:t>
      </w:r>
      <w:r>
        <w:rPr>
          <w:rFonts w:hint="eastAsia" w:asciiTheme="minorEastAsia" w:hAnsiTheme="minorEastAsia" w:eastAsiaTheme="minorEastAsia" w:cstheme="minorEastAsia"/>
          <w:b/>
          <w:bCs/>
          <w:sz w:val="30"/>
          <w:szCs w:val="30"/>
          <w:lang w:val="en-US" w:eastAsia="zh-CN"/>
        </w:rPr>
        <w:t>1：</w:t>
      </w:r>
    </w:p>
    <w:p>
      <w:pPr>
        <w:spacing w:line="360" w:lineRule="auto"/>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投标报名表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扬州市城建物业服务有限责任公司：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我公司已收到招标文件，并按照招标文件的要求参与投标报名。</w:t>
      </w:r>
    </w:p>
    <w:tbl>
      <w:tblPr>
        <w:tblStyle w:val="1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6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项目名称</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京杭融园</w:t>
            </w:r>
            <w:r>
              <w:rPr>
                <w:rFonts w:hint="eastAsia" w:asciiTheme="minorEastAsia" w:hAnsiTheme="minorEastAsia" w:eastAsiaTheme="minorEastAsia" w:cstheme="minorEastAsia"/>
                <w:sz w:val="24"/>
                <w:szCs w:val="24"/>
              </w:rPr>
              <w:t>”保安服务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投标人全称</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公司地址</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营业执照证书编号</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资质证书编号</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法定代表</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联系人</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282" w:type="dxa"/>
            <w:vAlign w:val="center"/>
          </w:tcPr>
          <w:p>
            <w:pPr>
              <w:numPr>
                <w:ilvl w:val="0"/>
                <w:numId w:val="0"/>
              </w:num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联系号码</w:t>
            </w:r>
          </w:p>
        </w:tc>
        <w:tc>
          <w:tcPr>
            <w:tcW w:w="6538" w:type="dxa"/>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p>
        </w:tc>
      </w:tr>
    </w:tbl>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numPr>
          <w:ilvl w:val="0"/>
          <w:numId w:val="0"/>
        </w:numPr>
        <w:jc w:val="center"/>
        <w:rPr>
          <w:rFonts w:hint="eastAsia" w:asciiTheme="minorEastAsia" w:hAnsiTheme="minorEastAsia" w:eastAsiaTheme="minorEastAsia" w:cstheme="minorEastAsia"/>
          <w:sz w:val="24"/>
          <w:szCs w:val="24"/>
          <w:lang w:val="en-US" w:eastAsia="zh-CN"/>
        </w:rPr>
      </w:pPr>
    </w:p>
    <w:p>
      <w:pPr>
        <w:numPr>
          <w:ilvl w:val="0"/>
          <w:numId w:val="0"/>
        </w:numPr>
        <w:jc w:val="center"/>
        <w:rPr>
          <w:rFonts w:hint="eastAsia" w:asciiTheme="minorEastAsia" w:hAnsiTheme="minorEastAsia" w:eastAsiaTheme="minorEastAsia" w:cstheme="minorEastAsia"/>
          <w:sz w:val="24"/>
          <w:szCs w:val="24"/>
          <w:lang w:val="en-US" w:eastAsia="zh-CN"/>
        </w:rPr>
      </w:pP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报名单位（盖章）：</w:t>
      </w: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法人或授权代表（签字）：</w:t>
      </w:r>
    </w:p>
    <w:p>
      <w:pPr>
        <w:numPr>
          <w:ilvl w:val="0"/>
          <w:numId w:val="0"/>
        </w:num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numPr>
          <w:ilvl w:val="0"/>
          <w:numId w:val="0"/>
        </w:num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24"/>
          <w:szCs w:val="24"/>
          <w:lang w:val="en-US" w:eastAsia="zh-CN"/>
        </w:rPr>
        <w:t xml:space="preserve">           日期：   年   月    日</w:t>
      </w:r>
    </w:p>
    <w:p>
      <w:pPr>
        <w:spacing w:line="360" w:lineRule="auto"/>
        <w:rPr>
          <w:rFonts w:hint="eastAsia" w:asciiTheme="minorEastAsia" w:hAnsiTheme="minorEastAsia" w:eastAsiaTheme="minorEastAsia" w:cstheme="minorEastAsia"/>
          <w:b/>
          <w:bCs/>
          <w:sz w:val="30"/>
          <w:szCs w:val="30"/>
        </w:rPr>
      </w:pPr>
    </w:p>
    <w:p>
      <w:pPr>
        <w:spacing w:line="360" w:lineRule="auto"/>
        <w:rPr>
          <w:rFonts w:hint="eastAsia" w:asciiTheme="minorEastAsia" w:hAnsiTheme="minorEastAsia" w:eastAsiaTheme="minorEastAsia" w:cstheme="minorEastAsia"/>
          <w:b/>
          <w:bCs/>
          <w:sz w:val="30"/>
          <w:szCs w:val="30"/>
        </w:rPr>
      </w:pPr>
    </w:p>
    <w:p>
      <w:pPr>
        <w:spacing w:line="360" w:lineRule="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2</w:t>
      </w:r>
      <w:r>
        <w:rPr>
          <w:rFonts w:hint="eastAsia" w:asciiTheme="minorEastAsia" w:hAnsiTheme="minorEastAsia" w:eastAsiaTheme="minorEastAsia" w:cstheme="minorEastAsia"/>
          <w:b/>
          <w:bCs/>
          <w:sz w:val="30"/>
          <w:szCs w:val="30"/>
        </w:rPr>
        <w:t>：</w:t>
      </w:r>
      <w:bookmarkStart w:id="20" w:name="_Ref467988698"/>
      <w:bookmarkStart w:id="21" w:name="_Toc77757150"/>
    </w:p>
    <w:p>
      <w:pPr>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投 标 函</w:t>
      </w:r>
      <w:bookmarkEnd w:id="20"/>
      <w:bookmarkEnd w:id="21"/>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致：扬州市城建物业服务有限责任公司：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(投标方全称) 法定代表人授予全权代表我方参加贵方组织的“</w:t>
      </w:r>
      <w:r>
        <w:rPr>
          <w:rFonts w:hint="eastAsia" w:asciiTheme="minorEastAsia" w:hAnsiTheme="minorEastAsia" w:eastAsiaTheme="minorEastAsia" w:cstheme="minorEastAsia"/>
          <w:sz w:val="24"/>
          <w:lang w:eastAsia="zh-CN"/>
        </w:rPr>
        <w:t>京杭融园</w:t>
      </w:r>
      <w:r>
        <w:rPr>
          <w:rFonts w:hint="eastAsia" w:asciiTheme="minorEastAsia" w:hAnsiTheme="minorEastAsia" w:eastAsiaTheme="minorEastAsia" w:cstheme="minorEastAsia"/>
          <w:sz w:val="24"/>
        </w:rPr>
        <w:t>”保安服务招标的有关活动，全权处理本次项目投标的有关事宜。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据此函，签字人兹宣布同意如下：</w:t>
      </w:r>
    </w:p>
    <w:p>
      <w:pPr>
        <w:keepNext w:val="0"/>
        <w:keepLines w:val="0"/>
        <w:pageBreakBefore w:val="0"/>
        <w:widowControl w:val="0"/>
        <w:numPr>
          <w:ilvl w:val="0"/>
          <w:numId w:val="8"/>
        </w:numPr>
        <w:tabs>
          <w:tab w:val="left" w:pos="900"/>
          <w:tab w:val="clear" w:pos="1275"/>
        </w:tabs>
        <w:kinsoku/>
        <w:wordWrap/>
        <w:overflowPunct/>
        <w:topLinePunct w:val="0"/>
        <w:autoSpaceDE/>
        <w:autoSpaceDN/>
        <w:bidi w:val="0"/>
        <w:adjustRightInd/>
        <w:snapToGrid/>
        <w:spacing w:line="360" w:lineRule="auto"/>
        <w:ind w:left="900" w:hanging="42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按招标文件规定的各项要求，向招标方提供所需保安服务的费用投标报价，报价是我方真实意愿的反映。</w:t>
      </w:r>
    </w:p>
    <w:p>
      <w:pPr>
        <w:keepNext w:val="0"/>
        <w:keepLines w:val="0"/>
        <w:pageBreakBefore w:val="0"/>
        <w:widowControl w:val="0"/>
        <w:tabs>
          <w:tab w:val="left" w:pos="900"/>
          <w:tab w:val="left" w:pos="1275"/>
        </w:tabs>
        <w:kinsoku/>
        <w:wordWrap/>
        <w:overflowPunct/>
        <w:topLinePunct w:val="0"/>
        <w:autoSpaceDE/>
        <w:autoSpaceDN/>
        <w:bidi w:val="0"/>
        <w:adjustRightInd/>
        <w:snapToGrid/>
        <w:spacing w:line="360" w:lineRule="auto"/>
        <w:ind w:left="9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本次报价总价为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万元。其中普通岗报价为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元/个</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月；形象岗报价为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元/个</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月（每个岗位以24小时计算）。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2、我公司完全理解贵方将合同授予各综合评分最高者的合格投标人。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3、我们已详细审核全部招标文件及其有关补充文件，并履行相关约定。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4、我们同意从规定的开标日期起遵循本投标文件，并在规定的投标有效期期满之前均具有约束力。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5、同意向贵方提供贵方可能另外要求的与投标有关的任何证据或资料，并保证我方已提供和将要提供的文件是真实的、准确的。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6、一旦我方中标，我方将根据招标文件的规定，按招标方要求的在招标方规定时间内与需求单位签订合同，并严格履行合同的责任和义务，并保证按招标书中规定的时间履行保安服务工作。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7、我方本次投标非恶意投标，否则贵方有权拒绝我方投标书。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8、与本投标有关的正式通讯地址为：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                      邮编：           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投标单位授权代表姓名（签字）：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投标单位名称（公章）：                      日期：    年    月    日</w:t>
      </w:r>
      <w:bookmarkStart w:id="22" w:name="_Ref467988485"/>
      <w:bookmarkStart w:id="23" w:name="_Toc77757155"/>
      <w:bookmarkStart w:id="24" w:name="_Ref467990058"/>
      <w:bookmarkStart w:id="25" w:name="_Toc484054600"/>
      <w:bookmarkStart w:id="26" w:name="_Ref467988479"/>
      <w:bookmarkStart w:id="27" w:name="_Ref467990100"/>
      <w:bookmarkStart w:id="28" w:name="_Ref46798847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rPr>
      </w:pPr>
    </w:p>
    <w:p>
      <w:pPr>
        <w:spacing w:line="400" w:lineRule="exact"/>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3</w:t>
      </w:r>
      <w:r>
        <w:rPr>
          <w:rFonts w:hint="eastAsia" w:asciiTheme="minorEastAsia" w:hAnsiTheme="minorEastAsia" w:eastAsiaTheme="minorEastAsia" w:cstheme="minorEastAsia"/>
          <w:b/>
          <w:bCs/>
          <w:sz w:val="30"/>
          <w:szCs w:val="30"/>
        </w:rPr>
        <w:t>：</w:t>
      </w:r>
    </w:p>
    <w:p>
      <w:pPr>
        <w:spacing w:line="440" w:lineRule="exact"/>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法人代表授权书</w:t>
      </w:r>
      <w:bookmarkEnd w:id="22"/>
      <w:bookmarkEnd w:id="23"/>
      <w:bookmarkEnd w:id="24"/>
      <w:bookmarkEnd w:id="25"/>
      <w:bookmarkEnd w:id="26"/>
      <w:bookmarkEnd w:id="27"/>
      <w:bookmarkEnd w:id="28"/>
    </w:p>
    <w:p>
      <w:pPr>
        <w:spacing w:line="440" w:lineRule="exact"/>
        <w:jc w:val="center"/>
        <w:rPr>
          <w:rFonts w:hint="eastAsia" w:asciiTheme="minorEastAsia" w:hAnsiTheme="minorEastAsia" w:eastAsiaTheme="minorEastAsia" w:cstheme="minorEastAsia"/>
          <w:sz w:val="30"/>
          <w:szCs w:val="30"/>
        </w:rPr>
      </w:pPr>
    </w:p>
    <w:p>
      <w:pPr>
        <w:spacing w:before="120"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扬州市城建物业服务有限责任公司：</w:t>
      </w:r>
    </w:p>
    <w:p>
      <w:pPr>
        <w:spacing w:before="120" w:line="48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(投标方全称)法人代表</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授权</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(全权代表姓名、职务)为全权代表，参加贵方组织的(招标项目名称)招标活动，全权处理我方在投标活动中的一切事宜。</w:t>
      </w:r>
    </w:p>
    <w:p>
      <w:pPr>
        <w:spacing w:before="120" w:line="22" w:lineRule="atLeast"/>
        <w:rPr>
          <w:rFonts w:hint="eastAsia" w:asciiTheme="minorEastAsia" w:hAnsiTheme="minorEastAsia" w:eastAsiaTheme="minorEastAsia" w:cstheme="minorEastAsia"/>
          <w:sz w:val="24"/>
        </w:rPr>
      </w:pP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法人代表(签章)：</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投标方全称(公章)：</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日　　      期：</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全权代表(签字)：</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电　　  　　话：</w:t>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u w:val="single"/>
        </w:rPr>
        <w:tab/>
      </w:r>
    </w:p>
    <w:p>
      <w:pPr>
        <w:spacing w:line="520" w:lineRule="exact"/>
        <w:rPr>
          <w:rFonts w:hint="eastAsia" w:asciiTheme="minorEastAsia" w:hAnsiTheme="minorEastAsia" w:eastAsiaTheme="minorEastAsia" w:cstheme="minorEastAsia"/>
          <w:sz w:val="24"/>
          <w:u w:val="single"/>
        </w:rPr>
      </w:pPr>
    </w:p>
    <w:p>
      <w:pPr>
        <w:spacing w:line="520" w:lineRule="exact"/>
        <w:rPr>
          <w:rFonts w:hint="eastAsia" w:asciiTheme="minorEastAsia" w:hAnsiTheme="minorEastAsia" w:eastAsiaTheme="minorEastAsia" w:cstheme="minorEastAsia"/>
          <w:sz w:val="24"/>
          <w:u w:val="single"/>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4</w:t>
      </w:r>
      <w:r>
        <w:rPr>
          <w:rFonts w:hint="eastAsia" w:asciiTheme="minorEastAsia" w:hAnsiTheme="minorEastAsia" w:eastAsiaTheme="minorEastAsia" w:cstheme="minorEastAsia"/>
          <w:b/>
          <w:bCs/>
          <w:sz w:val="30"/>
          <w:szCs w:val="30"/>
        </w:rPr>
        <w:t>：</w:t>
      </w:r>
    </w:p>
    <w:p>
      <w:pPr>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同类保安管理项目统计表</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投标人承担的保安管理项目清单</w:t>
      </w:r>
    </w:p>
    <w:tbl>
      <w:tblPr>
        <w:tblStyle w:val="13"/>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120"/>
        <w:gridCol w:w="1302"/>
        <w:gridCol w:w="798"/>
        <w:gridCol w:w="699"/>
        <w:gridCol w:w="1022"/>
        <w:gridCol w:w="121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2136"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120"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管理方式</w:t>
            </w:r>
          </w:p>
        </w:tc>
        <w:tc>
          <w:tcPr>
            <w:tcW w:w="1302"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建筑面积（㎡）</w:t>
            </w:r>
          </w:p>
        </w:tc>
        <w:tc>
          <w:tcPr>
            <w:tcW w:w="1497" w:type="dxa"/>
            <w:gridSpan w:val="2"/>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合同情况</w:t>
            </w:r>
          </w:p>
        </w:tc>
        <w:tc>
          <w:tcPr>
            <w:tcW w:w="1022"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负责人</w:t>
            </w:r>
          </w:p>
        </w:tc>
        <w:tc>
          <w:tcPr>
            <w:tcW w:w="1219"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员工人数</w:t>
            </w:r>
          </w:p>
        </w:tc>
        <w:tc>
          <w:tcPr>
            <w:tcW w:w="727" w:type="dxa"/>
            <w:vMerge w:val="restart"/>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8" w:hRule="atLeast"/>
          <w:jc w:val="center"/>
        </w:trPr>
        <w:tc>
          <w:tcPr>
            <w:tcW w:w="2136" w:type="dxa"/>
            <w:vMerge w:val="continue"/>
            <w:vAlign w:val="center"/>
          </w:tcPr>
          <w:p>
            <w:pPr>
              <w:jc w:val="center"/>
              <w:rPr>
                <w:rFonts w:hint="eastAsia" w:asciiTheme="minorEastAsia" w:hAnsiTheme="minorEastAsia" w:eastAsiaTheme="minorEastAsia" w:cstheme="minorEastAsia"/>
                <w:sz w:val="24"/>
              </w:rPr>
            </w:pPr>
          </w:p>
        </w:tc>
        <w:tc>
          <w:tcPr>
            <w:tcW w:w="1120" w:type="dxa"/>
            <w:vMerge w:val="continue"/>
            <w:vAlign w:val="center"/>
          </w:tcPr>
          <w:p>
            <w:pPr>
              <w:jc w:val="center"/>
              <w:rPr>
                <w:rFonts w:hint="eastAsia" w:asciiTheme="minorEastAsia" w:hAnsiTheme="minorEastAsia" w:eastAsiaTheme="minorEastAsia" w:cstheme="minorEastAsia"/>
                <w:sz w:val="24"/>
              </w:rPr>
            </w:pPr>
          </w:p>
        </w:tc>
        <w:tc>
          <w:tcPr>
            <w:tcW w:w="1302" w:type="dxa"/>
            <w:vMerge w:val="continue"/>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签约时间</w:t>
            </w:r>
          </w:p>
        </w:tc>
        <w:tc>
          <w:tcPr>
            <w:tcW w:w="699" w:type="dxa"/>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管理年限</w:t>
            </w:r>
          </w:p>
        </w:tc>
        <w:tc>
          <w:tcPr>
            <w:tcW w:w="1022" w:type="dxa"/>
            <w:vMerge w:val="continue"/>
            <w:vAlign w:val="center"/>
          </w:tcPr>
          <w:p>
            <w:pPr>
              <w:jc w:val="center"/>
              <w:rPr>
                <w:rFonts w:hint="eastAsia" w:asciiTheme="minorEastAsia" w:hAnsiTheme="minorEastAsia" w:eastAsiaTheme="minorEastAsia" w:cstheme="minorEastAsia"/>
                <w:sz w:val="24"/>
              </w:rPr>
            </w:pPr>
          </w:p>
        </w:tc>
        <w:tc>
          <w:tcPr>
            <w:tcW w:w="1219" w:type="dxa"/>
            <w:vMerge w:val="continue"/>
            <w:vAlign w:val="center"/>
          </w:tcPr>
          <w:p>
            <w:pPr>
              <w:jc w:val="center"/>
              <w:rPr>
                <w:rFonts w:hint="eastAsia" w:asciiTheme="minorEastAsia" w:hAnsiTheme="minorEastAsia" w:eastAsiaTheme="minorEastAsia" w:cstheme="minorEastAsia"/>
                <w:sz w:val="24"/>
              </w:rPr>
            </w:pPr>
          </w:p>
        </w:tc>
        <w:tc>
          <w:tcPr>
            <w:tcW w:w="727" w:type="dxa"/>
            <w:vMerge w:val="continue"/>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6" w:type="dxa"/>
            <w:vAlign w:val="center"/>
          </w:tcPr>
          <w:p>
            <w:pPr>
              <w:jc w:val="center"/>
              <w:rPr>
                <w:rFonts w:hint="eastAsia" w:asciiTheme="minorEastAsia" w:hAnsiTheme="minorEastAsia" w:eastAsiaTheme="minorEastAsia" w:cstheme="minorEastAsia"/>
                <w:sz w:val="24"/>
              </w:rPr>
            </w:pPr>
          </w:p>
        </w:tc>
        <w:tc>
          <w:tcPr>
            <w:tcW w:w="1120" w:type="dxa"/>
            <w:vAlign w:val="center"/>
          </w:tcPr>
          <w:p>
            <w:pPr>
              <w:jc w:val="center"/>
              <w:rPr>
                <w:rFonts w:hint="eastAsia" w:asciiTheme="minorEastAsia" w:hAnsiTheme="minorEastAsia" w:eastAsiaTheme="minorEastAsia" w:cstheme="minorEastAsia"/>
                <w:sz w:val="24"/>
              </w:rPr>
            </w:pPr>
          </w:p>
        </w:tc>
        <w:tc>
          <w:tcPr>
            <w:tcW w:w="1302" w:type="dxa"/>
            <w:vAlign w:val="center"/>
          </w:tcPr>
          <w:p>
            <w:pPr>
              <w:jc w:val="center"/>
              <w:rPr>
                <w:rFonts w:hint="eastAsia" w:asciiTheme="minorEastAsia" w:hAnsiTheme="minorEastAsia" w:eastAsiaTheme="minorEastAsia" w:cstheme="minorEastAsia"/>
                <w:sz w:val="24"/>
              </w:rPr>
            </w:pPr>
          </w:p>
        </w:tc>
        <w:tc>
          <w:tcPr>
            <w:tcW w:w="798" w:type="dxa"/>
            <w:vAlign w:val="center"/>
          </w:tcPr>
          <w:p>
            <w:pPr>
              <w:jc w:val="center"/>
              <w:rPr>
                <w:rFonts w:hint="eastAsia" w:asciiTheme="minorEastAsia" w:hAnsiTheme="minorEastAsia" w:eastAsiaTheme="minorEastAsia" w:cstheme="minorEastAsia"/>
                <w:sz w:val="24"/>
              </w:rPr>
            </w:pPr>
          </w:p>
        </w:tc>
        <w:tc>
          <w:tcPr>
            <w:tcW w:w="699" w:type="dxa"/>
            <w:vAlign w:val="center"/>
          </w:tcPr>
          <w:p>
            <w:pPr>
              <w:jc w:val="center"/>
              <w:rPr>
                <w:rFonts w:hint="eastAsia" w:asciiTheme="minorEastAsia" w:hAnsiTheme="minorEastAsia" w:eastAsiaTheme="minorEastAsia" w:cstheme="minorEastAsia"/>
                <w:sz w:val="24"/>
              </w:rPr>
            </w:pPr>
          </w:p>
        </w:tc>
        <w:tc>
          <w:tcPr>
            <w:tcW w:w="1022" w:type="dxa"/>
            <w:vAlign w:val="center"/>
          </w:tcPr>
          <w:p>
            <w:pPr>
              <w:jc w:val="center"/>
              <w:rPr>
                <w:rFonts w:hint="eastAsia" w:asciiTheme="minorEastAsia" w:hAnsiTheme="minorEastAsia" w:eastAsiaTheme="minorEastAsia" w:cstheme="minorEastAsia"/>
                <w:sz w:val="24"/>
              </w:rPr>
            </w:pPr>
          </w:p>
        </w:tc>
        <w:tc>
          <w:tcPr>
            <w:tcW w:w="1219" w:type="dxa"/>
            <w:vAlign w:val="center"/>
          </w:tcPr>
          <w:p>
            <w:pPr>
              <w:jc w:val="center"/>
              <w:rPr>
                <w:rFonts w:hint="eastAsia" w:asciiTheme="minorEastAsia" w:hAnsiTheme="minorEastAsia" w:eastAsiaTheme="minorEastAsia" w:cstheme="minorEastAsia"/>
                <w:sz w:val="24"/>
              </w:rPr>
            </w:pPr>
          </w:p>
        </w:tc>
        <w:tc>
          <w:tcPr>
            <w:tcW w:w="727" w:type="dxa"/>
            <w:vAlign w:val="center"/>
          </w:tcPr>
          <w:p>
            <w:pPr>
              <w:jc w:val="center"/>
              <w:rPr>
                <w:rFonts w:hint="eastAsia" w:asciiTheme="minorEastAsia" w:hAnsiTheme="minorEastAsia" w:eastAsiaTheme="minorEastAsia" w:cstheme="minorEastAsia"/>
                <w:sz w:val="24"/>
              </w:rPr>
            </w:pPr>
          </w:p>
        </w:tc>
      </w:tr>
    </w:tbl>
    <w:p>
      <w:pPr>
        <w:ind w:firstLine="3840" w:firstLineChars="1600"/>
        <w:rPr>
          <w:rFonts w:hint="eastAsia" w:asciiTheme="minorEastAsia" w:hAnsiTheme="minorEastAsia" w:eastAsiaTheme="minorEastAsia" w:cstheme="minorEastAsia"/>
          <w:sz w:val="24"/>
        </w:rPr>
      </w:pPr>
    </w:p>
    <w:p>
      <w:pPr>
        <w:ind w:firstLine="3840" w:firstLineChars="16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法定代表人或授权代表签字：</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注：1、业绩中应指明所承担项目的管理方式、建筑面积等必要的数据，例：项目属居住类物业写字楼类物业及是否与本标的物业形态类似等，本次招标人可能会对其中项目进行现场考察。</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若所服务的项目与本项目物业形类似，请在备注栏内注明。</w:t>
      </w:r>
    </w:p>
    <w:p>
      <w:pPr>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3、该表格请单独报送。</w:t>
      </w: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p>
    <w:p>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5</w:t>
      </w:r>
      <w:r>
        <w:rPr>
          <w:rFonts w:hint="eastAsia" w:asciiTheme="minorEastAsia" w:hAnsiTheme="minorEastAsia" w:eastAsiaTheme="minorEastAsia" w:cstheme="minorEastAsia"/>
          <w:b/>
          <w:bCs/>
          <w:sz w:val="30"/>
          <w:szCs w:val="30"/>
        </w:rPr>
        <w:t>：</w:t>
      </w:r>
    </w:p>
    <w:p>
      <w:pPr>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保安管理优秀或示范项目业绩表</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所承接物业管理项目获得称号（获奖）情况</w:t>
      </w:r>
    </w:p>
    <w:tbl>
      <w:tblPr>
        <w:tblStyle w:val="13"/>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445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2491" w:type="dxa"/>
            <w:tcBorders>
              <w:bottom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4454" w:type="dxa"/>
            <w:tcBorders>
              <w:bottom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称号名称</w:t>
            </w: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(国家级、省级、市级)</w:t>
            </w:r>
          </w:p>
        </w:tc>
        <w:tc>
          <w:tcPr>
            <w:tcW w:w="2040" w:type="dxa"/>
            <w:tcBorders>
              <w:bottom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获奖日期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491" w:type="dxa"/>
            <w:vAlign w:val="center"/>
          </w:tcPr>
          <w:p>
            <w:pPr>
              <w:jc w:val="center"/>
              <w:rPr>
                <w:rFonts w:hint="eastAsia" w:asciiTheme="minorEastAsia" w:hAnsiTheme="minorEastAsia" w:eastAsiaTheme="minorEastAsia" w:cstheme="minorEastAsia"/>
                <w:sz w:val="24"/>
              </w:rPr>
            </w:pPr>
          </w:p>
        </w:tc>
        <w:tc>
          <w:tcPr>
            <w:tcW w:w="4454" w:type="dxa"/>
            <w:vAlign w:val="center"/>
          </w:tcPr>
          <w:p>
            <w:pPr>
              <w:jc w:val="center"/>
              <w:rPr>
                <w:rFonts w:hint="eastAsia" w:asciiTheme="minorEastAsia" w:hAnsiTheme="minorEastAsia" w:eastAsiaTheme="minorEastAsia" w:cstheme="minorEastAsia"/>
                <w:sz w:val="24"/>
              </w:rPr>
            </w:pPr>
          </w:p>
        </w:tc>
        <w:tc>
          <w:tcPr>
            <w:tcW w:w="2040"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491" w:type="dxa"/>
            <w:vAlign w:val="center"/>
          </w:tcPr>
          <w:p>
            <w:pPr>
              <w:jc w:val="center"/>
              <w:rPr>
                <w:rFonts w:hint="eastAsia" w:asciiTheme="minorEastAsia" w:hAnsiTheme="minorEastAsia" w:eastAsiaTheme="minorEastAsia" w:cstheme="minorEastAsia"/>
                <w:sz w:val="24"/>
              </w:rPr>
            </w:pPr>
          </w:p>
        </w:tc>
        <w:tc>
          <w:tcPr>
            <w:tcW w:w="4454" w:type="dxa"/>
            <w:vAlign w:val="center"/>
          </w:tcPr>
          <w:p>
            <w:pPr>
              <w:jc w:val="center"/>
              <w:rPr>
                <w:rFonts w:hint="eastAsia" w:asciiTheme="minorEastAsia" w:hAnsiTheme="minorEastAsia" w:eastAsiaTheme="minorEastAsia" w:cstheme="minorEastAsia"/>
                <w:sz w:val="24"/>
              </w:rPr>
            </w:pPr>
          </w:p>
        </w:tc>
        <w:tc>
          <w:tcPr>
            <w:tcW w:w="2040" w:type="dxa"/>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491" w:type="dxa"/>
            <w:vAlign w:val="center"/>
          </w:tcPr>
          <w:p>
            <w:pPr>
              <w:jc w:val="center"/>
              <w:rPr>
                <w:rFonts w:hint="eastAsia" w:asciiTheme="minorEastAsia" w:hAnsiTheme="minorEastAsia" w:eastAsiaTheme="minorEastAsia" w:cstheme="minorEastAsia"/>
                <w:sz w:val="24"/>
              </w:rPr>
            </w:pPr>
          </w:p>
        </w:tc>
        <w:tc>
          <w:tcPr>
            <w:tcW w:w="4454" w:type="dxa"/>
            <w:vAlign w:val="center"/>
          </w:tcPr>
          <w:p>
            <w:pPr>
              <w:jc w:val="center"/>
              <w:rPr>
                <w:rFonts w:hint="eastAsia" w:asciiTheme="minorEastAsia" w:hAnsiTheme="minorEastAsia" w:eastAsiaTheme="minorEastAsia" w:cstheme="minorEastAsia"/>
                <w:sz w:val="24"/>
              </w:rPr>
            </w:pPr>
          </w:p>
        </w:tc>
        <w:tc>
          <w:tcPr>
            <w:tcW w:w="2040" w:type="dxa"/>
            <w:vAlign w:val="center"/>
          </w:tcPr>
          <w:p>
            <w:pPr>
              <w:jc w:val="center"/>
              <w:rPr>
                <w:rFonts w:hint="eastAsia" w:asciiTheme="minorEastAsia" w:hAnsiTheme="minorEastAsia" w:eastAsiaTheme="minorEastAsia" w:cstheme="minorEastAsia"/>
                <w:sz w:val="24"/>
              </w:rPr>
            </w:pPr>
          </w:p>
        </w:tc>
      </w:tr>
    </w:tbl>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注：应附上称号（奖励）证书或文件的复印件（加盖企业公章），方予认可。</w:t>
      </w: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6</w:t>
      </w:r>
      <w:r>
        <w:rPr>
          <w:rFonts w:hint="eastAsia" w:asciiTheme="minorEastAsia" w:hAnsiTheme="minorEastAsia" w:eastAsiaTheme="minorEastAsia" w:cstheme="minorEastAsia"/>
          <w:b/>
          <w:bCs/>
          <w:sz w:val="30"/>
          <w:szCs w:val="30"/>
        </w:rPr>
        <w:t>：</w:t>
      </w:r>
    </w:p>
    <w:p>
      <w:pPr>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拟 定 项 目 负 责 人</w:t>
      </w:r>
    </w:p>
    <w:tbl>
      <w:tblPr>
        <w:tblStyle w:val="13"/>
        <w:tblW w:w="9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38"/>
        <w:gridCol w:w="730"/>
        <w:gridCol w:w="642"/>
        <w:gridCol w:w="1232"/>
        <w:gridCol w:w="952"/>
        <w:gridCol w:w="439"/>
        <w:gridCol w:w="737"/>
        <w:gridCol w:w="1105"/>
        <w:gridCol w:w="122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08"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610" w:type="dxa"/>
            <w:gridSpan w:val="3"/>
            <w:vAlign w:val="center"/>
          </w:tcPr>
          <w:p>
            <w:pPr>
              <w:spacing w:line="360" w:lineRule="auto"/>
              <w:jc w:val="center"/>
              <w:rPr>
                <w:rFonts w:hint="eastAsia" w:asciiTheme="minorEastAsia" w:hAnsiTheme="minorEastAsia" w:eastAsiaTheme="minorEastAsia" w:cstheme="minorEastAsia"/>
                <w:sz w:val="24"/>
              </w:rPr>
            </w:pPr>
          </w:p>
        </w:tc>
        <w:tc>
          <w:tcPr>
            <w:tcW w:w="1232"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出生年月</w:t>
            </w:r>
          </w:p>
        </w:tc>
        <w:tc>
          <w:tcPr>
            <w:tcW w:w="1391" w:type="dxa"/>
            <w:gridSpan w:val="2"/>
            <w:vAlign w:val="center"/>
          </w:tcPr>
          <w:p>
            <w:pPr>
              <w:spacing w:line="360" w:lineRule="auto"/>
              <w:jc w:val="center"/>
              <w:rPr>
                <w:rFonts w:hint="eastAsia" w:asciiTheme="minorEastAsia" w:hAnsiTheme="minorEastAsia" w:eastAsiaTheme="minorEastAsia" w:cstheme="minorEastAsia"/>
                <w:sz w:val="24"/>
              </w:rPr>
            </w:pPr>
          </w:p>
        </w:tc>
        <w:tc>
          <w:tcPr>
            <w:tcW w:w="73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1105" w:type="dxa"/>
            <w:vAlign w:val="center"/>
          </w:tcPr>
          <w:p>
            <w:pPr>
              <w:spacing w:line="360" w:lineRule="auto"/>
              <w:jc w:val="center"/>
              <w:rPr>
                <w:rFonts w:hint="eastAsia" w:asciiTheme="minorEastAsia" w:hAnsiTheme="minorEastAsia" w:eastAsiaTheme="minorEastAsia" w:cstheme="minorEastAsia"/>
                <w:sz w:val="24"/>
              </w:rPr>
            </w:pPr>
          </w:p>
        </w:tc>
        <w:tc>
          <w:tcPr>
            <w:tcW w:w="122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1467" w:type="dxa"/>
            <w:vAlign w:val="center"/>
          </w:tcPr>
          <w:p>
            <w:pPr>
              <w:spacing w:line="360" w:lineRule="auto"/>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676" w:type="dxa"/>
            <w:gridSpan w:val="3"/>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岗位证书编号</w:t>
            </w:r>
          </w:p>
        </w:tc>
        <w:tc>
          <w:tcPr>
            <w:tcW w:w="2826" w:type="dxa"/>
            <w:gridSpan w:val="3"/>
            <w:vAlign w:val="center"/>
          </w:tcPr>
          <w:p>
            <w:pPr>
              <w:spacing w:line="360" w:lineRule="auto"/>
              <w:jc w:val="center"/>
              <w:rPr>
                <w:rFonts w:hint="eastAsia" w:asciiTheme="minorEastAsia" w:hAnsiTheme="minorEastAsia" w:eastAsiaTheme="minorEastAsia" w:cstheme="minorEastAsia"/>
                <w:sz w:val="24"/>
              </w:rPr>
            </w:pPr>
          </w:p>
        </w:tc>
        <w:tc>
          <w:tcPr>
            <w:tcW w:w="1176" w:type="dxa"/>
            <w:gridSpan w:val="2"/>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文化程度</w:t>
            </w:r>
          </w:p>
        </w:tc>
        <w:tc>
          <w:tcPr>
            <w:tcW w:w="1105" w:type="dxa"/>
            <w:vAlign w:val="center"/>
          </w:tcPr>
          <w:p>
            <w:pPr>
              <w:spacing w:line="360" w:lineRule="auto"/>
              <w:jc w:val="center"/>
              <w:rPr>
                <w:rFonts w:hint="eastAsia" w:asciiTheme="minorEastAsia" w:hAnsiTheme="minorEastAsia" w:eastAsiaTheme="minorEastAsia" w:cstheme="minorEastAsia"/>
                <w:sz w:val="24"/>
              </w:rPr>
            </w:pPr>
          </w:p>
        </w:tc>
        <w:tc>
          <w:tcPr>
            <w:tcW w:w="1227" w:type="dxa"/>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专业</w:t>
            </w:r>
          </w:p>
        </w:tc>
        <w:tc>
          <w:tcPr>
            <w:tcW w:w="1467" w:type="dxa"/>
            <w:vAlign w:val="center"/>
          </w:tcPr>
          <w:p>
            <w:pPr>
              <w:spacing w:line="360" w:lineRule="auto"/>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9" w:hRule="atLeast"/>
          <w:jc w:val="center"/>
        </w:trPr>
        <w:tc>
          <w:tcPr>
            <w:tcW w:w="946" w:type="dxa"/>
            <w:gridSpan w:val="2"/>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要</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作</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历</w:t>
            </w:r>
          </w:p>
        </w:tc>
        <w:tc>
          <w:tcPr>
            <w:tcW w:w="8531" w:type="dxa"/>
            <w:gridSpan w:val="9"/>
            <w:vAlign w:val="center"/>
          </w:tcPr>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jc w:val="center"/>
        </w:trPr>
        <w:tc>
          <w:tcPr>
            <w:tcW w:w="946" w:type="dxa"/>
            <w:gridSpan w:val="2"/>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获</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奖</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情</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况</w:t>
            </w:r>
          </w:p>
        </w:tc>
        <w:tc>
          <w:tcPr>
            <w:tcW w:w="8531" w:type="dxa"/>
            <w:gridSpan w:val="9"/>
            <w:vAlign w:val="center"/>
          </w:tcPr>
          <w:p>
            <w:pPr>
              <w:spacing w:line="36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2" w:hRule="atLeast"/>
          <w:jc w:val="center"/>
        </w:trPr>
        <w:tc>
          <w:tcPr>
            <w:tcW w:w="946" w:type="dxa"/>
            <w:gridSpan w:val="2"/>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tc>
        <w:tc>
          <w:tcPr>
            <w:tcW w:w="8531" w:type="dxa"/>
            <w:gridSpan w:val="9"/>
            <w:vAlign w:val="center"/>
          </w:tcPr>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p>
        </w:tc>
      </w:tr>
    </w:tbl>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附获奖证书及相关资料复印有效，请附后。</w:t>
      </w:r>
    </w:p>
    <w:p>
      <w:pPr>
        <w:pStyle w:val="3"/>
        <w:spacing w:line="360" w:lineRule="auto"/>
        <w:ind w:firstLine="0"/>
        <w:rPr>
          <w:rFonts w:hint="eastAsia" w:asciiTheme="minorEastAsia" w:hAnsiTheme="minorEastAsia" w:eastAsiaTheme="minorEastAsia" w:cstheme="minorEastAsia"/>
          <w:sz w:val="24"/>
        </w:rPr>
      </w:pPr>
    </w:p>
    <w:p>
      <w:pPr>
        <w:pStyle w:val="3"/>
        <w:spacing w:line="360" w:lineRule="auto"/>
        <w:ind w:firstLine="0"/>
        <w:rPr>
          <w:rFonts w:hint="eastAsia" w:asciiTheme="minorEastAsia" w:hAnsiTheme="minorEastAsia" w:eastAsiaTheme="minorEastAsia" w:cstheme="minorEastAsia"/>
          <w:sz w:val="24"/>
        </w:rPr>
      </w:pPr>
    </w:p>
    <w:p>
      <w:pPr>
        <w:pStyle w:val="3"/>
        <w:spacing w:line="360" w:lineRule="auto"/>
        <w:ind w:firstLine="0"/>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7</w:t>
      </w:r>
      <w:r>
        <w:rPr>
          <w:rFonts w:hint="eastAsia" w:asciiTheme="minorEastAsia" w:hAnsiTheme="minorEastAsia" w:eastAsiaTheme="minorEastAsia" w:cstheme="minorEastAsia"/>
          <w:b/>
          <w:bCs/>
          <w:sz w:val="30"/>
          <w:szCs w:val="30"/>
        </w:rPr>
        <w:t>：</w:t>
      </w:r>
    </w:p>
    <w:p>
      <w:pPr>
        <w:spacing w:line="360" w:lineRule="auto"/>
        <w:jc w:val="center"/>
        <w:rPr>
          <w:rFonts w:hint="eastAsia" w:asciiTheme="minorEastAsia" w:hAnsiTheme="minorEastAsia" w:eastAsiaTheme="minorEastAsia" w:cstheme="minorEastAsia"/>
          <w:b/>
          <w:kern w:val="44"/>
          <w:sz w:val="30"/>
          <w:szCs w:val="30"/>
        </w:rPr>
      </w:pPr>
      <w:r>
        <w:rPr>
          <w:rFonts w:hint="eastAsia" w:asciiTheme="minorEastAsia" w:hAnsiTheme="minorEastAsia" w:eastAsiaTheme="minorEastAsia" w:cstheme="minorEastAsia"/>
          <w:b/>
          <w:kern w:val="44"/>
          <w:sz w:val="30"/>
          <w:szCs w:val="30"/>
        </w:rPr>
        <w:t>廉洁投标承诺书</w:t>
      </w:r>
    </w:p>
    <w:p>
      <w:pPr>
        <w:pStyle w:val="5"/>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作为参与此次投标的服务单位,我公司现郑重做出以下承诺：</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一、遵守《中华人民共和国政府采购法》及省、市有关政府采购的各项法律、法规和制度。</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二、客观真实反映自身情况，按规定接受招标单位的资格审查, 不提供虚假材料，不夸大自身技术和提供服务的能力。</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三、以合法正当的手段参与此次招标的公平竞争。不与招标单位、其他投标单位恶意串通，不以不正当手段诋毁、排挤其他投标单位，不向招标单位、评审机构行贿或者提供其他不正当利益。</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五、自觉接受相关监督管理部门的监督检查。</w:t>
      </w:r>
    </w:p>
    <w:p>
      <w:pPr>
        <w:pStyle w:val="5"/>
        <w:adjustRightIn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如违反以上承诺，我公司愿承担一切法律责任，并接受监督管理部门及其他相关部门依法作出的处罚。 </w:t>
      </w:r>
    </w:p>
    <w:p>
      <w:pPr>
        <w:adjustRightInd w:val="0"/>
        <w:snapToGrid w:val="0"/>
        <w:spacing w:line="380" w:lineRule="exact"/>
        <w:rPr>
          <w:rFonts w:hint="eastAsia" w:asciiTheme="minorEastAsia" w:hAnsiTheme="minorEastAsia" w:eastAsiaTheme="minorEastAsia" w:cstheme="minorEastAsia"/>
          <w:sz w:val="24"/>
          <w:szCs w:val="24"/>
        </w:rPr>
      </w:pPr>
    </w:p>
    <w:p>
      <w:pPr>
        <w:spacing w:line="360" w:lineRule="auto"/>
        <w:ind w:right="1260" w:rightChars="60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承诺单位（盖章）</w:t>
      </w:r>
    </w:p>
    <w:p>
      <w:pPr>
        <w:spacing w:line="360" w:lineRule="auto"/>
        <w:ind w:left="561" w:leftChars="267" w:right="1260" w:rightChars="60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法定代表人（授权代表）签字</w:t>
      </w:r>
    </w:p>
    <w:p>
      <w:pPr>
        <w:spacing w:line="360" w:lineRule="auto"/>
        <w:ind w:left="561" w:leftChars="267" w:right="1260" w:rightChars="600" w:firstLine="480" w:firstLineChars="20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4"/>
          <w:szCs w:val="24"/>
        </w:rPr>
        <w:t>年  月  日</w:t>
      </w:r>
    </w:p>
    <w:p>
      <w:pPr>
        <w:spacing w:line="360" w:lineRule="auto"/>
        <w:ind w:left="561" w:leftChars="267" w:right="1260" w:rightChars="600" w:firstLine="420" w:firstLineChars="200"/>
        <w:jc w:val="right"/>
        <w:rPr>
          <w:rFonts w:hint="eastAsia" w:asciiTheme="minorEastAsia" w:hAnsiTheme="minorEastAsia" w:eastAsiaTheme="minorEastAsia" w:cstheme="minorEastAsia"/>
          <w:szCs w:val="21"/>
        </w:rPr>
      </w:pPr>
    </w:p>
    <w:p>
      <w:pPr>
        <w:spacing w:line="360" w:lineRule="auto"/>
        <w:ind w:left="561" w:leftChars="267" w:right="1260" w:rightChars="600" w:firstLine="420" w:firstLineChars="200"/>
        <w:jc w:val="right"/>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30"/>
          <w:szCs w:val="30"/>
        </w:rPr>
        <w:t>附件</w:t>
      </w:r>
      <w:r>
        <w:rPr>
          <w:rFonts w:hint="eastAsia" w:asciiTheme="minorEastAsia" w:hAnsiTheme="minorEastAsia" w:eastAsiaTheme="minorEastAsia" w:cstheme="minorEastAsia"/>
          <w:b/>
          <w:bCs/>
          <w:sz w:val="30"/>
          <w:szCs w:val="30"/>
          <w:lang w:val="en-US" w:eastAsia="zh-CN"/>
        </w:rPr>
        <w:t>8</w:t>
      </w:r>
      <w:r>
        <w:rPr>
          <w:rFonts w:hint="eastAsia" w:asciiTheme="minorEastAsia" w:hAnsiTheme="minorEastAsia" w:eastAsiaTheme="minorEastAsia" w:cstheme="minorEastAsia"/>
          <w:b/>
          <w:bCs/>
          <w:sz w:val="30"/>
          <w:szCs w:val="30"/>
        </w:rPr>
        <w:t>：</w:t>
      </w:r>
    </w:p>
    <w:p>
      <w:pPr>
        <w:spacing w:line="460" w:lineRule="exact"/>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声  明</w:t>
      </w:r>
    </w:p>
    <w:p>
      <w:pPr>
        <w:spacing w:line="46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我公司郑重声明：参加本次投标活动前 3 年内，我公司在经营活动中没有因违法经营受到刑事处罚或者责令停产停业、吊销许可证或者执照、较大数额罚款等行政处罚。</w:t>
      </w:r>
    </w:p>
    <w:p>
      <w:pPr>
        <w:spacing w:line="460" w:lineRule="exact"/>
        <w:rPr>
          <w:rFonts w:hint="eastAsia" w:asciiTheme="minorEastAsia" w:hAnsiTheme="minorEastAsia" w:eastAsiaTheme="minorEastAsia" w:cstheme="minorEastAsia"/>
          <w:bCs/>
          <w:sz w:val="24"/>
        </w:rPr>
      </w:pPr>
    </w:p>
    <w:p>
      <w:pPr>
        <w:spacing w:line="460" w:lineRule="exact"/>
        <w:rPr>
          <w:rFonts w:hint="eastAsia" w:asciiTheme="minorEastAsia" w:hAnsiTheme="minorEastAsia" w:eastAsiaTheme="minorEastAsia" w:cstheme="minorEastAsia"/>
          <w:bCs/>
          <w:sz w:val="24"/>
        </w:rPr>
      </w:pPr>
    </w:p>
    <w:p>
      <w:pPr>
        <w:spacing w:line="460" w:lineRule="exact"/>
        <w:ind w:firstLine="4440" w:firstLineChars="185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投标人名称（公章）：</w:t>
      </w:r>
    </w:p>
    <w:p>
      <w:pPr>
        <w:spacing w:line="46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授权代表签字：</w:t>
      </w:r>
      <w:r>
        <w:rPr>
          <w:rFonts w:hint="eastAsia" w:asciiTheme="minorEastAsia" w:hAnsiTheme="minorEastAsia" w:eastAsiaTheme="minorEastAsia" w:cstheme="minorEastAsia"/>
          <w:bCs/>
          <w:sz w:val="24"/>
          <w:u w:val="single"/>
        </w:rPr>
        <w:t>________________</w:t>
      </w:r>
    </w:p>
    <w:p>
      <w:pPr>
        <w:spacing w:line="4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bCs/>
          <w:sz w:val="24"/>
        </w:rPr>
        <w:t xml:space="preserve">                                     日期：   年   月   日</w:t>
      </w:r>
    </w:p>
    <w:p>
      <w:pPr>
        <w:rPr>
          <w:rFonts w:hint="eastAsia" w:asciiTheme="minorEastAsia" w:hAnsiTheme="minorEastAsia" w:eastAsiaTheme="minorEastAsia" w:cstheme="minorEastAsia"/>
          <w:color w:val="000000"/>
          <w:spacing w:val="8"/>
          <w:szCs w:val="21"/>
        </w:rPr>
      </w:pPr>
    </w:p>
    <w:p>
      <w:pPr>
        <w:rPr>
          <w:rFonts w:hint="eastAsia" w:asciiTheme="minorEastAsia" w:hAnsiTheme="minorEastAsia" w:eastAsiaTheme="minorEastAsia" w:cstheme="minorEastAsia"/>
        </w:rPr>
      </w:pPr>
    </w:p>
    <w:sectPr>
      <w:footerReference r:id="rId8" w:type="first"/>
      <w:footerReference r:id="rId7" w:type="default"/>
      <w:pgSz w:w="11906" w:h="16838"/>
      <w:pgMar w:top="1090" w:right="1286"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val="en-US" w:eastAsia="zh-CN"/>
                      </w:rPr>
                      <w:t>2</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numPicBullet w:numPicBulletId="2">
    <w:pict>
      <v:shape id="2" type="#_x0000_t75" style="width:15px;height:15px" o:bullet="t">
        <v:imagedata r:id="rId3" o:title=""/>
      </v:shape>
    </w:pict>
  </w:numPicBullet>
  <w:numPicBullet w:numPicBulletId="3">
    <w:pict>
      <v:shape id="3" type="#_x0000_t75" style="width:15px;height:15px" o:bullet="t">
        <v:imagedata r:id="rId4" o:title=""/>
      </v:shape>
    </w:pict>
  </w:numPicBullet>
  <w:abstractNum w:abstractNumId="0">
    <w:nsid w:val="0000000D"/>
    <w:multiLevelType w:val="multilevel"/>
    <w:tmpl w:val="0000000D"/>
    <w:lvl w:ilvl="0" w:tentative="0">
      <w:start w:val="1"/>
      <w:numFmt w:val="decimal"/>
      <w:lvlText w:val="%1、"/>
      <w:lvlJc w:val="left"/>
      <w:pPr>
        <w:tabs>
          <w:tab w:val="left" w:pos="1275"/>
        </w:tabs>
        <w:ind w:left="1275" w:hanging="795"/>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6565E58"/>
    <w:multiLevelType w:val="multilevel"/>
    <w:tmpl w:val="26565E58"/>
    <w:lvl w:ilvl="0" w:tentative="0">
      <w:start w:val="1"/>
      <w:numFmt w:val="bullet"/>
      <w:lvlText w:val=""/>
      <w:lvlPicBulletId w:val="2"/>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2">
    <w:nsid w:val="290A2887"/>
    <w:multiLevelType w:val="multilevel"/>
    <w:tmpl w:val="290A2887"/>
    <w:lvl w:ilvl="0" w:tentative="0">
      <w:start w:val="1"/>
      <w:numFmt w:val="bullet"/>
      <w:lvlText w:val=""/>
      <w:lvlPicBulletId w:val="0"/>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3">
    <w:nsid w:val="2D721CEA"/>
    <w:multiLevelType w:val="multilevel"/>
    <w:tmpl w:val="2D721CEA"/>
    <w:lvl w:ilvl="0" w:tentative="0">
      <w:start w:val="1"/>
      <w:numFmt w:val="bullet"/>
      <w:lvlText w:val=""/>
      <w:lvlPicBulletId w:val="3"/>
      <w:lvlJc w:val="left"/>
      <w:pPr>
        <w:ind w:left="990" w:hanging="420"/>
      </w:pPr>
      <w:rPr>
        <w:rFonts w:hint="default" w:ascii="Wingdings" w:hAnsi="Wingdings"/>
      </w:rPr>
    </w:lvl>
    <w:lvl w:ilvl="1" w:tentative="0">
      <w:start w:val="1"/>
      <w:numFmt w:val="bullet"/>
      <w:lvlText w:val=""/>
      <w:lvlJc w:val="left"/>
      <w:pPr>
        <w:ind w:left="1410" w:hanging="420"/>
      </w:pPr>
      <w:rPr>
        <w:rFonts w:hint="default" w:ascii="Wingdings" w:hAnsi="Wingdings"/>
      </w:rPr>
    </w:lvl>
    <w:lvl w:ilvl="2" w:tentative="0">
      <w:start w:val="1"/>
      <w:numFmt w:val="bullet"/>
      <w:lvlText w:val=""/>
      <w:lvlJc w:val="left"/>
      <w:pPr>
        <w:ind w:left="1830" w:hanging="420"/>
      </w:pPr>
      <w:rPr>
        <w:rFonts w:hint="default" w:ascii="Wingdings" w:hAnsi="Wingdings"/>
      </w:rPr>
    </w:lvl>
    <w:lvl w:ilvl="3" w:tentative="0">
      <w:start w:val="1"/>
      <w:numFmt w:val="bullet"/>
      <w:lvlText w:val=""/>
      <w:lvlJc w:val="left"/>
      <w:pPr>
        <w:ind w:left="2250" w:hanging="420"/>
      </w:pPr>
      <w:rPr>
        <w:rFonts w:hint="default" w:ascii="Wingdings" w:hAnsi="Wingdings"/>
      </w:rPr>
    </w:lvl>
    <w:lvl w:ilvl="4" w:tentative="0">
      <w:start w:val="1"/>
      <w:numFmt w:val="bullet"/>
      <w:lvlText w:val=""/>
      <w:lvlJc w:val="left"/>
      <w:pPr>
        <w:ind w:left="2670" w:hanging="420"/>
      </w:pPr>
      <w:rPr>
        <w:rFonts w:hint="default" w:ascii="Wingdings" w:hAnsi="Wingdings"/>
      </w:rPr>
    </w:lvl>
    <w:lvl w:ilvl="5" w:tentative="0">
      <w:start w:val="1"/>
      <w:numFmt w:val="bullet"/>
      <w:lvlText w:val=""/>
      <w:lvlJc w:val="left"/>
      <w:pPr>
        <w:ind w:left="3090" w:hanging="420"/>
      </w:pPr>
      <w:rPr>
        <w:rFonts w:hint="default" w:ascii="Wingdings" w:hAnsi="Wingdings"/>
      </w:rPr>
    </w:lvl>
    <w:lvl w:ilvl="6" w:tentative="0">
      <w:start w:val="1"/>
      <w:numFmt w:val="bullet"/>
      <w:lvlText w:val=""/>
      <w:lvlJc w:val="left"/>
      <w:pPr>
        <w:ind w:left="3510" w:hanging="420"/>
      </w:pPr>
      <w:rPr>
        <w:rFonts w:hint="default" w:ascii="Wingdings" w:hAnsi="Wingdings"/>
      </w:rPr>
    </w:lvl>
    <w:lvl w:ilvl="7" w:tentative="0">
      <w:start w:val="1"/>
      <w:numFmt w:val="bullet"/>
      <w:lvlText w:val=""/>
      <w:lvlJc w:val="left"/>
      <w:pPr>
        <w:ind w:left="3930" w:hanging="420"/>
      </w:pPr>
      <w:rPr>
        <w:rFonts w:hint="default" w:ascii="Wingdings" w:hAnsi="Wingdings"/>
      </w:rPr>
    </w:lvl>
    <w:lvl w:ilvl="8" w:tentative="0">
      <w:start w:val="1"/>
      <w:numFmt w:val="bullet"/>
      <w:lvlText w:val=""/>
      <w:lvlJc w:val="left"/>
      <w:pPr>
        <w:ind w:left="4350" w:hanging="420"/>
      </w:pPr>
      <w:rPr>
        <w:rFonts w:hint="default" w:ascii="Wingdings" w:hAnsi="Wingdings"/>
      </w:rPr>
    </w:lvl>
  </w:abstractNum>
  <w:abstractNum w:abstractNumId="4">
    <w:nsid w:val="3319122C"/>
    <w:multiLevelType w:val="multilevel"/>
    <w:tmpl w:val="3319122C"/>
    <w:lvl w:ilvl="0" w:tentative="0">
      <w:start w:val="1"/>
      <w:numFmt w:val="bullet"/>
      <w:lvlText w:val=""/>
      <w:lvlPicBulletId w:val="1"/>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5">
    <w:nsid w:val="57087027"/>
    <w:multiLevelType w:val="singleLevel"/>
    <w:tmpl w:val="57087027"/>
    <w:lvl w:ilvl="0" w:tentative="0">
      <w:start w:val="1"/>
      <w:numFmt w:val="decimal"/>
      <w:suff w:val="nothing"/>
      <w:lvlText w:val="%1、"/>
      <w:lvlJc w:val="left"/>
    </w:lvl>
  </w:abstractNum>
  <w:abstractNum w:abstractNumId="6">
    <w:nsid w:val="570DBF58"/>
    <w:multiLevelType w:val="singleLevel"/>
    <w:tmpl w:val="570DBF58"/>
    <w:lvl w:ilvl="0" w:tentative="0">
      <w:start w:val="1"/>
      <w:numFmt w:val="decimal"/>
      <w:suff w:val="nothing"/>
      <w:lvlText w:val="%1、"/>
      <w:lvlJc w:val="left"/>
    </w:lvl>
  </w:abstractNum>
  <w:abstractNum w:abstractNumId="7">
    <w:nsid w:val="754E16C1"/>
    <w:multiLevelType w:val="singleLevel"/>
    <w:tmpl w:val="754E16C1"/>
    <w:lvl w:ilvl="0" w:tentative="0">
      <w:start w:val="5"/>
      <w:numFmt w:val="chineseCounting"/>
      <w:suff w:val="space"/>
      <w:lvlText w:val="第%1部分"/>
      <w:lvlJc w:val="left"/>
      <w:rPr>
        <w:rFonts w:hint="eastAsia"/>
      </w:r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53"/>
    <w:rsid w:val="0001100A"/>
    <w:rsid w:val="000205B9"/>
    <w:rsid w:val="000275F0"/>
    <w:rsid w:val="00084353"/>
    <w:rsid w:val="00091CBC"/>
    <w:rsid w:val="000C64AB"/>
    <w:rsid w:val="00106490"/>
    <w:rsid w:val="00106DDA"/>
    <w:rsid w:val="001112CA"/>
    <w:rsid w:val="00121303"/>
    <w:rsid w:val="00124E3C"/>
    <w:rsid w:val="001312CF"/>
    <w:rsid w:val="00172845"/>
    <w:rsid w:val="0018226E"/>
    <w:rsid w:val="001850A4"/>
    <w:rsid w:val="0019294D"/>
    <w:rsid w:val="001B2E6D"/>
    <w:rsid w:val="001B5E94"/>
    <w:rsid w:val="00241F11"/>
    <w:rsid w:val="0026781E"/>
    <w:rsid w:val="002962DE"/>
    <w:rsid w:val="002A2ECD"/>
    <w:rsid w:val="003113AD"/>
    <w:rsid w:val="00323900"/>
    <w:rsid w:val="00352AEF"/>
    <w:rsid w:val="00372B6F"/>
    <w:rsid w:val="00375C73"/>
    <w:rsid w:val="0038467A"/>
    <w:rsid w:val="003A73A0"/>
    <w:rsid w:val="003C6C9D"/>
    <w:rsid w:val="003D769B"/>
    <w:rsid w:val="003E594E"/>
    <w:rsid w:val="003F3403"/>
    <w:rsid w:val="00404781"/>
    <w:rsid w:val="004257D2"/>
    <w:rsid w:val="00425926"/>
    <w:rsid w:val="00430F13"/>
    <w:rsid w:val="00432003"/>
    <w:rsid w:val="00446538"/>
    <w:rsid w:val="00452811"/>
    <w:rsid w:val="00491A46"/>
    <w:rsid w:val="004A38D3"/>
    <w:rsid w:val="004E2CDF"/>
    <w:rsid w:val="004E3366"/>
    <w:rsid w:val="0051040B"/>
    <w:rsid w:val="00511A97"/>
    <w:rsid w:val="0054391E"/>
    <w:rsid w:val="005742FA"/>
    <w:rsid w:val="005A0AE8"/>
    <w:rsid w:val="005D554B"/>
    <w:rsid w:val="005E0CC6"/>
    <w:rsid w:val="00606DAE"/>
    <w:rsid w:val="0061163D"/>
    <w:rsid w:val="00615A6E"/>
    <w:rsid w:val="00617B30"/>
    <w:rsid w:val="00623AB9"/>
    <w:rsid w:val="00627218"/>
    <w:rsid w:val="00697A2F"/>
    <w:rsid w:val="006A410F"/>
    <w:rsid w:val="006A62E0"/>
    <w:rsid w:val="006B14D0"/>
    <w:rsid w:val="006B1DC1"/>
    <w:rsid w:val="006C5D0A"/>
    <w:rsid w:val="00701CC9"/>
    <w:rsid w:val="0070444E"/>
    <w:rsid w:val="00732370"/>
    <w:rsid w:val="0073702A"/>
    <w:rsid w:val="00760560"/>
    <w:rsid w:val="0076374B"/>
    <w:rsid w:val="00764F77"/>
    <w:rsid w:val="007940B0"/>
    <w:rsid w:val="00795C8C"/>
    <w:rsid w:val="00797AD3"/>
    <w:rsid w:val="007B1489"/>
    <w:rsid w:val="007B2981"/>
    <w:rsid w:val="007C5B02"/>
    <w:rsid w:val="007C68ED"/>
    <w:rsid w:val="007D5177"/>
    <w:rsid w:val="007D6A2E"/>
    <w:rsid w:val="007E7210"/>
    <w:rsid w:val="007F0227"/>
    <w:rsid w:val="00805C88"/>
    <w:rsid w:val="008161B4"/>
    <w:rsid w:val="00820780"/>
    <w:rsid w:val="00837EFF"/>
    <w:rsid w:val="00843F36"/>
    <w:rsid w:val="00856A40"/>
    <w:rsid w:val="00865FF9"/>
    <w:rsid w:val="00872626"/>
    <w:rsid w:val="008A77B0"/>
    <w:rsid w:val="008C089D"/>
    <w:rsid w:val="00907AB6"/>
    <w:rsid w:val="00925EA3"/>
    <w:rsid w:val="00933D23"/>
    <w:rsid w:val="00934005"/>
    <w:rsid w:val="009362F9"/>
    <w:rsid w:val="00951706"/>
    <w:rsid w:val="009673B6"/>
    <w:rsid w:val="00967A4A"/>
    <w:rsid w:val="009920C3"/>
    <w:rsid w:val="0099744F"/>
    <w:rsid w:val="009A04B7"/>
    <w:rsid w:val="009B7EAB"/>
    <w:rsid w:val="009C5A8E"/>
    <w:rsid w:val="009C651E"/>
    <w:rsid w:val="009D151A"/>
    <w:rsid w:val="009E3C7B"/>
    <w:rsid w:val="009E63DC"/>
    <w:rsid w:val="00A1583D"/>
    <w:rsid w:val="00A2243C"/>
    <w:rsid w:val="00A27886"/>
    <w:rsid w:val="00A33909"/>
    <w:rsid w:val="00A51D18"/>
    <w:rsid w:val="00A604B3"/>
    <w:rsid w:val="00A73FBE"/>
    <w:rsid w:val="00A80872"/>
    <w:rsid w:val="00B07858"/>
    <w:rsid w:val="00B41987"/>
    <w:rsid w:val="00B623D7"/>
    <w:rsid w:val="00B6761F"/>
    <w:rsid w:val="00BA0C53"/>
    <w:rsid w:val="00BB1422"/>
    <w:rsid w:val="00BC665F"/>
    <w:rsid w:val="00BD5382"/>
    <w:rsid w:val="00C01E36"/>
    <w:rsid w:val="00C15163"/>
    <w:rsid w:val="00C41B7D"/>
    <w:rsid w:val="00C63514"/>
    <w:rsid w:val="00C64C20"/>
    <w:rsid w:val="00C81CA7"/>
    <w:rsid w:val="00C9193A"/>
    <w:rsid w:val="00C94209"/>
    <w:rsid w:val="00C949F5"/>
    <w:rsid w:val="00CA3AF6"/>
    <w:rsid w:val="00CD344F"/>
    <w:rsid w:val="00CE28AC"/>
    <w:rsid w:val="00CF7617"/>
    <w:rsid w:val="00D00585"/>
    <w:rsid w:val="00D30132"/>
    <w:rsid w:val="00D32797"/>
    <w:rsid w:val="00D32A52"/>
    <w:rsid w:val="00D33712"/>
    <w:rsid w:val="00D718A9"/>
    <w:rsid w:val="00DF5ACF"/>
    <w:rsid w:val="00E50285"/>
    <w:rsid w:val="00E6375B"/>
    <w:rsid w:val="00E640C5"/>
    <w:rsid w:val="00E70115"/>
    <w:rsid w:val="00E7672C"/>
    <w:rsid w:val="00E871AA"/>
    <w:rsid w:val="00E94F50"/>
    <w:rsid w:val="00EC2C46"/>
    <w:rsid w:val="00ED54E1"/>
    <w:rsid w:val="00ED5575"/>
    <w:rsid w:val="00EE77B3"/>
    <w:rsid w:val="00F10A6B"/>
    <w:rsid w:val="00F47FAB"/>
    <w:rsid w:val="00F53CB2"/>
    <w:rsid w:val="00F87625"/>
    <w:rsid w:val="00F96281"/>
    <w:rsid w:val="00FA6C39"/>
    <w:rsid w:val="00FB3D33"/>
    <w:rsid w:val="00FC4F04"/>
    <w:rsid w:val="00FE080C"/>
    <w:rsid w:val="013831CE"/>
    <w:rsid w:val="013C214D"/>
    <w:rsid w:val="07822109"/>
    <w:rsid w:val="0CCA3A6F"/>
    <w:rsid w:val="0F1F6D2E"/>
    <w:rsid w:val="124E75C3"/>
    <w:rsid w:val="143C588F"/>
    <w:rsid w:val="149C30C5"/>
    <w:rsid w:val="19564DD5"/>
    <w:rsid w:val="196A1D47"/>
    <w:rsid w:val="1B0A0B5D"/>
    <w:rsid w:val="1BAA11AA"/>
    <w:rsid w:val="1CC872A9"/>
    <w:rsid w:val="1E11351C"/>
    <w:rsid w:val="23874F79"/>
    <w:rsid w:val="24B771F6"/>
    <w:rsid w:val="25A20E2B"/>
    <w:rsid w:val="26325D1D"/>
    <w:rsid w:val="26C308FA"/>
    <w:rsid w:val="291D05B2"/>
    <w:rsid w:val="29D639E1"/>
    <w:rsid w:val="29E06D09"/>
    <w:rsid w:val="2C2F08CE"/>
    <w:rsid w:val="2EA45D43"/>
    <w:rsid w:val="2F5E4EAA"/>
    <w:rsid w:val="34A5474A"/>
    <w:rsid w:val="35B7183F"/>
    <w:rsid w:val="3A05100E"/>
    <w:rsid w:val="3BDB164A"/>
    <w:rsid w:val="3D41718E"/>
    <w:rsid w:val="3EC718FC"/>
    <w:rsid w:val="4C6678C8"/>
    <w:rsid w:val="4CF47541"/>
    <w:rsid w:val="53CE6194"/>
    <w:rsid w:val="5718003A"/>
    <w:rsid w:val="57594AA4"/>
    <w:rsid w:val="58B54244"/>
    <w:rsid w:val="5A8726CE"/>
    <w:rsid w:val="5BF67A00"/>
    <w:rsid w:val="5F665D64"/>
    <w:rsid w:val="60C7672A"/>
    <w:rsid w:val="625A391E"/>
    <w:rsid w:val="62A15079"/>
    <w:rsid w:val="664D0823"/>
    <w:rsid w:val="68351DD5"/>
    <w:rsid w:val="6B8F5790"/>
    <w:rsid w:val="6D5A6C6F"/>
    <w:rsid w:val="6F0F4D5B"/>
    <w:rsid w:val="71D3679D"/>
    <w:rsid w:val="73FF3424"/>
    <w:rsid w:val="744A58F1"/>
    <w:rsid w:val="748C5B6B"/>
    <w:rsid w:val="75F21CFF"/>
    <w:rsid w:val="77B35C4B"/>
    <w:rsid w:val="78036B58"/>
    <w:rsid w:val="782551A7"/>
    <w:rsid w:val="7BA77630"/>
    <w:rsid w:val="7E450B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link w:val="22"/>
    <w:unhideWhenUsed/>
    <w:qFormat/>
    <w:uiPriority w:val="0"/>
    <w:pPr>
      <w:ind w:firstLine="420"/>
    </w:pPr>
    <w:rPr>
      <w:rFonts w:eastAsiaTheme="minorEastAsia"/>
      <w:kern w:val="0"/>
      <w:sz w:val="20"/>
      <w:szCs w:val="20"/>
    </w:rPr>
  </w:style>
  <w:style w:type="paragraph" w:styleId="4">
    <w:name w:val="Body Text Indent"/>
    <w:basedOn w:val="1"/>
    <w:link w:val="19"/>
    <w:qFormat/>
    <w:uiPriority w:val="0"/>
    <w:pPr>
      <w:tabs>
        <w:tab w:val="left" w:pos="1701"/>
        <w:tab w:val="left" w:pos="2127"/>
        <w:tab w:val="left" w:pos="4111"/>
      </w:tabs>
      <w:spacing w:line="560" w:lineRule="exact"/>
      <w:ind w:firstLine="560" w:firstLineChars="200"/>
    </w:pPr>
    <w:rPr>
      <w:sz w:val="28"/>
    </w:rPr>
  </w:style>
  <w:style w:type="paragraph" w:styleId="5">
    <w:name w:val="Body Text Indent 2"/>
    <w:basedOn w:val="1"/>
    <w:link w:val="18"/>
    <w:qFormat/>
    <w:uiPriority w:val="0"/>
    <w:pPr>
      <w:tabs>
        <w:tab w:val="left" w:pos="1701"/>
        <w:tab w:val="left" w:pos="2127"/>
        <w:tab w:val="left" w:pos="4111"/>
      </w:tabs>
      <w:spacing w:line="520" w:lineRule="exact"/>
      <w:ind w:firstLine="480" w:firstLineChars="200"/>
    </w:pPr>
    <w:rPr>
      <w:rFonts w:ascii="宋体" w:hAnsi="宋体"/>
      <w:sz w:val="24"/>
      <w:szCs w:val="2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basedOn w:val="10"/>
    <w:qFormat/>
    <w:uiPriority w:val="0"/>
    <w:rPr>
      <w:color w:val="000000"/>
      <w:u w:val="non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semiHidden/>
    <w:qFormat/>
    <w:uiPriority w:val="99"/>
    <w:rPr>
      <w:sz w:val="18"/>
      <w:szCs w:val="18"/>
    </w:rPr>
  </w:style>
  <w:style w:type="character" w:customStyle="1" w:styleId="17">
    <w:name w:val="标题 1 Char"/>
    <w:basedOn w:val="10"/>
    <w:link w:val="2"/>
    <w:qFormat/>
    <w:uiPriority w:val="0"/>
    <w:rPr>
      <w:rFonts w:ascii="Times New Roman" w:hAnsi="Times New Roman" w:eastAsia="宋体" w:cs="Times New Roman"/>
      <w:b/>
      <w:bCs/>
      <w:kern w:val="44"/>
      <w:sz w:val="44"/>
      <w:szCs w:val="44"/>
    </w:rPr>
  </w:style>
  <w:style w:type="character" w:customStyle="1" w:styleId="18">
    <w:name w:val="正文文本缩进 2 Char"/>
    <w:basedOn w:val="10"/>
    <w:link w:val="5"/>
    <w:qFormat/>
    <w:uiPriority w:val="0"/>
    <w:rPr>
      <w:rFonts w:ascii="宋体" w:hAnsi="宋体" w:eastAsia="宋体" w:cs="Times New Roman"/>
      <w:sz w:val="24"/>
      <w:szCs w:val="28"/>
    </w:rPr>
  </w:style>
  <w:style w:type="character" w:customStyle="1" w:styleId="19">
    <w:name w:val="正文文本缩进 Char"/>
    <w:basedOn w:val="10"/>
    <w:link w:val="4"/>
    <w:qFormat/>
    <w:uiPriority w:val="0"/>
    <w:rPr>
      <w:rFonts w:ascii="Times New Roman" w:hAnsi="Times New Roman" w:eastAsia="宋体" w:cs="Times New Roman"/>
      <w:sz w:val="28"/>
      <w:szCs w:val="24"/>
    </w:rPr>
  </w:style>
  <w:style w:type="paragraph" w:styleId="20">
    <w:name w:val="List Paragraph"/>
    <w:basedOn w:val="1"/>
    <w:qFormat/>
    <w:uiPriority w:val="34"/>
    <w:pPr>
      <w:ind w:firstLine="420" w:firstLineChars="200"/>
    </w:pPr>
  </w:style>
  <w:style w:type="paragraph" w:customStyle="1" w:styleId="21">
    <w:name w:val="正文空2格  1."/>
    <w:basedOn w:val="1"/>
    <w:qFormat/>
    <w:uiPriority w:val="0"/>
    <w:pPr>
      <w:ind w:firstLine="480" w:firstLineChars="200"/>
    </w:pPr>
    <w:rPr>
      <w:rFonts w:cs="宋体"/>
      <w:sz w:val="28"/>
      <w:szCs w:val="20"/>
    </w:rPr>
  </w:style>
  <w:style w:type="character" w:customStyle="1" w:styleId="22">
    <w:name w:val="正文缩进 Char"/>
    <w:link w:val="3"/>
    <w:qFormat/>
    <w:locked/>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E5F47-22AF-4FB0-935F-39A151A56645}">
  <ds:schemaRefs/>
</ds:datastoreItem>
</file>

<file path=docProps/app.xml><?xml version="1.0" encoding="utf-8"?>
<Properties xmlns="http://schemas.openxmlformats.org/officeDocument/2006/extended-properties" xmlns:vt="http://schemas.openxmlformats.org/officeDocument/2006/docPropsVTypes">
  <Template>Normal</Template>
  <Pages>21</Pages>
  <Words>1592</Words>
  <Characters>9076</Characters>
  <Lines>75</Lines>
  <Paragraphs>21</Paragraphs>
  <TotalTime>97</TotalTime>
  <ScaleCrop>false</ScaleCrop>
  <LinksUpToDate>false</LinksUpToDate>
  <CharactersWithSpaces>10647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2016-10-10T23:59:00Z</dcterms:created>
  <dc:creator>Windows 用户</dc:creator>
  <cp:lastModifiedBy>Administrator</cp:lastModifiedBy>
  <cp:lastPrinted>2018-12-05T01:13:00Z</cp:lastPrinted>
  <dcterms:modified xsi:type="dcterms:W3CDTF">2018-12-24T08:59:43Z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