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900"/>
        </w:tabs>
        <w:adjustRightInd w:val="0"/>
        <w:snapToGrid w:val="0"/>
        <w:spacing w:line="360" w:lineRule="auto"/>
        <w:jc w:val="center"/>
        <w:rPr>
          <w:rFonts w:ascii="宋体" w:hAnsi="宋体" w:cs="宋体"/>
          <w:b/>
          <w:sz w:val="24"/>
          <w:szCs w:val="24"/>
        </w:rPr>
      </w:pPr>
    </w:p>
    <w:p>
      <w:pPr>
        <w:adjustRightInd w:val="0"/>
        <w:snapToGrid w:val="0"/>
        <w:spacing w:line="360" w:lineRule="auto"/>
        <w:jc w:val="center"/>
        <w:rPr>
          <w:rFonts w:ascii="宋体" w:hAnsi="宋体" w:cs="宋体"/>
          <w:b/>
          <w:sz w:val="24"/>
          <w:szCs w:val="24"/>
        </w:rPr>
      </w:pPr>
    </w:p>
    <w:p>
      <w:pPr>
        <w:adjustRightInd w:val="0"/>
        <w:snapToGrid w:val="0"/>
        <w:spacing w:line="360" w:lineRule="auto"/>
        <w:jc w:val="center"/>
        <w:rPr>
          <w:rFonts w:ascii="宋体" w:hAnsi="宋体" w:cs="宋体"/>
          <w:b/>
          <w:sz w:val="24"/>
          <w:szCs w:val="24"/>
        </w:rPr>
      </w:pPr>
    </w:p>
    <w:p>
      <w:pPr>
        <w:pStyle w:val="463"/>
        <w:spacing w:before="0" w:after="0"/>
        <w:ind w:firstLine="0"/>
        <w:jc w:val="center"/>
        <w:rPr>
          <w:rFonts w:ascii="宋体" w:hAnsi="宋体"/>
          <w:sz w:val="36"/>
          <w:szCs w:val="36"/>
          <w:lang w:val="zh-CN"/>
        </w:rPr>
      </w:pPr>
      <w:r>
        <w:rPr>
          <w:rFonts w:hint="eastAsia" w:ascii="宋体" w:hAnsi="宋体"/>
          <w:sz w:val="36"/>
          <w:szCs w:val="36"/>
          <w:lang w:val="zh-CN"/>
        </w:rPr>
        <w:t>养老服务管理系统升级项目</w:t>
      </w:r>
    </w:p>
    <w:p>
      <w:pPr>
        <w:snapToGrid w:val="0"/>
        <w:spacing w:line="360" w:lineRule="auto"/>
        <w:ind w:left="560"/>
        <w:jc w:val="center"/>
        <w:rPr>
          <w:rFonts w:ascii="宋体" w:hAnsi="宋体" w:cs="宋体"/>
          <w:b/>
          <w:kern w:val="0"/>
          <w:sz w:val="56"/>
          <w:szCs w:val="56"/>
        </w:rPr>
      </w:pPr>
      <w:r>
        <w:rPr>
          <w:rFonts w:hint="eastAsia" w:ascii="宋体" w:hAnsi="宋体" w:cs="宋体"/>
          <w:b/>
          <w:kern w:val="0"/>
          <w:sz w:val="56"/>
          <w:szCs w:val="56"/>
        </w:rPr>
        <w:t>招标文件</w:t>
      </w:r>
    </w:p>
    <w:p>
      <w:pPr>
        <w:spacing w:line="360" w:lineRule="auto"/>
        <w:ind w:firstLine="1446" w:firstLineChars="600"/>
        <w:rPr>
          <w:rFonts w:ascii="宋体" w:hAnsi="宋体" w:cs="宋体"/>
          <w:b/>
          <w:bCs/>
          <w:color w:val="0000FF"/>
          <w:sz w:val="24"/>
          <w:szCs w:val="24"/>
          <w:highlight w:val="yellow"/>
          <w:u w:val="single"/>
          <w:lang w:val="zh-CN"/>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ind w:firstLine="420"/>
        <w:jc w:val="center"/>
        <w:rPr>
          <w:rFonts w:ascii="宋体" w:hAnsi="宋体" w:cs="宋体"/>
          <w:sz w:val="24"/>
          <w:szCs w:val="24"/>
        </w:rPr>
      </w:pPr>
    </w:p>
    <w:p>
      <w:pPr>
        <w:autoSpaceDE w:val="0"/>
        <w:autoSpaceDN w:val="0"/>
        <w:adjustRightInd w:val="0"/>
        <w:spacing w:line="360" w:lineRule="auto"/>
        <w:rPr>
          <w:rFonts w:ascii="宋体" w:hAnsi="宋体" w:cs="宋体"/>
          <w:b/>
          <w:bCs/>
          <w:sz w:val="24"/>
          <w:szCs w:val="24"/>
          <w:lang w:val="zh-CN"/>
        </w:rPr>
      </w:pPr>
    </w:p>
    <w:p>
      <w:pPr>
        <w:snapToGrid w:val="0"/>
        <w:spacing w:line="360" w:lineRule="auto"/>
        <w:ind w:firstLine="1280" w:firstLineChars="400"/>
        <w:rPr>
          <w:rFonts w:ascii="宋体" w:hAnsi="宋体" w:cs="宋体"/>
          <w:kern w:val="0"/>
          <w:sz w:val="32"/>
          <w:szCs w:val="32"/>
        </w:rPr>
      </w:pPr>
      <w:r>
        <w:rPr>
          <w:rFonts w:hint="eastAsia" w:ascii="宋体" w:hAnsi="宋体" w:cs="宋体"/>
          <w:kern w:val="0"/>
          <w:sz w:val="32"/>
          <w:szCs w:val="32"/>
        </w:rPr>
        <w:t>招标人：扬州市民卡有限责任公司</w:t>
      </w:r>
    </w:p>
    <w:p>
      <w:pPr>
        <w:pStyle w:val="331"/>
        <w:snapToGrid w:val="0"/>
        <w:spacing w:line="360" w:lineRule="auto"/>
        <w:rPr>
          <w:rFonts w:hAnsi="宋体" w:cs="宋体"/>
          <w:color w:val="auto"/>
        </w:rPr>
      </w:pPr>
    </w:p>
    <w:p>
      <w:pPr>
        <w:snapToGrid w:val="0"/>
        <w:spacing w:line="360" w:lineRule="auto"/>
        <w:jc w:val="center"/>
        <w:rPr>
          <w:rFonts w:ascii="宋体" w:hAnsi="宋体" w:cs="宋体"/>
          <w:kern w:val="0"/>
          <w:sz w:val="32"/>
          <w:szCs w:val="32"/>
        </w:rPr>
      </w:pPr>
      <w:r>
        <w:rPr>
          <w:rFonts w:hint="eastAsia" w:ascii="宋体" w:hAnsi="宋体" w:cs="宋体"/>
          <w:kern w:val="0"/>
          <w:sz w:val="32"/>
          <w:szCs w:val="32"/>
        </w:rPr>
        <w:t xml:space="preserve">  招标代理机构：扬州市嘉诚造价咨询有限公司</w:t>
      </w:r>
    </w:p>
    <w:p>
      <w:pPr>
        <w:spacing w:line="360" w:lineRule="auto"/>
        <w:jc w:val="center"/>
        <w:rPr>
          <w:rFonts w:ascii="宋体" w:hAnsi="宋体" w:cs="宋体"/>
          <w:b/>
          <w:bCs/>
          <w:color w:val="000000"/>
          <w:w w:val="90"/>
          <w:kern w:val="0"/>
          <w:sz w:val="32"/>
          <w:szCs w:val="32"/>
          <w:highlight w:val="none"/>
        </w:rPr>
      </w:pPr>
      <w:bookmarkStart w:id="0" w:name="EB59c3faf64f2a4bd092a206fb1d0c3c03"/>
      <w:r>
        <w:rPr>
          <w:rFonts w:hint="eastAsia" w:ascii="宋体" w:hAnsi="宋体" w:cs="宋体"/>
          <w:b/>
          <w:bCs/>
          <w:color w:val="000000"/>
          <w:w w:val="90"/>
          <w:kern w:val="0"/>
          <w:sz w:val="32"/>
          <w:szCs w:val="32"/>
          <w:highlight w:val="none"/>
        </w:rPr>
        <w:t>202</w:t>
      </w:r>
      <w:r>
        <w:rPr>
          <w:rFonts w:hint="eastAsia" w:ascii="宋体" w:hAnsi="宋体" w:cs="宋体"/>
          <w:b/>
          <w:bCs/>
          <w:color w:val="000000"/>
          <w:w w:val="90"/>
          <w:kern w:val="0"/>
          <w:sz w:val="32"/>
          <w:szCs w:val="32"/>
          <w:highlight w:val="none"/>
          <w:lang w:val="en-US" w:eastAsia="zh-CN"/>
        </w:rPr>
        <w:t>2</w:t>
      </w:r>
      <w:r>
        <w:rPr>
          <w:rFonts w:hint="eastAsia" w:ascii="宋体" w:hAnsi="宋体" w:cs="宋体"/>
          <w:b/>
          <w:bCs/>
          <w:color w:val="000000"/>
          <w:w w:val="90"/>
          <w:kern w:val="0"/>
          <w:sz w:val="32"/>
          <w:szCs w:val="32"/>
          <w:highlight w:val="none"/>
        </w:rPr>
        <w:t>年1月</w:t>
      </w:r>
      <w:r>
        <w:rPr>
          <w:rFonts w:hint="eastAsia" w:ascii="宋体" w:hAnsi="宋体" w:cs="宋体"/>
          <w:b/>
          <w:bCs/>
          <w:color w:val="000000"/>
          <w:w w:val="90"/>
          <w:kern w:val="0"/>
          <w:sz w:val="32"/>
          <w:szCs w:val="32"/>
          <w:highlight w:val="none"/>
          <w:lang w:val="en-US" w:eastAsia="zh-CN"/>
        </w:rPr>
        <w:t>27</w:t>
      </w:r>
      <w:r>
        <w:rPr>
          <w:rFonts w:hint="eastAsia" w:ascii="宋体" w:hAnsi="宋体" w:cs="宋体"/>
          <w:b/>
          <w:bCs/>
          <w:color w:val="000000"/>
          <w:w w:val="90"/>
          <w:kern w:val="0"/>
          <w:sz w:val="32"/>
          <w:szCs w:val="32"/>
          <w:highlight w:val="none"/>
        </w:rPr>
        <w:t>日</w:t>
      </w:r>
      <w:bookmarkEnd w:id="0"/>
    </w:p>
    <w:p>
      <w:pPr>
        <w:spacing w:line="360" w:lineRule="auto"/>
        <w:jc w:val="center"/>
        <w:rPr>
          <w:rFonts w:ascii="宋体" w:hAnsi="宋体" w:cs="宋体"/>
          <w:b/>
          <w:spacing w:val="20"/>
          <w:sz w:val="24"/>
          <w:szCs w:val="24"/>
        </w:rPr>
      </w:pPr>
    </w:p>
    <w:p>
      <w:pPr>
        <w:adjustRightInd w:val="0"/>
        <w:snapToGrid w:val="0"/>
        <w:spacing w:line="360" w:lineRule="auto"/>
        <w:ind w:left="-158" w:leftChars="-75"/>
        <w:rPr>
          <w:rFonts w:ascii="宋体" w:hAnsi="宋体" w:cs="宋体"/>
          <w:b/>
          <w:snapToGrid w:val="0"/>
          <w:sz w:val="24"/>
          <w:szCs w:val="24"/>
          <w:u w:val="single"/>
        </w:rPr>
      </w:pPr>
    </w:p>
    <w:p>
      <w:pPr>
        <w:adjustRightInd w:val="0"/>
        <w:snapToGrid w:val="0"/>
        <w:spacing w:line="360" w:lineRule="auto"/>
        <w:ind w:left="-158" w:leftChars="-75" w:right="-601" w:rightChars="-286"/>
        <w:jc w:val="center"/>
        <w:rPr>
          <w:rFonts w:ascii="宋体" w:hAnsi="宋体" w:cs="宋体"/>
          <w:b/>
          <w:bCs/>
          <w:sz w:val="24"/>
          <w:szCs w:val="24"/>
        </w:rPr>
      </w:pPr>
    </w:p>
    <w:p>
      <w:pPr>
        <w:adjustRightInd w:val="0"/>
        <w:snapToGrid w:val="0"/>
        <w:spacing w:line="360" w:lineRule="auto"/>
        <w:ind w:left="-158" w:leftChars="-75" w:right="-601" w:rightChars="-286"/>
        <w:jc w:val="center"/>
        <w:rPr>
          <w:rFonts w:ascii="宋体" w:hAnsi="宋体" w:cs="宋体"/>
          <w:b/>
          <w:bCs/>
          <w:sz w:val="24"/>
          <w:szCs w:val="24"/>
        </w:rPr>
      </w:pPr>
    </w:p>
    <w:p>
      <w:pPr>
        <w:adjustRightInd w:val="0"/>
        <w:snapToGrid w:val="0"/>
        <w:spacing w:line="360" w:lineRule="auto"/>
        <w:ind w:left="-158" w:leftChars="-75" w:right="-601" w:rightChars="-286"/>
        <w:jc w:val="center"/>
        <w:rPr>
          <w:rFonts w:ascii="宋体" w:hAnsi="宋体" w:cs="宋体"/>
          <w:b/>
          <w:bCs/>
          <w:sz w:val="24"/>
          <w:szCs w:val="24"/>
        </w:rPr>
      </w:pPr>
    </w:p>
    <w:p>
      <w:pPr>
        <w:adjustRightInd w:val="0"/>
        <w:snapToGrid w:val="0"/>
        <w:spacing w:line="360" w:lineRule="auto"/>
        <w:ind w:left="-158" w:leftChars="-75" w:right="-601" w:rightChars="-286"/>
        <w:jc w:val="center"/>
        <w:rPr>
          <w:rFonts w:ascii="宋体" w:hAnsi="宋体" w:cs="宋体"/>
          <w:b/>
          <w:bCs/>
          <w:sz w:val="24"/>
          <w:szCs w:val="24"/>
        </w:rPr>
      </w:pPr>
    </w:p>
    <w:p>
      <w:pPr>
        <w:pStyle w:val="52"/>
        <w:spacing w:line="360" w:lineRule="auto"/>
        <w:ind w:firstLine="0"/>
        <w:rPr>
          <w:rFonts w:ascii="宋体" w:hAnsi="宋体" w:eastAsia="宋体" w:cs="宋体"/>
          <w:b/>
          <w:bCs/>
          <w:sz w:val="24"/>
        </w:rPr>
      </w:pPr>
    </w:p>
    <w:p>
      <w:pPr>
        <w:pStyle w:val="52"/>
        <w:spacing w:line="360" w:lineRule="auto"/>
        <w:rPr>
          <w:rFonts w:ascii="宋体" w:hAnsi="宋体" w:eastAsia="宋体" w:cs="宋体"/>
          <w:b/>
          <w:bCs/>
          <w:sz w:val="24"/>
        </w:rPr>
      </w:pPr>
    </w:p>
    <w:sdt>
      <w:sdtPr>
        <w:rPr>
          <w:rFonts w:ascii="宋体" w:hAnsi="宋体" w:eastAsiaTheme="minorEastAsia" w:cstheme="minorBidi"/>
          <w:sz w:val="28"/>
          <w:szCs w:val="24"/>
        </w:rPr>
        <w:id w:val="147451414"/>
        <w15:color w:val="DBDBDB"/>
        <w:docPartObj>
          <w:docPartGallery w:val="Table of Contents"/>
          <w:docPartUnique/>
        </w:docPartObj>
      </w:sdtPr>
      <w:sdtEndPr>
        <w:rPr>
          <w:rFonts w:ascii="宋体" w:hAnsi="宋体" w:cs="宋体" w:eastAsiaTheme="minorEastAsia"/>
          <w:sz w:val="28"/>
          <w:szCs w:val="24"/>
        </w:rPr>
      </w:sdtEndPr>
      <w:sdtContent>
        <w:p>
          <w:pPr>
            <w:spacing w:line="360" w:lineRule="auto"/>
            <w:jc w:val="center"/>
          </w:pPr>
          <w:r>
            <w:rPr>
              <w:rFonts w:ascii="宋体" w:hAnsi="宋体"/>
              <w:sz w:val="32"/>
              <w:szCs w:val="32"/>
            </w:rPr>
            <w:t>目录</w:t>
          </w:r>
        </w:p>
        <w:p>
          <w:pPr>
            <w:pStyle w:val="36"/>
            <w:tabs>
              <w:tab w:val="right" w:leader="dot" w:pos="8640"/>
            </w:tabs>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rPr>
              <w:rFonts w:hint="eastAsia" w:ascii="宋体" w:hAnsi="宋体" w:cs="宋体"/>
            </w:rPr>
            <w:fldChar w:fldCharType="begin"/>
          </w:r>
          <w:r>
            <w:rPr>
              <w:rFonts w:hint="eastAsia" w:ascii="宋体" w:hAnsi="宋体" w:cs="宋体"/>
            </w:rPr>
            <w:instrText xml:space="preserve"> HYPERLINK \l _Toc6259 </w:instrText>
          </w:r>
          <w:r>
            <w:rPr>
              <w:rFonts w:hint="eastAsia" w:ascii="宋体" w:hAnsi="宋体" w:cs="宋体"/>
            </w:rPr>
            <w:fldChar w:fldCharType="separate"/>
          </w:r>
          <w:r>
            <w:rPr>
              <w:rFonts w:hint="eastAsia" w:ascii="宋体" w:hAnsi="宋体" w:eastAsia="宋体" w:cs="Times New Roman"/>
              <w:snapToGrid w:val="0"/>
              <w:kern w:val="0"/>
              <w:szCs w:val="20"/>
            </w:rPr>
            <w:t>第一章 招标公告</w:t>
          </w:r>
          <w:r>
            <w:tab/>
          </w:r>
          <w:r>
            <w:fldChar w:fldCharType="begin"/>
          </w:r>
          <w:r>
            <w:instrText xml:space="preserve"> PAGEREF _Toc6259 \h </w:instrText>
          </w:r>
          <w:r>
            <w:fldChar w:fldCharType="separate"/>
          </w:r>
          <w:r>
            <w:t>3</w:t>
          </w:r>
          <w:r>
            <w:fldChar w:fldCharType="end"/>
          </w:r>
          <w:r>
            <w:rPr>
              <w:rFonts w:hint="eastAsia" w:ascii="宋体" w:hAnsi="宋体" w:cs="宋体"/>
            </w:rPr>
            <w:fldChar w:fldCharType="end"/>
          </w:r>
        </w:p>
        <w:p>
          <w:pPr>
            <w:pStyle w:val="36"/>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_Toc8520 </w:instrText>
          </w:r>
          <w:r>
            <w:rPr>
              <w:rFonts w:hint="eastAsia" w:ascii="宋体" w:hAnsi="宋体" w:eastAsia="宋体" w:cs="宋体"/>
            </w:rPr>
            <w:fldChar w:fldCharType="separate"/>
          </w:r>
          <w:r>
            <w:rPr>
              <w:rFonts w:hint="eastAsia" w:ascii="宋体" w:hAnsi="宋体" w:eastAsia="宋体" w:cs="Times New Roman"/>
              <w:snapToGrid w:val="0"/>
              <w:kern w:val="0"/>
              <w:szCs w:val="20"/>
            </w:rPr>
            <w:t>第二章 投标须知</w:t>
          </w:r>
          <w:r>
            <w:tab/>
          </w:r>
          <w:r>
            <w:fldChar w:fldCharType="begin"/>
          </w:r>
          <w:r>
            <w:instrText xml:space="preserve"> PAGEREF _Toc8520 \h </w:instrText>
          </w:r>
          <w:r>
            <w:fldChar w:fldCharType="separate"/>
          </w:r>
          <w:r>
            <w:t>6</w:t>
          </w:r>
          <w:r>
            <w:fldChar w:fldCharType="end"/>
          </w:r>
          <w:r>
            <w:rPr>
              <w:rFonts w:hint="eastAsia" w:ascii="宋体" w:hAnsi="宋体" w:eastAsia="宋体" w:cs="宋体"/>
            </w:rPr>
            <w:fldChar w:fldCharType="end"/>
          </w:r>
        </w:p>
        <w:p>
          <w:pPr>
            <w:pStyle w:val="36"/>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_Toc18123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黑体" w:cs="宋体"/>
              <w:bCs/>
              <w:szCs w:val="32"/>
            </w:rPr>
            <w:t>、</w:t>
          </w:r>
          <w:r>
            <w:rPr>
              <w:rFonts w:hint="eastAsia" w:ascii="宋体" w:hAnsi="宋体" w:eastAsia="黑体" w:cs="宋体"/>
              <w:bCs/>
              <w:szCs w:val="32"/>
              <w:lang w:val="zh-CN"/>
            </w:rPr>
            <w:t>投标人须知前附表</w:t>
          </w:r>
          <w:r>
            <w:tab/>
          </w:r>
          <w:r>
            <w:fldChar w:fldCharType="begin"/>
          </w:r>
          <w:r>
            <w:instrText xml:space="preserve"> PAGEREF _Toc18123 \h </w:instrText>
          </w:r>
          <w:r>
            <w:fldChar w:fldCharType="separate"/>
          </w:r>
          <w:r>
            <w:t>6</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_Toc21101 </w:instrText>
          </w:r>
          <w:r>
            <w:rPr>
              <w:rFonts w:hint="eastAsia" w:ascii="宋体" w:hAnsi="宋体" w:eastAsia="宋体" w:cs="宋体"/>
            </w:rPr>
            <w:fldChar w:fldCharType="separate"/>
          </w:r>
          <w:r>
            <w:rPr>
              <w:rFonts w:hint="eastAsia" w:ascii="宋体" w:hAnsi="宋体" w:cs="宋体"/>
            </w:rPr>
            <w:t>2.招标文件</w:t>
          </w:r>
          <w:r>
            <w:tab/>
          </w:r>
          <w:r>
            <w:fldChar w:fldCharType="begin"/>
          </w:r>
          <w:r>
            <w:instrText xml:space="preserve"> PAGEREF _Toc21101 \h </w:instrText>
          </w:r>
          <w:r>
            <w:fldChar w:fldCharType="separate"/>
          </w:r>
          <w:r>
            <w:t>11</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_Toc18036 </w:instrText>
          </w:r>
          <w:r>
            <w:rPr>
              <w:rFonts w:hint="eastAsia" w:ascii="宋体" w:hAnsi="宋体" w:eastAsia="宋体" w:cs="宋体"/>
            </w:rPr>
            <w:fldChar w:fldCharType="separate"/>
          </w:r>
          <w:r>
            <w:rPr>
              <w:rFonts w:hint="eastAsia" w:ascii="宋体" w:hAnsi="宋体" w:cs="宋体"/>
            </w:rPr>
            <w:t>3.投标文件</w:t>
          </w:r>
          <w:r>
            <w:tab/>
          </w:r>
          <w:r>
            <w:fldChar w:fldCharType="begin"/>
          </w:r>
          <w:r>
            <w:instrText xml:space="preserve"> PAGEREF _Toc18036 \h </w:instrText>
          </w:r>
          <w:r>
            <w:fldChar w:fldCharType="separate"/>
          </w:r>
          <w:r>
            <w:t>12</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_Toc17228 </w:instrText>
          </w:r>
          <w:r>
            <w:rPr>
              <w:rFonts w:hint="eastAsia" w:ascii="宋体" w:hAnsi="宋体" w:eastAsia="宋体" w:cs="宋体"/>
            </w:rPr>
            <w:fldChar w:fldCharType="separate"/>
          </w:r>
          <w:r>
            <w:rPr>
              <w:rFonts w:hint="eastAsia" w:ascii="宋体" w:hAnsi="宋体" w:cs="宋体"/>
            </w:rPr>
            <w:t>4.投标</w:t>
          </w:r>
          <w:r>
            <w:tab/>
          </w:r>
          <w:r>
            <w:fldChar w:fldCharType="begin"/>
          </w:r>
          <w:r>
            <w:instrText xml:space="preserve"> PAGEREF _Toc17228 \h </w:instrText>
          </w:r>
          <w:r>
            <w:fldChar w:fldCharType="separate"/>
          </w:r>
          <w:r>
            <w:t>14</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_Toc10477 </w:instrText>
          </w:r>
          <w:r>
            <w:rPr>
              <w:rFonts w:hint="eastAsia" w:ascii="宋体" w:hAnsi="宋体" w:eastAsia="宋体" w:cs="宋体"/>
            </w:rPr>
            <w:fldChar w:fldCharType="separate"/>
          </w:r>
          <w:r>
            <w:rPr>
              <w:rFonts w:hint="eastAsia" w:ascii="宋体" w:hAnsi="宋体" w:cs="宋体"/>
            </w:rPr>
            <w:t>5.开标</w:t>
          </w:r>
          <w:r>
            <w:tab/>
          </w:r>
          <w:r>
            <w:fldChar w:fldCharType="begin"/>
          </w:r>
          <w:r>
            <w:instrText xml:space="preserve"> PAGEREF _Toc10477 \h </w:instrText>
          </w:r>
          <w:r>
            <w:fldChar w:fldCharType="separate"/>
          </w:r>
          <w:r>
            <w:t>15</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_Toc28351 </w:instrText>
          </w:r>
          <w:r>
            <w:rPr>
              <w:rFonts w:hint="eastAsia" w:ascii="宋体" w:hAnsi="宋体" w:eastAsia="宋体" w:cs="宋体"/>
            </w:rPr>
            <w:fldChar w:fldCharType="separate"/>
          </w:r>
          <w:r>
            <w:rPr>
              <w:rFonts w:hint="eastAsia" w:ascii="宋体" w:hAnsi="宋体" w:cs="宋体"/>
            </w:rPr>
            <w:t>6.评标</w:t>
          </w:r>
          <w:r>
            <w:tab/>
          </w:r>
          <w:r>
            <w:fldChar w:fldCharType="begin"/>
          </w:r>
          <w:r>
            <w:instrText xml:space="preserve"> PAGEREF _Toc28351 \h </w:instrText>
          </w:r>
          <w:r>
            <w:fldChar w:fldCharType="separate"/>
          </w:r>
          <w:r>
            <w:t>15</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_Toc22427 </w:instrText>
          </w:r>
          <w:r>
            <w:rPr>
              <w:rFonts w:hint="eastAsia" w:ascii="宋体" w:hAnsi="宋体" w:eastAsia="宋体" w:cs="宋体"/>
            </w:rPr>
            <w:fldChar w:fldCharType="separate"/>
          </w:r>
          <w:r>
            <w:rPr>
              <w:rFonts w:hint="eastAsia" w:ascii="宋体" w:hAnsi="宋体" w:cs="宋体"/>
            </w:rPr>
            <w:t>7.合同授予</w:t>
          </w:r>
          <w:r>
            <w:tab/>
          </w:r>
          <w:r>
            <w:fldChar w:fldCharType="begin"/>
          </w:r>
          <w:r>
            <w:instrText xml:space="preserve"> PAGEREF _Toc22427 \h </w:instrText>
          </w:r>
          <w:r>
            <w:fldChar w:fldCharType="separate"/>
          </w:r>
          <w:r>
            <w:t>17</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_Toc21186 </w:instrText>
          </w:r>
          <w:r>
            <w:rPr>
              <w:rFonts w:hint="eastAsia" w:ascii="宋体" w:hAnsi="宋体" w:eastAsia="宋体" w:cs="宋体"/>
            </w:rPr>
            <w:fldChar w:fldCharType="separate"/>
          </w:r>
          <w:r>
            <w:rPr>
              <w:rFonts w:hint="eastAsia" w:ascii="宋体" w:hAnsi="宋体" w:cs="宋体"/>
            </w:rPr>
            <w:t>8.纪律和监督</w:t>
          </w:r>
          <w:r>
            <w:tab/>
          </w:r>
          <w:r>
            <w:fldChar w:fldCharType="begin"/>
          </w:r>
          <w:r>
            <w:instrText xml:space="preserve"> PAGEREF _Toc21186 \h </w:instrText>
          </w:r>
          <w:r>
            <w:fldChar w:fldCharType="separate"/>
          </w:r>
          <w:r>
            <w:t>18</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_Toc21003 </w:instrText>
          </w:r>
          <w:r>
            <w:rPr>
              <w:rFonts w:hint="eastAsia" w:ascii="宋体" w:hAnsi="宋体" w:eastAsia="宋体" w:cs="宋体"/>
            </w:rPr>
            <w:fldChar w:fldCharType="separate"/>
          </w:r>
          <w:r>
            <w:rPr>
              <w:rFonts w:hint="eastAsia" w:ascii="宋体" w:hAnsi="宋体" w:cs="宋体"/>
            </w:rPr>
            <w:t>9.是否采用电子招标投标</w:t>
          </w:r>
          <w:r>
            <w:tab/>
          </w:r>
          <w:r>
            <w:fldChar w:fldCharType="begin"/>
          </w:r>
          <w:r>
            <w:instrText xml:space="preserve"> PAGEREF _Toc21003 \h </w:instrText>
          </w:r>
          <w:r>
            <w:fldChar w:fldCharType="separate"/>
          </w:r>
          <w:r>
            <w:t>20</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_Toc3113 </w:instrText>
          </w:r>
          <w:r>
            <w:rPr>
              <w:rFonts w:hint="eastAsia" w:ascii="宋体" w:hAnsi="宋体" w:eastAsia="宋体" w:cs="宋体"/>
            </w:rPr>
            <w:fldChar w:fldCharType="separate"/>
          </w:r>
          <w:r>
            <w:rPr>
              <w:rFonts w:hint="eastAsia" w:ascii="宋体" w:hAnsi="宋体" w:cs="宋体"/>
            </w:rPr>
            <w:t>10.需要补充的其他内容</w:t>
          </w:r>
          <w:r>
            <w:tab/>
          </w:r>
          <w:r>
            <w:fldChar w:fldCharType="begin"/>
          </w:r>
          <w:r>
            <w:instrText xml:space="preserve"> PAGEREF _Toc3113 \h </w:instrText>
          </w:r>
          <w:r>
            <w:fldChar w:fldCharType="separate"/>
          </w:r>
          <w:r>
            <w:t>20</w:t>
          </w:r>
          <w:r>
            <w:fldChar w:fldCharType="end"/>
          </w:r>
          <w:r>
            <w:rPr>
              <w:rFonts w:hint="eastAsia" w:ascii="宋体" w:hAnsi="宋体" w:eastAsia="宋体" w:cs="宋体"/>
            </w:rPr>
            <w:fldChar w:fldCharType="end"/>
          </w:r>
        </w:p>
        <w:p>
          <w:pPr>
            <w:pStyle w:val="36"/>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_Toc22353 </w:instrText>
          </w:r>
          <w:r>
            <w:rPr>
              <w:rFonts w:hint="eastAsia" w:ascii="宋体" w:hAnsi="宋体" w:eastAsia="宋体" w:cs="宋体"/>
            </w:rPr>
            <w:fldChar w:fldCharType="separate"/>
          </w:r>
          <w:r>
            <w:rPr>
              <w:rFonts w:hint="eastAsia" w:ascii="宋体" w:hAnsi="宋体" w:eastAsia="宋体" w:cs="Times New Roman"/>
              <w:snapToGrid w:val="0"/>
              <w:kern w:val="0"/>
              <w:szCs w:val="20"/>
            </w:rPr>
            <w:t>第三章 项目需求</w:t>
          </w:r>
          <w:r>
            <w:tab/>
          </w:r>
          <w:r>
            <w:fldChar w:fldCharType="begin"/>
          </w:r>
          <w:r>
            <w:instrText xml:space="preserve"> PAGEREF _Toc22353 \h </w:instrText>
          </w:r>
          <w:r>
            <w:fldChar w:fldCharType="separate"/>
          </w:r>
          <w:r>
            <w:t>21</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_Toc25855 </w:instrText>
          </w:r>
          <w:r>
            <w:rPr>
              <w:rFonts w:hint="eastAsia" w:ascii="宋体" w:hAnsi="宋体" w:eastAsia="宋体" w:cs="宋体"/>
            </w:rPr>
            <w:fldChar w:fldCharType="separate"/>
          </w:r>
          <w:r>
            <w:rPr>
              <w:rFonts w:hint="eastAsia" w:ascii="宋体" w:hAnsi="宋体" w:eastAsia="宋体" w:cs="宋体"/>
              <w:bCs/>
              <w:i w:val="0"/>
              <w:iCs w:val="0"/>
              <w:szCs w:val="24"/>
              <w:lang w:val="en-US" w:eastAsia="zh-CN"/>
            </w:rPr>
            <w:t>（一）整合提升现有业务系统功能模块</w:t>
          </w:r>
          <w:r>
            <w:tab/>
          </w:r>
          <w:r>
            <w:fldChar w:fldCharType="begin"/>
          </w:r>
          <w:r>
            <w:instrText xml:space="preserve"> PAGEREF _Toc25855 \h </w:instrText>
          </w:r>
          <w:r>
            <w:fldChar w:fldCharType="separate"/>
          </w:r>
          <w:r>
            <w:t>21</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_Toc7026 </w:instrText>
          </w:r>
          <w:r>
            <w:rPr>
              <w:rFonts w:hint="eastAsia" w:ascii="宋体" w:hAnsi="宋体" w:eastAsia="宋体" w:cs="宋体"/>
            </w:rPr>
            <w:fldChar w:fldCharType="separate"/>
          </w:r>
          <w:r>
            <w:rPr>
              <w:rFonts w:hint="eastAsia" w:ascii="宋体" w:hAnsi="宋体" w:eastAsia="宋体" w:cs="宋体"/>
              <w:bCs w:val="0"/>
              <w:kern w:val="0"/>
              <w:szCs w:val="24"/>
              <w:highlight w:val="none"/>
              <w:lang w:val="en-US" w:eastAsia="zh-CN"/>
            </w:rPr>
            <w:t>1</w:t>
          </w:r>
          <w:r>
            <w:rPr>
              <w:rFonts w:hint="eastAsia" w:ascii="宋体" w:hAnsi="宋体" w:eastAsia="宋体" w:cs="宋体"/>
              <w:bCs/>
              <w:szCs w:val="24"/>
              <w:highlight w:val="none"/>
              <w:lang w:val="en-US" w:eastAsia="zh-CN"/>
            </w:rPr>
            <w:t>.尊老金管理系统</w:t>
          </w:r>
          <w:r>
            <w:tab/>
          </w:r>
          <w:r>
            <w:fldChar w:fldCharType="begin"/>
          </w:r>
          <w:r>
            <w:instrText xml:space="preserve"> PAGEREF _Toc7026 \h </w:instrText>
          </w:r>
          <w:r>
            <w:fldChar w:fldCharType="separate"/>
          </w:r>
          <w:r>
            <w:t>21</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_Toc4819 </w:instrText>
          </w:r>
          <w:r>
            <w:rPr>
              <w:rFonts w:hint="eastAsia" w:ascii="宋体" w:hAnsi="宋体" w:eastAsia="宋体" w:cs="宋体"/>
            </w:rPr>
            <w:fldChar w:fldCharType="separate"/>
          </w:r>
          <w:r>
            <w:rPr>
              <w:rFonts w:hint="eastAsia" w:ascii="宋体" w:hAnsi="宋体" w:eastAsia="宋体" w:cs="宋体"/>
              <w:bCs/>
              <w:szCs w:val="24"/>
              <w:highlight w:val="none"/>
              <w:lang w:val="en-US" w:eastAsia="zh-CN"/>
            </w:rPr>
            <w:t>2.养老机构管理系统</w:t>
          </w:r>
          <w:r>
            <w:tab/>
          </w:r>
          <w:r>
            <w:fldChar w:fldCharType="begin"/>
          </w:r>
          <w:r>
            <w:instrText xml:space="preserve"> PAGEREF _Toc4819 \h </w:instrText>
          </w:r>
          <w:r>
            <w:fldChar w:fldCharType="separate"/>
          </w:r>
          <w:r>
            <w:t>21</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_Toc28914 </w:instrText>
          </w:r>
          <w:r>
            <w:rPr>
              <w:rFonts w:hint="eastAsia" w:ascii="宋体" w:hAnsi="宋体" w:eastAsia="宋体" w:cs="宋体"/>
            </w:rPr>
            <w:fldChar w:fldCharType="separate"/>
          </w:r>
          <w:r>
            <w:rPr>
              <w:rFonts w:hint="eastAsia" w:ascii="宋体" w:hAnsi="宋体" w:eastAsia="宋体" w:cs="宋体"/>
              <w:bCs/>
              <w:szCs w:val="24"/>
              <w:highlight w:val="none"/>
              <w:lang w:val="en-US" w:eastAsia="zh-CN"/>
            </w:rPr>
            <w:t>3.居家养老管理系统</w:t>
          </w:r>
          <w:r>
            <w:tab/>
          </w:r>
          <w:r>
            <w:fldChar w:fldCharType="begin"/>
          </w:r>
          <w:r>
            <w:instrText xml:space="preserve"> PAGEREF _Toc28914 \h </w:instrText>
          </w:r>
          <w:r>
            <w:fldChar w:fldCharType="separate"/>
          </w:r>
          <w:r>
            <w:t>21</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_Toc3200 </w:instrText>
          </w:r>
          <w:r>
            <w:rPr>
              <w:rFonts w:hint="eastAsia" w:ascii="宋体" w:hAnsi="宋体" w:eastAsia="宋体" w:cs="宋体"/>
            </w:rPr>
            <w:fldChar w:fldCharType="separate"/>
          </w:r>
          <w:r>
            <w:rPr>
              <w:rFonts w:hint="eastAsia" w:ascii="宋体" w:hAnsi="宋体" w:eastAsia="宋体" w:cs="宋体"/>
              <w:bCs/>
              <w:szCs w:val="24"/>
              <w:highlight w:val="none"/>
              <w:lang w:val="en-US" w:eastAsia="zh-CN"/>
            </w:rPr>
            <w:t>4.机构和居家评估管理系统</w:t>
          </w:r>
          <w:r>
            <w:tab/>
          </w:r>
          <w:r>
            <w:fldChar w:fldCharType="begin"/>
          </w:r>
          <w:r>
            <w:instrText xml:space="preserve"> PAGEREF _Toc3200 \h </w:instrText>
          </w:r>
          <w:r>
            <w:fldChar w:fldCharType="separate"/>
          </w:r>
          <w:r>
            <w:t>22</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_Toc20479 </w:instrText>
          </w:r>
          <w:r>
            <w:rPr>
              <w:rFonts w:hint="eastAsia" w:ascii="宋体" w:hAnsi="宋体" w:eastAsia="宋体" w:cs="宋体"/>
            </w:rPr>
            <w:fldChar w:fldCharType="separate"/>
          </w:r>
          <w:r>
            <w:rPr>
              <w:rFonts w:hint="eastAsia" w:ascii="宋体" w:hAnsi="宋体" w:eastAsia="宋体" w:cs="宋体"/>
              <w:bCs/>
              <w:kern w:val="2"/>
              <w:szCs w:val="24"/>
              <w:highlight w:val="none"/>
              <w:lang w:val="en-US" w:eastAsia="zh-CN" w:bidi="ar-SA"/>
            </w:rPr>
            <w:t>（二）拓展建设业务系统功能模块</w:t>
          </w:r>
          <w:r>
            <w:tab/>
          </w:r>
          <w:r>
            <w:fldChar w:fldCharType="begin"/>
          </w:r>
          <w:r>
            <w:instrText xml:space="preserve"> PAGEREF _Toc20479 \h </w:instrText>
          </w:r>
          <w:r>
            <w:fldChar w:fldCharType="separate"/>
          </w:r>
          <w:r>
            <w:t>22</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_Toc23355 </w:instrText>
          </w:r>
          <w:r>
            <w:rPr>
              <w:rFonts w:hint="eastAsia" w:ascii="宋体" w:hAnsi="宋体" w:eastAsia="宋体" w:cs="宋体"/>
            </w:rPr>
            <w:fldChar w:fldCharType="separate"/>
          </w:r>
          <w:r>
            <w:rPr>
              <w:rFonts w:hint="eastAsia" w:ascii="宋体" w:hAnsi="宋体" w:eastAsia="宋体" w:cs="宋体"/>
              <w:bCs/>
              <w:i w:val="0"/>
              <w:iCs w:val="0"/>
              <w:szCs w:val="24"/>
              <w:highlight w:val="none"/>
              <w:lang w:val="en-US" w:eastAsia="zh-CN"/>
            </w:rPr>
            <w:t>1.</w:t>
          </w:r>
          <w:r>
            <w:rPr>
              <w:rFonts w:hint="eastAsia" w:ascii="宋体" w:hAnsi="宋体" w:eastAsia="宋体" w:cs="宋体"/>
              <w:bCs/>
              <w:szCs w:val="24"/>
              <w:highlight w:val="none"/>
              <w:lang w:val="en-US" w:eastAsia="zh-CN"/>
            </w:rPr>
            <w:t>养老服务</w:t>
          </w:r>
          <w:r>
            <w:rPr>
              <w:rFonts w:hint="eastAsia" w:ascii="宋体" w:hAnsi="宋体" w:eastAsia="宋体" w:cs="宋体"/>
              <w:bCs/>
              <w:i w:val="0"/>
              <w:iCs w:val="0"/>
              <w:szCs w:val="24"/>
              <w:highlight w:val="none"/>
              <w:lang w:val="en-US" w:eastAsia="zh-CN"/>
            </w:rPr>
            <w:t>基础数据管理系统</w:t>
          </w:r>
          <w:r>
            <w:tab/>
          </w:r>
          <w:r>
            <w:fldChar w:fldCharType="begin"/>
          </w:r>
          <w:r>
            <w:instrText xml:space="preserve"> PAGEREF _Toc23355 \h </w:instrText>
          </w:r>
          <w:r>
            <w:fldChar w:fldCharType="separate"/>
          </w:r>
          <w:r>
            <w:t>22</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_Toc12242 </w:instrText>
          </w:r>
          <w:r>
            <w:rPr>
              <w:rFonts w:hint="eastAsia" w:ascii="宋体" w:hAnsi="宋体" w:eastAsia="宋体" w:cs="宋体"/>
            </w:rPr>
            <w:fldChar w:fldCharType="separate"/>
          </w:r>
          <w:r>
            <w:rPr>
              <w:rFonts w:hint="eastAsia" w:ascii="宋体" w:hAnsi="宋体" w:eastAsia="宋体" w:cs="宋体"/>
              <w:bCs/>
              <w:szCs w:val="24"/>
              <w:highlight w:val="none"/>
              <w:lang w:val="en-US" w:eastAsia="zh-CN"/>
            </w:rPr>
            <w:t>2.特殊老年人关爱管理系统</w:t>
          </w:r>
          <w:r>
            <w:tab/>
          </w:r>
          <w:r>
            <w:fldChar w:fldCharType="begin"/>
          </w:r>
          <w:r>
            <w:instrText xml:space="preserve"> PAGEREF _Toc12242 \h </w:instrText>
          </w:r>
          <w:r>
            <w:fldChar w:fldCharType="separate"/>
          </w:r>
          <w:r>
            <w:t>23</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_Toc10460 </w:instrText>
          </w:r>
          <w:r>
            <w:rPr>
              <w:rFonts w:hint="eastAsia" w:ascii="宋体" w:hAnsi="宋体" w:eastAsia="宋体" w:cs="宋体"/>
            </w:rPr>
            <w:fldChar w:fldCharType="separate"/>
          </w:r>
          <w:r>
            <w:rPr>
              <w:rFonts w:hint="eastAsia" w:ascii="宋体" w:hAnsi="宋体" w:eastAsia="宋体" w:cs="宋体"/>
              <w:bCs/>
              <w:szCs w:val="24"/>
              <w:highlight w:val="none"/>
              <w:lang w:val="en-US" w:eastAsia="zh-CN"/>
            </w:rPr>
            <w:t>3.“我的扬州”民政养老服务掌厅</w:t>
          </w:r>
          <w:r>
            <w:tab/>
          </w:r>
          <w:r>
            <w:fldChar w:fldCharType="begin"/>
          </w:r>
          <w:r>
            <w:instrText xml:space="preserve"> PAGEREF _Toc10460 \h </w:instrText>
          </w:r>
          <w:r>
            <w:fldChar w:fldCharType="separate"/>
          </w:r>
          <w:r>
            <w:t>23</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_Toc3133 </w:instrText>
          </w:r>
          <w:r>
            <w:rPr>
              <w:rFonts w:hint="eastAsia" w:ascii="宋体" w:hAnsi="宋体" w:eastAsia="宋体" w:cs="宋体"/>
            </w:rPr>
            <w:fldChar w:fldCharType="separate"/>
          </w:r>
          <w:r>
            <w:rPr>
              <w:rFonts w:hint="eastAsia" w:ascii="宋体" w:hAnsi="宋体" w:eastAsia="宋体" w:cs="宋体"/>
              <w:bCs/>
              <w:kern w:val="2"/>
              <w:szCs w:val="24"/>
              <w:highlight w:val="none"/>
              <w:lang w:val="en-US" w:eastAsia="zh-CN" w:bidi="ar-SA"/>
            </w:rPr>
            <w:t>4、养老服务顾问小程序</w:t>
          </w:r>
          <w:r>
            <w:tab/>
          </w:r>
          <w:r>
            <w:fldChar w:fldCharType="begin"/>
          </w:r>
          <w:r>
            <w:instrText xml:space="preserve"> PAGEREF _Toc3133 \h </w:instrText>
          </w:r>
          <w:r>
            <w:fldChar w:fldCharType="separate"/>
          </w:r>
          <w:r>
            <w:t>24</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_Toc7628 </w:instrText>
          </w:r>
          <w:r>
            <w:rPr>
              <w:rFonts w:hint="eastAsia" w:ascii="宋体" w:hAnsi="宋体" w:eastAsia="宋体" w:cs="宋体"/>
            </w:rPr>
            <w:fldChar w:fldCharType="separate"/>
          </w:r>
          <w:r>
            <w:rPr>
              <w:rFonts w:hint="eastAsia" w:ascii="宋体" w:hAnsi="宋体" w:eastAsia="宋体" w:cs="宋体"/>
              <w:bCs/>
              <w:kern w:val="2"/>
              <w:szCs w:val="24"/>
              <w:highlight w:val="none"/>
              <w:lang w:val="en-US" w:eastAsia="zh-CN" w:bidi="ar-SA"/>
            </w:rPr>
            <w:t>5、养老呼叫中心</w:t>
          </w:r>
          <w:r>
            <w:tab/>
          </w:r>
          <w:r>
            <w:fldChar w:fldCharType="begin"/>
          </w:r>
          <w:r>
            <w:instrText xml:space="preserve"> PAGEREF _Toc7628 \h </w:instrText>
          </w:r>
          <w:r>
            <w:fldChar w:fldCharType="separate"/>
          </w:r>
          <w:r>
            <w:t>24</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_Toc126 </w:instrText>
          </w:r>
          <w:r>
            <w:rPr>
              <w:rFonts w:hint="eastAsia" w:ascii="宋体" w:hAnsi="宋体" w:eastAsia="宋体" w:cs="宋体"/>
            </w:rPr>
            <w:fldChar w:fldCharType="separate"/>
          </w:r>
          <w:r>
            <w:rPr>
              <w:rFonts w:hint="eastAsia" w:ascii="宋体" w:hAnsi="宋体" w:eastAsia="宋体" w:cs="宋体"/>
              <w:bCs/>
              <w:kern w:val="2"/>
              <w:szCs w:val="24"/>
              <w:highlight w:val="none"/>
              <w:lang w:val="en-US" w:eastAsia="zh-CN" w:bidi="ar-SA"/>
            </w:rPr>
            <w:t>6.养老服务可视化云图</w:t>
          </w:r>
          <w:r>
            <w:tab/>
          </w:r>
          <w:r>
            <w:fldChar w:fldCharType="begin"/>
          </w:r>
          <w:r>
            <w:instrText xml:space="preserve"> PAGEREF _Toc126 \h </w:instrText>
          </w:r>
          <w:r>
            <w:fldChar w:fldCharType="separate"/>
          </w:r>
          <w:r>
            <w:t>24</w:t>
          </w:r>
          <w:r>
            <w:fldChar w:fldCharType="end"/>
          </w:r>
          <w:r>
            <w:rPr>
              <w:rFonts w:hint="eastAsia" w:ascii="宋体" w:hAnsi="宋体" w:eastAsia="宋体" w:cs="宋体"/>
            </w:rPr>
            <w:fldChar w:fldCharType="end"/>
          </w:r>
        </w:p>
        <w:p>
          <w:pPr>
            <w:pStyle w:val="36"/>
            <w:tabs>
              <w:tab w:val="right" w:leader="dot" w:pos="8640"/>
            </w:tabs>
            <w:ind w:firstLine="420" w:firstLineChars="200"/>
          </w:pPr>
          <w:r>
            <w:rPr>
              <w:rFonts w:hint="eastAsia" w:ascii="宋体" w:hAnsi="宋体" w:eastAsia="宋体" w:cs="宋体"/>
            </w:rPr>
            <w:fldChar w:fldCharType="begin"/>
          </w:r>
          <w:r>
            <w:rPr>
              <w:rFonts w:hint="eastAsia" w:ascii="宋体" w:hAnsi="宋体" w:eastAsia="宋体" w:cs="宋体"/>
            </w:rPr>
            <w:instrText xml:space="preserve"> HYPERLINK \l _Toc29432 </w:instrText>
          </w:r>
          <w:r>
            <w:rPr>
              <w:rFonts w:hint="eastAsia" w:ascii="宋体" w:hAnsi="宋体" w:eastAsia="宋体" w:cs="宋体"/>
            </w:rPr>
            <w:fldChar w:fldCharType="separate"/>
          </w:r>
          <w:r>
            <w:rPr>
              <w:rFonts w:hint="eastAsia" w:ascii="宋体" w:hAnsi="宋体" w:eastAsia="宋体" w:cs="宋体"/>
              <w:bCs/>
              <w:kern w:val="2"/>
              <w:szCs w:val="24"/>
              <w:highlight w:val="none"/>
              <w:lang w:val="en-US" w:eastAsia="zh-CN"/>
            </w:rPr>
            <w:t>（三）系统对接和数据共享</w:t>
          </w:r>
          <w:r>
            <w:tab/>
          </w:r>
          <w:r>
            <w:fldChar w:fldCharType="begin"/>
          </w:r>
          <w:r>
            <w:instrText xml:space="preserve"> PAGEREF _Toc29432 \h </w:instrText>
          </w:r>
          <w:r>
            <w:fldChar w:fldCharType="separate"/>
          </w:r>
          <w:r>
            <w:t>25</w:t>
          </w:r>
          <w:r>
            <w:fldChar w:fldCharType="end"/>
          </w:r>
          <w:r>
            <w:rPr>
              <w:rFonts w:hint="eastAsia" w:ascii="宋体" w:hAnsi="宋体" w:eastAsia="宋体" w:cs="宋体"/>
            </w:rPr>
            <w:fldChar w:fldCharType="end"/>
          </w:r>
        </w:p>
        <w:p>
          <w:pPr>
            <w:pStyle w:val="36"/>
            <w:tabs>
              <w:tab w:val="right" w:leader="dot" w:pos="8640"/>
            </w:tabs>
            <w:ind w:firstLine="420" w:firstLineChars="200"/>
          </w:pPr>
          <w:r>
            <w:rPr>
              <w:rFonts w:hint="eastAsia" w:ascii="宋体" w:hAnsi="宋体" w:eastAsia="宋体" w:cs="宋体"/>
            </w:rPr>
            <w:fldChar w:fldCharType="begin"/>
          </w:r>
          <w:r>
            <w:rPr>
              <w:rFonts w:hint="eastAsia" w:ascii="宋体" w:hAnsi="宋体" w:eastAsia="宋体" w:cs="宋体"/>
            </w:rPr>
            <w:instrText xml:space="preserve"> HYPERLINK \l _Toc27085 </w:instrText>
          </w:r>
          <w:r>
            <w:rPr>
              <w:rFonts w:hint="eastAsia" w:ascii="宋体" w:hAnsi="宋体" w:eastAsia="宋体" w:cs="宋体"/>
            </w:rPr>
            <w:fldChar w:fldCharType="separate"/>
          </w:r>
          <w:r>
            <w:rPr>
              <w:rFonts w:hint="eastAsia" w:ascii="宋体" w:hAnsi="宋体" w:eastAsia="宋体" w:cs="宋体"/>
              <w:bCs/>
              <w:kern w:val="2"/>
              <w:szCs w:val="24"/>
              <w:highlight w:val="none"/>
              <w:lang w:val="en-US" w:eastAsia="zh-CN"/>
            </w:rPr>
            <w:t>（四）项目建设整体要求</w:t>
          </w:r>
          <w:r>
            <w:tab/>
          </w:r>
          <w:r>
            <w:fldChar w:fldCharType="begin"/>
          </w:r>
          <w:r>
            <w:instrText xml:space="preserve"> PAGEREF _Toc27085 \h </w:instrText>
          </w:r>
          <w:r>
            <w:fldChar w:fldCharType="separate"/>
          </w:r>
          <w:r>
            <w:t>25</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_Toc179 </w:instrText>
          </w:r>
          <w:r>
            <w:rPr>
              <w:rFonts w:hint="eastAsia" w:ascii="宋体" w:hAnsi="宋体" w:eastAsia="宋体" w:cs="宋体"/>
            </w:rPr>
            <w:fldChar w:fldCharType="separate"/>
          </w:r>
          <w:r>
            <w:rPr>
              <w:rFonts w:hint="eastAsia" w:ascii="宋体" w:hAnsi="宋体" w:eastAsia="宋体" w:cs="宋体"/>
              <w:bCs w:val="0"/>
              <w:szCs w:val="24"/>
              <w:lang w:val="en-US" w:eastAsia="zh-CN"/>
            </w:rPr>
            <w:t>1、</w:t>
          </w:r>
          <w:r>
            <w:rPr>
              <w:rFonts w:hint="eastAsia" w:ascii="宋体" w:hAnsi="宋体" w:eastAsia="宋体" w:cs="宋体"/>
              <w:bCs w:val="0"/>
              <w:szCs w:val="24"/>
            </w:rPr>
            <w:t>整体技术要求</w:t>
          </w:r>
          <w:r>
            <w:tab/>
          </w:r>
          <w:r>
            <w:fldChar w:fldCharType="begin"/>
          </w:r>
          <w:r>
            <w:instrText xml:space="preserve"> PAGEREF _Toc179 \h </w:instrText>
          </w:r>
          <w:r>
            <w:fldChar w:fldCharType="separate"/>
          </w:r>
          <w:r>
            <w:t>25</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_Toc22340 </w:instrText>
          </w:r>
          <w:r>
            <w:rPr>
              <w:rFonts w:hint="eastAsia" w:ascii="宋体" w:hAnsi="宋体" w:eastAsia="宋体" w:cs="宋体"/>
            </w:rPr>
            <w:fldChar w:fldCharType="separate"/>
          </w:r>
          <w:r>
            <w:rPr>
              <w:rFonts w:hint="eastAsia" w:ascii="宋体" w:hAnsi="宋体" w:eastAsia="宋体" w:cs="宋体"/>
              <w:bCs w:val="0"/>
              <w:szCs w:val="24"/>
              <w:lang w:val="en-US" w:eastAsia="zh-CN"/>
            </w:rPr>
            <w:t>2、</w:t>
          </w:r>
          <w:r>
            <w:rPr>
              <w:rFonts w:hint="eastAsia" w:ascii="宋体" w:hAnsi="宋体" w:eastAsia="宋体" w:cs="宋体"/>
              <w:bCs w:val="0"/>
              <w:szCs w:val="24"/>
            </w:rPr>
            <w:t>非软件技术需求</w:t>
          </w:r>
          <w:r>
            <w:tab/>
          </w:r>
          <w:r>
            <w:fldChar w:fldCharType="begin"/>
          </w:r>
          <w:r>
            <w:instrText xml:space="preserve"> PAGEREF _Toc22340 \h </w:instrText>
          </w:r>
          <w:r>
            <w:fldChar w:fldCharType="separate"/>
          </w:r>
          <w:r>
            <w:t>25</w:t>
          </w:r>
          <w:r>
            <w:fldChar w:fldCharType="end"/>
          </w:r>
          <w:r>
            <w:rPr>
              <w:rFonts w:hint="eastAsia" w:ascii="宋体" w:hAnsi="宋体" w:eastAsia="宋体" w:cs="宋体"/>
            </w:rPr>
            <w:fldChar w:fldCharType="end"/>
          </w:r>
        </w:p>
        <w:p>
          <w:pPr>
            <w:pStyle w:val="36"/>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_Toc6522 </w:instrText>
          </w:r>
          <w:r>
            <w:rPr>
              <w:rFonts w:hint="eastAsia" w:ascii="宋体" w:hAnsi="宋体" w:eastAsia="宋体" w:cs="宋体"/>
            </w:rPr>
            <w:fldChar w:fldCharType="separate"/>
          </w:r>
          <w:r>
            <w:rPr>
              <w:rFonts w:hint="eastAsia" w:ascii="宋体" w:hAnsi="宋体" w:eastAsia="宋体" w:cs="Times New Roman"/>
              <w:snapToGrid w:val="0"/>
              <w:kern w:val="0"/>
              <w:szCs w:val="20"/>
            </w:rPr>
            <w:t>第四章 评审方法和程序</w:t>
          </w:r>
          <w:r>
            <w:tab/>
          </w:r>
          <w:r>
            <w:fldChar w:fldCharType="begin"/>
          </w:r>
          <w:r>
            <w:instrText xml:space="preserve"> PAGEREF _Toc6522 \h </w:instrText>
          </w:r>
          <w:r>
            <w:fldChar w:fldCharType="separate"/>
          </w:r>
          <w:r>
            <w:t>27</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_Toc31243 </w:instrText>
          </w:r>
          <w:r>
            <w:rPr>
              <w:rFonts w:hint="eastAsia" w:ascii="宋体" w:hAnsi="宋体" w:eastAsia="宋体" w:cs="宋体"/>
            </w:rPr>
            <w:fldChar w:fldCharType="separate"/>
          </w:r>
          <w:r>
            <w:rPr>
              <w:rFonts w:hint="eastAsia" w:ascii="宋体" w:hAnsi="宋体" w:eastAsia="宋体" w:cs="宋体"/>
              <w:szCs w:val="24"/>
            </w:rPr>
            <w:t>1.评审小组</w:t>
          </w:r>
          <w:r>
            <w:tab/>
          </w:r>
          <w:r>
            <w:fldChar w:fldCharType="begin"/>
          </w:r>
          <w:r>
            <w:instrText xml:space="preserve"> PAGEREF _Toc31243 \h </w:instrText>
          </w:r>
          <w:r>
            <w:fldChar w:fldCharType="separate"/>
          </w:r>
          <w:r>
            <w:t>27</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_Toc14318 </w:instrText>
          </w:r>
          <w:r>
            <w:rPr>
              <w:rFonts w:hint="eastAsia" w:ascii="宋体" w:hAnsi="宋体" w:eastAsia="宋体" w:cs="宋体"/>
            </w:rPr>
            <w:fldChar w:fldCharType="separate"/>
          </w:r>
          <w:r>
            <w:rPr>
              <w:rFonts w:hint="eastAsia" w:ascii="宋体" w:hAnsi="宋体" w:eastAsia="宋体" w:cs="宋体"/>
              <w:szCs w:val="24"/>
            </w:rPr>
            <w:t>2.评审方法与评分标准</w:t>
          </w:r>
          <w:r>
            <w:tab/>
          </w:r>
          <w:r>
            <w:fldChar w:fldCharType="begin"/>
          </w:r>
          <w:r>
            <w:instrText xml:space="preserve"> PAGEREF _Toc14318 \h </w:instrText>
          </w:r>
          <w:r>
            <w:fldChar w:fldCharType="separate"/>
          </w:r>
          <w:r>
            <w:t>27</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_Toc8181 </w:instrText>
          </w:r>
          <w:r>
            <w:rPr>
              <w:rFonts w:hint="eastAsia" w:ascii="宋体" w:hAnsi="宋体" w:eastAsia="宋体" w:cs="宋体"/>
            </w:rPr>
            <w:fldChar w:fldCharType="separate"/>
          </w:r>
          <w:r>
            <w:rPr>
              <w:rFonts w:hint="eastAsia" w:ascii="宋体" w:hAnsi="宋体" w:eastAsia="宋体" w:cs="宋体"/>
              <w:szCs w:val="24"/>
              <w:lang w:val="en-US"/>
            </w:rPr>
            <w:t>3</w:t>
          </w:r>
          <w:r>
            <w:rPr>
              <w:rFonts w:hint="eastAsia" w:ascii="宋体" w:hAnsi="宋体" w:eastAsia="宋体" w:cs="宋体"/>
              <w:szCs w:val="24"/>
            </w:rPr>
            <w:t>、评标程序</w:t>
          </w:r>
          <w:r>
            <w:tab/>
          </w:r>
          <w:r>
            <w:fldChar w:fldCharType="begin"/>
          </w:r>
          <w:r>
            <w:instrText xml:space="preserve"> PAGEREF _Toc8181 \h </w:instrText>
          </w:r>
          <w:r>
            <w:fldChar w:fldCharType="separate"/>
          </w:r>
          <w:r>
            <w:t>29</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_Toc384 </w:instrText>
          </w:r>
          <w:r>
            <w:rPr>
              <w:rFonts w:hint="eastAsia" w:ascii="宋体" w:hAnsi="宋体" w:eastAsia="宋体" w:cs="宋体"/>
            </w:rPr>
            <w:fldChar w:fldCharType="separate"/>
          </w:r>
          <w:r>
            <w:rPr>
              <w:rFonts w:hint="eastAsia" w:ascii="宋体" w:hAnsi="宋体" w:eastAsia="宋体" w:cs="宋体"/>
              <w:szCs w:val="24"/>
              <w:lang w:val="en-US"/>
            </w:rPr>
            <w:t>4</w:t>
          </w:r>
          <w:r>
            <w:rPr>
              <w:rFonts w:hint="eastAsia" w:ascii="宋体" w:hAnsi="宋体" w:eastAsia="宋体" w:cs="宋体"/>
              <w:szCs w:val="24"/>
            </w:rPr>
            <w:t>、中标通知书</w:t>
          </w:r>
          <w:r>
            <w:tab/>
          </w:r>
          <w:r>
            <w:fldChar w:fldCharType="begin"/>
          </w:r>
          <w:r>
            <w:instrText xml:space="preserve"> PAGEREF _Toc384 \h </w:instrText>
          </w:r>
          <w:r>
            <w:fldChar w:fldCharType="separate"/>
          </w:r>
          <w:r>
            <w:t>31</w:t>
          </w:r>
          <w:r>
            <w:fldChar w:fldCharType="end"/>
          </w:r>
          <w:r>
            <w:rPr>
              <w:rFonts w:hint="eastAsia" w:ascii="宋体" w:hAnsi="宋体" w:eastAsia="宋体" w:cs="宋体"/>
            </w:rPr>
            <w:fldChar w:fldCharType="end"/>
          </w:r>
        </w:p>
        <w:p>
          <w:pPr>
            <w:pStyle w:val="44"/>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_Toc21486 </w:instrText>
          </w:r>
          <w:r>
            <w:rPr>
              <w:rFonts w:hint="eastAsia" w:ascii="宋体" w:hAnsi="宋体" w:eastAsia="宋体" w:cs="宋体"/>
            </w:rPr>
            <w:fldChar w:fldCharType="separate"/>
          </w:r>
          <w:r>
            <w:rPr>
              <w:rFonts w:hint="eastAsia" w:ascii="宋体" w:hAnsi="宋体" w:eastAsia="宋体" w:cs="宋体"/>
              <w:szCs w:val="24"/>
              <w:lang w:val="en-US"/>
            </w:rPr>
            <w:t>5、</w:t>
          </w:r>
          <w:r>
            <w:rPr>
              <w:rFonts w:hint="eastAsia" w:ascii="宋体" w:hAnsi="宋体" w:eastAsia="宋体" w:cs="宋体"/>
              <w:szCs w:val="24"/>
            </w:rPr>
            <w:t>签订合同</w:t>
          </w:r>
          <w:r>
            <w:tab/>
          </w:r>
          <w:r>
            <w:fldChar w:fldCharType="begin"/>
          </w:r>
          <w:r>
            <w:instrText xml:space="preserve"> PAGEREF _Toc21486 \h </w:instrText>
          </w:r>
          <w:r>
            <w:fldChar w:fldCharType="separate"/>
          </w:r>
          <w:r>
            <w:t>31</w:t>
          </w:r>
          <w:r>
            <w:fldChar w:fldCharType="end"/>
          </w:r>
          <w:r>
            <w:rPr>
              <w:rFonts w:hint="eastAsia" w:ascii="宋体" w:hAnsi="宋体" w:eastAsia="宋体" w:cs="宋体"/>
            </w:rPr>
            <w:fldChar w:fldCharType="end"/>
          </w:r>
        </w:p>
        <w:p>
          <w:pPr>
            <w:pStyle w:val="36"/>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_Toc27557 </w:instrText>
          </w:r>
          <w:r>
            <w:rPr>
              <w:rFonts w:hint="eastAsia" w:ascii="宋体" w:hAnsi="宋体" w:eastAsia="宋体" w:cs="宋体"/>
            </w:rPr>
            <w:fldChar w:fldCharType="separate"/>
          </w:r>
          <w:r>
            <w:rPr>
              <w:rFonts w:hint="eastAsia" w:ascii="宋体" w:hAnsi="宋体" w:eastAsia="宋体" w:cs="Times New Roman"/>
              <w:snapToGrid w:val="0"/>
              <w:kern w:val="0"/>
              <w:szCs w:val="20"/>
            </w:rPr>
            <w:t xml:space="preserve">第五章 </w:t>
          </w:r>
          <w:r>
            <w:rPr>
              <w:rFonts w:hint="eastAsia" w:ascii="宋体" w:hAnsi="宋体" w:eastAsia="宋体" w:cs="Times New Roman"/>
              <w:snapToGrid w:val="0"/>
              <w:kern w:val="0"/>
              <w:szCs w:val="20"/>
              <w:lang w:val="zh-CN"/>
            </w:rPr>
            <w:t>合同条款及格式</w:t>
          </w:r>
          <w:r>
            <w:tab/>
          </w:r>
          <w:r>
            <w:fldChar w:fldCharType="begin"/>
          </w:r>
          <w:r>
            <w:instrText xml:space="preserve"> PAGEREF _Toc27557 \h </w:instrText>
          </w:r>
          <w:r>
            <w:fldChar w:fldCharType="separate"/>
          </w:r>
          <w:r>
            <w:t>32</w:t>
          </w:r>
          <w:r>
            <w:fldChar w:fldCharType="end"/>
          </w:r>
          <w:r>
            <w:rPr>
              <w:rFonts w:hint="eastAsia" w:ascii="宋体" w:hAnsi="宋体" w:eastAsia="宋体" w:cs="宋体"/>
            </w:rPr>
            <w:fldChar w:fldCharType="end"/>
          </w:r>
        </w:p>
        <w:p>
          <w:pPr>
            <w:pStyle w:val="36"/>
            <w:tabs>
              <w:tab w:val="right" w:leader="dot" w:pos="8640"/>
            </w:tabs>
          </w:pPr>
          <w:r>
            <w:rPr>
              <w:rFonts w:hint="eastAsia" w:ascii="宋体" w:hAnsi="宋体" w:eastAsia="宋体" w:cs="宋体"/>
            </w:rPr>
            <w:fldChar w:fldCharType="begin"/>
          </w:r>
          <w:r>
            <w:rPr>
              <w:rFonts w:hint="eastAsia" w:ascii="宋体" w:hAnsi="宋体" w:eastAsia="宋体" w:cs="宋体"/>
            </w:rPr>
            <w:instrText xml:space="preserve"> HYPERLINK \l _Toc32657 </w:instrText>
          </w:r>
          <w:r>
            <w:rPr>
              <w:rFonts w:hint="eastAsia" w:ascii="宋体" w:hAnsi="宋体" w:eastAsia="宋体" w:cs="宋体"/>
            </w:rPr>
            <w:fldChar w:fldCharType="separate"/>
          </w:r>
          <w:r>
            <w:rPr>
              <w:rFonts w:hint="eastAsia" w:ascii="宋体" w:hAnsi="宋体" w:eastAsia="宋体" w:cs="Times New Roman"/>
              <w:snapToGrid w:val="0"/>
              <w:kern w:val="0"/>
              <w:szCs w:val="20"/>
              <w:lang w:val="zh-CN"/>
            </w:rPr>
            <w:t>第六章 投标文件组成</w:t>
          </w:r>
          <w:r>
            <w:tab/>
          </w:r>
          <w:r>
            <w:fldChar w:fldCharType="begin"/>
          </w:r>
          <w:r>
            <w:instrText xml:space="preserve"> PAGEREF _Toc32657 \h </w:instrText>
          </w:r>
          <w:r>
            <w:fldChar w:fldCharType="separate"/>
          </w:r>
          <w:r>
            <w:t>38</w:t>
          </w:r>
          <w:r>
            <w:fldChar w:fldCharType="end"/>
          </w:r>
          <w:r>
            <w:rPr>
              <w:rFonts w:hint="eastAsia" w:ascii="宋体" w:hAnsi="宋体" w:eastAsia="宋体" w:cs="宋体"/>
            </w:rPr>
            <w:fldChar w:fldCharType="end"/>
          </w:r>
        </w:p>
        <w:p>
          <w:pPr>
            <w:pStyle w:val="20"/>
            <w:adjustRightInd w:val="0"/>
            <w:snapToGrid w:val="0"/>
            <w:spacing w:line="360" w:lineRule="auto"/>
            <w:rPr>
              <w:rFonts w:ascii="宋体" w:hAnsi="宋体" w:cs="宋体"/>
              <w:sz w:val="24"/>
            </w:rPr>
          </w:pPr>
          <w:r>
            <w:rPr>
              <w:rFonts w:hint="eastAsia" w:ascii="宋体" w:hAnsi="宋体" w:eastAsia="宋体" w:cs="宋体"/>
            </w:rPr>
            <w:fldChar w:fldCharType="end"/>
          </w:r>
        </w:p>
      </w:sdtContent>
    </w:sdt>
    <w:p>
      <w:pPr>
        <w:pStyle w:val="50"/>
        <w:spacing w:before="0" w:after="0" w:line="360" w:lineRule="auto"/>
        <w:rPr>
          <w:rFonts w:ascii="宋体" w:hAnsi="宋体" w:eastAsia="宋体" w:cs="Times New Roman"/>
          <w:snapToGrid w:val="0"/>
          <w:kern w:val="0"/>
          <w:sz w:val="44"/>
          <w:szCs w:val="20"/>
        </w:rPr>
      </w:pPr>
      <w:bookmarkStart w:id="1" w:name="OLE_LINK1"/>
      <w:r>
        <w:rPr>
          <w:rFonts w:hint="eastAsia" w:ascii="宋体" w:hAnsi="宋体" w:eastAsia="宋体" w:cs="宋体"/>
          <w:sz w:val="24"/>
        </w:rPr>
        <w:br w:type="page"/>
      </w:r>
      <w:bookmarkStart w:id="2" w:name="_Toc6259"/>
      <w:r>
        <w:rPr>
          <w:rFonts w:hint="eastAsia" w:ascii="宋体" w:hAnsi="宋体" w:eastAsia="宋体" w:cs="Times New Roman"/>
          <w:snapToGrid w:val="0"/>
          <w:kern w:val="0"/>
          <w:sz w:val="44"/>
          <w:szCs w:val="20"/>
        </w:rPr>
        <w:t>第一章 招标公告</w:t>
      </w:r>
      <w:bookmarkEnd w:id="2"/>
    </w:p>
    <w:p>
      <w:pPr>
        <w:snapToGrid w:val="0"/>
        <w:spacing w:line="360" w:lineRule="auto"/>
        <w:ind w:firstLine="480" w:firstLineChars="200"/>
        <w:contextualSpacing/>
        <w:rPr>
          <w:rFonts w:ascii="宋体" w:hAnsi="宋体" w:cs="宋体"/>
          <w:sz w:val="24"/>
          <w:szCs w:val="24"/>
          <w:lang w:val="zh-CN"/>
        </w:rPr>
      </w:pPr>
      <w:r>
        <w:rPr>
          <w:rFonts w:hint="eastAsia" w:ascii="宋体" w:hAnsi="宋体" w:cs="宋体"/>
          <w:sz w:val="24"/>
          <w:szCs w:val="24"/>
          <w:u w:val="single"/>
          <w:lang w:val="zh-CN"/>
        </w:rPr>
        <w:t>扬州市嘉诚造价咨询有限公司</w:t>
      </w:r>
      <w:r>
        <w:rPr>
          <w:rFonts w:hint="eastAsia" w:ascii="宋体" w:hAnsi="宋体" w:cs="宋体"/>
          <w:sz w:val="24"/>
          <w:szCs w:val="24"/>
          <w:lang w:val="zh-CN"/>
        </w:rPr>
        <w:t>（以下简称“招标代理”）受</w:t>
      </w:r>
      <w:r>
        <w:rPr>
          <w:rFonts w:hint="eastAsia" w:ascii="宋体" w:hAnsi="宋体" w:cs="宋体"/>
          <w:sz w:val="24"/>
          <w:szCs w:val="24"/>
          <w:u w:val="single"/>
          <w:lang w:val="zh-CN"/>
        </w:rPr>
        <w:t>扬州市民卡有限责任公司</w:t>
      </w:r>
      <w:r>
        <w:rPr>
          <w:rFonts w:hint="eastAsia" w:ascii="宋体" w:hAnsi="宋体" w:cs="宋体"/>
          <w:sz w:val="24"/>
          <w:szCs w:val="24"/>
          <w:lang w:val="zh-CN"/>
        </w:rPr>
        <w:t>（以下简称“采购人”）的委托，就</w:t>
      </w:r>
      <w:r>
        <w:rPr>
          <w:rFonts w:hint="eastAsia" w:ascii="宋体" w:hAnsi="宋体" w:cs="宋体"/>
          <w:sz w:val="24"/>
          <w:szCs w:val="24"/>
          <w:u w:val="single"/>
          <w:lang w:val="zh-CN"/>
        </w:rPr>
        <w:t>养老服务管理系统升级项目</w:t>
      </w:r>
      <w:r>
        <w:rPr>
          <w:rFonts w:hint="eastAsia" w:ascii="宋体" w:hAnsi="宋体" w:cs="宋体"/>
          <w:sz w:val="24"/>
          <w:szCs w:val="24"/>
          <w:lang w:val="zh-CN"/>
        </w:rPr>
        <w:t>进行招标采购，现采用</w:t>
      </w:r>
      <w:r>
        <w:rPr>
          <w:rFonts w:hint="eastAsia" w:ascii="宋体" w:hAnsi="宋体" w:cs="宋体"/>
          <w:sz w:val="24"/>
          <w:szCs w:val="24"/>
          <w:u w:val="single"/>
          <w:lang w:val="zh-CN"/>
        </w:rPr>
        <w:t>公开招标</w:t>
      </w:r>
      <w:r>
        <w:rPr>
          <w:rFonts w:hint="eastAsia" w:ascii="宋体" w:hAnsi="宋体" w:cs="宋体"/>
          <w:sz w:val="24"/>
          <w:szCs w:val="24"/>
          <w:lang w:val="zh-CN"/>
        </w:rPr>
        <w:t>方式，符合资格条件的供应商均可参与投标。现公告如下：</w:t>
      </w:r>
    </w:p>
    <w:p>
      <w:pPr>
        <w:snapToGrid w:val="0"/>
        <w:spacing w:line="360" w:lineRule="auto"/>
        <w:ind w:firstLine="555"/>
        <w:contextualSpacing/>
        <w:rPr>
          <w:rFonts w:ascii="宋体" w:hAnsi="宋体" w:cs="宋体"/>
          <w:sz w:val="24"/>
          <w:szCs w:val="24"/>
        </w:rPr>
      </w:pPr>
      <w:r>
        <w:rPr>
          <w:rFonts w:hint="eastAsia" w:ascii="宋体" w:hAnsi="宋体" w:cs="宋体"/>
          <w:b/>
          <w:sz w:val="24"/>
          <w:szCs w:val="24"/>
        </w:rPr>
        <w:t>一、项目名称及编号</w:t>
      </w:r>
      <w:r>
        <w:rPr>
          <w:rFonts w:hint="eastAsia" w:ascii="宋体" w:hAnsi="宋体" w:cs="宋体"/>
          <w:sz w:val="24"/>
          <w:szCs w:val="24"/>
        </w:rPr>
        <w:t>：</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lang w:val="zh-CN"/>
        </w:rPr>
        <w:t>养老服务管理系统升级项目。</w:t>
      </w:r>
    </w:p>
    <w:p>
      <w:pPr>
        <w:snapToGrid w:val="0"/>
        <w:spacing w:line="360" w:lineRule="auto"/>
        <w:ind w:firstLine="470" w:firstLineChars="196"/>
        <w:contextualSpacing/>
        <w:rPr>
          <w:rFonts w:ascii="宋体" w:hAnsi="宋体" w:cs="宋体"/>
          <w:sz w:val="24"/>
          <w:szCs w:val="24"/>
        </w:rPr>
      </w:pPr>
      <w:r>
        <w:rPr>
          <w:rFonts w:hint="eastAsia" w:ascii="宋体" w:hAnsi="宋体" w:cs="宋体"/>
          <w:sz w:val="24"/>
          <w:szCs w:val="24"/>
        </w:rPr>
        <w:t>采购文件编号：/</w:t>
      </w:r>
    </w:p>
    <w:p>
      <w:pPr>
        <w:numPr>
          <w:ilvl w:val="0"/>
          <w:numId w:val="7"/>
        </w:numPr>
        <w:snapToGrid w:val="0"/>
        <w:spacing w:line="360" w:lineRule="auto"/>
        <w:ind w:firstLine="482" w:firstLineChars="200"/>
        <w:contextualSpacing/>
        <w:rPr>
          <w:rFonts w:hint="eastAsia" w:ascii="宋体" w:hAnsi="宋体" w:cs="宋体"/>
          <w:b/>
          <w:sz w:val="24"/>
          <w:szCs w:val="24"/>
        </w:rPr>
      </w:pPr>
      <w:r>
        <w:rPr>
          <w:rFonts w:hint="eastAsia" w:ascii="宋体" w:hAnsi="宋体" w:cs="宋体"/>
          <w:b/>
          <w:sz w:val="24"/>
          <w:szCs w:val="24"/>
        </w:rPr>
        <w:t>项目基本情况：</w:t>
      </w:r>
    </w:p>
    <w:p>
      <w:pPr>
        <w:numPr>
          <w:ilvl w:val="0"/>
          <w:numId w:val="8"/>
        </w:numPr>
        <w:snapToGrid w:val="0"/>
        <w:spacing w:line="360" w:lineRule="auto"/>
        <w:ind w:firstLine="480" w:firstLineChars="200"/>
        <w:contextualSpacing/>
        <w:rPr>
          <w:rFonts w:hint="eastAsia" w:ascii="宋体" w:hAnsi="宋体" w:eastAsia="宋体" w:cs="宋体"/>
          <w:sz w:val="24"/>
          <w:szCs w:val="24"/>
          <w:u w:val="single"/>
          <w:lang w:val="en-US" w:eastAsia="zh-CN"/>
        </w:rPr>
      </w:pPr>
      <w:r>
        <w:rPr>
          <w:rFonts w:hint="eastAsia" w:ascii="宋体" w:hAnsi="宋体" w:cs="宋体"/>
          <w:sz w:val="24"/>
          <w:szCs w:val="24"/>
        </w:rPr>
        <w:t>项目</w:t>
      </w:r>
      <w:r>
        <w:rPr>
          <w:rFonts w:hint="eastAsia" w:ascii="宋体" w:hAnsi="宋体" w:eastAsia="宋体" w:cs="宋体"/>
          <w:sz w:val="24"/>
          <w:szCs w:val="24"/>
          <w:lang w:val="en-US" w:eastAsia="zh-CN"/>
        </w:rPr>
        <w:t>名称：</w:t>
      </w:r>
      <w:r>
        <w:rPr>
          <w:rFonts w:hint="eastAsia" w:ascii="宋体" w:hAnsi="宋体" w:eastAsia="宋体" w:cs="宋体"/>
          <w:sz w:val="24"/>
          <w:szCs w:val="24"/>
          <w:u w:val="single"/>
          <w:lang w:val="en-US" w:eastAsia="zh-CN"/>
        </w:rPr>
        <w:t>养老服务管理系统升级项目。</w:t>
      </w:r>
    </w:p>
    <w:p>
      <w:pPr>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采购方式：公开招标</w:t>
      </w:r>
    </w:p>
    <w:p>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、项目预算：</w:t>
      </w:r>
      <w:r>
        <w:rPr>
          <w:rFonts w:hint="eastAsia" w:ascii="宋体" w:hAnsi="宋体" w:cs="宋体"/>
          <w:color w:val="FF0000"/>
          <w:sz w:val="24"/>
          <w:szCs w:val="24"/>
          <w:u w:val="single"/>
          <w:lang w:val="en-US" w:eastAsia="zh-CN"/>
        </w:rPr>
        <w:t>40</w:t>
      </w:r>
      <w:r>
        <w:rPr>
          <w:rFonts w:hint="eastAsia" w:ascii="宋体" w:hAnsi="宋体" w:cs="宋体"/>
          <w:color w:val="FF0000"/>
          <w:sz w:val="24"/>
          <w:szCs w:val="24"/>
          <w:u w:val="single"/>
        </w:rPr>
        <w:t>万元</w:t>
      </w:r>
      <w:r>
        <w:rPr>
          <w:rFonts w:hint="eastAsia" w:ascii="宋体" w:hAnsi="宋体" w:cs="宋体"/>
          <w:sz w:val="24"/>
          <w:szCs w:val="24"/>
        </w:rPr>
        <w:t>。</w:t>
      </w:r>
    </w:p>
    <w:p>
      <w:pPr>
        <w:snapToGrid w:val="0"/>
        <w:spacing w:line="360" w:lineRule="auto"/>
        <w:ind w:firstLine="480" w:firstLineChars="200"/>
        <w:contextualSpacing/>
        <w:rPr>
          <w:rFonts w:hint="eastAsia"/>
        </w:rPr>
      </w:pPr>
      <w:r>
        <w:rPr>
          <w:rFonts w:hint="eastAsia" w:ascii="宋体" w:hAnsi="宋体" w:eastAsia="宋体" w:cs="宋体"/>
          <w:sz w:val="24"/>
          <w:szCs w:val="24"/>
          <w:lang w:val="en-US" w:eastAsia="zh-CN"/>
        </w:rPr>
        <w:t>4、</w:t>
      </w:r>
      <w:r>
        <w:rPr>
          <w:rFonts w:hint="eastAsia" w:ascii="宋体" w:hAnsi="宋体" w:eastAsia="宋体" w:cs="宋体"/>
          <w:sz w:val="24"/>
          <w:szCs w:val="24"/>
        </w:rPr>
        <w:t>本项目设置最高限价：</w:t>
      </w:r>
      <w:r>
        <w:rPr>
          <w:rFonts w:hint="eastAsia" w:ascii="宋体" w:hAnsi="宋体" w:eastAsia="宋体" w:cs="宋体"/>
          <w:b w:val="0"/>
          <w:bCs w:val="0"/>
          <w:color w:val="FF0000"/>
          <w:sz w:val="24"/>
          <w:szCs w:val="24"/>
          <w:u w:val="single"/>
          <w:lang w:val="en-US" w:eastAsia="zh-CN"/>
        </w:rPr>
        <w:t>40万元</w:t>
      </w:r>
      <w:r>
        <w:rPr>
          <w:rFonts w:hint="eastAsia" w:ascii="宋体" w:hAnsi="宋体" w:eastAsia="宋体" w:cs="宋体"/>
          <w:sz w:val="24"/>
          <w:szCs w:val="24"/>
        </w:rPr>
        <w:t>，如超过限价，将作为无效投标。</w:t>
      </w:r>
    </w:p>
    <w:p>
      <w:pPr>
        <w:keepLines w:val="0"/>
        <w:pageBreakBefore w:val="0"/>
        <w:kinsoku/>
        <w:wordWrap/>
        <w:overflowPunct/>
        <w:topLinePunct w:val="0"/>
        <w:autoSpaceDE/>
        <w:autoSpaceDN/>
        <w:bidi w:val="0"/>
        <w:snapToGrid/>
        <w:spacing w:before="10" w:after="10" w:line="360" w:lineRule="auto"/>
        <w:ind w:left="0" w:firstLine="480" w:firstLineChars="200"/>
        <w:textAlignment w:val="auto"/>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eastAsia="宋体" w:cs="宋体"/>
          <w:sz w:val="24"/>
          <w:szCs w:val="24"/>
          <w:lang w:val="en-US" w:eastAsia="zh-CN"/>
        </w:rPr>
        <w:t>合同履行期限</w:t>
      </w:r>
      <w:r>
        <w:rPr>
          <w:rFonts w:hint="eastAsia" w:ascii="宋体" w:hAnsi="宋体" w:cs="宋体"/>
          <w:sz w:val="24"/>
          <w:szCs w:val="24"/>
        </w:rPr>
        <w:t>：</w:t>
      </w: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个自然日</w:t>
      </w:r>
      <w:r>
        <w:rPr>
          <w:rFonts w:hint="eastAsia" w:ascii="宋体" w:hAnsi="宋体" w:cs="宋体"/>
          <w:sz w:val="24"/>
          <w:szCs w:val="24"/>
        </w:rPr>
        <w:t>。</w:t>
      </w:r>
    </w:p>
    <w:p>
      <w:pPr>
        <w:snapToGrid w:val="0"/>
        <w:spacing w:line="360" w:lineRule="auto"/>
        <w:ind w:firstLine="482" w:firstLineChars="200"/>
        <w:contextualSpacing/>
        <w:rPr>
          <w:rFonts w:ascii="宋体" w:hAnsi="宋体" w:cs="宋体"/>
          <w:b/>
          <w:sz w:val="24"/>
          <w:szCs w:val="24"/>
        </w:rPr>
      </w:pPr>
      <w:r>
        <w:rPr>
          <w:rFonts w:hint="eastAsia" w:ascii="宋体" w:hAnsi="宋体" w:cs="宋体"/>
          <w:b/>
          <w:sz w:val="24"/>
          <w:szCs w:val="24"/>
        </w:rPr>
        <w:t>三、项目需求说明：</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项目需求说明详</w:t>
      </w:r>
      <w:r>
        <w:rPr>
          <w:rFonts w:hint="eastAsia" w:ascii="宋体" w:hAnsi="宋体" w:cs="宋体"/>
          <w:sz w:val="24"/>
          <w:szCs w:val="24"/>
          <w:lang w:val="zh-CN"/>
        </w:rPr>
        <w:t>见</w:t>
      </w:r>
      <w:r>
        <w:rPr>
          <w:rFonts w:hint="eastAsia" w:ascii="宋体" w:hAnsi="宋体" w:cs="宋体"/>
          <w:sz w:val="24"/>
          <w:szCs w:val="24"/>
          <w:highlight w:val="none"/>
          <w:lang w:val="zh-CN"/>
        </w:rPr>
        <w:t>第三部分项目需求，</w:t>
      </w:r>
      <w:r>
        <w:rPr>
          <w:rFonts w:hint="eastAsia" w:ascii="宋体" w:hAnsi="宋体" w:cs="宋体"/>
          <w:kern w:val="0"/>
          <w:sz w:val="24"/>
          <w:szCs w:val="24"/>
          <w:highlight w:val="none"/>
          <w:lang w:val="zh-CN"/>
        </w:rPr>
        <w:t>请仔</w:t>
      </w:r>
      <w:r>
        <w:rPr>
          <w:rFonts w:hint="eastAsia" w:ascii="宋体" w:hAnsi="宋体" w:cs="宋体"/>
          <w:kern w:val="0"/>
          <w:sz w:val="24"/>
          <w:szCs w:val="24"/>
          <w:lang w:val="zh-CN"/>
        </w:rPr>
        <w:t>细研究。</w:t>
      </w:r>
    </w:p>
    <w:p>
      <w:pPr>
        <w:snapToGrid w:val="0"/>
        <w:spacing w:line="360" w:lineRule="auto"/>
        <w:ind w:firstLine="482" w:firstLineChars="200"/>
        <w:contextualSpacing/>
        <w:rPr>
          <w:rFonts w:ascii="宋体" w:hAnsi="宋体" w:cs="宋体"/>
          <w:sz w:val="24"/>
          <w:szCs w:val="24"/>
        </w:rPr>
      </w:pPr>
      <w:r>
        <w:rPr>
          <w:rFonts w:hint="eastAsia" w:ascii="宋体" w:hAnsi="宋体" w:cs="宋体"/>
          <w:b/>
          <w:sz w:val="24"/>
          <w:szCs w:val="24"/>
        </w:rPr>
        <w:t>四、供应商资格要求</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（一）符合《政府采购法》第二十二条第一款规定的条件，并提供下列材料：</w:t>
      </w:r>
    </w:p>
    <w:p>
      <w:pPr>
        <w:spacing w:line="360" w:lineRule="auto"/>
        <w:ind w:firstLine="480" w:firstLineChars="200"/>
        <w:jc w:val="left"/>
        <w:rPr>
          <w:rFonts w:ascii="宋体" w:hAnsi="宋体" w:cs="宋体"/>
          <w:color w:val="000000"/>
          <w:sz w:val="24"/>
          <w:szCs w:val="24"/>
          <w:u w:val="single"/>
        </w:rPr>
      </w:pPr>
      <w:bookmarkStart w:id="3" w:name="_Hlk49243416"/>
      <w:r>
        <w:rPr>
          <w:rFonts w:hint="eastAsia" w:ascii="宋体" w:hAnsi="宋体" w:cs="宋体"/>
          <w:color w:val="000000"/>
          <w:sz w:val="24"/>
          <w:szCs w:val="24"/>
          <w:u w:val="single"/>
        </w:rPr>
        <w:t>（1）投标函</w:t>
      </w:r>
      <w:r>
        <w:rPr>
          <w:rFonts w:hint="eastAsia" w:ascii="宋体" w:hAnsi="宋体" w:cs="宋体"/>
          <w:b/>
          <w:color w:val="000000"/>
          <w:sz w:val="24"/>
          <w:szCs w:val="24"/>
          <w:u w:val="single"/>
        </w:rPr>
        <w:t xml:space="preserve">(原件) </w:t>
      </w:r>
    </w:p>
    <w:p>
      <w:pPr>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u w:val="single"/>
        </w:rPr>
        <w:t>（2）资格声明</w:t>
      </w:r>
      <w:r>
        <w:rPr>
          <w:rFonts w:hint="eastAsia" w:ascii="宋体" w:hAnsi="宋体" w:cs="宋体"/>
          <w:b/>
          <w:bCs/>
          <w:color w:val="000000"/>
          <w:sz w:val="24"/>
          <w:szCs w:val="24"/>
          <w:u w:val="single"/>
        </w:rPr>
        <w:t>(原件)</w:t>
      </w:r>
    </w:p>
    <w:p>
      <w:pPr>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u w:val="single"/>
        </w:rPr>
        <w:t>（3）若法定代表人参加投标的，须提供本人身份证复印件；若授权代表参加的，须提供《法人授权书》原件和授权代表身份证复印件。</w:t>
      </w:r>
    </w:p>
    <w:p>
      <w:pPr>
        <w:spacing w:line="360" w:lineRule="auto"/>
        <w:ind w:firstLine="480" w:firstLineChars="200"/>
        <w:jc w:val="left"/>
        <w:rPr>
          <w:sz w:val="24"/>
          <w:szCs w:val="24"/>
        </w:rPr>
      </w:pPr>
      <w:r>
        <w:rPr>
          <w:rFonts w:hint="eastAsia" w:ascii="宋体" w:hAnsi="宋体" w:cs="宋体"/>
          <w:color w:val="000000"/>
          <w:sz w:val="24"/>
          <w:szCs w:val="24"/>
          <w:u w:val="single"/>
        </w:rPr>
        <w:t>（4）营业执照</w:t>
      </w:r>
      <w:r>
        <w:rPr>
          <w:rFonts w:hint="eastAsia" w:ascii="宋体" w:hAnsi="宋体" w:cs="宋体"/>
          <w:b/>
          <w:bCs/>
          <w:color w:val="000000"/>
          <w:sz w:val="24"/>
          <w:szCs w:val="24"/>
          <w:u w:val="single"/>
        </w:rPr>
        <w:t xml:space="preserve">(复印件加盖供应商公章) </w:t>
      </w:r>
    </w:p>
    <w:p>
      <w:pPr>
        <w:spacing w:line="360" w:lineRule="auto"/>
        <w:ind w:firstLine="480" w:firstLineChars="200"/>
        <w:jc w:val="left"/>
        <w:rPr>
          <w:rFonts w:ascii="宋体" w:hAnsi="宋体" w:cs="宋体"/>
          <w:bCs/>
          <w:color w:val="000000"/>
          <w:sz w:val="24"/>
          <w:szCs w:val="24"/>
          <w:u w:val="single"/>
        </w:rPr>
      </w:pPr>
      <w:r>
        <w:rPr>
          <w:rFonts w:hint="eastAsia" w:ascii="宋体" w:hAnsi="宋体" w:cs="宋体"/>
          <w:color w:val="000000"/>
          <w:sz w:val="24"/>
          <w:szCs w:val="24"/>
          <w:u w:val="single"/>
        </w:rPr>
        <w:t>（5）依法缴纳职工社会保障资金的证明材料</w:t>
      </w:r>
      <w:r>
        <w:rPr>
          <w:rFonts w:hint="eastAsia" w:ascii="宋体" w:hAnsi="宋体" w:cs="宋体"/>
          <w:b/>
          <w:bCs/>
          <w:color w:val="000000"/>
          <w:sz w:val="24"/>
          <w:szCs w:val="24"/>
          <w:u w:val="single"/>
        </w:rPr>
        <w:t>(复印件加盖供应商公章)</w:t>
      </w:r>
      <w:r>
        <w:rPr>
          <w:rFonts w:hint="eastAsia" w:ascii="宋体" w:hAnsi="宋体" w:cs="宋体"/>
          <w:color w:val="000000"/>
          <w:sz w:val="24"/>
          <w:szCs w:val="24"/>
          <w:u w:val="single"/>
        </w:rPr>
        <w:t>( 提供2021年6月-2021年12月半年内由税务、银行或社会保险基金管理三个部门中任意一部门出具的任意一个月缴纳职工社会保障资金的缴款凭证或缴款证明))</w:t>
      </w:r>
    </w:p>
    <w:p>
      <w:pPr>
        <w:spacing w:line="360" w:lineRule="auto"/>
        <w:ind w:firstLine="480" w:firstLineChars="200"/>
        <w:jc w:val="left"/>
        <w:rPr>
          <w:rFonts w:hint="eastAsia" w:ascii="宋体" w:hAnsi="宋体" w:eastAsia="宋体" w:cs="宋体"/>
          <w:b/>
          <w:bCs/>
          <w:color w:val="000000"/>
          <w:sz w:val="24"/>
          <w:szCs w:val="24"/>
          <w:u w:val="single"/>
          <w:lang w:eastAsia="zh-CN"/>
        </w:rPr>
      </w:pPr>
      <w:r>
        <w:rPr>
          <w:rFonts w:hint="eastAsia" w:ascii="宋体" w:hAnsi="宋体" w:cs="宋体"/>
          <w:color w:val="000000"/>
          <w:sz w:val="24"/>
          <w:szCs w:val="24"/>
          <w:u w:val="single"/>
        </w:rPr>
        <w:t>（6）供应商2021年6月-2021年12月半年内任意一份依法纳税的缴款凭证</w:t>
      </w:r>
      <w:r>
        <w:rPr>
          <w:rFonts w:hint="eastAsia" w:ascii="宋体" w:hAnsi="宋体" w:cs="宋体"/>
          <w:b/>
          <w:bCs/>
          <w:color w:val="000000"/>
          <w:sz w:val="24"/>
          <w:szCs w:val="24"/>
          <w:u w:val="single"/>
        </w:rPr>
        <w:t>(复印件加盖供应商公章)</w:t>
      </w:r>
      <w:r>
        <w:rPr>
          <w:rFonts w:hint="eastAsia" w:ascii="宋体" w:hAnsi="宋体" w:cs="宋体"/>
          <w:b/>
          <w:bCs/>
          <w:color w:val="000000"/>
          <w:sz w:val="24"/>
          <w:szCs w:val="24"/>
          <w:u w:val="single"/>
          <w:lang w:eastAsia="zh-CN"/>
        </w:rPr>
        <w:t>。</w:t>
      </w:r>
    </w:p>
    <w:p>
      <w:pPr>
        <w:spacing w:line="360" w:lineRule="auto"/>
        <w:ind w:firstLine="480" w:firstLineChars="200"/>
        <w:jc w:val="left"/>
        <w:rPr>
          <w:rFonts w:ascii="宋体" w:hAnsi="宋体" w:cs="宋体"/>
          <w:b/>
          <w:bCs/>
          <w:color w:val="000000"/>
          <w:sz w:val="24"/>
          <w:szCs w:val="24"/>
          <w:u w:val="single"/>
        </w:rPr>
      </w:pPr>
      <w:r>
        <w:rPr>
          <w:rFonts w:hint="eastAsia" w:ascii="宋体" w:hAnsi="宋体" w:cs="宋体"/>
          <w:color w:val="000000"/>
          <w:sz w:val="24"/>
          <w:szCs w:val="24"/>
          <w:u w:val="single"/>
        </w:rPr>
        <w:t>（7）与第（6）条相对应的纳税申报表或经会计师事务所审计的</w:t>
      </w:r>
      <w:r>
        <w:rPr>
          <w:rFonts w:ascii="宋体" w:hAnsi="宋体" w:cs="宋体"/>
          <w:color w:val="000000"/>
          <w:sz w:val="24"/>
          <w:szCs w:val="24"/>
          <w:u w:val="single"/>
        </w:rPr>
        <w:t>2020</w:t>
      </w:r>
      <w:r>
        <w:rPr>
          <w:rFonts w:hint="eastAsia" w:ascii="宋体" w:hAnsi="宋体" w:cs="宋体"/>
          <w:color w:val="000000"/>
          <w:sz w:val="24"/>
          <w:szCs w:val="24"/>
          <w:u w:val="single"/>
        </w:rPr>
        <w:t>年度财务报告</w:t>
      </w:r>
      <w:r>
        <w:rPr>
          <w:rFonts w:hint="eastAsia" w:ascii="宋体" w:hAnsi="宋体" w:cs="宋体"/>
          <w:b/>
          <w:bCs/>
          <w:color w:val="000000"/>
          <w:sz w:val="24"/>
          <w:szCs w:val="24"/>
          <w:u w:val="single"/>
        </w:rPr>
        <w:t xml:space="preserve"> (</w:t>
      </w:r>
      <w:r>
        <w:rPr>
          <w:rFonts w:hint="eastAsia" w:ascii="宋体" w:hAnsi="宋体" w:cs="宋体"/>
          <w:b/>
          <w:bCs/>
          <w:sz w:val="24"/>
          <w:szCs w:val="24"/>
        </w:rPr>
        <w:t>提供</w:t>
      </w:r>
      <w:r>
        <w:rPr>
          <w:rFonts w:hint="eastAsia" w:ascii="宋体" w:hAnsi="宋体" w:cs="宋体"/>
          <w:b/>
          <w:bCs/>
          <w:color w:val="000000"/>
          <w:sz w:val="24"/>
          <w:szCs w:val="24"/>
          <w:u w:val="single"/>
        </w:rPr>
        <w:t>复印件加盖供应商公章)</w:t>
      </w:r>
    </w:p>
    <w:p>
      <w:pPr>
        <w:spacing w:line="360" w:lineRule="auto"/>
        <w:ind w:firstLine="480" w:firstLineChars="200"/>
        <w:jc w:val="left"/>
        <w:rPr>
          <w:rFonts w:ascii="宋体" w:hAnsi="宋体" w:cs="宋体"/>
          <w:b/>
          <w:bCs/>
          <w:color w:val="000000"/>
          <w:sz w:val="24"/>
          <w:szCs w:val="24"/>
          <w:u w:val="single"/>
        </w:rPr>
      </w:pPr>
      <w:r>
        <w:rPr>
          <w:rFonts w:hint="eastAsia" w:ascii="宋体" w:hAnsi="宋体" w:cs="宋体"/>
          <w:color w:val="000000"/>
          <w:sz w:val="24"/>
          <w:szCs w:val="24"/>
          <w:u w:val="single"/>
        </w:rPr>
        <w:t>（8）投标人政府采购活动近3年内在经营活动中没有重大违法记录的书面声明</w:t>
      </w:r>
      <w:r>
        <w:rPr>
          <w:rFonts w:hint="eastAsia" w:ascii="宋体" w:hAnsi="宋体" w:cs="宋体"/>
          <w:b/>
          <w:bCs/>
          <w:color w:val="000000"/>
          <w:sz w:val="24"/>
          <w:szCs w:val="24"/>
          <w:u w:val="single"/>
        </w:rPr>
        <w:t>（原件）</w:t>
      </w:r>
    </w:p>
    <w:bookmarkEnd w:id="3"/>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（二）采购人其他要求：</w:t>
      </w:r>
    </w:p>
    <w:p>
      <w:pPr>
        <w:autoSpaceDE w:val="0"/>
        <w:autoSpaceDN w:val="0"/>
        <w:adjustRightInd w:val="0"/>
        <w:snapToGrid w:val="0"/>
        <w:spacing w:line="360" w:lineRule="auto"/>
        <w:ind w:firstLine="465"/>
        <w:contextualSpacing/>
        <w:jc w:val="left"/>
        <w:rPr>
          <w:rFonts w:hint="eastAsia" w:ascii="宋体" w:hAnsi="宋体" w:cs="宋体"/>
          <w:sz w:val="24"/>
          <w:szCs w:val="24"/>
        </w:rPr>
      </w:pPr>
      <w:r>
        <w:rPr>
          <w:rFonts w:hint="eastAsia" w:ascii="宋体" w:hAnsi="宋体" w:cs="宋体"/>
          <w:sz w:val="24"/>
          <w:szCs w:val="24"/>
          <w:lang w:val="en-US" w:eastAsia="zh-CN"/>
        </w:rPr>
        <w:t>1、本项目</w:t>
      </w:r>
      <w:r>
        <w:rPr>
          <w:rFonts w:hint="eastAsia" w:ascii="宋体" w:hAnsi="宋体" w:cs="宋体"/>
          <w:b/>
          <w:bCs/>
          <w:sz w:val="24"/>
          <w:szCs w:val="24"/>
          <w:u w:val="single"/>
        </w:rPr>
        <w:t>不接受</w:t>
      </w:r>
      <w:r>
        <w:rPr>
          <w:rFonts w:hint="eastAsia" w:ascii="宋体" w:hAnsi="宋体" w:cs="宋体"/>
          <w:sz w:val="24"/>
          <w:szCs w:val="24"/>
        </w:rPr>
        <w:t>联合体形式的投标及任何形式的分包或转包。</w:t>
      </w:r>
    </w:p>
    <w:p>
      <w:pPr>
        <w:keepNext w:val="0"/>
        <w:keepLines w:val="0"/>
        <w:pageBreakBefore w:val="0"/>
        <w:kinsoku/>
        <w:wordWrap/>
        <w:overflowPunct/>
        <w:topLinePunct w:val="0"/>
        <w:autoSpaceDE w:val="0"/>
        <w:autoSpaceDN w:val="0"/>
        <w:bidi w:val="0"/>
        <w:adjustRightInd w:val="0"/>
        <w:snapToGrid w:val="0"/>
        <w:spacing w:line="360" w:lineRule="auto"/>
        <w:ind w:firstLine="465"/>
        <w:contextualSpacing/>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2、本项目</w:t>
      </w:r>
      <w:r>
        <w:rPr>
          <w:rFonts w:hint="eastAsia" w:ascii="宋体" w:hAnsi="宋体" w:cs="宋体"/>
          <w:b/>
          <w:bCs/>
          <w:sz w:val="24"/>
          <w:szCs w:val="24"/>
          <w:u w:val="single"/>
          <w:lang w:val="en-US" w:eastAsia="zh-CN"/>
        </w:rPr>
        <w:t>不接受</w:t>
      </w:r>
      <w:r>
        <w:rPr>
          <w:rFonts w:hint="eastAsia" w:ascii="宋体" w:hAnsi="宋体" w:cs="宋体"/>
          <w:sz w:val="24"/>
          <w:szCs w:val="24"/>
          <w:lang w:val="en-US" w:eastAsia="zh-CN"/>
        </w:rPr>
        <w:t>进口产品投标。</w:t>
      </w:r>
    </w:p>
    <w:p>
      <w:pPr>
        <w:keepNext w:val="0"/>
        <w:keepLines w:val="0"/>
        <w:pageBreakBefore w:val="0"/>
        <w:kinsoku/>
        <w:wordWrap/>
        <w:overflowPunct/>
        <w:topLinePunct w:val="0"/>
        <w:bidi w:val="0"/>
        <w:snapToGrid w:val="0"/>
        <w:spacing w:line="360" w:lineRule="auto"/>
        <w:ind w:firstLine="555"/>
        <w:contextualSpacing/>
        <w:textAlignment w:val="auto"/>
        <w:rPr>
          <w:rFonts w:ascii="宋体" w:hAnsi="宋体" w:cs="宋体"/>
          <w:b/>
          <w:sz w:val="24"/>
          <w:szCs w:val="24"/>
        </w:rPr>
      </w:pPr>
      <w:r>
        <w:rPr>
          <w:rFonts w:hint="eastAsia" w:ascii="宋体" w:hAnsi="宋体" w:cs="宋体"/>
          <w:b/>
          <w:sz w:val="24"/>
          <w:szCs w:val="24"/>
        </w:rPr>
        <w:t>五、公告期限</w:t>
      </w:r>
    </w:p>
    <w:p>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ascii="宋体" w:hAnsi="宋体" w:cs="宋体"/>
          <w:sz w:val="24"/>
          <w:szCs w:val="24"/>
        </w:rPr>
      </w:pPr>
      <w:r>
        <w:rPr>
          <w:rFonts w:hint="eastAsia" w:ascii="宋体" w:hAnsi="宋体" w:cs="宋体"/>
          <w:sz w:val="24"/>
          <w:szCs w:val="24"/>
        </w:rPr>
        <w:t>自公告在“</w:t>
      </w:r>
      <w:r>
        <w:rPr>
          <w:rFonts w:hint="eastAsia" w:ascii="宋体" w:hAnsi="宋体" w:cs="宋体"/>
          <w:sz w:val="24"/>
          <w:szCs w:val="24"/>
          <w:u w:val="single"/>
        </w:rPr>
        <w:t>扬州市城建国有资产控股(集团）有限责任公司</w:t>
      </w:r>
      <w:r>
        <w:rPr>
          <w:rFonts w:hint="eastAsia" w:ascii="宋体" w:hAnsi="宋体" w:cs="宋体"/>
          <w:sz w:val="24"/>
          <w:szCs w:val="24"/>
        </w:rPr>
        <w:t>”网站发布之日起5个工作日。有关本次招标的事项若存在变动或修改，敬请及时关注发布的信息或更正公告。</w:t>
      </w:r>
    </w:p>
    <w:p>
      <w:pPr>
        <w:spacing w:line="360" w:lineRule="auto"/>
        <w:ind w:firstLine="482" w:firstLineChars="200"/>
        <w:rPr>
          <w:rFonts w:ascii="宋体" w:hAnsi="宋体" w:cs="宋体"/>
          <w:b/>
          <w:bCs/>
          <w:color w:val="000000"/>
          <w:sz w:val="24"/>
          <w:szCs w:val="24"/>
        </w:rPr>
      </w:pPr>
      <w:bookmarkStart w:id="4" w:name="_Toc28359004"/>
      <w:bookmarkStart w:id="5" w:name="_Toc35393792"/>
      <w:bookmarkStart w:id="6" w:name="_Toc35393623"/>
      <w:bookmarkStart w:id="7" w:name="_Toc28359081"/>
      <w:r>
        <w:rPr>
          <w:rFonts w:hint="eastAsia" w:ascii="宋体" w:hAnsi="宋体" w:cs="宋体"/>
          <w:b/>
          <w:bCs/>
          <w:color w:val="000000"/>
          <w:sz w:val="24"/>
          <w:szCs w:val="24"/>
        </w:rPr>
        <w:t>六、获取招标文件</w:t>
      </w:r>
      <w:bookmarkEnd w:id="4"/>
      <w:bookmarkEnd w:id="5"/>
      <w:bookmarkEnd w:id="6"/>
      <w:bookmarkEnd w:id="7"/>
    </w:p>
    <w:p>
      <w:pPr>
        <w:adjustRightInd w:val="0"/>
        <w:snapToGrid w:val="0"/>
        <w:spacing w:line="360" w:lineRule="auto"/>
        <w:ind w:firstLine="480" w:firstLineChars="200"/>
        <w:rPr>
          <w:rFonts w:ascii="宋体" w:hAnsi="宋体" w:cs="宋体"/>
          <w:iCs/>
          <w:sz w:val="24"/>
          <w:szCs w:val="24"/>
          <w:highlight w:val="none"/>
          <w:u w:val="single"/>
        </w:rPr>
      </w:pPr>
      <w:r>
        <w:rPr>
          <w:rFonts w:hint="eastAsia" w:ascii="宋体" w:hAnsi="宋体" w:cs="宋体"/>
          <w:iCs/>
          <w:sz w:val="24"/>
          <w:szCs w:val="24"/>
        </w:rPr>
        <w:t>获取时间：</w:t>
      </w:r>
      <w:r>
        <w:rPr>
          <w:rFonts w:hint="eastAsia" w:ascii="宋体" w:hAnsi="宋体" w:cs="宋体"/>
          <w:iCs/>
          <w:sz w:val="24"/>
          <w:szCs w:val="24"/>
          <w:highlight w:val="none"/>
          <w:u w:val="single"/>
        </w:rPr>
        <w:t>202</w:t>
      </w:r>
      <w:r>
        <w:rPr>
          <w:rFonts w:hint="eastAsia" w:ascii="宋体" w:hAnsi="宋体" w:cs="宋体"/>
          <w:iCs/>
          <w:sz w:val="24"/>
          <w:szCs w:val="24"/>
          <w:highlight w:val="none"/>
          <w:u w:val="single"/>
          <w:lang w:val="en-US" w:eastAsia="zh-CN"/>
        </w:rPr>
        <w:t>2</w:t>
      </w:r>
      <w:r>
        <w:rPr>
          <w:rFonts w:hint="eastAsia" w:ascii="宋体" w:hAnsi="宋体" w:cs="宋体"/>
          <w:iCs/>
          <w:sz w:val="24"/>
          <w:szCs w:val="24"/>
          <w:highlight w:val="none"/>
          <w:u w:val="single"/>
        </w:rPr>
        <w:t>年 1月</w:t>
      </w:r>
      <w:r>
        <w:rPr>
          <w:rFonts w:hint="eastAsia" w:ascii="宋体" w:hAnsi="宋体" w:cs="宋体"/>
          <w:iCs/>
          <w:sz w:val="24"/>
          <w:szCs w:val="24"/>
          <w:highlight w:val="none"/>
          <w:u w:val="single"/>
          <w:lang w:val="en-US" w:eastAsia="zh-CN"/>
        </w:rPr>
        <w:t>27</w:t>
      </w:r>
      <w:r>
        <w:rPr>
          <w:rFonts w:hint="eastAsia" w:ascii="宋体" w:hAnsi="宋体" w:cs="宋体"/>
          <w:iCs/>
          <w:sz w:val="24"/>
          <w:szCs w:val="24"/>
          <w:highlight w:val="none"/>
          <w:u w:val="single"/>
        </w:rPr>
        <w:t>日至202</w:t>
      </w:r>
      <w:r>
        <w:rPr>
          <w:rFonts w:hint="eastAsia" w:ascii="宋体" w:hAnsi="宋体" w:cs="宋体"/>
          <w:iCs/>
          <w:sz w:val="24"/>
          <w:szCs w:val="24"/>
          <w:highlight w:val="none"/>
          <w:u w:val="single"/>
          <w:lang w:val="en-US" w:eastAsia="zh-CN"/>
        </w:rPr>
        <w:t>2</w:t>
      </w:r>
      <w:r>
        <w:rPr>
          <w:rFonts w:hint="eastAsia" w:ascii="宋体" w:hAnsi="宋体" w:cs="宋体"/>
          <w:iCs/>
          <w:sz w:val="24"/>
          <w:szCs w:val="24"/>
          <w:highlight w:val="none"/>
          <w:u w:val="single"/>
        </w:rPr>
        <w:t>年</w:t>
      </w:r>
      <w:r>
        <w:rPr>
          <w:rFonts w:hint="eastAsia" w:ascii="宋体" w:hAnsi="宋体" w:cs="宋体"/>
          <w:iCs/>
          <w:sz w:val="24"/>
          <w:szCs w:val="24"/>
          <w:highlight w:val="none"/>
          <w:u w:val="single"/>
          <w:lang w:val="en-US" w:eastAsia="zh-CN"/>
        </w:rPr>
        <w:t>2月7</w:t>
      </w:r>
      <w:r>
        <w:rPr>
          <w:rFonts w:hint="eastAsia" w:ascii="宋体" w:hAnsi="宋体" w:cs="宋体"/>
          <w:iCs/>
          <w:sz w:val="24"/>
          <w:szCs w:val="24"/>
          <w:highlight w:val="none"/>
          <w:u w:val="single"/>
        </w:rPr>
        <w:t>日</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iCs/>
          <w:sz w:val="24"/>
          <w:szCs w:val="24"/>
        </w:rPr>
        <w:t>获取方式：</w:t>
      </w:r>
      <w:r>
        <w:rPr>
          <w:rFonts w:hint="eastAsia" w:ascii="宋体" w:hAnsi="宋体" w:cs="宋体"/>
          <w:sz w:val="24"/>
          <w:szCs w:val="24"/>
          <w:u w:val="single"/>
        </w:rPr>
        <w:t>扬州市城建国有资产控股（集团）有限责任公司网站（http://www.yzckjt.com/main.htm）自行下载。</w:t>
      </w:r>
    </w:p>
    <w:p>
      <w:pPr>
        <w:spacing w:line="360" w:lineRule="auto"/>
        <w:ind w:firstLine="480" w:firstLineChars="200"/>
        <w:rPr>
          <w:rFonts w:ascii="宋体" w:hAnsi="宋体" w:cs="宋体"/>
          <w:iCs/>
          <w:sz w:val="24"/>
          <w:szCs w:val="24"/>
        </w:rPr>
      </w:pPr>
      <w:r>
        <w:rPr>
          <w:rFonts w:hint="eastAsia" w:ascii="宋体" w:hAnsi="宋体" w:cs="宋体"/>
          <w:iCs/>
          <w:sz w:val="24"/>
          <w:szCs w:val="24"/>
        </w:rPr>
        <w:t>注：投标人获取招标文件后，需按《供应商参加投标确认函》的要求报名确认。</w:t>
      </w:r>
    </w:p>
    <w:p>
      <w:pPr>
        <w:spacing w:line="360" w:lineRule="auto"/>
        <w:ind w:firstLine="482" w:firstLineChars="200"/>
        <w:rPr>
          <w:rFonts w:ascii="宋体" w:hAnsi="宋体" w:cs="宋体"/>
          <w:b/>
          <w:bCs/>
          <w:sz w:val="24"/>
          <w:szCs w:val="24"/>
        </w:rPr>
      </w:pPr>
      <w:bookmarkStart w:id="8" w:name="_Toc28359005"/>
      <w:bookmarkStart w:id="9" w:name="_Toc28359082"/>
      <w:bookmarkStart w:id="10" w:name="_Toc35393624"/>
      <w:bookmarkStart w:id="11" w:name="_Toc35393793"/>
      <w:r>
        <w:rPr>
          <w:rFonts w:hint="eastAsia" w:ascii="宋体" w:hAnsi="宋体" w:cs="宋体"/>
          <w:b/>
          <w:bCs/>
          <w:sz w:val="24"/>
          <w:szCs w:val="24"/>
        </w:rPr>
        <w:t>七、提交投标文件</w:t>
      </w:r>
      <w:bookmarkEnd w:id="8"/>
      <w:bookmarkEnd w:id="9"/>
      <w:r>
        <w:rPr>
          <w:rFonts w:hint="eastAsia" w:ascii="宋体" w:hAnsi="宋体" w:cs="宋体"/>
          <w:b/>
          <w:bCs/>
          <w:sz w:val="24"/>
          <w:szCs w:val="24"/>
        </w:rPr>
        <w:t>截止时间和地点</w:t>
      </w:r>
      <w:bookmarkEnd w:id="10"/>
      <w:bookmarkEnd w:id="11"/>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rPr>
        <w:t>1.投标文件接收截止时间</w:t>
      </w:r>
      <w:r>
        <w:rPr>
          <w:rFonts w:hint="eastAsia" w:ascii="宋体" w:hAnsi="宋体"/>
          <w:sz w:val="24"/>
          <w:szCs w:val="24"/>
        </w:rPr>
        <w:t>：</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15</w:t>
      </w:r>
      <w:r>
        <w:rPr>
          <w:rFonts w:hint="eastAsia" w:ascii="宋体" w:hAnsi="宋体"/>
          <w:sz w:val="24"/>
          <w:szCs w:val="24"/>
          <w:highlight w:val="none"/>
          <w:u w:val="single"/>
        </w:rPr>
        <w:t>日下</w:t>
      </w:r>
      <w:r>
        <w:rPr>
          <w:rFonts w:ascii="宋体" w:hAnsi="宋体"/>
          <w:sz w:val="24"/>
          <w:szCs w:val="24"/>
          <w:highlight w:val="none"/>
          <w:u w:val="single"/>
        </w:rPr>
        <w:t xml:space="preserve">午 </w:t>
      </w:r>
      <w:r>
        <w:rPr>
          <w:rFonts w:hint="eastAsia" w:ascii="宋体" w:hAnsi="宋体"/>
          <w:sz w:val="24"/>
          <w:szCs w:val="24"/>
          <w:highlight w:val="none"/>
          <w:u w:val="single"/>
        </w:rPr>
        <w:t>1</w:t>
      </w:r>
      <w:r>
        <w:rPr>
          <w:rFonts w:hint="eastAsia" w:ascii="宋体" w:hAnsi="宋体"/>
          <w:sz w:val="24"/>
          <w:szCs w:val="24"/>
          <w:highlight w:val="none"/>
          <w:u w:val="single"/>
          <w:lang w:val="en-US" w:eastAsia="zh-CN"/>
        </w:rPr>
        <w:t>6</w:t>
      </w:r>
      <w:r>
        <w:rPr>
          <w:rFonts w:ascii="宋体" w:hAnsi="宋体"/>
          <w:sz w:val="24"/>
          <w:szCs w:val="24"/>
          <w:highlight w:val="none"/>
          <w:u w:val="single"/>
        </w:rPr>
        <w:t>:</w:t>
      </w:r>
      <w:r>
        <w:rPr>
          <w:rFonts w:hint="eastAsia" w:ascii="宋体" w:hAnsi="宋体"/>
          <w:sz w:val="24"/>
          <w:szCs w:val="24"/>
          <w:highlight w:val="none"/>
          <w:u w:val="single"/>
        </w:rPr>
        <w:t>0</w:t>
      </w:r>
      <w:r>
        <w:rPr>
          <w:rFonts w:ascii="宋体" w:hAnsi="宋体"/>
          <w:sz w:val="24"/>
          <w:szCs w:val="24"/>
          <w:highlight w:val="none"/>
          <w:u w:val="single"/>
        </w:rPr>
        <w:t>0</w:t>
      </w:r>
      <w:r>
        <w:rPr>
          <w:rFonts w:hint="eastAsia" w:ascii="宋体" w:hAnsi="宋体" w:cs="宋体"/>
          <w:sz w:val="24"/>
          <w:szCs w:val="24"/>
          <w:highlight w:val="none"/>
          <w:u w:val="single"/>
        </w:rPr>
        <w:t>（北京时间）</w:t>
      </w:r>
    </w:p>
    <w:p>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rPr>
        <w:t>因受疫情影响，</w:t>
      </w:r>
      <w:r>
        <w:rPr>
          <w:rFonts w:hint="eastAsia" w:cs="宋体"/>
          <w:color w:val="FF0000"/>
          <w:kern w:val="0"/>
          <w:sz w:val="24"/>
          <w:szCs w:val="24"/>
          <w:lang w:eastAsia="zh-CN"/>
        </w:rPr>
        <w:t>投标文件只接受</w:t>
      </w:r>
      <w:r>
        <w:rPr>
          <w:rFonts w:hint="eastAsia" w:ascii="宋体" w:hAnsi="宋体" w:cs="宋体"/>
          <w:b/>
          <w:bCs/>
          <w:color w:val="FF0000"/>
          <w:kern w:val="0"/>
          <w:sz w:val="24"/>
          <w:szCs w:val="24"/>
          <w:u w:val="single"/>
        </w:rPr>
        <w:t>邮寄方式</w:t>
      </w:r>
      <w:r>
        <w:rPr>
          <w:rFonts w:hint="eastAsia" w:ascii="宋体" w:hAnsi="宋体" w:cs="宋体"/>
          <w:b w:val="0"/>
          <w:bCs w:val="0"/>
          <w:color w:val="FF0000"/>
          <w:kern w:val="0"/>
          <w:sz w:val="24"/>
          <w:szCs w:val="24"/>
          <w:u w:val="none"/>
        </w:rPr>
        <w:t>送</w:t>
      </w:r>
      <w:r>
        <w:rPr>
          <w:rFonts w:hint="eastAsia" w:cs="宋体"/>
          <w:b w:val="0"/>
          <w:bCs w:val="0"/>
          <w:color w:val="FF0000"/>
          <w:kern w:val="0"/>
          <w:sz w:val="24"/>
          <w:szCs w:val="24"/>
          <w:u w:val="none"/>
          <w:lang w:eastAsia="zh-CN"/>
        </w:rPr>
        <w:t>至</w:t>
      </w:r>
      <w:r>
        <w:rPr>
          <w:rFonts w:hint="eastAsia" w:ascii="宋体" w:hAnsi="宋体" w:cs="宋体"/>
          <w:color w:val="FF0000"/>
          <w:kern w:val="0"/>
          <w:sz w:val="24"/>
          <w:szCs w:val="24"/>
        </w:rPr>
        <w:t>扬州市嘉诚造价咨询有限公司（</w:t>
      </w:r>
      <w:r>
        <w:rPr>
          <w:rFonts w:hint="eastAsia" w:ascii="宋体" w:hAnsi="宋体" w:cs="宋体"/>
          <w:color w:val="FF0000"/>
          <w:sz w:val="24"/>
          <w:szCs w:val="24"/>
        </w:rPr>
        <w:t>扬州市</w:t>
      </w:r>
      <w:r>
        <w:rPr>
          <w:rFonts w:hint="eastAsia" w:ascii="宋体" w:hAnsi="宋体" w:cs="宋体"/>
          <w:color w:val="FF0000"/>
          <w:kern w:val="0"/>
          <w:sz w:val="24"/>
          <w:szCs w:val="24"/>
        </w:rPr>
        <w:t>文汇东路249号，联系人：聂一杰，联系方式：17751367276）</w:t>
      </w:r>
      <w:r>
        <w:rPr>
          <w:rFonts w:hint="eastAsia" w:cs="宋体"/>
          <w:color w:val="auto"/>
          <w:kern w:val="0"/>
          <w:sz w:val="24"/>
          <w:szCs w:val="24"/>
          <w:highlight w:val="none"/>
          <w:lang w:eastAsia="zh-CN"/>
        </w:rPr>
        <w:t>。</w:t>
      </w:r>
    </w:p>
    <w:p>
      <w:pPr>
        <w:widowControl/>
        <w:shd w:val="clear" w:color="auto" w:fill="FFFFFF"/>
        <w:spacing w:line="360" w:lineRule="auto"/>
        <w:ind w:firstLine="482" w:firstLineChars="200"/>
      </w:pPr>
      <w:r>
        <w:rPr>
          <w:rFonts w:hint="eastAsia" w:ascii="宋体" w:hAnsi="宋体" w:cs="宋体"/>
          <w:b/>
          <w:bCs/>
          <w:color w:val="FF0000"/>
          <w:kern w:val="0"/>
          <w:sz w:val="24"/>
          <w:szCs w:val="24"/>
        </w:rPr>
        <w:t>注：逾期送达的投标文件，招标人不予受理。</w:t>
      </w:r>
    </w:p>
    <w:p>
      <w:pPr>
        <w:spacing w:line="360" w:lineRule="auto"/>
        <w:ind w:firstLine="480" w:firstLineChars="200"/>
        <w:rPr>
          <w:rFonts w:ascii="宋体" w:hAnsi="宋体"/>
          <w:sz w:val="24"/>
          <w:szCs w:val="24"/>
          <w:highlight w:val="none"/>
        </w:rPr>
      </w:pPr>
      <w:r>
        <w:rPr>
          <w:rFonts w:hint="eastAsia" w:ascii="宋体" w:hAnsi="宋体"/>
          <w:sz w:val="24"/>
          <w:szCs w:val="24"/>
        </w:rPr>
        <w:t>2.开标时间：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16</w:t>
      </w:r>
      <w:r>
        <w:rPr>
          <w:rFonts w:hint="eastAsia" w:ascii="宋体" w:hAnsi="宋体"/>
          <w:sz w:val="24"/>
          <w:szCs w:val="24"/>
          <w:highlight w:val="none"/>
          <w:u w:val="single"/>
        </w:rPr>
        <w:t>日上</w:t>
      </w:r>
      <w:r>
        <w:rPr>
          <w:rFonts w:ascii="宋体" w:hAnsi="宋体"/>
          <w:sz w:val="24"/>
          <w:szCs w:val="24"/>
          <w:highlight w:val="none"/>
          <w:u w:val="single"/>
        </w:rPr>
        <w:t>午 9:30</w:t>
      </w:r>
      <w:r>
        <w:rPr>
          <w:rFonts w:hint="eastAsia" w:ascii="宋体" w:hAnsi="宋体" w:cs="宋体"/>
          <w:sz w:val="24"/>
          <w:szCs w:val="24"/>
          <w:highlight w:val="none"/>
          <w:u w:val="single"/>
        </w:rPr>
        <w:t>（北京时间）</w:t>
      </w:r>
    </w:p>
    <w:p>
      <w:pPr>
        <w:widowControl/>
        <w:shd w:val="clear" w:color="auto" w:fill="FFFFFF"/>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因受疫情影响，本次招标采用</w:t>
      </w:r>
      <w:r>
        <w:rPr>
          <w:rFonts w:hint="eastAsia" w:ascii="宋体" w:hAnsi="宋体" w:cs="宋体"/>
          <w:b/>
          <w:bCs/>
          <w:color w:val="FF0000"/>
          <w:kern w:val="0"/>
          <w:sz w:val="24"/>
          <w:szCs w:val="24"/>
          <w:u w:val="single"/>
        </w:rPr>
        <w:t>不见面方式</w:t>
      </w:r>
      <w:r>
        <w:rPr>
          <w:rFonts w:hint="eastAsia" w:ascii="宋体" w:hAnsi="宋体" w:cs="宋体"/>
          <w:color w:val="333333"/>
          <w:kern w:val="0"/>
          <w:sz w:val="24"/>
          <w:szCs w:val="24"/>
        </w:rPr>
        <w:t>开标，开标会由招标人代表、监督人、招标代理机构及评审人员完成，</w:t>
      </w:r>
      <w:r>
        <w:rPr>
          <w:rFonts w:hint="eastAsia" w:ascii="宋体" w:hAnsi="宋体" w:cs="宋体"/>
          <w:b/>
          <w:bCs/>
          <w:color w:val="333333"/>
          <w:kern w:val="0"/>
          <w:sz w:val="24"/>
          <w:szCs w:val="24"/>
        </w:rPr>
        <w:t>投标人不参加开标会</w:t>
      </w:r>
      <w:r>
        <w:rPr>
          <w:rFonts w:hint="eastAsia" w:ascii="宋体" w:hAnsi="宋体" w:cs="宋体"/>
          <w:color w:val="333333"/>
          <w:kern w:val="0"/>
          <w:sz w:val="24"/>
          <w:szCs w:val="24"/>
        </w:rPr>
        <w:t>。</w:t>
      </w:r>
    </w:p>
    <w:p>
      <w:pPr>
        <w:widowControl/>
        <w:shd w:val="clear" w:color="auto" w:fill="FFFFFF"/>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3.开标地点：扬州市嘉诚造价咨询有限公司（地址：文汇东路249号）</w:t>
      </w:r>
    </w:p>
    <w:p>
      <w:pPr>
        <w:snapToGrid w:val="0"/>
        <w:spacing w:line="360" w:lineRule="auto"/>
        <w:ind w:firstLine="555"/>
        <w:contextualSpacing/>
        <w:rPr>
          <w:rFonts w:ascii="宋体" w:hAnsi="宋体" w:cs="宋体"/>
          <w:b/>
          <w:sz w:val="24"/>
          <w:szCs w:val="24"/>
        </w:rPr>
      </w:pPr>
      <w:r>
        <w:rPr>
          <w:rFonts w:hint="eastAsia" w:ascii="宋体" w:hAnsi="宋体" w:cs="宋体"/>
          <w:b/>
          <w:sz w:val="24"/>
          <w:szCs w:val="24"/>
        </w:rPr>
        <w:t>八、投标保证金</w:t>
      </w:r>
    </w:p>
    <w:p>
      <w:pPr>
        <w:snapToGrid w:val="0"/>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项目</w:t>
      </w:r>
      <w:r>
        <w:rPr>
          <w:rFonts w:hint="eastAsia" w:ascii="宋体" w:hAnsi="宋体" w:cs="宋体"/>
          <w:sz w:val="24"/>
          <w:szCs w:val="24"/>
        </w:rPr>
        <w:t>投标保证金</w:t>
      </w:r>
      <w:r>
        <w:rPr>
          <w:rFonts w:hint="eastAsia"/>
          <w:b/>
          <w:bCs/>
          <w:sz w:val="24"/>
          <w:szCs w:val="24"/>
          <w:u w:val="single"/>
        </w:rPr>
        <w:t>6000元</w:t>
      </w:r>
      <w:r>
        <w:rPr>
          <w:rFonts w:hint="eastAsia"/>
          <w:sz w:val="24"/>
          <w:szCs w:val="24"/>
        </w:rPr>
        <w:t>，递交方式及</w:t>
      </w:r>
      <w:r>
        <w:rPr>
          <w:rFonts w:hint="eastAsia"/>
          <w:sz w:val="24"/>
          <w:szCs w:val="24"/>
          <w:highlight w:val="none"/>
        </w:rPr>
        <w:t>时间详见投标须知前附表3.4.1</w:t>
      </w:r>
      <w:r>
        <w:rPr>
          <w:rFonts w:hint="eastAsia" w:ascii="宋体" w:hAnsi="宋体" w:cs="宋体"/>
          <w:sz w:val="24"/>
          <w:szCs w:val="24"/>
          <w:highlight w:val="none"/>
          <w:lang w:val="zh-CN"/>
        </w:rPr>
        <w:t>。</w:t>
      </w:r>
    </w:p>
    <w:p>
      <w:pPr>
        <w:pStyle w:val="48"/>
        <w:spacing w:before="0" w:beforeAutospacing="0" w:after="0" w:afterAutospacing="0" w:line="360" w:lineRule="auto"/>
        <w:ind w:firstLine="420"/>
        <w:rPr>
          <w:color w:val="333333"/>
        </w:rPr>
      </w:pPr>
      <w:r>
        <w:rPr>
          <w:rFonts w:hint="eastAsia"/>
          <w:b/>
          <w:color w:val="333333"/>
        </w:rPr>
        <w:t>九、监督部门</w:t>
      </w:r>
    </w:p>
    <w:p>
      <w:pPr>
        <w:pStyle w:val="48"/>
        <w:spacing w:before="0" w:beforeAutospacing="0" w:after="0" w:afterAutospacing="0" w:line="360" w:lineRule="auto"/>
        <w:ind w:firstLine="420"/>
        <w:rPr>
          <w:color w:val="333333"/>
        </w:rPr>
      </w:pPr>
      <w:r>
        <w:rPr>
          <w:rFonts w:hint="eastAsia"/>
          <w:color w:val="333333"/>
        </w:rPr>
        <w:t>本招标项目的监督部门为扬州市城建国有资产控股（集团）有限公司纪检监察室。</w:t>
      </w:r>
    </w:p>
    <w:p>
      <w:pPr>
        <w:pStyle w:val="48"/>
        <w:spacing w:before="0" w:beforeAutospacing="0" w:after="0" w:afterAutospacing="0" w:line="360" w:lineRule="auto"/>
        <w:ind w:firstLine="420"/>
        <w:rPr>
          <w:lang w:val="zh-CN"/>
        </w:rPr>
      </w:pPr>
      <w:r>
        <w:rPr>
          <w:rFonts w:hint="eastAsia"/>
          <w:color w:val="333333"/>
        </w:rPr>
        <w:t>电话：0514-87111559</w:t>
      </w:r>
    </w:p>
    <w:p>
      <w:pPr>
        <w:snapToGrid w:val="0"/>
        <w:spacing w:line="360" w:lineRule="auto"/>
        <w:ind w:firstLine="482" w:firstLineChars="200"/>
        <w:contextualSpacing/>
        <w:rPr>
          <w:rFonts w:ascii="宋体" w:hAnsi="宋体" w:cs="宋体"/>
          <w:b/>
          <w:sz w:val="24"/>
          <w:szCs w:val="24"/>
        </w:rPr>
      </w:pPr>
      <w:r>
        <w:rPr>
          <w:rFonts w:hint="eastAsia" w:ascii="宋体" w:hAnsi="宋体" w:cs="宋体"/>
          <w:b/>
          <w:sz w:val="24"/>
          <w:szCs w:val="24"/>
        </w:rPr>
        <w:t>十、本项目联系事项</w:t>
      </w:r>
    </w:p>
    <w:p>
      <w:pPr>
        <w:pStyle w:val="48"/>
        <w:spacing w:before="0" w:beforeAutospacing="0" w:after="0" w:afterAutospacing="0" w:line="360" w:lineRule="auto"/>
        <w:ind w:firstLine="420"/>
        <w:rPr>
          <w:color w:val="333333"/>
        </w:rPr>
      </w:pPr>
      <w:r>
        <w:rPr>
          <w:rFonts w:hint="eastAsia"/>
          <w:b/>
          <w:color w:val="333333"/>
        </w:rPr>
        <w:t>招标人：扬州市民卡有限责任公司</w:t>
      </w:r>
    </w:p>
    <w:p>
      <w:pPr>
        <w:pStyle w:val="48"/>
        <w:spacing w:before="0" w:beforeAutospacing="0" w:after="0" w:afterAutospacing="0" w:line="360" w:lineRule="auto"/>
        <w:ind w:firstLine="420"/>
        <w:rPr>
          <w:color w:val="333333"/>
        </w:rPr>
      </w:pPr>
      <w:r>
        <w:rPr>
          <w:rFonts w:hint="eastAsia"/>
          <w:color w:val="333333"/>
        </w:rPr>
        <w:t>地   址：扬州市史可法路5</w:t>
      </w:r>
      <w:r>
        <w:rPr>
          <w:color w:val="333333"/>
        </w:rPr>
        <w:t>8</w:t>
      </w:r>
      <w:r>
        <w:rPr>
          <w:rFonts w:hint="eastAsia"/>
          <w:color w:val="333333"/>
        </w:rPr>
        <w:t>号</w:t>
      </w:r>
    </w:p>
    <w:p>
      <w:pPr>
        <w:pStyle w:val="48"/>
        <w:spacing w:before="0" w:beforeAutospacing="0" w:after="0" w:afterAutospacing="0" w:line="360" w:lineRule="auto"/>
        <w:ind w:firstLine="420"/>
      </w:pPr>
      <w:r>
        <w:rPr>
          <w:rFonts w:hint="eastAsia"/>
        </w:rPr>
        <w:t>联系人：刘川</w:t>
      </w:r>
    </w:p>
    <w:p>
      <w:pPr>
        <w:pStyle w:val="48"/>
        <w:spacing w:before="0" w:beforeAutospacing="0" w:after="0" w:afterAutospacing="0" w:line="360" w:lineRule="auto"/>
        <w:ind w:firstLine="420"/>
      </w:pPr>
      <w:r>
        <w:rPr>
          <w:rFonts w:hint="eastAsia"/>
        </w:rPr>
        <w:t>电   话：18005275210</w:t>
      </w:r>
      <w:r>
        <w:rPr>
          <w:rFonts w:hint="eastAsia"/>
          <w:b/>
        </w:rPr>
        <w:t> </w:t>
      </w:r>
    </w:p>
    <w:p>
      <w:pPr>
        <w:pStyle w:val="48"/>
        <w:spacing w:before="0" w:beforeAutospacing="0" w:after="0" w:afterAutospacing="0" w:line="360" w:lineRule="auto"/>
        <w:ind w:firstLine="420"/>
        <w:rPr>
          <w:color w:val="333333"/>
        </w:rPr>
      </w:pPr>
      <w:r>
        <w:rPr>
          <w:rFonts w:hint="eastAsia"/>
          <w:b/>
          <w:color w:val="333333"/>
        </w:rPr>
        <w:t>招标代理机构：扬州市嘉诚造价咨询有限公司</w:t>
      </w:r>
    </w:p>
    <w:p>
      <w:pPr>
        <w:pStyle w:val="48"/>
        <w:spacing w:before="0" w:beforeAutospacing="0" w:after="0" w:afterAutospacing="0" w:line="360" w:lineRule="auto"/>
        <w:ind w:firstLine="420"/>
        <w:rPr>
          <w:color w:val="333333"/>
        </w:rPr>
      </w:pPr>
      <w:r>
        <w:rPr>
          <w:rFonts w:hint="eastAsia"/>
          <w:color w:val="333333"/>
        </w:rPr>
        <w:t>地   址：文汇东路249号</w:t>
      </w:r>
    </w:p>
    <w:p>
      <w:pPr>
        <w:pStyle w:val="48"/>
        <w:spacing w:before="0" w:beforeAutospacing="0" w:after="0" w:afterAutospacing="0" w:line="360" w:lineRule="auto"/>
        <w:ind w:firstLine="420"/>
        <w:rPr>
          <w:color w:val="333333"/>
        </w:rPr>
      </w:pPr>
      <w:r>
        <w:rPr>
          <w:rFonts w:hint="eastAsia"/>
          <w:color w:val="333333"/>
        </w:rPr>
        <w:t>联系人：聂一杰</w:t>
      </w:r>
    </w:p>
    <w:p>
      <w:pPr>
        <w:pStyle w:val="48"/>
        <w:spacing w:before="0" w:beforeAutospacing="0" w:after="0" w:afterAutospacing="0" w:line="360" w:lineRule="auto"/>
        <w:ind w:firstLine="420"/>
        <w:rPr>
          <w:color w:val="333333"/>
        </w:rPr>
      </w:pPr>
      <w:r>
        <w:rPr>
          <w:rFonts w:hint="eastAsia"/>
          <w:color w:val="333333"/>
        </w:rPr>
        <w:t>电   话：17751367276</w:t>
      </w:r>
    </w:p>
    <w:p>
      <w:pPr>
        <w:pStyle w:val="48"/>
        <w:spacing w:before="0" w:beforeAutospacing="0" w:after="0" w:afterAutospacing="0" w:line="360" w:lineRule="auto"/>
        <w:ind w:firstLine="420"/>
      </w:pPr>
      <w:r>
        <w:rPr>
          <w:rFonts w:hint="eastAsia"/>
          <w:color w:val="333333"/>
        </w:rPr>
        <w:t>电子邮件：</w:t>
      </w:r>
      <w:r>
        <w:fldChar w:fldCharType="begin"/>
      </w:r>
      <w:r>
        <w:instrText xml:space="preserve"> HYPERLINK "mailto:1054684344@qq.com    " </w:instrText>
      </w:r>
      <w:r>
        <w:fldChar w:fldCharType="separate"/>
      </w:r>
      <w:r>
        <w:rPr>
          <w:rStyle w:val="64"/>
          <w:rFonts w:hint="eastAsia"/>
          <w:color w:val="333333"/>
        </w:rPr>
        <w:t>1054684344@qq.com    </w:t>
      </w:r>
      <w:r>
        <w:rPr>
          <w:rStyle w:val="64"/>
          <w:color w:val="333333"/>
        </w:rPr>
        <w:fldChar w:fldCharType="end"/>
      </w:r>
      <w:bookmarkStart w:id="12" w:name="_Toc523208568"/>
    </w:p>
    <w:p>
      <w:pPr>
        <w:pStyle w:val="50"/>
        <w:spacing w:before="0" w:after="0" w:line="360" w:lineRule="auto"/>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rPr>
          <w:rFonts w:ascii="宋体" w:hAnsi="宋体" w:eastAsia="宋体" w:cs="宋体"/>
          <w:sz w:val="24"/>
        </w:rPr>
      </w:pPr>
      <w:bookmarkStart w:id="13" w:name="_Toc8520"/>
      <w:r>
        <w:rPr>
          <w:rFonts w:hint="eastAsia" w:ascii="宋体" w:hAnsi="宋体" w:eastAsia="宋体" w:cs="Times New Roman"/>
          <w:snapToGrid w:val="0"/>
          <w:kern w:val="0"/>
          <w:sz w:val="44"/>
          <w:szCs w:val="20"/>
        </w:rPr>
        <w:t>第二章 投标须知</w:t>
      </w:r>
      <w:bookmarkEnd w:id="12"/>
      <w:bookmarkEnd w:id="13"/>
      <w:bookmarkStart w:id="14" w:name="_Toc31808"/>
      <w:bookmarkStart w:id="15" w:name="_Toc6245"/>
      <w:bookmarkStart w:id="16" w:name="_Toc9542"/>
      <w:bookmarkStart w:id="17" w:name="_Toc3287"/>
      <w:bookmarkStart w:id="18" w:name="_Toc40699919"/>
    </w:p>
    <w:p>
      <w:pPr>
        <w:pStyle w:val="50"/>
        <w:spacing w:before="0" w:after="0" w:line="360" w:lineRule="auto"/>
        <w:jc w:val="both"/>
        <w:outlineLvl w:val="9"/>
        <w:rPr>
          <w:rFonts w:ascii="宋体" w:hAnsi="宋体" w:eastAsia="宋体" w:cs="宋体"/>
          <w:sz w:val="24"/>
        </w:rPr>
      </w:pPr>
      <w:bookmarkStart w:id="19" w:name="_Toc18123"/>
      <w:r>
        <w:rPr>
          <w:rFonts w:hint="eastAsia" w:ascii="宋体" w:hAnsi="宋体" w:eastAsia="宋体" w:cs="宋体"/>
          <w:sz w:val="24"/>
        </w:rPr>
        <w:t>1</w:t>
      </w:r>
      <w:r>
        <w:rPr>
          <w:rFonts w:hint="eastAsia" w:ascii="宋体" w:hAnsi="宋体" w:eastAsia="黑体" w:cs="宋体"/>
          <w:b w:val="0"/>
          <w:bCs/>
          <w:szCs w:val="32"/>
        </w:rPr>
        <w:t>、</w:t>
      </w:r>
      <w:r>
        <w:rPr>
          <w:rFonts w:hint="eastAsia" w:ascii="宋体" w:hAnsi="宋体" w:eastAsia="黑体" w:cs="宋体"/>
          <w:b w:val="0"/>
          <w:bCs/>
          <w:szCs w:val="32"/>
          <w:lang w:val="zh-CN"/>
        </w:rPr>
        <w:t>投标人须知前附表</w:t>
      </w:r>
      <w:bookmarkEnd w:id="14"/>
      <w:bookmarkEnd w:id="15"/>
      <w:bookmarkEnd w:id="16"/>
      <w:bookmarkEnd w:id="17"/>
      <w:bookmarkEnd w:id="18"/>
      <w:bookmarkEnd w:id="19"/>
    </w:p>
    <w:tbl>
      <w:tblPr>
        <w:tblStyle w:val="54"/>
        <w:tblpPr w:leftFromText="180" w:rightFromText="180" w:vertAnchor="text" w:horzAnchor="page" w:tblpX="1768" w:tblpY="51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vAlign w:val="center"/>
          </w:tcPr>
          <w:p>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条款号</w:t>
            </w:r>
          </w:p>
        </w:tc>
        <w:tc>
          <w:tcPr>
            <w:tcW w:w="1843" w:type="dxa"/>
            <w:vAlign w:val="center"/>
          </w:tcPr>
          <w:p>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条款名称</w:t>
            </w:r>
          </w:p>
        </w:tc>
        <w:tc>
          <w:tcPr>
            <w:tcW w:w="5726" w:type="dxa"/>
            <w:vAlign w:val="center"/>
          </w:tcPr>
          <w:p>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1.1.1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招标人</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名称：详见招标公告第十条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地址：详见招标公告第十条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联系人：详见招标公告第十条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电话：详见招标公告第十条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1.1.2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招标代理机构</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名称：详见招标公告第十条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地址：详见招标公告第十条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联系人：详见招标公告第十条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电话：详见招标公告第十条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1.1.3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招标项目名称</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详见招标公告第一条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1.2.1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资金来源及比例</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1.2.2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资金落实情况</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1.3.1</w:t>
            </w:r>
          </w:p>
        </w:tc>
        <w:tc>
          <w:tcPr>
            <w:tcW w:w="1843" w:type="dxa"/>
            <w:vAlign w:val="center"/>
          </w:tcPr>
          <w:p>
            <w:pPr>
              <w:snapToGrid w:val="0"/>
              <w:spacing w:line="360" w:lineRule="auto"/>
              <w:ind w:firstLine="240" w:firstLineChars="100"/>
              <w:rPr>
                <w:rFonts w:ascii="宋体" w:hAnsi="宋体" w:cs="宋体"/>
                <w:kern w:val="0"/>
                <w:sz w:val="24"/>
                <w:szCs w:val="24"/>
              </w:rPr>
            </w:pPr>
            <w:r>
              <w:rPr>
                <w:rFonts w:hint="eastAsia" w:ascii="宋体" w:hAnsi="宋体" w:cs="宋体"/>
                <w:kern w:val="0"/>
                <w:sz w:val="24"/>
                <w:szCs w:val="24"/>
              </w:rPr>
              <w:t>招标范围</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1.3.2</w:t>
            </w:r>
          </w:p>
        </w:tc>
        <w:tc>
          <w:tcPr>
            <w:tcW w:w="1843" w:type="dxa"/>
            <w:vAlign w:val="center"/>
          </w:tcPr>
          <w:p>
            <w:pPr>
              <w:snapToGrid w:val="0"/>
              <w:spacing w:line="360" w:lineRule="auto"/>
              <w:jc w:val="center"/>
              <w:rPr>
                <w:rFonts w:hint="eastAsia" w:ascii="宋体" w:hAnsi="宋体" w:eastAsia="宋体" w:cs="宋体"/>
                <w:kern w:val="0"/>
                <w:sz w:val="24"/>
                <w:szCs w:val="24"/>
                <w:lang w:eastAsia="zh-CN"/>
              </w:rPr>
            </w:pPr>
            <w:r>
              <w:rPr>
                <w:rFonts w:hint="eastAsia" w:ascii="宋体" w:hAnsi="宋体" w:cs="宋体"/>
                <w:b/>
                <w:bCs/>
                <w:color w:val="0000FF"/>
                <w:sz w:val="24"/>
                <w:szCs w:val="24"/>
                <w:lang w:eastAsia="zh-CN"/>
              </w:rPr>
              <w:t>合同履行</w:t>
            </w:r>
            <w:r>
              <w:rPr>
                <w:rFonts w:hint="eastAsia" w:ascii="宋体" w:hAnsi="宋体" w:cs="宋体"/>
                <w:b/>
                <w:bCs/>
                <w:color w:val="0000FF"/>
                <w:sz w:val="24"/>
                <w:szCs w:val="24"/>
              </w:rPr>
              <w:t>期</w:t>
            </w:r>
            <w:r>
              <w:rPr>
                <w:rFonts w:hint="eastAsia" w:ascii="宋体" w:hAnsi="宋体" w:cs="宋体"/>
                <w:b/>
                <w:bCs/>
                <w:color w:val="0000FF"/>
                <w:sz w:val="24"/>
                <w:szCs w:val="24"/>
                <w:lang w:eastAsia="zh-CN"/>
              </w:rPr>
              <w:t>限</w:t>
            </w:r>
          </w:p>
        </w:tc>
        <w:tc>
          <w:tcPr>
            <w:tcW w:w="5726" w:type="dxa"/>
            <w:vAlign w:val="center"/>
          </w:tcPr>
          <w:p>
            <w:pPr>
              <w:snapToGrid w:val="0"/>
              <w:spacing w:line="360" w:lineRule="auto"/>
              <w:rPr>
                <w:rFonts w:ascii="宋体" w:hAnsi="宋体" w:cs="宋体"/>
                <w:kern w:val="0"/>
                <w:sz w:val="24"/>
                <w:szCs w:val="24"/>
              </w:rPr>
            </w:pPr>
            <w:bookmarkStart w:id="20" w:name="EBd303dd7051634c139d1ab4bfb317adf6"/>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个自然日</w:t>
            </w:r>
            <w:r>
              <w:rPr>
                <w:rFonts w:hint="eastAsia" w:ascii="宋体" w:hAnsi="宋体" w:cs="宋体"/>
                <w:kern w:val="0"/>
                <w:sz w:val="24"/>
                <w:szCs w:val="24"/>
              </w:rPr>
              <w:t>内完成供货、安装及调试</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1.3.3</w:t>
            </w:r>
          </w:p>
        </w:tc>
        <w:tc>
          <w:tcPr>
            <w:tcW w:w="1843" w:type="dxa"/>
            <w:vAlign w:val="center"/>
          </w:tcPr>
          <w:p>
            <w:pPr>
              <w:pStyle w:val="70"/>
              <w:ind w:left="400" w:firstLine="0"/>
              <w:rPr>
                <w:rFonts w:cs="宋体"/>
                <w:kern w:val="0"/>
                <w:szCs w:val="24"/>
              </w:rPr>
            </w:pPr>
            <w:r>
              <w:rPr>
                <w:rFonts w:hint="eastAsia" w:cs="宋体"/>
                <w:color w:val="0000FF"/>
                <w:szCs w:val="24"/>
                <w:highlight w:val="none"/>
              </w:rPr>
              <w:t>服务期限</w:t>
            </w:r>
          </w:p>
        </w:tc>
        <w:tc>
          <w:tcPr>
            <w:tcW w:w="5726" w:type="dxa"/>
            <w:vAlign w:val="center"/>
          </w:tcPr>
          <w:p>
            <w:pPr>
              <w:pStyle w:val="70"/>
              <w:ind w:firstLine="0"/>
              <w:rPr>
                <w:rFonts w:cs="宋体"/>
                <w:kern w:val="0"/>
                <w:szCs w:val="24"/>
              </w:rPr>
            </w:pPr>
            <w:r>
              <w:rPr>
                <w:rFonts w:hint="eastAsia"/>
                <w:szCs w:val="24"/>
              </w:rPr>
              <w:t>1年</w:t>
            </w:r>
            <w:r>
              <w:rPr>
                <w:szCs w:val="24"/>
              </w:rPr>
              <w:t>（自</w:t>
            </w:r>
            <w:r>
              <w:rPr>
                <w:rFonts w:hint="eastAsia"/>
                <w:szCs w:val="24"/>
              </w:rPr>
              <w:t>项目验收合格之日起</w:t>
            </w:r>
            <w:r>
              <w:rPr>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1.3.4</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技术性能指标</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详见第三章项目需求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1.4.1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投标人资质条件、能力、信誉</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详见招标公告第四条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1.4.2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是否接受联合体投标</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1.4.3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投标人不得存在的其他情形</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1.5.1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投标预备会</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不召开</w:t>
            </w:r>
          </w:p>
          <w:p>
            <w:pPr>
              <w:snapToGrid w:val="0"/>
              <w:spacing w:line="360" w:lineRule="auto"/>
              <w:rPr>
                <w:rFonts w:ascii="宋体" w:hAnsi="宋体" w:cs="宋体"/>
                <w:kern w:val="0"/>
                <w:sz w:val="24"/>
                <w:szCs w:val="24"/>
              </w:rPr>
            </w:pPr>
            <w:r>
              <w:rPr>
                <w:rFonts w:hint="eastAsia" w:ascii="宋体" w:hAnsi="宋体" w:cs="宋体"/>
                <w:kern w:val="0"/>
                <w:sz w:val="24"/>
                <w:szCs w:val="24"/>
              </w:rPr>
              <w:t>□召开，召开时间：</w:t>
            </w:r>
          </w:p>
          <w:p>
            <w:pPr>
              <w:snapToGrid w:val="0"/>
              <w:spacing w:line="360" w:lineRule="auto"/>
              <w:rPr>
                <w:rFonts w:ascii="宋体" w:hAnsi="宋体" w:cs="宋体"/>
                <w:kern w:val="0"/>
                <w:sz w:val="24"/>
                <w:szCs w:val="24"/>
              </w:rPr>
            </w:pPr>
            <w:r>
              <w:rPr>
                <w:rFonts w:hint="eastAsia" w:ascii="宋体" w:hAnsi="宋体" w:cs="宋体"/>
                <w:kern w:val="0"/>
                <w:sz w:val="24"/>
                <w:szCs w:val="24"/>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1.6.1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分包</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不允许</w:t>
            </w:r>
          </w:p>
          <w:p>
            <w:pPr>
              <w:snapToGrid w:val="0"/>
              <w:spacing w:line="360" w:lineRule="auto"/>
              <w:rPr>
                <w:rFonts w:ascii="宋体" w:hAnsi="宋体" w:cs="宋体"/>
                <w:kern w:val="0"/>
                <w:sz w:val="24"/>
                <w:szCs w:val="24"/>
              </w:rPr>
            </w:pPr>
            <w:r>
              <w:rPr>
                <w:rFonts w:hint="eastAsia" w:ascii="宋体" w:hAnsi="宋体" w:cs="宋体"/>
                <w:kern w:val="0"/>
                <w:sz w:val="24"/>
                <w:szCs w:val="24"/>
              </w:rPr>
              <w:t>□允许，分包要求：部分工作内容，在征得招标人同意后可以进行合法分包。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1.6.2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实质性要求和条件</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投标文件应当对招标文件有关交货期、投标有效期、质量要求、技术标准和要求、招标范围等实质性内容作出响应。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1.6.3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其他可以被接受的技术支持资料</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1.6.4</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偏差</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不允许</w:t>
            </w:r>
          </w:p>
          <w:p>
            <w:pPr>
              <w:snapToGrid w:val="0"/>
              <w:spacing w:line="360" w:lineRule="auto"/>
              <w:rPr>
                <w:rFonts w:ascii="宋体" w:hAnsi="宋体" w:cs="宋体"/>
                <w:kern w:val="0"/>
                <w:sz w:val="24"/>
                <w:szCs w:val="24"/>
              </w:rPr>
            </w:pPr>
            <w:r>
              <w:rPr>
                <w:rFonts w:hint="eastAsia" w:ascii="宋体" w:hAnsi="宋体" w:cs="宋体"/>
                <w:kern w:val="0"/>
                <w:sz w:val="24"/>
                <w:szCs w:val="24"/>
              </w:rPr>
              <w:t>□允许，偏差范围：无限制</w:t>
            </w:r>
          </w:p>
          <w:p>
            <w:pPr>
              <w:snapToGrid w:val="0"/>
              <w:spacing w:line="360" w:lineRule="auto"/>
              <w:rPr>
                <w:rFonts w:ascii="宋体" w:hAnsi="宋体" w:cs="宋体"/>
                <w:kern w:val="0"/>
                <w:sz w:val="24"/>
                <w:szCs w:val="24"/>
              </w:rPr>
            </w:pPr>
            <w:r>
              <w:rPr>
                <w:rFonts w:hint="eastAsia" w:ascii="宋体" w:hAnsi="宋体" w:cs="宋体"/>
                <w:kern w:val="0"/>
                <w:sz w:val="24"/>
                <w:szCs w:val="24"/>
              </w:rPr>
              <w:t>最高项数：无限制</w:t>
            </w:r>
          </w:p>
          <w:p>
            <w:pPr>
              <w:snapToGrid w:val="0"/>
              <w:spacing w:line="360" w:lineRule="auto"/>
              <w:rPr>
                <w:rFonts w:ascii="宋体" w:hAnsi="宋体" w:cs="宋体"/>
                <w:kern w:val="0"/>
                <w:sz w:val="24"/>
                <w:szCs w:val="24"/>
              </w:rPr>
            </w:pPr>
            <w:r>
              <w:rPr>
                <w:rFonts w:hint="eastAsia" w:ascii="宋体" w:hAnsi="宋体" w:cs="宋体"/>
                <w:b/>
                <w:bCs/>
                <w:kern w:val="0"/>
                <w:sz w:val="24"/>
                <w:szCs w:val="24"/>
              </w:rPr>
              <w:t>实质性要求和条件不允许偏差，非实质性要求和条件允许偏差，对非实质性要求和条件的偏差范围、最高项数无规定。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构成招标文件的其他资料</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2.2.1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投标人要求澄清招标文件</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任何要求对招标文件澄清的投标人，均应及时通过邮件方式提出，采购代理机构对规定时间内收到的澄清将予以答复，答复不包括问题的来源。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2.2.2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招标文件澄清发出的形式</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通过</w:t>
            </w:r>
            <w:r>
              <w:rPr>
                <w:rFonts w:hint="eastAsia" w:ascii="宋体" w:hAnsi="宋体" w:cs="宋体"/>
                <w:kern w:val="0"/>
                <w:sz w:val="24"/>
                <w:szCs w:val="24"/>
                <w:u w:val="single"/>
              </w:rPr>
              <w:t>扬州市城建国有资产控股(集团）有限责任公司网站</w:t>
            </w:r>
            <w:r>
              <w:rPr>
                <w:rFonts w:hint="eastAsia" w:ascii="宋体" w:hAnsi="宋体" w:cs="宋体"/>
                <w:kern w:val="0"/>
                <w:sz w:val="24"/>
                <w:szCs w:val="24"/>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2.2.3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投标人确认收到招标文件澄清</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时间：收到后1日</w:t>
            </w:r>
          </w:p>
          <w:p>
            <w:pPr>
              <w:snapToGrid w:val="0"/>
              <w:spacing w:line="360" w:lineRule="auto"/>
              <w:rPr>
                <w:rFonts w:ascii="宋体" w:hAnsi="宋体" w:cs="宋体"/>
                <w:kern w:val="0"/>
                <w:sz w:val="24"/>
                <w:szCs w:val="24"/>
              </w:rPr>
            </w:pPr>
            <w:r>
              <w:rPr>
                <w:rFonts w:hint="eastAsia" w:ascii="宋体" w:hAnsi="宋体" w:cs="宋体"/>
                <w:kern w:val="0"/>
                <w:sz w:val="24"/>
                <w:szCs w:val="24"/>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2.3.1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招标文件修改发出的形式</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通过</w:t>
            </w:r>
            <w:r>
              <w:rPr>
                <w:rFonts w:hint="eastAsia" w:ascii="宋体" w:hAnsi="宋体" w:cs="宋体"/>
                <w:kern w:val="0"/>
                <w:sz w:val="24"/>
                <w:szCs w:val="24"/>
                <w:u w:val="single"/>
              </w:rPr>
              <w:t>扬州市城建国有资产控股(集团）有限责任公司网站</w:t>
            </w:r>
            <w:r>
              <w:rPr>
                <w:rFonts w:hint="eastAsia" w:ascii="宋体" w:hAnsi="宋体" w:cs="宋体"/>
                <w:kern w:val="0"/>
                <w:sz w:val="24"/>
                <w:szCs w:val="24"/>
              </w:rPr>
              <w:t>平台发出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2.3.2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投标人确认收到招标文件修改</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时间：收到后1日</w:t>
            </w:r>
          </w:p>
          <w:p>
            <w:pPr>
              <w:snapToGrid w:val="0"/>
              <w:spacing w:line="360" w:lineRule="auto"/>
              <w:rPr>
                <w:rFonts w:ascii="宋体" w:hAnsi="宋体" w:cs="宋体"/>
                <w:kern w:val="0"/>
                <w:sz w:val="24"/>
                <w:szCs w:val="24"/>
              </w:rPr>
            </w:pPr>
            <w:r>
              <w:rPr>
                <w:rFonts w:hint="eastAsia" w:ascii="宋体" w:hAnsi="宋体" w:cs="宋体"/>
                <w:kern w:val="0"/>
                <w:sz w:val="24"/>
                <w:szCs w:val="24"/>
              </w:rPr>
              <w:t>形式：电子邮件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3.1.1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构成投标文件的其他资料</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3.2.1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增值税税金的计算方法</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按国家法律及相关规定计算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3.2.2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最高投标限价</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sym w:font="Wingdings 2" w:char="00A3"/>
            </w:r>
            <w:r>
              <w:rPr>
                <w:rFonts w:hint="eastAsia" w:ascii="宋体" w:hAnsi="宋体" w:cs="宋体"/>
                <w:kern w:val="0"/>
                <w:sz w:val="24"/>
                <w:szCs w:val="24"/>
              </w:rPr>
              <w:t>无</w:t>
            </w:r>
          </w:p>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有，</w:t>
            </w:r>
            <w:r>
              <w:rPr>
                <w:rFonts w:hint="eastAsia" w:ascii="宋体" w:hAnsi="宋体" w:cs="宋体"/>
                <w:color w:val="FF0000"/>
                <w:kern w:val="0"/>
                <w:sz w:val="24"/>
                <w:szCs w:val="24"/>
                <w:u w:val="single"/>
              </w:rPr>
              <w:t>最高投标限价：</w:t>
            </w:r>
            <w:r>
              <w:rPr>
                <w:rFonts w:hint="eastAsia" w:ascii="宋体" w:hAnsi="宋体" w:cs="宋体"/>
                <w:color w:val="FF0000"/>
                <w:kern w:val="0"/>
                <w:sz w:val="24"/>
                <w:szCs w:val="24"/>
                <w:u w:val="single"/>
                <w:lang w:val="en-US" w:eastAsia="zh-CN"/>
              </w:rPr>
              <w:t>40</w:t>
            </w:r>
            <w:r>
              <w:rPr>
                <w:rFonts w:hint="eastAsia" w:ascii="宋体" w:hAnsi="宋体" w:cs="宋体"/>
                <w:color w:val="FF0000"/>
                <w:kern w:val="0"/>
                <w:sz w:val="24"/>
                <w:szCs w:val="24"/>
                <w:u w:val="single"/>
              </w:rPr>
              <w:t>万元</w:t>
            </w:r>
            <w:r>
              <w:rPr>
                <w:rFonts w:hint="eastAsia" w:ascii="宋体" w:hAnsi="宋体" w:cs="宋体"/>
                <w:kern w:val="0"/>
                <w:sz w:val="24"/>
                <w:szCs w:val="24"/>
              </w:rPr>
              <w:t>，投标报价超过者按否决投标处理。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3.2.3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投标报价的其他要求</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3.3.1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投标有效期</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3.4.1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b/>
                <w:bCs/>
                <w:color w:val="0000FF"/>
                <w:kern w:val="0"/>
                <w:sz w:val="24"/>
                <w:szCs w:val="24"/>
              </w:rPr>
              <w:t>投标保证金</w:t>
            </w:r>
          </w:p>
        </w:tc>
        <w:tc>
          <w:tcPr>
            <w:tcW w:w="5726" w:type="dxa"/>
            <w:vAlign w:val="center"/>
          </w:tcPr>
          <w:p>
            <w:pPr>
              <w:snapToGrid w:val="0"/>
              <w:spacing w:line="360" w:lineRule="auto"/>
              <w:rPr>
                <w:sz w:val="24"/>
                <w:szCs w:val="24"/>
              </w:rPr>
            </w:pPr>
            <w:r>
              <w:rPr>
                <w:rFonts w:hint="eastAsia"/>
                <w:sz w:val="24"/>
                <w:szCs w:val="24"/>
              </w:rPr>
              <w:t>是否要求投标人递交投标保证金：</w:t>
            </w:r>
          </w:p>
          <w:p>
            <w:pPr>
              <w:snapToGrid w:val="0"/>
              <w:spacing w:line="360" w:lineRule="auto"/>
              <w:rPr>
                <w:rFonts w:ascii="宋体" w:hAnsi="宋体" w:cs="宋体"/>
                <w:b/>
                <w:bCs/>
                <w:color w:val="0000FF"/>
                <w:kern w:val="0"/>
                <w:sz w:val="24"/>
                <w:szCs w:val="24"/>
              </w:rPr>
            </w:pPr>
            <w:r>
              <w:rPr>
                <w:rFonts w:hint="eastAsia" w:ascii="宋体" w:hAnsi="宋体" w:cs="宋体"/>
                <w:kern w:val="0"/>
                <w:sz w:val="24"/>
                <w:szCs w:val="24"/>
              </w:rPr>
              <w:sym w:font="Wingdings 2" w:char="0052"/>
            </w:r>
            <w:r>
              <w:rPr>
                <w:rFonts w:hint="eastAsia" w:ascii="宋体" w:hAnsi="宋体" w:cs="宋体"/>
                <w:b/>
                <w:bCs/>
                <w:color w:val="0000FF"/>
                <w:kern w:val="0"/>
                <w:sz w:val="24"/>
                <w:szCs w:val="24"/>
              </w:rPr>
              <w:t>要求</w:t>
            </w:r>
          </w:p>
          <w:p>
            <w:pPr>
              <w:ind w:firstLine="480" w:firstLineChars="200"/>
              <w:rPr>
                <w:sz w:val="24"/>
                <w:szCs w:val="24"/>
                <w:highlight w:val="yellow"/>
              </w:rPr>
            </w:pPr>
            <w:r>
              <w:rPr>
                <w:rFonts w:hint="eastAsia"/>
                <w:sz w:val="24"/>
                <w:szCs w:val="24"/>
              </w:rPr>
              <w:t>投标保证金的形式：</w:t>
            </w:r>
            <w:r>
              <w:rPr>
                <w:rFonts w:hint="eastAsia" w:ascii="宋体" w:hAnsi="宋体"/>
                <w:sz w:val="24"/>
                <w:szCs w:val="24"/>
              </w:rPr>
              <w:t>以个人名义缴纳的保证金无效，投标保证金采用</w:t>
            </w:r>
            <w:r>
              <w:rPr>
                <w:rFonts w:hint="eastAsia" w:ascii="宋体" w:hAnsi="宋体"/>
                <w:b/>
                <w:bCs/>
                <w:sz w:val="24"/>
                <w:szCs w:val="24"/>
              </w:rPr>
              <w:t>本票或者汇票或支票</w:t>
            </w:r>
            <w:r>
              <w:rPr>
                <w:rFonts w:hint="eastAsia" w:ascii="宋体" w:hAnsi="宋体"/>
                <w:sz w:val="24"/>
                <w:szCs w:val="24"/>
              </w:rPr>
              <w:t>方式，并注明投标项目名称。开标前缴纳。未缴纳保证金的，不予接受投标。所有单位的投标保证金中标公示后退还。</w:t>
            </w:r>
          </w:p>
          <w:p>
            <w:pPr>
              <w:rPr>
                <w:b/>
                <w:bCs/>
                <w:sz w:val="24"/>
                <w:szCs w:val="24"/>
              </w:rPr>
            </w:pPr>
            <w:r>
              <w:rPr>
                <w:rFonts w:hint="eastAsia"/>
                <w:b/>
                <w:bCs/>
                <w:sz w:val="24"/>
                <w:szCs w:val="24"/>
              </w:rPr>
              <w:t>投标保证金的金额：6000元</w:t>
            </w:r>
          </w:p>
          <w:p>
            <w:pPr>
              <w:ind w:firstLine="480" w:firstLineChars="200"/>
            </w:pPr>
            <w:r>
              <w:rPr>
                <w:rFonts w:hint="eastAsia" w:ascii="宋体" w:hAnsi="宋体"/>
                <w:sz w:val="24"/>
                <w:szCs w:val="24"/>
              </w:rPr>
              <w:t>投标保证金收款账户名称：扬州市嘉诚造价咨询有限公司、收款开户行：建行开发区支行、收款账号：32001744536052501948</w:t>
            </w:r>
          </w:p>
          <w:p>
            <w:pPr>
              <w:snapToGrid w:val="0"/>
              <w:spacing w:line="360" w:lineRule="auto"/>
              <w:rPr>
                <w:sz w:val="24"/>
                <w:szCs w:val="24"/>
              </w:rPr>
            </w:pPr>
            <w:r>
              <w:rPr>
                <w:rFonts w:hint="eastAsia" w:ascii="宋体" w:hAnsi="宋体" w:cs="宋体"/>
                <w:kern w:val="0"/>
                <w:sz w:val="24"/>
                <w:szCs w:val="24"/>
              </w:rPr>
              <w:t>□</w:t>
            </w:r>
            <w:r>
              <w:rPr>
                <w:rFonts w:hint="eastAsia" w:ascii="宋体" w:hAnsi="宋体" w:cs="宋体"/>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3.5</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资格审查资料的特殊要求</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□无</w:t>
            </w:r>
          </w:p>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有，具体要求：详见招标公告第四条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3.6.1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是否允许递交备选投标方案</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不允许</w:t>
            </w:r>
          </w:p>
          <w:p>
            <w:pPr>
              <w:snapToGrid w:val="0"/>
              <w:spacing w:line="360" w:lineRule="auto"/>
              <w:rPr>
                <w:rFonts w:ascii="宋体" w:hAnsi="宋体" w:cs="宋体"/>
                <w:kern w:val="0"/>
                <w:sz w:val="24"/>
                <w:szCs w:val="24"/>
              </w:rPr>
            </w:pPr>
            <w:r>
              <w:rPr>
                <w:rFonts w:hint="eastAsia" w:ascii="宋体" w:hAnsi="宋体" w:cs="宋体"/>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3.7.1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投标文件份数及其他要求</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投标文件正本份数：1份</w:t>
            </w:r>
          </w:p>
          <w:p>
            <w:pPr>
              <w:snapToGrid w:val="0"/>
              <w:spacing w:line="360" w:lineRule="auto"/>
              <w:rPr>
                <w:rFonts w:ascii="宋体" w:hAnsi="宋体" w:cs="宋体"/>
                <w:kern w:val="0"/>
                <w:sz w:val="24"/>
                <w:szCs w:val="24"/>
              </w:rPr>
            </w:pPr>
            <w:r>
              <w:rPr>
                <w:rFonts w:hint="eastAsia" w:ascii="宋体" w:hAnsi="宋体" w:cs="宋体"/>
                <w:kern w:val="0"/>
                <w:sz w:val="24"/>
                <w:szCs w:val="24"/>
              </w:rPr>
              <w:t>投标文件副本份数：2份</w:t>
            </w:r>
          </w:p>
          <w:p>
            <w:pPr>
              <w:snapToGrid w:val="0"/>
              <w:spacing w:line="360" w:lineRule="auto"/>
              <w:rPr>
                <w:rFonts w:ascii="宋体" w:hAnsi="宋体" w:cs="宋体"/>
                <w:color w:val="0000FF"/>
                <w:kern w:val="0"/>
                <w:sz w:val="24"/>
                <w:szCs w:val="24"/>
              </w:rPr>
            </w:pPr>
            <w:r>
              <w:rPr>
                <w:rFonts w:hint="eastAsia" w:ascii="宋体" w:hAnsi="宋体" w:cs="宋体"/>
                <w:color w:val="0000FF"/>
                <w:kern w:val="0"/>
                <w:sz w:val="24"/>
                <w:szCs w:val="24"/>
              </w:rPr>
              <w:t>是否要求提交电子版文件：是</w:t>
            </w:r>
          </w:p>
          <w:p>
            <w:pPr>
              <w:snapToGrid w:val="0"/>
              <w:spacing w:line="360" w:lineRule="auto"/>
              <w:rPr>
                <w:rFonts w:ascii="宋体" w:hAnsi="宋体" w:cs="宋体"/>
                <w:kern w:val="0"/>
                <w:sz w:val="24"/>
                <w:szCs w:val="24"/>
              </w:rPr>
            </w:pPr>
            <w:r>
              <w:rPr>
                <w:rFonts w:hint="eastAsia" w:ascii="宋体" w:hAnsi="宋体" w:cs="宋体"/>
                <w:kern w:val="0"/>
                <w:sz w:val="24"/>
                <w:szCs w:val="24"/>
              </w:rPr>
              <w:t>其他要求：电子版文件一般应为PDF格式、U盘形式，随纸质投标文件一并提交。电子版文件用于辅助评标和平台存档，投标人需承担电子版文件和纸质正本文件不一致造成的不利后果。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3.7.2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投标文件是否需分册装订</w:t>
            </w:r>
          </w:p>
        </w:tc>
        <w:tc>
          <w:tcPr>
            <w:tcW w:w="5726" w:type="dxa"/>
            <w:vAlign w:val="center"/>
          </w:tcPr>
          <w:p>
            <w:pPr>
              <w:snapToGrid w:val="0"/>
              <w:spacing w:line="360" w:lineRule="auto"/>
              <w:rPr>
                <w:sz w:val="24"/>
                <w:szCs w:val="24"/>
              </w:rPr>
            </w:pPr>
            <w:r>
              <w:rPr>
                <w:rFonts w:hint="eastAsia"/>
                <w:sz w:val="24"/>
                <w:szCs w:val="24"/>
              </w:rPr>
              <w:t>□不需要</w:t>
            </w:r>
          </w:p>
          <w:p>
            <w:pPr>
              <w:snapToGrid w:val="0"/>
              <w:spacing w:line="360" w:lineRule="auto"/>
              <w:rPr>
                <w:sz w:val="24"/>
                <w:szCs w:val="24"/>
              </w:rPr>
            </w:pPr>
            <w:r>
              <w:rPr>
                <w:rFonts w:hint="eastAsia"/>
                <w:sz w:val="24"/>
                <w:szCs w:val="24"/>
              </w:rPr>
              <w:t>■需要，分册装订要求：</w:t>
            </w:r>
          </w:p>
          <w:p>
            <w:pPr>
              <w:snapToGrid w:val="0"/>
              <w:spacing w:line="360" w:lineRule="auto"/>
              <w:rPr>
                <w:rFonts w:ascii="宋体" w:hAnsi="宋体" w:cs="宋体"/>
                <w:kern w:val="0"/>
                <w:sz w:val="24"/>
                <w:szCs w:val="24"/>
              </w:rPr>
            </w:pPr>
            <w:r>
              <w:rPr>
                <w:rFonts w:hint="eastAsia" w:ascii="宋体" w:hAnsi="宋体" w:cs="宋体"/>
                <w:kern w:val="0"/>
                <w:sz w:val="24"/>
                <w:szCs w:val="24"/>
              </w:rPr>
              <w:t>装订要求：除特别说明外，全套投标文件的书面部分均使用A4规格纸张无线胶装方式装订，不得采用活页夹等可随时拆换的方式装订。</w:t>
            </w:r>
          </w:p>
          <w:p>
            <w:pPr>
              <w:snapToGrid w:val="0"/>
              <w:spacing w:line="360" w:lineRule="auto"/>
              <w:rPr>
                <w:sz w:val="24"/>
                <w:szCs w:val="24"/>
              </w:rPr>
            </w:pPr>
            <w:r>
              <w:rPr>
                <w:rFonts w:hint="eastAsia" w:ascii="宋体" w:hAnsi="宋体" w:cs="宋体"/>
                <w:kern w:val="0"/>
                <w:sz w:val="24"/>
                <w:szCs w:val="24"/>
              </w:rPr>
              <w:t>密封要求：投标人应将投标文件正本和副本分别密封包装。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4.1.1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封套上应载明的信息</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（项目名称）（设备名称）采购招标项目投标文件</w:t>
            </w:r>
          </w:p>
          <w:p>
            <w:pPr>
              <w:snapToGrid w:val="0"/>
              <w:spacing w:line="360" w:lineRule="auto"/>
              <w:rPr>
                <w:rFonts w:ascii="宋体" w:hAnsi="宋体" w:cs="宋体"/>
                <w:kern w:val="0"/>
                <w:sz w:val="24"/>
                <w:szCs w:val="24"/>
              </w:rPr>
            </w:pPr>
            <w:r>
              <w:rPr>
                <w:rFonts w:hint="eastAsia" w:ascii="宋体" w:hAnsi="宋体" w:cs="宋体"/>
                <w:kern w:val="0"/>
                <w:sz w:val="24"/>
                <w:szCs w:val="24"/>
              </w:rPr>
              <w:t>招标编号：</w:t>
            </w:r>
          </w:p>
          <w:p>
            <w:pPr>
              <w:snapToGrid w:val="0"/>
              <w:spacing w:line="360" w:lineRule="auto"/>
              <w:rPr>
                <w:rFonts w:ascii="宋体" w:hAnsi="宋体" w:cs="宋体"/>
                <w:kern w:val="0"/>
                <w:sz w:val="24"/>
                <w:szCs w:val="24"/>
              </w:rPr>
            </w:pPr>
            <w:r>
              <w:rPr>
                <w:rFonts w:hint="eastAsia" w:ascii="宋体" w:hAnsi="宋体" w:cs="宋体"/>
                <w:kern w:val="0"/>
                <w:sz w:val="24"/>
                <w:szCs w:val="24"/>
              </w:rPr>
              <w:t>标段名称：</w:t>
            </w:r>
          </w:p>
          <w:p>
            <w:pPr>
              <w:snapToGrid w:val="0"/>
              <w:spacing w:line="360" w:lineRule="auto"/>
              <w:rPr>
                <w:rFonts w:ascii="宋体" w:hAnsi="宋体" w:cs="宋体"/>
                <w:kern w:val="0"/>
                <w:sz w:val="24"/>
                <w:szCs w:val="24"/>
              </w:rPr>
            </w:pPr>
            <w:r>
              <w:rPr>
                <w:rFonts w:hint="eastAsia" w:ascii="宋体" w:hAnsi="宋体" w:cs="宋体"/>
                <w:kern w:val="0"/>
                <w:sz w:val="24"/>
                <w:szCs w:val="24"/>
              </w:rPr>
              <w:t>招标人名称：</w:t>
            </w:r>
          </w:p>
          <w:p>
            <w:pPr>
              <w:snapToGrid w:val="0"/>
              <w:spacing w:line="360" w:lineRule="auto"/>
              <w:rPr>
                <w:rFonts w:ascii="宋体" w:hAnsi="宋体" w:cs="宋体"/>
                <w:kern w:val="0"/>
                <w:sz w:val="24"/>
                <w:szCs w:val="24"/>
              </w:rPr>
            </w:pPr>
            <w:r>
              <w:rPr>
                <w:rFonts w:hint="eastAsia" w:ascii="宋体" w:hAnsi="宋体" w:cs="宋体"/>
                <w:kern w:val="0"/>
                <w:sz w:val="24"/>
                <w:szCs w:val="24"/>
              </w:rPr>
              <w:t>投标人名称：</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在 </w:t>
            </w:r>
            <w:r>
              <w:rPr>
                <w:rFonts w:hint="eastAsia" w:ascii="宋体" w:hAnsi="宋体" w:cs="宋体"/>
                <w:kern w:val="0"/>
                <w:sz w:val="24"/>
                <w:szCs w:val="24"/>
              </w:rPr>
              <w:tab/>
            </w:r>
            <w:r>
              <w:rPr>
                <w:rFonts w:hint="eastAsia" w:ascii="宋体" w:hAnsi="宋体" w:cs="宋体"/>
                <w:kern w:val="0"/>
                <w:sz w:val="24"/>
                <w:szCs w:val="24"/>
              </w:rPr>
              <w:t xml:space="preserve">年 </w:t>
            </w:r>
            <w:r>
              <w:rPr>
                <w:rFonts w:hint="eastAsia" w:ascii="宋体" w:hAnsi="宋体" w:cs="宋体"/>
                <w:kern w:val="0"/>
                <w:sz w:val="24"/>
                <w:szCs w:val="24"/>
              </w:rPr>
              <w:tab/>
            </w:r>
            <w:r>
              <w:rPr>
                <w:rFonts w:hint="eastAsia" w:ascii="宋体" w:hAnsi="宋体" w:cs="宋体"/>
                <w:kern w:val="0"/>
                <w:sz w:val="24"/>
                <w:szCs w:val="24"/>
              </w:rPr>
              <w:t xml:space="preserve">月 </w:t>
            </w:r>
            <w:r>
              <w:rPr>
                <w:rFonts w:hint="eastAsia" w:ascii="宋体" w:hAnsi="宋体" w:cs="宋体"/>
                <w:kern w:val="0"/>
                <w:sz w:val="24"/>
                <w:szCs w:val="24"/>
              </w:rPr>
              <w:tab/>
            </w:r>
            <w:r>
              <w:rPr>
                <w:rFonts w:hint="eastAsia" w:ascii="宋体" w:hAnsi="宋体" w:cs="宋体"/>
                <w:kern w:val="0"/>
                <w:sz w:val="24"/>
                <w:szCs w:val="24"/>
              </w:rPr>
              <w:t xml:space="preserve">日 </w:t>
            </w:r>
            <w:r>
              <w:rPr>
                <w:rFonts w:hint="eastAsia" w:ascii="宋体" w:hAnsi="宋体" w:cs="宋体"/>
                <w:kern w:val="0"/>
                <w:sz w:val="24"/>
                <w:szCs w:val="24"/>
              </w:rPr>
              <w:tab/>
            </w:r>
            <w:r>
              <w:rPr>
                <w:rFonts w:hint="eastAsia" w:ascii="宋体" w:hAnsi="宋体" w:cs="宋体"/>
                <w:kern w:val="0"/>
                <w:sz w:val="24"/>
                <w:szCs w:val="24"/>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4.2.1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投标截止时间</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详见招标公告第七条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4.2.2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递交投标文件地点</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详见招标公告第七条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4.2.3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投标文件是否退还</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shd w:val="clear" w:color="auto" w:fill="FFFFFF"/>
              </w:rPr>
              <w:t>■</w:t>
            </w:r>
            <w:r>
              <w:rPr>
                <w:rFonts w:hint="eastAsia" w:ascii="宋体" w:hAnsi="宋体" w:cs="宋体"/>
                <w:kern w:val="0"/>
                <w:sz w:val="24"/>
                <w:szCs w:val="24"/>
              </w:rPr>
              <w:t>否</w:t>
            </w:r>
          </w:p>
          <w:p>
            <w:pPr>
              <w:snapToGrid w:val="0"/>
              <w:spacing w:line="360" w:lineRule="auto"/>
              <w:rPr>
                <w:rFonts w:ascii="宋体" w:hAnsi="宋体" w:cs="宋体"/>
                <w:kern w:val="0"/>
                <w:sz w:val="24"/>
                <w:szCs w:val="24"/>
              </w:rPr>
            </w:pPr>
            <w:r>
              <w:rPr>
                <w:rFonts w:hint="eastAsia" w:ascii="宋体" w:hAnsi="宋体" w:cs="宋体"/>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5.1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开标时间和地点</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开标时间：详见招标公告第七条  </w:t>
            </w:r>
          </w:p>
          <w:p>
            <w:pPr>
              <w:snapToGrid w:val="0"/>
              <w:spacing w:line="360" w:lineRule="auto"/>
              <w:rPr>
                <w:rFonts w:ascii="宋体" w:hAnsi="宋体" w:cs="宋体"/>
                <w:kern w:val="0"/>
                <w:sz w:val="24"/>
                <w:szCs w:val="24"/>
              </w:rPr>
            </w:pPr>
            <w:r>
              <w:rPr>
                <w:rFonts w:hint="eastAsia" w:ascii="宋体" w:hAnsi="宋体" w:cs="宋体"/>
                <w:kern w:val="0"/>
                <w:sz w:val="24"/>
                <w:szCs w:val="24"/>
              </w:rPr>
              <w:t xml:space="preserve">开标地点：详见招标公告第七条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5.2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开标程序</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开标顺序：递交投标文件的正序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6.1.1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评标委员会的组建</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color w:val="0000FF"/>
                <w:kern w:val="0"/>
                <w:sz w:val="24"/>
                <w:szCs w:val="24"/>
              </w:rPr>
              <w:t>评标委员会构成：5人（其中含招标人代表1人）。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6.1.2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评标委员会推荐中标候选人的人数</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6.1.3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评分办法</w:t>
            </w:r>
          </w:p>
        </w:tc>
        <w:tc>
          <w:tcPr>
            <w:tcW w:w="5726" w:type="dxa"/>
            <w:vAlign w:val="center"/>
          </w:tcPr>
          <w:p>
            <w:pPr>
              <w:snapToGrid w:val="0"/>
              <w:spacing w:line="360" w:lineRule="auto"/>
              <w:rPr>
                <w:rFonts w:ascii="宋体" w:hAnsi="宋体" w:cs="宋体"/>
                <w:kern w:val="0"/>
                <w:sz w:val="24"/>
                <w:szCs w:val="24"/>
              </w:rPr>
            </w:pPr>
            <w:bookmarkStart w:id="21" w:name="EB3aa1594205114bf380f53331102b3aeb"/>
            <w:r>
              <w:rPr>
                <w:rFonts w:hint="eastAsia" w:ascii="宋体" w:hAnsi="宋体" w:cs="宋体"/>
                <w:kern w:val="0"/>
                <w:sz w:val="24"/>
                <w:szCs w:val="24"/>
                <w:u w:val="single"/>
              </w:rPr>
              <w:t>综合评分法：</w:t>
            </w:r>
            <w:r>
              <w:rPr>
                <w:rFonts w:hint="eastAsia" w:ascii="宋体" w:hAnsi="宋体" w:cs="宋体"/>
                <w:kern w:val="0"/>
                <w:sz w:val="24"/>
                <w:szCs w:val="24"/>
              </w:rPr>
              <w:t>按照综合评分由高到低的顺序推荐中标候选人。</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7.1</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中标候选人公示媒介及期限</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公示媒介：</w:t>
            </w:r>
            <w:r>
              <w:rPr>
                <w:rFonts w:hint="eastAsia" w:ascii="宋体" w:hAnsi="宋体" w:cs="宋体"/>
                <w:kern w:val="0"/>
                <w:sz w:val="24"/>
                <w:szCs w:val="24"/>
                <w:u w:val="single"/>
              </w:rPr>
              <w:t>扬州市城建国有资产控股(集团）有限责任公司网站</w:t>
            </w:r>
          </w:p>
          <w:p>
            <w:pPr>
              <w:snapToGrid w:val="0"/>
              <w:spacing w:line="360" w:lineRule="auto"/>
              <w:rPr>
                <w:rFonts w:ascii="宋体" w:hAnsi="宋体" w:cs="宋体"/>
                <w:kern w:val="0"/>
                <w:sz w:val="24"/>
                <w:szCs w:val="24"/>
              </w:rPr>
            </w:pPr>
            <w:r>
              <w:rPr>
                <w:rFonts w:hint="eastAsia" w:ascii="宋体" w:hAnsi="宋体" w:cs="宋体"/>
                <w:kern w:val="0"/>
                <w:sz w:val="24"/>
                <w:szCs w:val="24"/>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7.2</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是否授权评标委员会确定中标人</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sym w:font="Wingdings 2" w:char="00A3"/>
            </w:r>
            <w:r>
              <w:rPr>
                <w:rFonts w:hint="eastAsia" w:ascii="宋体" w:hAnsi="宋体" w:cs="宋体"/>
                <w:kern w:val="0"/>
                <w:sz w:val="24"/>
                <w:szCs w:val="24"/>
              </w:rPr>
              <w:t>是</w:t>
            </w:r>
          </w:p>
          <w:p>
            <w:pPr>
              <w:snapToGrid w:val="0"/>
              <w:spacing w:line="360" w:lineRule="auto"/>
              <w:rPr>
                <w:rFonts w:ascii="宋体" w:hAnsi="宋体" w:cs="宋体"/>
                <w:kern w:val="0"/>
                <w:sz w:val="24"/>
                <w:szCs w:val="24"/>
              </w:rPr>
            </w:pPr>
            <w:r>
              <w:rPr>
                <w:rFonts w:hint="eastAsia" w:ascii="宋体" w:hAnsi="宋体" w:cs="宋体"/>
                <w:kern w:val="0"/>
                <w:sz w:val="24"/>
                <w:szCs w:val="24"/>
              </w:rPr>
              <w:sym w:font="Wingdings 2" w:char="0052"/>
            </w:r>
            <w:r>
              <w:rPr>
                <w:rFonts w:hint="eastAsia" w:ascii="宋体" w:hAnsi="宋体" w:cs="宋体"/>
                <w:kern w:val="0"/>
                <w:sz w:val="24"/>
                <w:szCs w:val="24"/>
              </w:rPr>
              <w:t>否，招标人确定排名第一中标候选人为中标人（入围供应商）。若其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7.3</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履约保证金</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是否要求中标人提交履约保证金：</w:t>
            </w:r>
          </w:p>
          <w:p>
            <w:pPr>
              <w:snapToGrid w:val="0"/>
              <w:spacing w:line="360" w:lineRule="auto"/>
              <w:rPr>
                <w:rFonts w:ascii="宋体" w:hAnsi="宋体" w:cs="宋体"/>
                <w:b/>
                <w:bCs/>
                <w:kern w:val="0"/>
                <w:sz w:val="24"/>
                <w:szCs w:val="24"/>
              </w:rPr>
            </w:pPr>
            <w:r>
              <w:rPr>
                <w:rFonts w:hint="eastAsia" w:ascii="宋体" w:hAnsi="宋体" w:cs="宋体"/>
                <w:b/>
                <w:bCs/>
                <w:kern w:val="0"/>
                <w:sz w:val="24"/>
                <w:szCs w:val="24"/>
              </w:rPr>
              <w:sym w:font="Wingdings 2" w:char="0052"/>
            </w:r>
            <w:r>
              <w:rPr>
                <w:rFonts w:hint="eastAsia" w:ascii="宋体" w:hAnsi="宋体" w:cs="宋体"/>
                <w:b/>
                <w:bCs/>
                <w:kern w:val="0"/>
                <w:sz w:val="24"/>
                <w:szCs w:val="24"/>
              </w:rPr>
              <w:t>要求，履约保证金的形式：</w:t>
            </w:r>
            <w:r>
              <w:rPr>
                <w:rFonts w:hint="eastAsia" w:hAnsi="宋体"/>
                <w:b/>
                <w:bCs/>
                <w:sz w:val="24"/>
                <w:szCs w:val="24"/>
                <w:u w:val="single"/>
              </w:rPr>
              <w:t>履约保函</w:t>
            </w:r>
          </w:p>
          <w:p>
            <w:pPr>
              <w:snapToGrid w:val="0"/>
              <w:spacing w:line="360" w:lineRule="auto"/>
              <w:rPr>
                <w:rFonts w:ascii="宋体" w:hAnsi="宋体" w:cs="宋体"/>
                <w:b/>
                <w:bCs/>
                <w:kern w:val="0"/>
                <w:sz w:val="24"/>
                <w:szCs w:val="24"/>
              </w:rPr>
            </w:pPr>
            <w:r>
              <w:rPr>
                <w:rFonts w:hint="eastAsia" w:ascii="宋体" w:hAnsi="宋体" w:cs="宋体"/>
                <w:b/>
                <w:bCs/>
                <w:kern w:val="0"/>
                <w:sz w:val="24"/>
                <w:szCs w:val="24"/>
              </w:rPr>
              <w:t>履约保证金的金额：</w:t>
            </w:r>
            <w:r>
              <w:rPr>
                <w:rFonts w:hint="eastAsia" w:hAnsi="宋体"/>
                <w:b/>
                <w:bCs/>
                <w:sz w:val="24"/>
                <w:szCs w:val="24"/>
                <w:u w:val="single"/>
              </w:rPr>
              <w:t>合同价10%</w:t>
            </w:r>
          </w:p>
          <w:p>
            <w:pPr>
              <w:snapToGrid w:val="0"/>
              <w:spacing w:line="360" w:lineRule="auto"/>
              <w:rPr>
                <w:rFonts w:ascii="宋体" w:hAnsi="宋体" w:cs="宋体"/>
                <w:kern w:val="0"/>
                <w:sz w:val="24"/>
                <w:szCs w:val="24"/>
              </w:rPr>
            </w:pPr>
            <w:r>
              <w:rPr>
                <w:rFonts w:hint="eastAsia" w:ascii="宋体" w:hAnsi="宋体" w:cs="宋体"/>
                <w:kern w:val="0"/>
                <w:sz w:val="24"/>
                <w:szCs w:val="24"/>
              </w:rPr>
              <w:sym w:font="Wingdings 2" w:char="00A3"/>
            </w:r>
            <w:r>
              <w:rPr>
                <w:rFonts w:hint="eastAsia" w:ascii="宋体" w:hAnsi="宋体" w:cs="宋体"/>
                <w:sz w:val="24"/>
                <w:szCs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8</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sz w:val="24"/>
                <w:szCs w:val="24"/>
                <w:highlight w:val="none"/>
              </w:rPr>
              <w:t>合同方式</w:t>
            </w:r>
          </w:p>
        </w:tc>
        <w:tc>
          <w:tcPr>
            <w:tcW w:w="5726" w:type="dxa"/>
            <w:vAlign w:val="center"/>
          </w:tcPr>
          <w:p>
            <w:pPr>
              <w:snapToGrid w:val="0"/>
              <w:spacing w:line="360" w:lineRule="auto"/>
              <w:rPr>
                <w:rFonts w:ascii="宋体" w:hAnsi="宋体" w:cs="宋体"/>
                <w:kern w:val="0"/>
                <w:sz w:val="24"/>
                <w:szCs w:val="24"/>
              </w:rPr>
            </w:pPr>
            <w:r>
              <w:rPr>
                <w:rFonts w:hint="eastAsia" w:ascii="宋体" w:hAnsi="宋体"/>
                <w:snapToGrid w:val="0"/>
                <w:sz w:val="24"/>
                <w:szCs w:val="24"/>
              </w:rPr>
              <w:t>本合同价款采用</w:t>
            </w:r>
            <w:r>
              <w:rPr>
                <w:rFonts w:hint="eastAsia" w:ascii="宋体" w:hAnsi="宋体"/>
                <w:snapToGrid w:val="0"/>
                <w:color w:val="FF0000"/>
                <w:sz w:val="24"/>
                <w:szCs w:val="24"/>
                <w:u w:val="single"/>
              </w:rPr>
              <w:t xml:space="preserve"> </w:t>
            </w:r>
            <w:r>
              <w:rPr>
                <w:rFonts w:hint="eastAsia" w:ascii="宋体" w:hAnsi="宋体"/>
                <w:b/>
                <w:snapToGrid w:val="0"/>
                <w:color w:val="FF0000"/>
                <w:sz w:val="24"/>
                <w:szCs w:val="24"/>
                <w:u w:val="single"/>
              </w:rPr>
              <w:t>固定总价合同</w:t>
            </w:r>
            <w:r>
              <w:rPr>
                <w:rFonts w:hint="eastAsia" w:ascii="宋体" w:hAnsi="宋体"/>
                <w:b/>
                <w:snapToGrid w:val="0"/>
                <w:sz w:val="24"/>
                <w:szCs w:val="24"/>
                <w:u w:val="single"/>
              </w:rPr>
              <w:t xml:space="preserve"> </w:t>
            </w:r>
            <w:r>
              <w:rPr>
                <w:rFonts w:hint="eastAsia" w:ascii="宋体" w:hAnsi="宋体"/>
                <w:snapToGrid w:val="0"/>
                <w:sz w:val="24"/>
                <w:szCs w:val="24"/>
              </w:rPr>
              <w:t>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snapToGrid w:val="0"/>
                <w:sz w:val="24"/>
                <w:szCs w:val="24"/>
              </w:rPr>
              <w:t>9</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snapToGrid w:val="0"/>
                <w:sz w:val="24"/>
                <w:szCs w:val="24"/>
                <w:highlight w:val="none"/>
              </w:rPr>
              <w:t>项目款支付</w:t>
            </w:r>
          </w:p>
        </w:tc>
        <w:tc>
          <w:tcPr>
            <w:tcW w:w="5726" w:type="dxa"/>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（1）合同签订后5个工作日内，付合同总额的20%，作为预付款；</w:t>
            </w:r>
          </w:p>
          <w:p>
            <w:pPr>
              <w:snapToGrid w:val="0"/>
              <w:spacing w:line="360" w:lineRule="auto"/>
              <w:rPr>
                <w:rFonts w:ascii="宋体" w:hAnsi="宋体" w:cs="宋体"/>
                <w:kern w:val="0"/>
                <w:sz w:val="24"/>
                <w:szCs w:val="24"/>
              </w:rPr>
            </w:pPr>
            <w:r>
              <w:rPr>
                <w:rFonts w:hint="eastAsia" w:ascii="宋体" w:hAnsi="宋体" w:cs="宋体"/>
                <w:kern w:val="0"/>
                <w:sz w:val="24"/>
                <w:szCs w:val="24"/>
              </w:rPr>
              <w:t>（2）项目验收完成后7个工作日内，付合同总额的70%，作为验收阶段性款；</w:t>
            </w:r>
          </w:p>
          <w:p>
            <w:pPr>
              <w:snapToGrid w:val="0"/>
              <w:spacing w:line="360" w:lineRule="auto"/>
              <w:rPr>
                <w:sz w:val="24"/>
                <w:szCs w:val="24"/>
              </w:rPr>
            </w:pPr>
            <w:r>
              <w:rPr>
                <w:rFonts w:hint="eastAsia" w:ascii="宋体" w:hAnsi="宋体" w:cs="宋体"/>
                <w:kern w:val="0"/>
                <w:sz w:val="24"/>
                <w:szCs w:val="24"/>
              </w:rPr>
              <w:t xml:space="preserve">（3）项目组验收满一年后的5个工作日内，付合同总额的10%，即项目尾款。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10</w:t>
            </w:r>
          </w:p>
        </w:tc>
        <w:tc>
          <w:tcPr>
            <w:tcW w:w="1843"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其他</w:t>
            </w:r>
          </w:p>
        </w:tc>
        <w:tc>
          <w:tcPr>
            <w:tcW w:w="5726" w:type="dxa"/>
            <w:vAlign w:val="center"/>
          </w:tcPr>
          <w:p>
            <w:pPr>
              <w:snapToGrid w:val="0"/>
              <w:spacing w:line="360" w:lineRule="auto"/>
              <w:rPr>
                <w:rFonts w:ascii="宋体" w:hAnsi="宋体" w:cs="宋体"/>
                <w:b/>
                <w:bCs/>
                <w:color w:val="0000FF"/>
                <w:kern w:val="0"/>
                <w:sz w:val="24"/>
                <w:szCs w:val="24"/>
                <w:highlight w:val="none"/>
              </w:rPr>
            </w:pPr>
            <w:r>
              <w:rPr>
                <w:rFonts w:hint="eastAsia" w:ascii="宋体" w:hAnsi="宋体" w:cs="宋体"/>
                <w:b/>
                <w:bCs/>
                <w:color w:val="0000FF"/>
                <w:kern w:val="0"/>
                <w:sz w:val="24"/>
                <w:szCs w:val="24"/>
                <w:highlight w:val="none"/>
              </w:rPr>
              <w:t>10.1  招标服务费</w:t>
            </w:r>
          </w:p>
          <w:p>
            <w:pPr>
              <w:snapToGrid w:val="0"/>
              <w:spacing w:line="360" w:lineRule="auto"/>
              <w:ind w:firstLine="480" w:firstLineChars="200"/>
              <w:rPr>
                <w:rFonts w:ascii="宋体" w:hAnsi="宋体" w:cs="宋体"/>
                <w:kern w:val="0"/>
                <w:sz w:val="24"/>
                <w:szCs w:val="24"/>
              </w:rPr>
            </w:pPr>
            <w:r>
              <w:rPr>
                <w:rFonts w:hint="eastAsia" w:ascii="宋体" w:hAnsi="宋体" w:cs="宋体"/>
                <w:color w:val="0000FF"/>
                <w:kern w:val="0"/>
                <w:sz w:val="24"/>
                <w:szCs w:val="24"/>
              </w:rPr>
              <w:t>（1）招标代理费：</w:t>
            </w:r>
            <w:r>
              <w:rPr>
                <w:rFonts w:hint="eastAsia" w:ascii="宋体" w:hAnsi="宋体" w:cs="宋体"/>
                <w:kern w:val="0"/>
                <w:sz w:val="24"/>
                <w:szCs w:val="24"/>
              </w:rPr>
              <w:t>本工程招标代理费由招标人按照委托代理合同的约定以发改价格【2011】534号文服务类标准的7折支付给招标代理机构。</w:t>
            </w:r>
          </w:p>
          <w:p>
            <w:pPr>
              <w:snapToGrid w:val="0"/>
              <w:spacing w:line="360" w:lineRule="auto"/>
              <w:ind w:firstLine="480" w:firstLineChars="200"/>
              <w:rPr>
                <w:rFonts w:ascii="宋体" w:hAnsi="宋体" w:cs="宋体"/>
                <w:b/>
                <w:bCs/>
                <w:color w:val="0000FF"/>
                <w:kern w:val="0"/>
                <w:sz w:val="24"/>
                <w:szCs w:val="24"/>
              </w:rPr>
            </w:pPr>
            <w:r>
              <w:rPr>
                <w:rFonts w:hint="eastAsia" w:ascii="宋体" w:hAnsi="宋体" w:cs="宋体"/>
                <w:color w:val="0000FF"/>
                <w:kern w:val="0"/>
                <w:sz w:val="24"/>
                <w:szCs w:val="24"/>
              </w:rPr>
              <w:t>（2）专家评审费：</w:t>
            </w:r>
            <w:r>
              <w:rPr>
                <w:rFonts w:hint="eastAsia" w:ascii="宋体" w:hAnsi="宋体" w:cs="宋体"/>
                <w:kern w:val="0"/>
                <w:sz w:val="24"/>
                <w:szCs w:val="24"/>
              </w:rPr>
              <w:t>评委费暂定500元/人，合计2</w:t>
            </w:r>
            <w:r>
              <w:rPr>
                <w:rFonts w:hint="eastAsia" w:ascii="宋体" w:hAnsi="宋体" w:cs="宋体"/>
                <w:kern w:val="0"/>
                <w:sz w:val="24"/>
                <w:szCs w:val="24"/>
                <w:lang w:val="en-US" w:eastAsia="zh-CN"/>
              </w:rPr>
              <w:t>0</w:t>
            </w:r>
            <w:r>
              <w:rPr>
                <w:rFonts w:hint="eastAsia" w:ascii="宋体" w:hAnsi="宋体" w:cs="宋体"/>
                <w:kern w:val="0"/>
                <w:sz w:val="24"/>
                <w:szCs w:val="24"/>
              </w:rPr>
              <w:t>00元（评标委员会构成：5人（其中含招标人代表1人）），由招标人在评标结束后以现金形式支付（</w:t>
            </w:r>
            <w:r>
              <w:rPr>
                <w:rFonts w:hint="eastAsia" w:ascii="宋体" w:hAnsi="宋体"/>
                <w:sz w:val="24"/>
                <w:szCs w:val="24"/>
              </w:rPr>
              <w:t>按实结算</w:t>
            </w:r>
            <w:r>
              <w:rPr>
                <w:rFonts w:hint="eastAsia" w:ascii="宋体" w:hAnsi="宋体" w:cs="宋体"/>
                <w:kern w:val="0"/>
                <w:sz w:val="24"/>
                <w:szCs w:val="24"/>
              </w:rPr>
              <w:t>）。</w:t>
            </w:r>
          </w:p>
          <w:p>
            <w:pPr>
              <w:snapToGrid w:val="0"/>
              <w:spacing w:line="360" w:lineRule="auto"/>
              <w:rPr>
                <w:rFonts w:ascii="宋体" w:hAnsi="宋体" w:cs="宋体"/>
                <w:kern w:val="0"/>
                <w:sz w:val="24"/>
                <w:szCs w:val="24"/>
              </w:rPr>
            </w:pPr>
            <w:r>
              <w:rPr>
                <w:rFonts w:hint="eastAsia" w:ascii="宋体" w:hAnsi="宋体" w:cs="宋体"/>
                <w:kern w:val="0"/>
                <w:sz w:val="24"/>
                <w:szCs w:val="24"/>
              </w:rPr>
              <w:t>10.2重新招标</w:t>
            </w:r>
          </w:p>
          <w:p>
            <w:pPr>
              <w:snapToGrid w:val="0"/>
              <w:spacing w:line="360" w:lineRule="auto"/>
              <w:rPr>
                <w:rFonts w:ascii="宋体" w:hAnsi="宋体" w:cs="宋体"/>
                <w:kern w:val="0"/>
                <w:sz w:val="24"/>
                <w:szCs w:val="24"/>
              </w:rPr>
            </w:pPr>
            <w:r>
              <w:rPr>
                <w:rFonts w:hint="eastAsia" w:ascii="宋体" w:hAnsi="宋体" w:cs="宋体"/>
                <w:kern w:val="0"/>
                <w:sz w:val="24"/>
                <w:szCs w:val="24"/>
              </w:rPr>
              <w:t>10.2.1有下列情形之一的，招标人将重新招标：</w:t>
            </w:r>
          </w:p>
          <w:p>
            <w:pPr>
              <w:snapToGrid w:val="0"/>
              <w:spacing w:line="360" w:lineRule="auto"/>
              <w:rPr>
                <w:rFonts w:ascii="宋体" w:hAnsi="宋体" w:cs="宋体"/>
                <w:kern w:val="0"/>
                <w:sz w:val="24"/>
                <w:szCs w:val="24"/>
              </w:rPr>
            </w:pPr>
            <w:r>
              <w:rPr>
                <w:rFonts w:hint="eastAsia" w:ascii="宋体" w:hAnsi="宋体" w:cs="宋体"/>
                <w:kern w:val="0"/>
                <w:sz w:val="24"/>
                <w:szCs w:val="24"/>
              </w:rPr>
              <w:t>（1）招标文件获取截止时间止，获取招标文件的潜在投标人少于3个的；</w:t>
            </w:r>
          </w:p>
          <w:p>
            <w:pPr>
              <w:snapToGrid w:val="0"/>
              <w:spacing w:line="360" w:lineRule="auto"/>
              <w:rPr>
                <w:rFonts w:ascii="宋体" w:hAnsi="宋体" w:cs="宋体"/>
                <w:kern w:val="0"/>
                <w:sz w:val="24"/>
                <w:szCs w:val="24"/>
              </w:rPr>
            </w:pPr>
            <w:r>
              <w:rPr>
                <w:rFonts w:hint="eastAsia" w:ascii="宋体" w:hAnsi="宋体" w:cs="宋体"/>
                <w:kern w:val="0"/>
                <w:sz w:val="24"/>
                <w:szCs w:val="24"/>
              </w:rPr>
              <w:t>（2）投标截止时间止，提交投标文件的投标人少于3个的；</w:t>
            </w:r>
          </w:p>
          <w:p>
            <w:pPr>
              <w:snapToGrid w:val="0"/>
              <w:spacing w:line="360" w:lineRule="auto"/>
              <w:rPr>
                <w:rFonts w:ascii="宋体" w:hAnsi="宋体" w:cs="宋体"/>
                <w:kern w:val="0"/>
                <w:sz w:val="24"/>
                <w:szCs w:val="24"/>
              </w:rPr>
            </w:pPr>
            <w:r>
              <w:rPr>
                <w:rFonts w:hint="eastAsia" w:ascii="宋体" w:hAnsi="宋体" w:cs="宋体"/>
                <w:kern w:val="0"/>
                <w:sz w:val="24"/>
                <w:szCs w:val="24"/>
              </w:rPr>
              <w:t>（3）经评标委员会评审后否决所有投标的；</w:t>
            </w:r>
          </w:p>
          <w:p>
            <w:pPr>
              <w:snapToGrid w:val="0"/>
              <w:spacing w:line="360" w:lineRule="auto"/>
              <w:rPr>
                <w:rFonts w:ascii="宋体" w:hAnsi="宋体" w:cs="宋体"/>
                <w:kern w:val="0"/>
                <w:sz w:val="24"/>
                <w:szCs w:val="24"/>
              </w:rPr>
            </w:pPr>
            <w:r>
              <w:rPr>
                <w:rFonts w:hint="eastAsia" w:ascii="宋体" w:hAnsi="宋体" w:cs="宋体"/>
                <w:kern w:val="0"/>
                <w:sz w:val="24"/>
                <w:szCs w:val="24"/>
              </w:rPr>
              <w:t>（4）评标委员会否决一部分投标后其他有效投标不足3个使得投标明显缺乏竞争，决定否决全部投标的；</w:t>
            </w:r>
          </w:p>
        </w:tc>
      </w:tr>
    </w:tbl>
    <w:p>
      <w:pPr>
        <w:pStyle w:val="4"/>
        <w:snapToGrid w:val="0"/>
        <w:spacing w:before="0" w:after="0" w:line="360" w:lineRule="auto"/>
        <w:rPr>
          <w:rFonts w:ascii="宋体" w:hAnsi="宋体" w:cs="宋体"/>
        </w:rPr>
      </w:pPr>
      <w:bookmarkStart w:id="22" w:name="_Toc21101"/>
      <w:bookmarkStart w:id="23" w:name="_Toc40699921"/>
      <w:bookmarkStart w:id="24" w:name="_Toc6265"/>
      <w:bookmarkStart w:id="25" w:name="_Toc10270"/>
      <w:bookmarkStart w:id="26" w:name="_Toc27112"/>
      <w:bookmarkStart w:id="27" w:name="_Toc27882"/>
      <w:bookmarkStart w:id="28" w:name="_Toc11015"/>
      <w:r>
        <w:rPr>
          <w:rFonts w:hint="eastAsia" w:ascii="宋体" w:hAnsi="宋体" w:cs="宋体"/>
        </w:rPr>
        <w:t>2.招标文件</w:t>
      </w:r>
      <w:bookmarkEnd w:id="22"/>
      <w:bookmarkEnd w:id="23"/>
      <w:bookmarkEnd w:id="24"/>
      <w:bookmarkEnd w:id="25"/>
      <w:bookmarkEnd w:id="26"/>
      <w:bookmarkEnd w:id="27"/>
      <w:bookmarkEnd w:id="28"/>
    </w:p>
    <w:p>
      <w:pPr>
        <w:snapToGrid w:val="0"/>
        <w:spacing w:line="360" w:lineRule="auto"/>
        <w:rPr>
          <w:rFonts w:ascii="宋体" w:hAnsi="宋体" w:cs="宋体"/>
          <w:kern w:val="0"/>
          <w:sz w:val="24"/>
          <w:szCs w:val="24"/>
        </w:rPr>
      </w:pPr>
      <w:bookmarkStart w:id="29" w:name="_Toc20341"/>
      <w:bookmarkStart w:id="30" w:name="_Toc23403"/>
      <w:r>
        <w:rPr>
          <w:rFonts w:hint="eastAsia" w:ascii="宋体" w:hAnsi="宋体" w:cs="宋体"/>
          <w:kern w:val="0"/>
          <w:sz w:val="24"/>
          <w:szCs w:val="24"/>
        </w:rPr>
        <w:t>2.1招标文件的组成</w:t>
      </w:r>
      <w:bookmarkEnd w:id="29"/>
      <w:bookmarkEnd w:id="30"/>
    </w:p>
    <w:p>
      <w:pPr>
        <w:snapToGrid w:val="0"/>
        <w:spacing w:line="360" w:lineRule="auto"/>
        <w:rPr>
          <w:rFonts w:ascii="宋体" w:hAnsi="宋体" w:cs="宋体"/>
          <w:kern w:val="0"/>
          <w:sz w:val="24"/>
          <w:szCs w:val="24"/>
        </w:rPr>
      </w:pPr>
      <w:r>
        <w:rPr>
          <w:rFonts w:hint="eastAsia" w:ascii="宋体" w:hAnsi="宋体" w:cs="宋体"/>
          <w:kern w:val="0"/>
          <w:sz w:val="24"/>
          <w:szCs w:val="24"/>
        </w:rPr>
        <w:t>本招标文件包括：</w:t>
      </w:r>
    </w:p>
    <w:p>
      <w:pPr>
        <w:snapToGrid w:val="0"/>
        <w:spacing w:line="360" w:lineRule="auto"/>
        <w:rPr>
          <w:rFonts w:ascii="宋体" w:hAnsi="宋体" w:cs="宋体"/>
          <w:kern w:val="0"/>
          <w:sz w:val="24"/>
          <w:szCs w:val="24"/>
        </w:rPr>
      </w:pPr>
      <w:r>
        <w:rPr>
          <w:rFonts w:hint="eastAsia" w:ascii="宋体" w:hAnsi="宋体" w:cs="宋体"/>
          <w:kern w:val="0"/>
          <w:sz w:val="24"/>
          <w:szCs w:val="24"/>
        </w:rPr>
        <w:t>（1）招标公告；</w:t>
      </w:r>
    </w:p>
    <w:p>
      <w:pPr>
        <w:snapToGrid w:val="0"/>
        <w:spacing w:line="360" w:lineRule="auto"/>
        <w:rPr>
          <w:rFonts w:ascii="宋体" w:hAnsi="宋体" w:cs="宋体"/>
          <w:kern w:val="0"/>
          <w:sz w:val="24"/>
          <w:szCs w:val="24"/>
        </w:rPr>
      </w:pPr>
      <w:r>
        <w:rPr>
          <w:rFonts w:hint="eastAsia" w:ascii="宋体" w:hAnsi="宋体" w:cs="宋体"/>
          <w:kern w:val="0"/>
          <w:sz w:val="24"/>
          <w:szCs w:val="24"/>
        </w:rPr>
        <w:t>（2）投标人须知；</w:t>
      </w:r>
    </w:p>
    <w:p>
      <w:pPr>
        <w:snapToGrid w:val="0"/>
        <w:spacing w:line="360" w:lineRule="auto"/>
        <w:rPr>
          <w:rFonts w:ascii="宋体" w:hAnsi="宋体" w:cs="宋体"/>
          <w:kern w:val="0"/>
          <w:sz w:val="24"/>
          <w:szCs w:val="24"/>
        </w:rPr>
      </w:pPr>
      <w:r>
        <w:rPr>
          <w:rFonts w:hint="eastAsia" w:ascii="宋体" w:hAnsi="宋体" w:cs="宋体"/>
          <w:kern w:val="0"/>
          <w:sz w:val="24"/>
          <w:szCs w:val="24"/>
        </w:rPr>
        <w:t>（3）评标办法；</w:t>
      </w:r>
    </w:p>
    <w:p>
      <w:pPr>
        <w:snapToGrid w:val="0"/>
        <w:spacing w:line="360" w:lineRule="auto"/>
        <w:rPr>
          <w:rFonts w:ascii="宋体" w:hAnsi="宋体" w:cs="宋体"/>
          <w:kern w:val="0"/>
          <w:sz w:val="24"/>
          <w:szCs w:val="24"/>
        </w:rPr>
      </w:pPr>
      <w:r>
        <w:rPr>
          <w:rFonts w:hint="eastAsia" w:ascii="宋体" w:hAnsi="宋体" w:cs="宋体"/>
          <w:kern w:val="0"/>
          <w:sz w:val="24"/>
          <w:szCs w:val="24"/>
        </w:rPr>
        <w:t>（4）合同条款及格式；</w:t>
      </w:r>
    </w:p>
    <w:p>
      <w:pPr>
        <w:snapToGrid w:val="0"/>
        <w:spacing w:line="360" w:lineRule="auto"/>
        <w:rPr>
          <w:rFonts w:ascii="宋体" w:hAnsi="宋体" w:cs="宋体"/>
          <w:kern w:val="0"/>
          <w:sz w:val="24"/>
          <w:szCs w:val="24"/>
        </w:rPr>
      </w:pPr>
      <w:r>
        <w:rPr>
          <w:rFonts w:hint="eastAsia" w:ascii="宋体" w:hAnsi="宋体" w:cs="宋体"/>
          <w:kern w:val="0"/>
          <w:sz w:val="24"/>
          <w:szCs w:val="24"/>
        </w:rPr>
        <w:t>（5）供货要求；</w:t>
      </w:r>
    </w:p>
    <w:p>
      <w:pPr>
        <w:snapToGrid w:val="0"/>
        <w:spacing w:line="360" w:lineRule="auto"/>
        <w:rPr>
          <w:rFonts w:ascii="宋体" w:hAnsi="宋体" w:cs="宋体"/>
          <w:kern w:val="0"/>
          <w:sz w:val="24"/>
          <w:szCs w:val="24"/>
        </w:rPr>
      </w:pPr>
      <w:r>
        <w:rPr>
          <w:rFonts w:hint="eastAsia" w:ascii="宋体" w:hAnsi="宋体" w:cs="宋体"/>
          <w:kern w:val="0"/>
          <w:sz w:val="24"/>
          <w:szCs w:val="24"/>
        </w:rPr>
        <w:t>（6）投标文件格式；</w:t>
      </w:r>
    </w:p>
    <w:p>
      <w:pPr>
        <w:snapToGrid w:val="0"/>
        <w:spacing w:line="360" w:lineRule="auto"/>
        <w:rPr>
          <w:rFonts w:ascii="宋体" w:hAnsi="宋体" w:cs="宋体"/>
          <w:kern w:val="0"/>
          <w:sz w:val="24"/>
          <w:szCs w:val="24"/>
        </w:rPr>
      </w:pPr>
      <w:r>
        <w:rPr>
          <w:rFonts w:hint="eastAsia" w:ascii="宋体" w:hAnsi="宋体" w:cs="宋体"/>
          <w:kern w:val="0"/>
          <w:sz w:val="24"/>
          <w:szCs w:val="24"/>
        </w:rPr>
        <w:t>（7）投标人须知前附表规定的其他资料。</w:t>
      </w:r>
    </w:p>
    <w:p>
      <w:pPr>
        <w:snapToGrid w:val="0"/>
        <w:spacing w:line="360" w:lineRule="auto"/>
        <w:rPr>
          <w:rFonts w:ascii="宋体" w:hAnsi="宋体" w:cs="宋体"/>
          <w:kern w:val="0"/>
          <w:sz w:val="24"/>
          <w:szCs w:val="24"/>
        </w:rPr>
      </w:pPr>
      <w:r>
        <w:rPr>
          <w:rFonts w:hint="eastAsia" w:ascii="宋体" w:hAnsi="宋体" w:cs="宋体"/>
          <w:kern w:val="0"/>
          <w:sz w:val="24"/>
          <w:szCs w:val="24"/>
        </w:rPr>
        <w:t>根据本章第2.2款和第2.3款对招标文件所作的澄清、修改，构成招标文件的组成部分。</w:t>
      </w:r>
    </w:p>
    <w:p>
      <w:pPr>
        <w:snapToGrid w:val="0"/>
        <w:spacing w:line="360" w:lineRule="auto"/>
        <w:rPr>
          <w:rFonts w:ascii="宋体" w:hAnsi="宋体" w:cs="宋体"/>
          <w:kern w:val="0"/>
          <w:sz w:val="24"/>
          <w:szCs w:val="24"/>
        </w:rPr>
      </w:pPr>
      <w:bookmarkStart w:id="31" w:name="_Toc23946"/>
      <w:bookmarkStart w:id="32" w:name="_Toc23892"/>
      <w:r>
        <w:rPr>
          <w:rFonts w:hint="eastAsia" w:ascii="宋体" w:hAnsi="宋体" w:cs="宋体"/>
          <w:kern w:val="0"/>
          <w:sz w:val="24"/>
          <w:szCs w:val="24"/>
        </w:rPr>
        <w:t>2.2招标文件的澄清</w:t>
      </w:r>
      <w:bookmarkEnd w:id="31"/>
      <w:bookmarkEnd w:id="32"/>
    </w:p>
    <w:p>
      <w:pPr>
        <w:snapToGrid w:val="0"/>
        <w:spacing w:line="360" w:lineRule="auto"/>
        <w:rPr>
          <w:rFonts w:ascii="宋体" w:hAnsi="宋体" w:cs="宋体"/>
          <w:kern w:val="0"/>
          <w:sz w:val="24"/>
          <w:szCs w:val="24"/>
        </w:rPr>
      </w:pPr>
      <w:r>
        <w:rPr>
          <w:rFonts w:hint="eastAsia" w:ascii="宋体" w:hAnsi="宋体" w:cs="宋体"/>
          <w:kern w:val="0"/>
          <w:sz w:val="24"/>
          <w:szCs w:val="24"/>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spacing w:line="360" w:lineRule="auto"/>
        <w:rPr>
          <w:rFonts w:ascii="宋体" w:hAnsi="宋体" w:cs="宋体"/>
          <w:kern w:val="0"/>
          <w:sz w:val="24"/>
          <w:szCs w:val="24"/>
        </w:rPr>
      </w:pPr>
      <w:r>
        <w:rPr>
          <w:rFonts w:hint="eastAsia" w:ascii="宋体" w:hAnsi="宋体" w:cs="宋体"/>
          <w:kern w:val="0"/>
          <w:sz w:val="24"/>
          <w:szCs w:val="24"/>
        </w:rPr>
        <w:t>2.2.2招标文件的澄清以投标人须知前附表规定的形式发给所有购买招标文件的投标人，但不指明澄清问题的来源。澄清内容可能影响投标文件编制的，将相应延长投标截止时间。</w:t>
      </w:r>
    </w:p>
    <w:p>
      <w:pPr>
        <w:snapToGrid w:val="0"/>
        <w:spacing w:line="360" w:lineRule="auto"/>
        <w:rPr>
          <w:rFonts w:ascii="宋体" w:hAnsi="宋体" w:cs="宋体"/>
          <w:kern w:val="0"/>
          <w:sz w:val="24"/>
          <w:szCs w:val="24"/>
        </w:rPr>
      </w:pPr>
      <w:r>
        <w:rPr>
          <w:rFonts w:hint="eastAsia" w:ascii="宋体" w:hAnsi="宋体" w:cs="宋体"/>
          <w:kern w:val="0"/>
          <w:sz w:val="24"/>
          <w:szCs w:val="24"/>
        </w:rPr>
        <w:t>2.2.3投标人在收到澄清后，应按投标人须知前附表规定的时间和形式通知招标人，确认已收到该澄清。</w:t>
      </w:r>
    </w:p>
    <w:p>
      <w:pPr>
        <w:snapToGrid w:val="0"/>
        <w:spacing w:line="360" w:lineRule="auto"/>
        <w:rPr>
          <w:rFonts w:ascii="宋体" w:hAnsi="宋体" w:cs="宋体"/>
          <w:kern w:val="0"/>
          <w:sz w:val="24"/>
          <w:szCs w:val="24"/>
        </w:rPr>
      </w:pPr>
      <w:r>
        <w:rPr>
          <w:rFonts w:hint="eastAsia" w:ascii="宋体" w:hAnsi="宋体" w:cs="宋体"/>
          <w:kern w:val="0"/>
          <w:sz w:val="24"/>
          <w:szCs w:val="24"/>
        </w:rPr>
        <w:t>2.2.4除非招标人认为确有必要答复，否则，招标人有权拒绝回复投标人在本章第2.2.1项规定的时间后的任何澄清要求。</w:t>
      </w:r>
    </w:p>
    <w:p>
      <w:pPr>
        <w:snapToGrid w:val="0"/>
        <w:spacing w:line="360" w:lineRule="auto"/>
        <w:rPr>
          <w:rFonts w:ascii="宋体" w:hAnsi="宋体" w:cs="宋体"/>
          <w:kern w:val="0"/>
          <w:sz w:val="24"/>
          <w:szCs w:val="24"/>
        </w:rPr>
      </w:pPr>
      <w:bookmarkStart w:id="33" w:name="_Toc20879"/>
      <w:bookmarkStart w:id="34" w:name="_Toc31609"/>
      <w:r>
        <w:rPr>
          <w:rFonts w:hint="eastAsia" w:ascii="宋体" w:hAnsi="宋体" w:cs="宋体"/>
          <w:kern w:val="0"/>
          <w:sz w:val="24"/>
          <w:szCs w:val="24"/>
        </w:rPr>
        <w:t>2.3招标文件的修改</w:t>
      </w:r>
      <w:bookmarkEnd w:id="33"/>
      <w:bookmarkEnd w:id="34"/>
    </w:p>
    <w:p>
      <w:pPr>
        <w:snapToGrid w:val="0"/>
        <w:spacing w:line="360" w:lineRule="auto"/>
        <w:rPr>
          <w:rFonts w:ascii="宋体" w:hAnsi="宋体" w:cs="宋体"/>
          <w:kern w:val="0"/>
          <w:sz w:val="24"/>
          <w:szCs w:val="24"/>
        </w:rPr>
      </w:pPr>
      <w:r>
        <w:rPr>
          <w:rFonts w:hint="eastAsia" w:ascii="宋体" w:hAnsi="宋体" w:cs="宋体"/>
          <w:kern w:val="0"/>
          <w:sz w:val="24"/>
          <w:szCs w:val="24"/>
        </w:rPr>
        <w:t>2.3.1招标人以投标人须知前附表规定的形式修改招标文件，并通知所有已报名的投标人。修改招标文件可能影响投标文件编制的，将相应延长投标截止时间。</w:t>
      </w:r>
    </w:p>
    <w:p>
      <w:pPr>
        <w:snapToGrid w:val="0"/>
        <w:spacing w:line="360" w:lineRule="auto"/>
        <w:rPr>
          <w:rFonts w:ascii="宋体" w:hAnsi="宋体" w:cs="宋体"/>
          <w:kern w:val="0"/>
          <w:sz w:val="24"/>
          <w:szCs w:val="24"/>
        </w:rPr>
      </w:pPr>
      <w:r>
        <w:rPr>
          <w:rFonts w:hint="eastAsia" w:ascii="宋体" w:hAnsi="宋体" w:cs="宋体"/>
          <w:kern w:val="0"/>
          <w:sz w:val="24"/>
          <w:szCs w:val="24"/>
        </w:rPr>
        <w:t>2.3.2投标人收到修改内容后，应按投标人须知前附表规定的时间和形式通知招标人，确认已收到该修改。</w:t>
      </w:r>
    </w:p>
    <w:p>
      <w:pPr>
        <w:snapToGrid w:val="0"/>
        <w:spacing w:line="360" w:lineRule="auto"/>
        <w:rPr>
          <w:rFonts w:ascii="宋体" w:hAnsi="宋体" w:cs="宋体"/>
          <w:kern w:val="0"/>
          <w:sz w:val="24"/>
          <w:szCs w:val="24"/>
        </w:rPr>
      </w:pPr>
      <w:bookmarkStart w:id="35" w:name="_Toc20227"/>
      <w:bookmarkStart w:id="36" w:name="_Toc19768"/>
      <w:r>
        <w:rPr>
          <w:rFonts w:hint="eastAsia" w:ascii="宋体" w:hAnsi="宋体" w:cs="宋体"/>
          <w:kern w:val="0"/>
          <w:sz w:val="24"/>
          <w:szCs w:val="24"/>
        </w:rPr>
        <w:t>2.4招标文件的异议</w:t>
      </w:r>
      <w:bookmarkEnd w:id="35"/>
      <w:bookmarkEnd w:id="36"/>
    </w:p>
    <w:p>
      <w:pPr>
        <w:snapToGrid w:val="0"/>
        <w:spacing w:line="360" w:lineRule="auto"/>
        <w:rPr>
          <w:rFonts w:ascii="宋体" w:hAnsi="宋体" w:cs="宋体"/>
          <w:kern w:val="0"/>
        </w:rPr>
      </w:pPr>
      <w:r>
        <w:rPr>
          <w:rFonts w:hint="eastAsia" w:ascii="宋体" w:hAnsi="宋体" w:cs="宋体"/>
          <w:kern w:val="0"/>
          <w:sz w:val="24"/>
          <w:szCs w:val="24"/>
        </w:rPr>
        <w:t>投标人或者其他利害关系人对招标文件有异议的，应当在投标截止时间7日前以书面形式提出。招标人将在收到异议之日起1日内作出答复；作出答复前，将暂停招标投标活动。</w:t>
      </w:r>
    </w:p>
    <w:p>
      <w:pPr>
        <w:pStyle w:val="4"/>
        <w:snapToGrid w:val="0"/>
        <w:spacing w:before="0" w:after="0" w:line="360" w:lineRule="auto"/>
        <w:rPr>
          <w:rFonts w:ascii="宋体" w:hAnsi="宋体" w:cs="宋体"/>
        </w:rPr>
      </w:pPr>
      <w:bookmarkStart w:id="37" w:name="_Toc27946"/>
      <w:bookmarkStart w:id="38" w:name="_Toc409"/>
      <w:bookmarkStart w:id="39" w:name="_Toc40699922"/>
      <w:bookmarkStart w:id="40" w:name="_Toc18036"/>
      <w:bookmarkStart w:id="41" w:name="_Toc19315"/>
      <w:bookmarkStart w:id="42" w:name="_Toc19459"/>
      <w:bookmarkStart w:id="43" w:name="_Toc27658"/>
      <w:r>
        <w:rPr>
          <w:rFonts w:hint="eastAsia" w:ascii="宋体" w:hAnsi="宋体" w:cs="宋体"/>
        </w:rPr>
        <w:t>3.投标文件</w:t>
      </w:r>
      <w:bookmarkEnd w:id="37"/>
      <w:bookmarkEnd w:id="38"/>
      <w:bookmarkEnd w:id="39"/>
      <w:bookmarkEnd w:id="40"/>
      <w:bookmarkEnd w:id="41"/>
      <w:bookmarkEnd w:id="42"/>
      <w:bookmarkEnd w:id="43"/>
    </w:p>
    <w:p>
      <w:pPr>
        <w:snapToGrid w:val="0"/>
        <w:spacing w:line="360" w:lineRule="auto"/>
        <w:rPr>
          <w:rFonts w:ascii="宋体" w:hAnsi="宋体" w:cs="宋体"/>
          <w:kern w:val="0"/>
          <w:sz w:val="24"/>
          <w:szCs w:val="24"/>
        </w:rPr>
      </w:pPr>
      <w:bookmarkStart w:id="44" w:name="_Toc8285"/>
      <w:bookmarkStart w:id="45" w:name="_Toc20351"/>
      <w:r>
        <w:rPr>
          <w:rFonts w:hint="eastAsia" w:ascii="宋体" w:hAnsi="宋体" w:cs="宋体"/>
          <w:kern w:val="0"/>
          <w:sz w:val="24"/>
          <w:szCs w:val="24"/>
        </w:rPr>
        <w:t>3.1投标文件的组成</w:t>
      </w:r>
      <w:bookmarkEnd w:id="44"/>
      <w:bookmarkEnd w:id="45"/>
    </w:p>
    <w:p>
      <w:pPr>
        <w:snapToGrid w:val="0"/>
        <w:spacing w:line="360" w:lineRule="auto"/>
        <w:rPr>
          <w:rFonts w:ascii="宋体" w:hAnsi="宋体" w:cs="宋体"/>
          <w:kern w:val="0"/>
          <w:sz w:val="24"/>
          <w:szCs w:val="24"/>
        </w:rPr>
      </w:pPr>
      <w:r>
        <w:rPr>
          <w:rFonts w:hint="eastAsia" w:ascii="宋体" w:hAnsi="宋体" w:cs="宋体"/>
          <w:kern w:val="0"/>
          <w:sz w:val="24"/>
          <w:szCs w:val="24"/>
        </w:rPr>
        <w:t>3.1.1投标文件应包括下列内容（详见第六章投标文件组成）：</w:t>
      </w:r>
    </w:p>
    <w:p>
      <w:pPr>
        <w:snapToGrid w:val="0"/>
        <w:spacing w:line="360" w:lineRule="auto"/>
        <w:rPr>
          <w:rFonts w:ascii="宋体" w:hAnsi="宋体" w:cs="宋体"/>
          <w:kern w:val="0"/>
          <w:sz w:val="24"/>
          <w:szCs w:val="24"/>
        </w:rPr>
      </w:pPr>
      <w:r>
        <w:rPr>
          <w:rFonts w:hint="eastAsia" w:ascii="宋体" w:hAnsi="宋体" w:cs="宋体"/>
          <w:kern w:val="0"/>
          <w:sz w:val="24"/>
          <w:szCs w:val="24"/>
        </w:rPr>
        <w:t>（1）投标函；</w:t>
      </w:r>
    </w:p>
    <w:p>
      <w:pPr>
        <w:snapToGrid w:val="0"/>
        <w:spacing w:line="360" w:lineRule="auto"/>
        <w:rPr>
          <w:rFonts w:ascii="宋体" w:hAnsi="宋体" w:cs="宋体"/>
          <w:kern w:val="0"/>
          <w:sz w:val="24"/>
          <w:szCs w:val="24"/>
        </w:rPr>
      </w:pPr>
      <w:r>
        <w:rPr>
          <w:rFonts w:hint="eastAsia" w:ascii="宋体" w:hAnsi="宋体" w:cs="宋体"/>
          <w:kern w:val="0"/>
          <w:sz w:val="24"/>
          <w:szCs w:val="24"/>
        </w:rPr>
        <w:t>（2）法定代表人（单位负责人）身份证明；</w:t>
      </w:r>
    </w:p>
    <w:p>
      <w:pPr>
        <w:snapToGrid w:val="0"/>
        <w:spacing w:line="360" w:lineRule="auto"/>
        <w:rPr>
          <w:rFonts w:ascii="宋体" w:hAnsi="宋体" w:cs="宋体"/>
          <w:kern w:val="0"/>
          <w:sz w:val="24"/>
          <w:szCs w:val="24"/>
        </w:rPr>
      </w:pPr>
      <w:r>
        <w:rPr>
          <w:rFonts w:hint="eastAsia" w:ascii="宋体" w:hAnsi="宋体" w:cs="宋体"/>
          <w:kern w:val="0"/>
          <w:sz w:val="24"/>
          <w:szCs w:val="24"/>
        </w:rPr>
        <w:t>（3）授权委托书；</w:t>
      </w:r>
    </w:p>
    <w:p>
      <w:pPr>
        <w:snapToGrid w:val="0"/>
        <w:spacing w:line="360" w:lineRule="auto"/>
        <w:rPr>
          <w:rFonts w:ascii="宋体" w:hAnsi="宋体" w:cs="宋体"/>
          <w:kern w:val="0"/>
          <w:sz w:val="24"/>
          <w:szCs w:val="24"/>
        </w:rPr>
      </w:pPr>
      <w:r>
        <w:rPr>
          <w:rFonts w:hint="eastAsia" w:ascii="宋体" w:hAnsi="宋体" w:cs="宋体"/>
          <w:kern w:val="0"/>
          <w:sz w:val="24"/>
          <w:szCs w:val="24"/>
        </w:rPr>
        <w:t>（7）报价表；</w:t>
      </w:r>
    </w:p>
    <w:p>
      <w:pPr>
        <w:snapToGrid w:val="0"/>
        <w:spacing w:line="360" w:lineRule="auto"/>
        <w:rPr>
          <w:rFonts w:ascii="宋体" w:hAnsi="宋体" w:cs="宋体"/>
          <w:kern w:val="0"/>
          <w:sz w:val="24"/>
          <w:szCs w:val="24"/>
        </w:rPr>
      </w:pPr>
      <w:r>
        <w:rPr>
          <w:rFonts w:hint="eastAsia" w:ascii="宋体" w:hAnsi="宋体" w:cs="宋体"/>
          <w:kern w:val="0"/>
          <w:sz w:val="24"/>
          <w:szCs w:val="24"/>
        </w:rPr>
        <w:t>（8）资格审查资料；</w:t>
      </w:r>
    </w:p>
    <w:p>
      <w:pPr>
        <w:snapToGrid w:val="0"/>
        <w:spacing w:line="360" w:lineRule="auto"/>
        <w:rPr>
          <w:rFonts w:ascii="宋体" w:hAnsi="宋体" w:cs="宋体"/>
          <w:kern w:val="0"/>
          <w:sz w:val="24"/>
          <w:szCs w:val="24"/>
        </w:rPr>
      </w:pPr>
      <w:r>
        <w:rPr>
          <w:rFonts w:hint="eastAsia" w:ascii="宋体" w:hAnsi="宋体" w:cs="宋体"/>
          <w:kern w:val="0"/>
          <w:sz w:val="24"/>
          <w:szCs w:val="24"/>
        </w:rPr>
        <w:t>（9）其他</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投标人在评标过程中作出的符合法律法规和招标文件规定的澄清确认，构成投标文件的组成部分。</w:t>
      </w:r>
    </w:p>
    <w:p>
      <w:pPr>
        <w:snapToGrid w:val="0"/>
        <w:spacing w:line="360" w:lineRule="auto"/>
        <w:rPr>
          <w:rFonts w:ascii="宋体" w:hAnsi="宋体" w:cs="宋体"/>
          <w:kern w:val="0"/>
          <w:sz w:val="24"/>
          <w:szCs w:val="24"/>
        </w:rPr>
      </w:pPr>
      <w:bookmarkStart w:id="46" w:name="_Toc29090"/>
      <w:bookmarkStart w:id="47" w:name="_Toc10812"/>
      <w:r>
        <w:rPr>
          <w:rFonts w:hint="eastAsia" w:ascii="宋体" w:hAnsi="宋体" w:cs="宋体"/>
          <w:kern w:val="0"/>
          <w:sz w:val="24"/>
          <w:szCs w:val="24"/>
        </w:rPr>
        <w:t>3.2投标报价</w:t>
      </w:r>
      <w:bookmarkEnd w:id="46"/>
      <w:bookmarkEnd w:id="47"/>
    </w:p>
    <w:p>
      <w:pPr>
        <w:snapToGrid w:val="0"/>
        <w:spacing w:line="360" w:lineRule="auto"/>
        <w:rPr>
          <w:rFonts w:ascii="宋体" w:hAnsi="宋体" w:cs="宋体"/>
          <w:kern w:val="0"/>
          <w:sz w:val="24"/>
          <w:szCs w:val="24"/>
        </w:rPr>
      </w:pPr>
      <w:r>
        <w:rPr>
          <w:rFonts w:hint="eastAsia" w:ascii="宋体" w:hAnsi="宋体" w:cs="宋体"/>
          <w:kern w:val="0"/>
          <w:sz w:val="24"/>
          <w:szCs w:val="24"/>
        </w:rPr>
        <w:t>3.2.1报价为一次报价，于开标会议当天当场宣读。</w:t>
      </w:r>
    </w:p>
    <w:p>
      <w:pPr>
        <w:snapToGrid w:val="0"/>
        <w:spacing w:line="360" w:lineRule="auto"/>
        <w:rPr>
          <w:rFonts w:ascii="宋体" w:hAnsi="宋体" w:cs="宋体"/>
          <w:kern w:val="0"/>
          <w:sz w:val="24"/>
          <w:szCs w:val="24"/>
        </w:rPr>
      </w:pPr>
      <w:r>
        <w:rPr>
          <w:rFonts w:hint="eastAsia" w:ascii="宋体" w:hAnsi="宋体" w:cs="宋体"/>
          <w:kern w:val="0"/>
          <w:sz w:val="24"/>
          <w:szCs w:val="24"/>
        </w:rPr>
        <w:t>3.2.2本项目不接受备选的投标方案或有选择的报价，只允许有一个报价。投标报价内容包括:设备单价以及合计总价</w:t>
      </w:r>
    </w:p>
    <w:p>
      <w:pPr>
        <w:snapToGrid w:val="0"/>
        <w:spacing w:line="360" w:lineRule="auto"/>
        <w:rPr>
          <w:rFonts w:ascii="宋体" w:hAnsi="宋体" w:cs="宋体"/>
          <w:kern w:val="0"/>
          <w:sz w:val="24"/>
          <w:szCs w:val="24"/>
        </w:rPr>
      </w:pPr>
      <w:r>
        <w:rPr>
          <w:rFonts w:hint="eastAsia" w:ascii="宋体" w:hAnsi="宋体" w:cs="宋体"/>
          <w:kern w:val="0"/>
          <w:sz w:val="24"/>
          <w:szCs w:val="24"/>
        </w:rPr>
        <w:t>3.2.3价格一律以人民币计算，以元为单位标准；</w:t>
      </w:r>
    </w:p>
    <w:p>
      <w:pPr>
        <w:snapToGrid w:val="0"/>
        <w:spacing w:line="360" w:lineRule="auto"/>
        <w:rPr>
          <w:rFonts w:ascii="宋体" w:hAnsi="宋体" w:cs="宋体"/>
          <w:kern w:val="0"/>
          <w:sz w:val="24"/>
          <w:szCs w:val="24"/>
        </w:rPr>
      </w:pPr>
      <w:r>
        <w:rPr>
          <w:rFonts w:hint="eastAsia" w:ascii="宋体" w:hAnsi="宋体" w:cs="宋体"/>
          <w:kern w:val="0"/>
          <w:sz w:val="24"/>
          <w:szCs w:val="24"/>
        </w:rPr>
        <w:t>3.2.4投标报价应包括国家规定的增值税税金，除投标人须知前附表另有规定外，增值税税金按国家法律及相关规定计算。投标人应按第六章“投标文件格式”的要求在投标函中进行报价并填写分项报价表。</w:t>
      </w:r>
    </w:p>
    <w:p>
      <w:pPr>
        <w:snapToGrid w:val="0"/>
        <w:spacing w:line="360" w:lineRule="auto"/>
        <w:rPr>
          <w:rFonts w:ascii="宋体" w:hAnsi="宋体" w:cs="宋体"/>
          <w:kern w:val="0"/>
          <w:sz w:val="24"/>
          <w:szCs w:val="24"/>
        </w:rPr>
      </w:pPr>
      <w:r>
        <w:rPr>
          <w:rFonts w:hint="eastAsia" w:ascii="宋体" w:hAnsi="宋体" w:cs="宋体"/>
          <w:kern w:val="0"/>
          <w:sz w:val="24"/>
          <w:szCs w:val="24"/>
        </w:rPr>
        <w:t>3.2.5投标人应充分了解该项目的总体情况以及影响投标报价的其他要素，一旦评标结束最终中标，如发生漏、缺、少项，都将被认为是中标人的报价让利行为，损失自负。</w:t>
      </w:r>
    </w:p>
    <w:p>
      <w:pPr>
        <w:snapToGrid w:val="0"/>
        <w:spacing w:line="360" w:lineRule="auto"/>
        <w:rPr>
          <w:rFonts w:ascii="宋体" w:hAnsi="宋体" w:cs="宋体"/>
          <w:kern w:val="0"/>
          <w:sz w:val="24"/>
          <w:szCs w:val="24"/>
        </w:rPr>
      </w:pPr>
      <w:r>
        <w:rPr>
          <w:rFonts w:hint="eastAsia" w:ascii="宋体" w:hAnsi="宋体" w:cs="宋体"/>
          <w:kern w:val="0"/>
          <w:sz w:val="24"/>
          <w:szCs w:val="24"/>
        </w:rPr>
        <w:t>3.2.6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“分项报价表”中的相应报价。此修改须符合招标文件的有关要求。</w:t>
      </w:r>
    </w:p>
    <w:p>
      <w:pPr>
        <w:snapToGrid w:val="0"/>
        <w:spacing w:line="360" w:lineRule="auto"/>
        <w:rPr>
          <w:rFonts w:ascii="宋体" w:hAnsi="宋体" w:cs="宋体"/>
          <w:kern w:val="0"/>
          <w:sz w:val="24"/>
          <w:szCs w:val="24"/>
        </w:rPr>
      </w:pPr>
      <w:r>
        <w:rPr>
          <w:rFonts w:hint="eastAsia" w:ascii="宋体" w:hAnsi="宋体" w:cs="宋体"/>
          <w:kern w:val="0"/>
          <w:sz w:val="24"/>
          <w:szCs w:val="24"/>
        </w:rPr>
        <w:t>3.2.7招标人设有最高投标限价的，投标人的投标报价不得超过最高投标限价，最高投标限价在投标人须知前附表中载明。</w:t>
      </w:r>
    </w:p>
    <w:p>
      <w:pPr>
        <w:snapToGrid w:val="0"/>
        <w:spacing w:line="360" w:lineRule="auto"/>
        <w:rPr>
          <w:rFonts w:ascii="宋体" w:hAnsi="宋体" w:cs="宋体"/>
          <w:kern w:val="0"/>
          <w:sz w:val="24"/>
          <w:szCs w:val="24"/>
        </w:rPr>
      </w:pPr>
      <w:r>
        <w:rPr>
          <w:rFonts w:hint="eastAsia" w:ascii="宋体" w:hAnsi="宋体" w:cs="宋体"/>
          <w:kern w:val="0"/>
          <w:sz w:val="24"/>
          <w:szCs w:val="24"/>
        </w:rPr>
        <w:t>3.2.8投标报价的其他要求见投标人须知前附表。</w:t>
      </w:r>
    </w:p>
    <w:p>
      <w:pPr>
        <w:snapToGrid w:val="0"/>
        <w:spacing w:line="360" w:lineRule="auto"/>
        <w:rPr>
          <w:rFonts w:ascii="宋体" w:hAnsi="宋体" w:cs="宋体"/>
          <w:kern w:val="0"/>
          <w:sz w:val="24"/>
          <w:szCs w:val="24"/>
        </w:rPr>
      </w:pPr>
      <w:bookmarkStart w:id="48" w:name="_Toc31979"/>
      <w:bookmarkStart w:id="49" w:name="_Toc16611"/>
      <w:r>
        <w:rPr>
          <w:rFonts w:hint="eastAsia" w:ascii="宋体" w:hAnsi="宋体" w:cs="宋体"/>
          <w:kern w:val="0"/>
          <w:sz w:val="24"/>
          <w:szCs w:val="24"/>
        </w:rPr>
        <w:t>3.3投标有效期</w:t>
      </w:r>
      <w:bookmarkEnd w:id="48"/>
      <w:bookmarkEnd w:id="49"/>
    </w:p>
    <w:p>
      <w:pPr>
        <w:spacing w:line="360" w:lineRule="auto"/>
        <w:rPr>
          <w:rFonts w:ascii="宋体" w:hAnsi="宋体" w:cs="宋体"/>
          <w:kern w:val="0"/>
          <w:sz w:val="24"/>
          <w:szCs w:val="24"/>
        </w:rPr>
      </w:pPr>
      <w:r>
        <w:rPr>
          <w:rFonts w:hint="eastAsia" w:ascii="宋体" w:hAnsi="宋体" w:cs="宋体"/>
          <w:kern w:val="0"/>
          <w:sz w:val="24"/>
          <w:szCs w:val="24"/>
        </w:rPr>
        <w:t>3.3.1除投标人须知前附表另有规定外，投标有效期为 45天。投标有效期不满足招标文件要求的将视为非响应性文件予以拒绝。</w:t>
      </w:r>
    </w:p>
    <w:p>
      <w:pPr>
        <w:snapToGrid w:val="0"/>
        <w:spacing w:line="360" w:lineRule="auto"/>
        <w:rPr>
          <w:rFonts w:ascii="宋体" w:hAnsi="宋体" w:cs="宋体"/>
          <w:kern w:val="0"/>
          <w:sz w:val="24"/>
          <w:szCs w:val="24"/>
        </w:rPr>
      </w:pPr>
      <w:r>
        <w:rPr>
          <w:rFonts w:hint="eastAsia" w:ascii="宋体" w:hAnsi="宋体" w:cs="宋体"/>
          <w:kern w:val="0"/>
          <w:sz w:val="24"/>
          <w:szCs w:val="24"/>
        </w:rPr>
        <w:t>3.3.2在投标有效期内，投标人撤销投标文件的，应承担招标文件和法律规定的责任。</w:t>
      </w:r>
    </w:p>
    <w:p>
      <w:pPr>
        <w:snapToGrid w:val="0"/>
        <w:spacing w:line="360" w:lineRule="auto"/>
        <w:rPr>
          <w:rFonts w:ascii="宋体" w:hAnsi="宋体" w:cs="宋体"/>
          <w:kern w:val="0"/>
          <w:sz w:val="24"/>
          <w:szCs w:val="24"/>
        </w:rPr>
      </w:pPr>
      <w:r>
        <w:rPr>
          <w:rFonts w:hint="eastAsia" w:ascii="宋体" w:hAnsi="宋体" w:cs="宋体"/>
          <w:kern w:val="0"/>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napToGrid w:val="0"/>
        <w:spacing w:line="360" w:lineRule="auto"/>
        <w:rPr>
          <w:rFonts w:ascii="宋体" w:hAnsi="宋体" w:cs="宋体"/>
          <w:b/>
          <w:bCs/>
          <w:kern w:val="0"/>
          <w:sz w:val="24"/>
          <w:szCs w:val="24"/>
        </w:rPr>
      </w:pPr>
      <w:bookmarkStart w:id="50" w:name="_Toc16343"/>
      <w:bookmarkStart w:id="51" w:name="_Toc25580"/>
      <w:r>
        <w:rPr>
          <w:rFonts w:hint="eastAsia" w:ascii="宋体" w:hAnsi="宋体" w:cs="宋体"/>
          <w:b/>
          <w:bCs/>
          <w:kern w:val="0"/>
          <w:sz w:val="24"/>
          <w:szCs w:val="24"/>
        </w:rPr>
        <w:t>3.4投标保证金</w:t>
      </w:r>
      <w:bookmarkEnd w:id="50"/>
      <w:bookmarkEnd w:id="51"/>
    </w:p>
    <w:p>
      <w:pPr>
        <w:spacing w:line="360" w:lineRule="auto"/>
        <w:rPr>
          <w:rFonts w:ascii="宋体" w:hAnsi="宋体" w:cs="宋体"/>
          <w:sz w:val="24"/>
          <w:szCs w:val="24"/>
        </w:rPr>
      </w:pPr>
      <w:bookmarkStart w:id="52" w:name="_Toc5055"/>
      <w:bookmarkStart w:id="53" w:name="_Toc16877"/>
      <w:r>
        <w:rPr>
          <w:rFonts w:hint="eastAsia" w:ascii="宋体" w:hAnsi="宋体" w:cs="宋体"/>
          <w:sz w:val="24"/>
          <w:szCs w:val="24"/>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rPr>
          <w:rFonts w:ascii="宋体" w:hAnsi="宋体" w:cs="宋体"/>
          <w:sz w:val="24"/>
          <w:szCs w:val="24"/>
        </w:rPr>
      </w:pPr>
      <w:r>
        <w:rPr>
          <w:rFonts w:hint="eastAsia" w:ascii="宋体" w:hAnsi="宋体" w:cs="宋体"/>
          <w:sz w:val="24"/>
          <w:szCs w:val="24"/>
        </w:rPr>
        <w:t>3.4.2投标人不按本章第3.4.1项要求提交投标保证金的，评标委员会将否决其投标。</w:t>
      </w:r>
    </w:p>
    <w:p>
      <w:pPr>
        <w:spacing w:line="360" w:lineRule="auto"/>
        <w:rPr>
          <w:rFonts w:ascii="宋体" w:hAnsi="宋体" w:cs="宋体"/>
          <w:sz w:val="24"/>
          <w:szCs w:val="24"/>
        </w:rPr>
      </w:pPr>
      <w:r>
        <w:rPr>
          <w:rFonts w:hint="eastAsia" w:ascii="宋体" w:hAnsi="宋体" w:cs="宋体"/>
          <w:sz w:val="24"/>
          <w:szCs w:val="24"/>
        </w:rPr>
        <w:t>3.4.3招标人最迟将在与中标人签订合同后 5 日内，向未中标的投标人和中标人退还投标保证金。</w:t>
      </w:r>
    </w:p>
    <w:p>
      <w:pPr>
        <w:spacing w:line="360" w:lineRule="auto"/>
        <w:rPr>
          <w:rFonts w:ascii="宋体" w:hAnsi="宋体" w:cs="宋体"/>
          <w:sz w:val="24"/>
          <w:szCs w:val="24"/>
        </w:rPr>
      </w:pPr>
      <w:r>
        <w:rPr>
          <w:rFonts w:hint="eastAsia" w:ascii="宋体" w:hAnsi="宋体" w:cs="宋体"/>
          <w:sz w:val="24"/>
          <w:szCs w:val="24"/>
        </w:rPr>
        <w:t>3.4.4有下列情形之一的，投标保证金将不予退还：</w:t>
      </w:r>
    </w:p>
    <w:p>
      <w:pPr>
        <w:spacing w:line="360" w:lineRule="auto"/>
        <w:rPr>
          <w:rFonts w:ascii="宋体" w:hAnsi="宋体" w:cs="宋体"/>
          <w:sz w:val="24"/>
          <w:szCs w:val="24"/>
        </w:rPr>
      </w:pPr>
      <w:r>
        <w:rPr>
          <w:rFonts w:hint="eastAsia" w:ascii="宋体" w:hAnsi="宋体" w:cs="宋体"/>
          <w:sz w:val="24"/>
          <w:szCs w:val="24"/>
        </w:rPr>
        <w:t>（1）投标人在投标有效期内撤销投标文件；</w:t>
      </w:r>
    </w:p>
    <w:p>
      <w:pPr>
        <w:spacing w:line="360" w:lineRule="auto"/>
        <w:rPr>
          <w:rFonts w:ascii="宋体" w:hAnsi="宋体" w:cs="宋体"/>
          <w:sz w:val="24"/>
          <w:szCs w:val="24"/>
        </w:rPr>
      </w:pPr>
      <w:r>
        <w:rPr>
          <w:rFonts w:hint="eastAsia" w:ascii="宋体" w:hAnsi="宋体" w:cs="宋体"/>
          <w:sz w:val="24"/>
          <w:szCs w:val="24"/>
        </w:rPr>
        <w:t>（2）中标人在收到中标通知书后，无正当理由不与招标人订立合同，在签订合同时向招标人提出附加条件，或者不按照招标文件要求提交履约保证金；</w:t>
      </w:r>
    </w:p>
    <w:p>
      <w:pPr>
        <w:spacing w:line="360" w:lineRule="auto"/>
        <w:rPr>
          <w:rFonts w:ascii="宋体" w:hAnsi="宋体" w:cs="宋体"/>
          <w:sz w:val="24"/>
          <w:szCs w:val="24"/>
        </w:rPr>
      </w:pPr>
      <w:r>
        <w:rPr>
          <w:rFonts w:hint="eastAsia" w:ascii="宋体" w:hAnsi="宋体" w:cs="宋体"/>
          <w:sz w:val="24"/>
          <w:szCs w:val="24"/>
        </w:rPr>
        <w:t>（3）发生投标人须知前附表规定的其他可以不予退还投标保证金的情形。</w:t>
      </w:r>
    </w:p>
    <w:p>
      <w:pPr>
        <w:snapToGrid w:val="0"/>
        <w:spacing w:line="360" w:lineRule="auto"/>
        <w:rPr>
          <w:rFonts w:ascii="宋体" w:hAnsi="宋体" w:cs="宋体"/>
          <w:kern w:val="0"/>
          <w:sz w:val="24"/>
          <w:szCs w:val="24"/>
        </w:rPr>
      </w:pPr>
      <w:r>
        <w:rPr>
          <w:rFonts w:hint="eastAsia" w:ascii="宋体" w:hAnsi="宋体" w:cs="宋体"/>
          <w:kern w:val="0"/>
          <w:sz w:val="24"/>
          <w:szCs w:val="24"/>
        </w:rPr>
        <w:t>3.5资格审查料</w:t>
      </w:r>
      <w:bookmarkEnd w:id="52"/>
      <w:bookmarkEnd w:id="53"/>
    </w:p>
    <w:p>
      <w:pPr>
        <w:snapToGrid w:val="0"/>
        <w:spacing w:line="360" w:lineRule="auto"/>
        <w:rPr>
          <w:rFonts w:ascii="宋体" w:hAnsi="宋体" w:cs="宋体"/>
          <w:kern w:val="0"/>
          <w:sz w:val="24"/>
          <w:szCs w:val="24"/>
        </w:rPr>
      </w:pPr>
      <w:r>
        <w:rPr>
          <w:rFonts w:hint="eastAsia" w:ascii="宋体" w:hAnsi="宋体" w:cs="宋体"/>
          <w:kern w:val="0"/>
          <w:sz w:val="24"/>
          <w:szCs w:val="24"/>
        </w:rPr>
        <w:t>详见招标公告要求。</w:t>
      </w:r>
    </w:p>
    <w:p>
      <w:pPr>
        <w:snapToGrid w:val="0"/>
        <w:spacing w:line="360" w:lineRule="auto"/>
        <w:rPr>
          <w:rFonts w:ascii="宋体" w:hAnsi="宋体" w:cs="宋体"/>
          <w:kern w:val="0"/>
          <w:sz w:val="24"/>
          <w:szCs w:val="24"/>
        </w:rPr>
      </w:pPr>
      <w:r>
        <w:rPr>
          <w:rFonts w:hint="eastAsia" w:ascii="宋体" w:hAnsi="宋体" w:cs="宋体"/>
          <w:kern w:val="0"/>
          <w:sz w:val="24"/>
          <w:szCs w:val="24"/>
        </w:rPr>
        <w:t>3.6（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napToGrid w:val="0"/>
        <w:spacing w:line="360" w:lineRule="auto"/>
        <w:rPr>
          <w:rFonts w:ascii="宋体" w:hAnsi="宋体" w:cs="宋体"/>
          <w:kern w:val="0"/>
          <w:sz w:val="24"/>
          <w:szCs w:val="24"/>
        </w:rPr>
      </w:pPr>
      <w:r>
        <w:rPr>
          <w:rFonts w:hint="eastAsia" w:ascii="宋体" w:hAnsi="宋体" w:cs="宋体"/>
          <w:kern w:val="0"/>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napToGrid w:val="0"/>
        <w:spacing w:line="360" w:lineRule="auto"/>
        <w:rPr>
          <w:rFonts w:ascii="宋体" w:hAnsi="宋体" w:cs="宋体"/>
          <w:kern w:val="0"/>
        </w:rPr>
      </w:pPr>
      <w:r>
        <w:rPr>
          <w:rFonts w:hint="eastAsia" w:ascii="宋体" w:hAnsi="宋体" w:cs="宋体"/>
          <w:kern w:val="0"/>
          <w:sz w:val="24"/>
          <w:szCs w:val="24"/>
        </w:rPr>
        <w:t>（3）投标文件的正本与副本应分别装</w:t>
      </w:r>
      <w:r>
        <w:rPr>
          <w:rFonts w:hint="eastAsia" w:ascii="宋体" w:hAnsi="宋体" w:cs="宋体"/>
          <w:kern w:val="0"/>
        </w:rPr>
        <w:t>订，并编制目录，投标文件需分册装订的，具体分册装订要求见投标人须知前附表规定。</w:t>
      </w:r>
    </w:p>
    <w:p>
      <w:pPr>
        <w:pStyle w:val="4"/>
        <w:snapToGrid w:val="0"/>
        <w:spacing w:before="0" w:after="0" w:line="360" w:lineRule="auto"/>
        <w:rPr>
          <w:rFonts w:ascii="宋体" w:hAnsi="宋体" w:cs="宋体"/>
        </w:rPr>
      </w:pPr>
      <w:bookmarkStart w:id="54" w:name="_Toc27305"/>
      <w:bookmarkStart w:id="55" w:name="_Toc18087"/>
      <w:bookmarkStart w:id="56" w:name="_Toc17228"/>
      <w:bookmarkStart w:id="57" w:name="_Toc20354"/>
      <w:bookmarkStart w:id="58" w:name="_Toc40699923"/>
      <w:bookmarkStart w:id="59" w:name="_Toc16785"/>
      <w:bookmarkStart w:id="60" w:name="_Toc27613"/>
      <w:r>
        <w:rPr>
          <w:rFonts w:hint="eastAsia" w:ascii="宋体" w:hAnsi="宋体" w:cs="宋体"/>
        </w:rPr>
        <w:t>4.投标</w:t>
      </w:r>
      <w:bookmarkEnd w:id="54"/>
      <w:bookmarkEnd w:id="55"/>
      <w:bookmarkEnd w:id="56"/>
      <w:bookmarkEnd w:id="57"/>
      <w:bookmarkEnd w:id="58"/>
      <w:bookmarkEnd w:id="59"/>
      <w:bookmarkEnd w:id="60"/>
    </w:p>
    <w:p>
      <w:pPr>
        <w:snapToGrid w:val="0"/>
        <w:spacing w:line="360" w:lineRule="auto"/>
        <w:rPr>
          <w:rFonts w:ascii="宋体" w:hAnsi="宋体" w:cs="宋体"/>
          <w:kern w:val="0"/>
          <w:sz w:val="24"/>
          <w:szCs w:val="24"/>
        </w:rPr>
      </w:pPr>
      <w:bookmarkStart w:id="61" w:name="_Toc6817"/>
      <w:bookmarkStart w:id="62" w:name="_Toc13130"/>
      <w:r>
        <w:rPr>
          <w:rFonts w:hint="eastAsia" w:ascii="宋体" w:hAnsi="宋体" w:cs="宋体"/>
          <w:kern w:val="0"/>
          <w:sz w:val="24"/>
          <w:szCs w:val="24"/>
        </w:rPr>
        <w:t>4.1投标文件的密封和标记</w:t>
      </w:r>
      <w:bookmarkEnd w:id="61"/>
      <w:bookmarkEnd w:id="62"/>
    </w:p>
    <w:p>
      <w:pPr>
        <w:snapToGrid w:val="0"/>
        <w:spacing w:line="360" w:lineRule="auto"/>
        <w:rPr>
          <w:rFonts w:ascii="宋体" w:hAnsi="宋体" w:cs="宋体"/>
          <w:kern w:val="0"/>
          <w:sz w:val="24"/>
          <w:szCs w:val="24"/>
        </w:rPr>
      </w:pPr>
      <w:r>
        <w:rPr>
          <w:rFonts w:hint="eastAsia" w:ascii="宋体" w:hAnsi="宋体" w:cs="宋体"/>
          <w:kern w:val="0"/>
          <w:sz w:val="24"/>
          <w:szCs w:val="24"/>
        </w:rPr>
        <w:t>4.1.1投标文件应密封包装，并在封套的封口处加盖投标人单位章或由投标人的法定代表人（单位负责人）或其授权的代理人签字。</w:t>
      </w:r>
    </w:p>
    <w:p>
      <w:pPr>
        <w:snapToGrid w:val="0"/>
        <w:spacing w:line="360" w:lineRule="auto"/>
        <w:rPr>
          <w:rFonts w:ascii="宋体" w:hAnsi="宋体" w:cs="宋体"/>
          <w:kern w:val="0"/>
          <w:sz w:val="24"/>
          <w:szCs w:val="24"/>
        </w:rPr>
      </w:pPr>
      <w:r>
        <w:rPr>
          <w:rFonts w:hint="eastAsia" w:ascii="宋体" w:hAnsi="宋体" w:cs="宋体"/>
          <w:kern w:val="0"/>
          <w:sz w:val="24"/>
          <w:szCs w:val="24"/>
        </w:rPr>
        <w:t>4.1.2投标文件封套上应写明的内容见投标人须知前附表。</w:t>
      </w:r>
    </w:p>
    <w:p>
      <w:pPr>
        <w:snapToGrid w:val="0"/>
        <w:spacing w:line="360" w:lineRule="auto"/>
        <w:rPr>
          <w:rFonts w:ascii="宋体" w:hAnsi="宋体" w:cs="宋体"/>
          <w:kern w:val="0"/>
          <w:sz w:val="24"/>
          <w:szCs w:val="24"/>
        </w:rPr>
      </w:pPr>
      <w:r>
        <w:rPr>
          <w:rFonts w:hint="eastAsia" w:ascii="宋体" w:hAnsi="宋体" w:cs="宋体"/>
          <w:kern w:val="0"/>
          <w:sz w:val="24"/>
          <w:szCs w:val="24"/>
        </w:rPr>
        <w:t>4.1.3未按本章第4.1.1项要求密封的投标文件，招标人将予以拒收。</w:t>
      </w:r>
    </w:p>
    <w:p>
      <w:pPr>
        <w:snapToGrid w:val="0"/>
        <w:spacing w:line="360" w:lineRule="auto"/>
        <w:rPr>
          <w:rFonts w:ascii="宋体" w:hAnsi="宋体" w:cs="宋体"/>
          <w:kern w:val="0"/>
          <w:sz w:val="24"/>
          <w:szCs w:val="24"/>
        </w:rPr>
      </w:pPr>
      <w:bookmarkStart w:id="63" w:name="_Toc22461"/>
      <w:bookmarkStart w:id="64" w:name="_Toc18262"/>
      <w:r>
        <w:rPr>
          <w:rFonts w:hint="eastAsia" w:ascii="宋体" w:hAnsi="宋体" w:cs="宋体"/>
          <w:kern w:val="0"/>
          <w:sz w:val="24"/>
          <w:szCs w:val="24"/>
        </w:rPr>
        <w:t>4.2投标文件的递交</w:t>
      </w:r>
      <w:bookmarkEnd w:id="63"/>
      <w:bookmarkEnd w:id="64"/>
    </w:p>
    <w:p>
      <w:pPr>
        <w:snapToGrid w:val="0"/>
        <w:spacing w:line="360" w:lineRule="auto"/>
        <w:rPr>
          <w:rFonts w:ascii="宋体" w:hAnsi="宋体" w:cs="宋体"/>
          <w:kern w:val="0"/>
          <w:sz w:val="24"/>
          <w:szCs w:val="24"/>
        </w:rPr>
      </w:pPr>
      <w:r>
        <w:rPr>
          <w:rFonts w:hint="eastAsia" w:ascii="宋体" w:hAnsi="宋体" w:cs="宋体"/>
          <w:kern w:val="0"/>
          <w:sz w:val="24"/>
          <w:szCs w:val="24"/>
        </w:rPr>
        <w:t>4.2.1投标人应在投标人须知前附表规定的投标截止时间前递交投标文件。</w:t>
      </w:r>
    </w:p>
    <w:p>
      <w:pPr>
        <w:snapToGrid w:val="0"/>
        <w:spacing w:line="360" w:lineRule="auto"/>
        <w:rPr>
          <w:rFonts w:ascii="宋体" w:hAnsi="宋体" w:cs="宋体"/>
          <w:kern w:val="0"/>
          <w:sz w:val="24"/>
          <w:szCs w:val="24"/>
        </w:rPr>
      </w:pPr>
      <w:r>
        <w:rPr>
          <w:rFonts w:hint="eastAsia" w:ascii="宋体" w:hAnsi="宋体" w:cs="宋体"/>
          <w:kern w:val="0"/>
          <w:sz w:val="24"/>
          <w:szCs w:val="24"/>
        </w:rPr>
        <w:t>4.2.2投标人递交投标文件的地点：见投标人须知前附表。</w:t>
      </w:r>
    </w:p>
    <w:p>
      <w:pPr>
        <w:snapToGrid w:val="0"/>
        <w:spacing w:line="360" w:lineRule="auto"/>
        <w:rPr>
          <w:rFonts w:ascii="宋体" w:hAnsi="宋体" w:cs="宋体"/>
          <w:kern w:val="0"/>
          <w:sz w:val="24"/>
          <w:szCs w:val="24"/>
        </w:rPr>
      </w:pPr>
      <w:r>
        <w:rPr>
          <w:rFonts w:hint="eastAsia" w:ascii="宋体" w:hAnsi="宋体" w:cs="宋体"/>
          <w:kern w:val="0"/>
          <w:sz w:val="24"/>
          <w:szCs w:val="24"/>
        </w:rPr>
        <w:t>4.2.3除投标人须知前附表另有规定外，投标人所递交的投标文件不予退还。</w:t>
      </w:r>
    </w:p>
    <w:p>
      <w:pPr>
        <w:snapToGrid w:val="0"/>
        <w:spacing w:line="360" w:lineRule="auto"/>
        <w:rPr>
          <w:rFonts w:ascii="宋体" w:hAnsi="宋体" w:cs="宋体"/>
          <w:kern w:val="0"/>
          <w:sz w:val="24"/>
          <w:szCs w:val="24"/>
        </w:rPr>
      </w:pPr>
      <w:r>
        <w:rPr>
          <w:rFonts w:hint="eastAsia" w:ascii="宋体" w:hAnsi="宋体" w:cs="宋体"/>
          <w:kern w:val="0"/>
          <w:sz w:val="24"/>
          <w:szCs w:val="24"/>
        </w:rPr>
        <w:t>4.2.4招标人收到投标文件后，向投标人出具签收凭证。</w:t>
      </w:r>
    </w:p>
    <w:p>
      <w:pPr>
        <w:snapToGrid w:val="0"/>
        <w:spacing w:line="360" w:lineRule="auto"/>
        <w:rPr>
          <w:rFonts w:ascii="宋体" w:hAnsi="宋体" w:cs="宋体"/>
          <w:kern w:val="0"/>
          <w:sz w:val="24"/>
          <w:szCs w:val="24"/>
        </w:rPr>
      </w:pPr>
      <w:r>
        <w:rPr>
          <w:rFonts w:hint="eastAsia" w:ascii="宋体" w:hAnsi="宋体" w:cs="宋体"/>
          <w:kern w:val="0"/>
          <w:sz w:val="24"/>
          <w:szCs w:val="24"/>
        </w:rPr>
        <w:t>4.2.5逾期送达的投标文件，招标人将予以拒收。</w:t>
      </w:r>
    </w:p>
    <w:p>
      <w:pPr>
        <w:snapToGrid w:val="0"/>
        <w:spacing w:line="360" w:lineRule="auto"/>
        <w:rPr>
          <w:rFonts w:ascii="宋体" w:hAnsi="宋体" w:cs="宋体"/>
          <w:kern w:val="0"/>
          <w:sz w:val="24"/>
          <w:szCs w:val="24"/>
        </w:rPr>
      </w:pPr>
      <w:bookmarkStart w:id="65" w:name="_Toc27382"/>
      <w:bookmarkStart w:id="66" w:name="_Toc10255"/>
      <w:r>
        <w:rPr>
          <w:rFonts w:hint="eastAsia" w:ascii="宋体" w:hAnsi="宋体" w:cs="宋体"/>
          <w:kern w:val="0"/>
          <w:sz w:val="24"/>
          <w:szCs w:val="24"/>
        </w:rPr>
        <w:t>4.3投标文件的修改与撤回</w:t>
      </w:r>
      <w:bookmarkEnd w:id="65"/>
      <w:bookmarkEnd w:id="66"/>
    </w:p>
    <w:p>
      <w:pPr>
        <w:snapToGrid w:val="0"/>
        <w:spacing w:line="360" w:lineRule="auto"/>
        <w:rPr>
          <w:rFonts w:ascii="宋体" w:hAnsi="宋体" w:cs="宋体"/>
          <w:kern w:val="0"/>
          <w:sz w:val="24"/>
          <w:szCs w:val="24"/>
        </w:rPr>
      </w:pPr>
      <w:r>
        <w:rPr>
          <w:rFonts w:hint="eastAsia" w:ascii="宋体" w:hAnsi="宋体" w:cs="宋体"/>
          <w:kern w:val="0"/>
          <w:sz w:val="24"/>
          <w:szCs w:val="24"/>
        </w:rPr>
        <w:t>4.3.1在本章第4.2.1项规定的投标截止时间前，投标人可以修改或撤回已递交的投标文件，但应以书面形式通知招标人。</w:t>
      </w:r>
    </w:p>
    <w:p>
      <w:pPr>
        <w:snapToGrid w:val="0"/>
        <w:spacing w:line="360" w:lineRule="auto"/>
        <w:rPr>
          <w:rFonts w:ascii="宋体" w:hAnsi="宋体" w:cs="宋体"/>
          <w:kern w:val="0"/>
          <w:sz w:val="24"/>
          <w:szCs w:val="24"/>
        </w:rPr>
      </w:pPr>
      <w:r>
        <w:rPr>
          <w:rFonts w:hint="eastAsia" w:ascii="宋体" w:hAnsi="宋体" w:cs="宋体"/>
          <w:kern w:val="0"/>
          <w:sz w:val="24"/>
          <w:szCs w:val="24"/>
        </w:rPr>
        <w:t>4.3.2投标人修改或撤回已递交投标文件的书面通知应按照本章第 3.7.3项的要求签字或盖章。招标人收到书面通知后，向投标人出具签收凭证。</w:t>
      </w:r>
    </w:p>
    <w:p>
      <w:pPr>
        <w:snapToGrid w:val="0"/>
        <w:spacing w:line="360" w:lineRule="auto"/>
        <w:rPr>
          <w:rFonts w:ascii="宋体" w:hAnsi="宋体" w:cs="宋体"/>
          <w:kern w:val="0"/>
          <w:sz w:val="24"/>
          <w:szCs w:val="24"/>
        </w:rPr>
      </w:pPr>
      <w:r>
        <w:rPr>
          <w:rFonts w:hint="eastAsia" w:ascii="宋体" w:hAnsi="宋体" w:cs="宋体"/>
          <w:kern w:val="0"/>
          <w:sz w:val="24"/>
          <w:szCs w:val="24"/>
        </w:rPr>
        <w:t>4.3.3修改的内容为投标文件的组成部分。修改的投标文件应按照招标文件的规定进行编制、密封、标记和递交，并标明“修改”字样。</w:t>
      </w:r>
    </w:p>
    <w:p>
      <w:pPr>
        <w:pStyle w:val="4"/>
        <w:snapToGrid w:val="0"/>
        <w:spacing w:before="0" w:after="0" w:line="360" w:lineRule="auto"/>
        <w:rPr>
          <w:rFonts w:ascii="宋体" w:hAnsi="宋体" w:cs="宋体"/>
        </w:rPr>
      </w:pPr>
      <w:bookmarkStart w:id="67" w:name="_Toc8343"/>
      <w:bookmarkStart w:id="68" w:name="_Toc40699924"/>
      <w:bookmarkStart w:id="69" w:name="_Toc20106"/>
      <w:bookmarkStart w:id="70" w:name="_Toc10477"/>
      <w:bookmarkStart w:id="71" w:name="_Toc27838"/>
      <w:bookmarkStart w:id="72" w:name="_Toc13413"/>
      <w:bookmarkStart w:id="73" w:name="_Toc5124"/>
      <w:r>
        <w:rPr>
          <w:rFonts w:hint="eastAsia" w:ascii="宋体" w:hAnsi="宋体" w:cs="宋体"/>
        </w:rPr>
        <w:t>5.开标</w:t>
      </w:r>
      <w:bookmarkEnd w:id="67"/>
      <w:bookmarkEnd w:id="68"/>
      <w:bookmarkEnd w:id="69"/>
      <w:bookmarkEnd w:id="70"/>
      <w:bookmarkEnd w:id="71"/>
      <w:bookmarkEnd w:id="72"/>
      <w:bookmarkEnd w:id="73"/>
    </w:p>
    <w:p>
      <w:pPr>
        <w:snapToGrid w:val="0"/>
        <w:spacing w:line="360" w:lineRule="auto"/>
        <w:rPr>
          <w:rFonts w:ascii="宋体" w:hAnsi="宋体" w:cs="宋体"/>
          <w:kern w:val="0"/>
          <w:sz w:val="24"/>
          <w:szCs w:val="24"/>
        </w:rPr>
      </w:pPr>
      <w:bookmarkStart w:id="74" w:name="_Toc14232"/>
      <w:bookmarkStart w:id="75" w:name="_Toc5479"/>
      <w:r>
        <w:rPr>
          <w:rFonts w:hint="eastAsia" w:ascii="宋体" w:hAnsi="宋体" w:cs="宋体"/>
          <w:kern w:val="0"/>
          <w:sz w:val="24"/>
          <w:szCs w:val="24"/>
        </w:rPr>
        <w:t>5.1开标时间和地点</w:t>
      </w:r>
      <w:bookmarkEnd w:id="74"/>
      <w:bookmarkEnd w:id="75"/>
    </w:p>
    <w:p>
      <w:pPr>
        <w:widowControl/>
        <w:shd w:val="clear" w:color="auto" w:fill="FFFFFF"/>
        <w:spacing w:line="360" w:lineRule="auto"/>
        <w:ind w:firstLine="480" w:firstLineChars="200"/>
        <w:rPr>
          <w:rFonts w:ascii="宋体" w:hAnsi="宋体" w:cs="宋体"/>
          <w:color w:val="333333"/>
          <w:kern w:val="0"/>
          <w:sz w:val="24"/>
          <w:szCs w:val="24"/>
        </w:rPr>
      </w:pPr>
      <w:r>
        <w:rPr>
          <w:rFonts w:hint="eastAsia" w:ascii="宋体" w:hAnsi="宋体" w:cs="宋体"/>
          <w:color w:val="333333"/>
          <w:kern w:val="0"/>
          <w:sz w:val="24"/>
          <w:szCs w:val="24"/>
        </w:rPr>
        <w:t>因受疫情影响，本次招标采用</w:t>
      </w:r>
      <w:r>
        <w:rPr>
          <w:rFonts w:hint="eastAsia" w:ascii="宋体" w:hAnsi="宋体" w:cs="宋体"/>
          <w:b/>
          <w:bCs/>
          <w:color w:val="auto"/>
          <w:kern w:val="0"/>
          <w:sz w:val="24"/>
          <w:szCs w:val="24"/>
          <w:u w:val="single"/>
        </w:rPr>
        <w:t>不见面方式</w:t>
      </w:r>
      <w:r>
        <w:rPr>
          <w:rFonts w:hint="eastAsia" w:ascii="宋体" w:hAnsi="宋体" w:cs="宋体"/>
          <w:color w:val="333333"/>
          <w:kern w:val="0"/>
          <w:sz w:val="24"/>
          <w:szCs w:val="24"/>
        </w:rPr>
        <w:t>开标，开标会由招标人代表、监督人、招标代理机构及评审人员完成，</w:t>
      </w:r>
      <w:r>
        <w:rPr>
          <w:rFonts w:hint="eastAsia" w:ascii="宋体" w:hAnsi="宋体" w:cs="宋体"/>
          <w:b/>
          <w:bCs/>
          <w:color w:val="333333"/>
          <w:kern w:val="0"/>
          <w:sz w:val="24"/>
          <w:szCs w:val="24"/>
        </w:rPr>
        <w:t>投标人不参加开标会</w:t>
      </w:r>
      <w:r>
        <w:rPr>
          <w:rFonts w:hint="eastAsia" w:ascii="宋体" w:hAnsi="宋体" w:cs="宋体"/>
          <w:color w:val="333333"/>
          <w:kern w:val="0"/>
          <w:sz w:val="24"/>
          <w:szCs w:val="24"/>
        </w:rPr>
        <w:t>。</w:t>
      </w:r>
    </w:p>
    <w:p>
      <w:pPr>
        <w:pStyle w:val="4"/>
        <w:snapToGrid w:val="0"/>
        <w:spacing w:before="0" w:after="0" w:line="360" w:lineRule="auto"/>
        <w:rPr>
          <w:rFonts w:ascii="宋体" w:hAnsi="宋体" w:cs="宋体"/>
        </w:rPr>
      </w:pPr>
      <w:bookmarkStart w:id="76" w:name="_Toc40699925"/>
      <w:bookmarkStart w:id="77" w:name="_Toc8833"/>
      <w:bookmarkStart w:id="78" w:name="_Toc23290"/>
      <w:bookmarkStart w:id="79" w:name="_Toc28351"/>
      <w:bookmarkStart w:id="80" w:name="_Toc16597"/>
      <w:bookmarkStart w:id="81" w:name="_Toc22609"/>
      <w:bookmarkStart w:id="82" w:name="_Toc20036"/>
      <w:r>
        <w:rPr>
          <w:rFonts w:hint="eastAsia" w:ascii="宋体" w:hAnsi="宋体" w:cs="宋体"/>
        </w:rPr>
        <w:t>6.评标</w:t>
      </w:r>
      <w:bookmarkEnd w:id="76"/>
      <w:bookmarkEnd w:id="77"/>
      <w:bookmarkEnd w:id="78"/>
      <w:bookmarkEnd w:id="79"/>
      <w:bookmarkEnd w:id="80"/>
      <w:bookmarkEnd w:id="81"/>
      <w:bookmarkEnd w:id="82"/>
    </w:p>
    <w:p>
      <w:pPr>
        <w:snapToGrid w:val="0"/>
        <w:spacing w:line="360" w:lineRule="auto"/>
        <w:rPr>
          <w:rFonts w:ascii="宋体" w:hAnsi="宋体" w:cs="宋体"/>
          <w:kern w:val="0"/>
          <w:sz w:val="24"/>
          <w:szCs w:val="24"/>
        </w:rPr>
      </w:pPr>
      <w:bookmarkStart w:id="83" w:name="_Toc25377"/>
      <w:bookmarkStart w:id="84" w:name="_Toc19955"/>
      <w:r>
        <w:rPr>
          <w:rFonts w:hint="eastAsia" w:ascii="宋体" w:hAnsi="宋体" w:cs="宋体"/>
          <w:kern w:val="0"/>
          <w:sz w:val="24"/>
          <w:szCs w:val="24"/>
        </w:rPr>
        <w:t>6.1评标委员会</w:t>
      </w:r>
      <w:bookmarkEnd w:id="83"/>
      <w:bookmarkEnd w:id="84"/>
    </w:p>
    <w:p>
      <w:pPr>
        <w:snapToGrid w:val="0"/>
        <w:spacing w:line="360" w:lineRule="auto"/>
        <w:rPr>
          <w:rFonts w:ascii="宋体" w:hAnsi="宋体" w:cs="宋体"/>
          <w:kern w:val="0"/>
          <w:sz w:val="24"/>
          <w:szCs w:val="24"/>
        </w:rPr>
      </w:pPr>
      <w:r>
        <w:rPr>
          <w:rFonts w:hint="eastAsia" w:ascii="宋体" w:hAnsi="宋体" w:cs="宋体"/>
          <w:kern w:val="0"/>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napToGrid w:val="0"/>
        <w:spacing w:line="360" w:lineRule="auto"/>
        <w:rPr>
          <w:rFonts w:ascii="宋体" w:hAnsi="宋体" w:cs="宋体"/>
          <w:kern w:val="0"/>
          <w:sz w:val="24"/>
          <w:szCs w:val="24"/>
        </w:rPr>
      </w:pPr>
      <w:r>
        <w:rPr>
          <w:rFonts w:hint="eastAsia" w:ascii="宋体" w:hAnsi="宋体" w:cs="宋体"/>
          <w:kern w:val="0"/>
          <w:sz w:val="24"/>
          <w:szCs w:val="24"/>
        </w:rPr>
        <w:t>6.1.2评标委员会成员有下列情形之一的，应当回避：</w:t>
      </w:r>
    </w:p>
    <w:p>
      <w:pPr>
        <w:snapToGrid w:val="0"/>
        <w:spacing w:line="360" w:lineRule="auto"/>
        <w:rPr>
          <w:rFonts w:ascii="宋体" w:hAnsi="宋体" w:cs="宋体"/>
          <w:kern w:val="0"/>
          <w:sz w:val="24"/>
          <w:szCs w:val="24"/>
        </w:rPr>
      </w:pPr>
      <w:r>
        <w:rPr>
          <w:rFonts w:hint="eastAsia" w:ascii="宋体" w:hAnsi="宋体" w:cs="宋体"/>
          <w:kern w:val="0"/>
          <w:sz w:val="24"/>
          <w:szCs w:val="24"/>
        </w:rPr>
        <w:t>（1）投标人或投标人主要负责人的近亲属；</w:t>
      </w:r>
    </w:p>
    <w:p>
      <w:pPr>
        <w:snapToGrid w:val="0"/>
        <w:spacing w:line="360" w:lineRule="auto"/>
        <w:rPr>
          <w:rFonts w:ascii="宋体" w:hAnsi="宋体" w:cs="宋体"/>
          <w:kern w:val="0"/>
          <w:sz w:val="24"/>
          <w:szCs w:val="24"/>
        </w:rPr>
      </w:pPr>
      <w:r>
        <w:rPr>
          <w:rFonts w:hint="eastAsia" w:ascii="宋体" w:hAnsi="宋体" w:cs="宋体"/>
          <w:kern w:val="0"/>
          <w:sz w:val="24"/>
          <w:szCs w:val="24"/>
        </w:rPr>
        <w:t>（2）项目主管部门或者行政监督部门的人员；</w:t>
      </w:r>
    </w:p>
    <w:p>
      <w:pPr>
        <w:snapToGrid w:val="0"/>
        <w:spacing w:line="360" w:lineRule="auto"/>
        <w:rPr>
          <w:rFonts w:ascii="宋体" w:hAnsi="宋体" w:cs="宋体"/>
          <w:kern w:val="0"/>
          <w:sz w:val="24"/>
          <w:szCs w:val="24"/>
        </w:rPr>
      </w:pPr>
      <w:r>
        <w:rPr>
          <w:rFonts w:hint="eastAsia" w:ascii="宋体" w:hAnsi="宋体" w:cs="宋体"/>
          <w:kern w:val="0"/>
          <w:sz w:val="24"/>
          <w:szCs w:val="24"/>
        </w:rPr>
        <w:t>（3）与投标人有经济利益关系，可能影响对投标公正评审的；</w:t>
      </w:r>
    </w:p>
    <w:p>
      <w:pPr>
        <w:snapToGrid w:val="0"/>
        <w:spacing w:line="360" w:lineRule="auto"/>
        <w:rPr>
          <w:rFonts w:ascii="宋体" w:hAnsi="宋体" w:cs="宋体"/>
          <w:kern w:val="0"/>
          <w:sz w:val="24"/>
          <w:szCs w:val="24"/>
        </w:rPr>
      </w:pPr>
      <w:r>
        <w:rPr>
          <w:rFonts w:hint="eastAsia" w:ascii="宋体" w:hAnsi="宋体" w:cs="宋体"/>
          <w:kern w:val="0"/>
          <w:sz w:val="24"/>
          <w:szCs w:val="24"/>
        </w:rPr>
        <w:t>（4）曾因在招标、评标以及其他与招标投标有关活动中从事违法行为而受过行政处罚或刑事处罚的；</w:t>
      </w:r>
    </w:p>
    <w:p>
      <w:pPr>
        <w:snapToGrid w:val="0"/>
        <w:spacing w:line="360" w:lineRule="auto"/>
        <w:rPr>
          <w:rFonts w:ascii="宋体" w:hAnsi="宋体" w:cs="宋体"/>
          <w:kern w:val="0"/>
          <w:sz w:val="24"/>
          <w:szCs w:val="24"/>
        </w:rPr>
      </w:pPr>
      <w:r>
        <w:rPr>
          <w:rFonts w:hint="eastAsia" w:ascii="宋体" w:hAnsi="宋体" w:cs="宋体"/>
          <w:kern w:val="0"/>
          <w:sz w:val="24"/>
          <w:szCs w:val="24"/>
        </w:rPr>
        <w:t>（5）与投标人有其他利害关系。</w:t>
      </w:r>
    </w:p>
    <w:p>
      <w:pPr>
        <w:snapToGrid w:val="0"/>
        <w:spacing w:line="360" w:lineRule="auto"/>
        <w:rPr>
          <w:rFonts w:ascii="宋体" w:hAnsi="宋体" w:cs="宋体"/>
          <w:kern w:val="0"/>
          <w:sz w:val="24"/>
          <w:szCs w:val="24"/>
        </w:rPr>
      </w:pPr>
      <w:r>
        <w:rPr>
          <w:rFonts w:hint="eastAsia" w:ascii="宋体" w:hAnsi="宋体" w:cs="宋体"/>
          <w:kern w:val="0"/>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pPr>
        <w:snapToGrid w:val="0"/>
        <w:spacing w:line="360" w:lineRule="auto"/>
        <w:rPr>
          <w:rFonts w:ascii="宋体" w:hAnsi="宋体" w:cs="宋体"/>
          <w:kern w:val="0"/>
          <w:sz w:val="24"/>
          <w:szCs w:val="24"/>
        </w:rPr>
      </w:pPr>
      <w:bookmarkStart w:id="85" w:name="_Toc30310"/>
      <w:bookmarkStart w:id="86" w:name="_Toc7533"/>
      <w:r>
        <w:rPr>
          <w:rFonts w:hint="eastAsia" w:ascii="宋体" w:hAnsi="宋体" w:cs="宋体"/>
          <w:kern w:val="0"/>
          <w:sz w:val="24"/>
          <w:szCs w:val="24"/>
        </w:rPr>
        <w:t>6.2评标原则</w:t>
      </w:r>
      <w:bookmarkEnd w:id="85"/>
      <w:bookmarkEnd w:id="86"/>
    </w:p>
    <w:p>
      <w:pPr>
        <w:snapToGrid w:val="0"/>
        <w:spacing w:line="360" w:lineRule="auto"/>
        <w:rPr>
          <w:sz w:val="24"/>
          <w:szCs w:val="24"/>
        </w:rPr>
      </w:pPr>
      <w:r>
        <w:rPr>
          <w:rFonts w:hint="eastAsia" w:ascii="宋体" w:hAnsi="宋体" w:cs="宋体"/>
          <w:kern w:val="0"/>
          <w:sz w:val="24"/>
          <w:szCs w:val="24"/>
        </w:rPr>
        <w:t>评标活动遵循公平、公正、科学和择优的原则。</w:t>
      </w:r>
    </w:p>
    <w:p>
      <w:pPr>
        <w:snapToGrid w:val="0"/>
        <w:spacing w:line="360" w:lineRule="auto"/>
        <w:rPr>
          <w:rFonts w:ascii="宋体" w:hAnsi="宋体" w:cs="宋体"/>
          <w:kern w:val="0"/>
          <w:sz w:val="24"/>
          <w:szCs w:val="24"/>
        </w:rPr>
      </w:pPr>
      <w:bookmarkStart w:id="87" w:name="_Toc3196"/>
      <w:bookmarkStart w:id="88" w:name="_Toc25757"/>
      <w:r>
        <w:rPr>
          <w:rFonts w:hint="eastAsia" w:ascii="宋体" w:hAnsi="宋体" w:cs="宋体"/>
          <w:kern w:val="0"/>
          <w:sz w:val="24"/>
          <w:szCs w:val="24"/>
        </w:rPr>
        <w:t>6.3评标</w:t>
      </w:r>
      <w:bookmarkEnd w:id="87"/>
      <w:bookmarkEnd w:id="88"/>
    </w:p>
    <w:p>
      <w:pPr>
        <w:snapToGrid w:val="0"/>
        <w:spacing w:line="360" w:lineRule="auto"/>
        <w:rPr>
          <w:rFonts w:ascii="宋体" w:hAnsi="宋体" w:cs="宋体"/>
          <w:kern w:val="0"/>
          <w:sz w:val="24"/>
          <w:szCs w:val="24"/>
        </w:rPr>
      </w:pPr>
      <w:r>
        <w:rPr>
          <w:rFonts w:hint="eastAsia" w:ascii="宋体" w:hAnsi="宋体" w:cs="宋体"/>
          <w:kern w:val="0"/>
          <w:sz w:val="24"/>
          <w:szCs w:val="24"/>
        </w:rPr>
        <w:t>6.3.1评标委员会按照第二章“评标办法”规定的方法、评审因素、标准和程序对投标文件进行评审。第二章“评标办法”没有规定的方法、评审因素和标准，不作为评标依据。</w:t>
      </w:r>
    </w:p>
    <w:p>
      <w:pPr>
        <w:snapToGrid w:val="0"/>
        <w:spacing w:line="360" w:lineRule="auto"/>
        <w:rPr>
          <w:rFonts w:ascii="宋体" w:hAnsi="宋体" w:cs="宋体"/>
          <w:kern w:val="0"/>
          <w:sz w:val="24"/>
          <w:szCs w:val="24"/>
        </w:rPr>
      </w:pPr>
      <w:r>
        <w:rPr>
          <w:rFonts w:hint="eastAsia" w:ascii="宋体" w:hAnsi="宋体" w:cs="宋体"/>
          <w:kern w:val="0"/>
          <w:sz w:val="24"/>
          <w:szCs w:val="24"/>
        </w:rPr>
        <w:t>6.3.2评标完成后，评标委员会应当向招标人提交书面评标报告和中标候选人名单。评标委员会推荐中标候选人的人数见投标人须知前附表。</w:t>
      </w:r>
    </w:p>
    <w:p>
      <w:pPr>
        <w:snapToGrid w:val="0"/>
        <w:spacing w:line="360" w:lineRule="auto"/>
        <w:ind w:firstLine="422"/>
        <w:rPr>
          <w:rFonts w:ascii="宋体" w:hAnsi="宋体" w:cs="宋体"/>
          <w:b/>
          <w:bCs/>
          <w:sz w:val="24"/>
          <w:szCs w:val="24"/>
          <w:highlight w:val="white"/>
        </w:rPr>
      </w:pPr>
      <w:r>
        <w:rPr>
          <w:rFonts w:hint="eastAsia" w:ascii="宋体" w:hAnsi="宋体" w:cs="宋体"/>
          <w:b/>
          <w:bCs/>
          <w:kern w:val="0"/>
          <w:sz w:val="24"/>
          <w:szCs w:val="24"/>
        </w:rPr>
        <w:t>6.3.3</w:t>
      </w:r>
      <w:r>
        <w:rPr>
          <w:rFonts w:hint="eastAsia" w:ascii="宋体" w:hAnsi="宋体" w:cs="宋体"/>
          <w:b/>
          <w:bCs/>
          <w:sz w:val="24"/>
          <w:szCs w:val="24"/>
          <w:highlight w:val="white"/>
        </w:rPr>
        <w:t>无效标、废标、串通投标认定条款</w:t>
      </w:r>
    </w:p>
    <w:p>
      <w:pPr>
        <w:spacing w:line="360" w:lineRule="auto"/>
        <w:ind w:firstLine="422"/>
        <w:rPr>
          <w:rFonts w:ascii="宋体" w:hAnsi="宋体" w:cs="宋体"/>
          <w:b/>
          <w:sz w:val="24"/>
          <w:szCs w:val="24"/>
        </w:rPr>
      </w:pPr>
      <w:r>
        <w:rPr>
          <w:rFonts w:hint="eastAsia" w:ascii="宋体" w:hAnsi="宋体" w:cs="宋体"/>
          <w:b/>
          <w:sz w:val="24"/>
          <w:szCs w:val="24"/>
          <w:highlight w:val="white"/>
        </w:rPr>
        <w:t>6.3.3.1无效投标条款</w:t>
      </w:r>
    </w:p>
    <w:p>
      <w:pPr>
        <w:numPr>
          <w:ilvl w:val="0"/>
          <w:numId w:val="9"/>
        </w:numPr>
        <w:spacing w:line="360" w:lineRule="auto"/>
        <w:rPr>
          <w:rFonts w:ascii="宋体" w:hAnsi="宋体" w:cs="宋体"/>
          <w:sz w:val="24"/>
          <w:szCs w:val="24"/>
          <w:highlight w:val="white"/>
        </w:rPr>
      </w:pPr>
      <w:r>
        <w:rPr>
          <w:rFonts w:hint="eastAsia" w:ascii="宋体" w:hAnsi="宋体" w:cs="宋体"/>
          <w:sz w:val="24"/>
          <w:szCs w:val="24"/>
          <w:highlight w:val="white"/>
        </w:rPr>
        <w:t>投标人不符合招标文件规定资格要求的或未按规定提交资质证件的；</w:t>
      </w:r>
    </w:p>
    <w:p>
      <w:pPr>
        <w:numPr>
          <w:ilvl w:val="0"/>
          <w:numId w:val="9"/>
        </w:numPr>
        <w:spacing w:line="360" w:lineRule="auto"/>
        <w:rPr>
          <w:rFonts w:ascii="宋体" w:hAnsi="宋体" w:cs="宋体"/>
          <w:sz w:val="24"/>
          <w:szCs w:val="24"/>
        </w:rPr>
      </w:pPr>
      <w:r>
        <w:rPr>
          <w:rFonts w:hint="eastAsia" w:ascii="宋体" w:hAnsi="宋体" w:cs="宋体"/>
          <w:sz w:val="24"/>
          <w:szCs w:val="24"/>
          <w:highlight w:val="white"/>
        </w:rPr>
        <w:t>投标人在规定的时间未按要求提交投标保证金的；</w:t>
      </w:r>
    </w:p>
    <w:p>
      <w:pPr>
        <w:numPr>
          <w:ilvl w:val="0"/>
          <w:numId w:val="9"/>
        </w:numPr>
        <w:spacing w:line="360" w:lineRule="auto"/>
        <w:rPr>
          <w:rFonts w:ascii="宋体" w:hAnsi="宋体" w:cs="宋体"/>
          <w:sz w:val="24"/>
          <w:szCs w:val="24"/>
        </w:rPr>
      </w:pPr>
      <w:r>
        <w:rPr>
          <w:rFonts w:hint="eastAsia" w:ascii="宋体" w:hAnsi="宋体" w:cs="宋体"/>
          <w:sz w:val="24"/>
          <w:szCs w:val="24"/>
          <w:highlight w:val="white"/>
        </w:rPr>
        <w:t>投标文件签署、盖章不符合招标文件要求的；投标文件中的投标函未加盖投标人的印章及法定代表人签章的；或者在投标截止时间前未提供合法、有效的法定代表人法人资格证明及其居民身份证或其授权委托代理人的法人授权委托书及其居民身份证的；</w:t>
      </w:r>
    </w:p>
    <w:p>
      <w:pPr>
        <w:numPr>
          <w:ilvl w:val="0"/>
          <w:numId w:val="9"/>
        </w:numPr>
        <w:spacing w:line="360" w:lineRule="auto"/>
        <w:rPr>
          <w:rFonts w:ascii="宋体" w:hAnsi="宋体" w:cs="宋体"/>
          <w:sz w:val="24"/>
          <w:szCs w:val="24"/>
        </w:rPr>
      </w:pPr>
      <w:r>
        <w:rPr>
          <w:rFonts w:hint="eastAsia" w:ascii="宋体" w:hAnsi="宋体" w:cs="宋体"/>
          <w:sz w:val="24"/>
          <w:szCs w:val="24"/>
          <w:highlight w:val="white"/>
        </w:rPr>
        <w:t>未按招标文件要求提供投标文件，或者投标文件未能解密且按照招标文件明确的投标文件解密失败的补救方案补救不成功的；</w:t>
      </w:r>
    </w:p>
    <w:p>
      <w:pPr>
        <w:numPr>
          <w:ilvl w:val="0"/>
          <w:numId w:val="9"/>
        </w:numPr>
        <w:spacing w:line="360" w:lineRule="auto"/>
        <w:rPr>
          <w:rFonts w:ascii="宋体" w:hAnsi="宋体" w:cs="宋体"/>
          <w:sz w:val="24"/>
          <w:szCs w:val="24"/>
        </w:rPr>
      </w:pPr>
      <w:r>
        <w:rPr>
          <w:rFonts w:hint="eastAsia" w:ascii="宋体" w:hAnsi="宋体" w:cs="宋体"/>
          <w:sz w:val="24"/>
          <w:szCs w:val="24"/>
          <w:highlight w:val="white"/>
        </w:rPr>
        <w:t>投标文件出现重大偏差，未对招标文件进行实质性响应的；</w:t>
      </w:r>
    </w:p>
    <w:p>
      <w:pPr>
        <w:numPr>
          <w:ilvl w:val="0"/>
          <w:numId w:val="9"/>
        </w:numPr>
        <w:spacing w:line="360" w:lineRule="auto"/>
        <w:rPr>
          <w:rFonts w:ascii="宋体" w:hAnsi="宋体" w:cs="宋体"/>
          <w:sz w:val="24"/>
          <w:szCs w:val="24"/>
        </w:rPr>
      </w:pPr>
      <w:r>
        <w:rPr>
          <w:rFonts w:hint="eastAsia" w:ascii="宋体" w:hAnsi="宋体" w:cs="宋体"/>
          <w:sz w:val="24"/>
          <w:szCs w:val="24"/>
          <w:highlight w:val="white"/>
        </w:rPr>
        <w:t>投标人有本招标文件规定的恶意串通投标情形的；</w:t>
      </w:r>
    </w:p>
    <w:p>
      <w:pPr>
        <w:numPr>
          <w:ilvl w:val="0"/>
          <w:numId w:val="9"/>
        </w:numPr>
        <w:spacing w:line="360" w:lineRule="auto"/>
        <w:rPr>
          <w:rFonts w:ascii="宋体" w:hAnsi="宋体" w:cs="宋体"/>
          <w:sz w:val="24"/>
          <w:szCs w:val="24"/>
        </w:rPr>
      </w:pPr>
      <w:r>
        <w:rPr>
          <w:rFonts w:hint="eastAsia" w:ascii="宋体" w:hAnsi="宋体" w:cs="宋体"/>
          <w:sz w:val="24"/>
          <w:szCs w:val="24"/>
          <w:highlight w:val="white"/>
        </w:rPr>
        <w:t>法人代表（或被授权人）不参加开标会议及质询事宜的；</w:t>
      </w:r>
    </w:p>
    <w:p>
      <w:pPr>
        <w:numPr>
          <w:ilvl w:val="0"/>
          <w:numId w:val="9"/>
        </w:numPr>
        <w:spacing w:line="360" w:lineRule="auto"/>
        <w:rPr>
          <w:rFonts w:ascii="宋体" w:hAnsi="宋体" w:cs="宋体"/>
          <w:sz w:val="24"/>
          <w:szCs w:val="24"/>
        </w:rPr>
      </w:pPr>
      <w:r>
        <w:rPr>
          <w:rFonts w:hint="eastAsia" w:ascii="宋体" w:hAnsi="宋体" w:cs="宋体"/>
          <w:sz w:val="24"/>
          <w:szCs w:val="24"/>
          <w:highlight w:val="white"/>
        </w:rPr>
        <w:t>其它评标委员会认为有必要取消的投标；</w:t>
      </w:r>
    </w:p>
    <w:p>
      <w:pPr>
        <w:numPr>
          <w:ilvl w:val="0"/>
          <w:numId w:val="9"/>
        </w:numPr>
        <w:spacing w:line="360" w:lineRule="auto"/>
        <w:rPr>
          <w:rFonts w:ascii="宋体" w:hAnsi="宋体" w:cs="宋体"/>
          <w:sz w:val="24"/>
          <w:szCs w:val="24"/>
        </w:rPr>
      </w:pPr>
      <w:r>
        <w:rPr>
          <w:rFonts w:hint="eastAsia" w:ascii="宋体" w:hAnsi="宋体" w:cs="宋体"/>
          <w:sz w:val="24"/>
          <w:szCs w:val="24"/>
          <w:highlight w:val="white"/>
        </w:rPr>
        <w:t>法律、法规规定的其它情况。</w:t>
      </w:r>
    </w:p>
    <w:p>
      <w:pPr>
        <w:spacing w:line="360" w:lineRule="auto"/>
        <w:ind w:firstLine="422"/>
        <w:rPr>
          <w:rFonts w:ascii="宋体" w:hAnsi="宋体" w:cs="宋体"/>
          <w:b/>
          <w:sz w:val="24"/>
          <w:szCs w:val="24"/>
        </w:rPr>
      </w:pPr>
      <w:r>
        <w:rPr>
          <w:rFonts w:hint="eastAsia" w:ascii="宋体" w:hAnsi="宋体" w:cs="宋体"/>
          <w:b/>
          <w:sz w:val="24"/>
          <w:szCs w:val="24"/>
          <w:highlight w:val="white"/>
        </w:rPr>
        <w:t>6.3.3.2废标条款</w:t>
      </w:r>
    </w:p>
    <w:p>
      <w:pPr>
        <w:numPr>
          <w:ilvl w:val="0"/>
          <w:numId w:val="10"/>
        </w:numPr>
        <w:snapToGrid w:val="0"/>
        <w:spacing w:line="360" w:lineRule="auto"/>
        <w:rPr>
          <w:rFonts w:ascii="宋体" w:hAnsi="宋体" w:cs="宋体"/>
          <w:sz w:val="24"/>
          <w:szCs w:val="24"/>
          <w:highlight w:val="white"/>
        </w:rPr>
      </w:pPr>
      <w:r>
        <w:rPr>
          <w:rFonts w:hint="eastAsia" w:ascii="宋体" w:hAnsi="宋体" w:cs="宋体"/>
          <w:sz w:val="24"/>
          <w:szCs w:val="24"/>
          <w:highlight w:val="white"/>
        </w:rPr>
        <w:t>符合专业条件的供应商或者对招标文件作实质响应的供应商不足三家的；</w:t>
      </w:r>
    </w:p>
    <w:p>
      <w:pPr>
        <w:numPr>
          <w:ilvl w:val="0"/>
          <w:numId w:val="10"/>
        </w:numPr>
        <w:snapToGrid w:val="0"/>
        <w:spacing w:line="360" w:lineRule="auto"/>
        <w:rPr>
          <w:rFonts w:ascii="宋体" w:hAnsi="宋体" w:cs="宋体"/>
          <w:sz w:val="24"/>
          <w:szCs w:val="24"/>
        </w:rPr>
      </w:pPr>
      <w:r>
        <w:rPr>
          <w:rFonts w:hint="eastAsia" w:ascii="宋体" w:hAnsi="宋体" w:cs="宋体"/>
          <w:sz w:val="24"/>
          <w:szCs w:val="24"/>
          <w:highlight w:val="white"/>
        </w:rPr>
        <w:t>出现影响采购公正的违法、违规行为的；</w:t>
      </w:r>
    </w:p>
    <w:p>
      <w:pPr>
        <w:numPr>
          <w:ilvl w:val="0"/>
          <w:numId w:val="10"/>
        </w:numPr>
        <w:snapToGrid w:val="0"/>
        <w:spacing w:line="360" w:lineRule="auto"/>
        <w:rPr>
          <w:rFonts w:ascii="宋体" w:hAnsi="宋体" w:cs="宋体"/>
          <w:sz w:val="24"/>
          <w:szCs w:val="24"/>
        </w:rPr>
      </w:pPr>
      <w:r>
        <w:rPr>
          <w:rFonts w:hint="eastAsia" w:ascii="宋体" w:hAnsi="宋体" w:cs="宋体"/>
          <w:sz w:val="24"/>
          <w:szCs w:val="24"/>
          <w:highlight w:val="white"/>
        </w:rPr>
        <w:t>投标人的报价均超过了采购预算，且采购人不能支付的；</w:t>
      </w:r>
    </w:p>
    <w:p>
      <w:pPr>
        <w:numPr>
          <w:ilvl w:val="0"/>
          <w:numId w:val="10"/>
        </w:numPr>
        <w:snapToGrid w:val="0"/>
        <w:spacing w:line="360" w:lineRule="auto"/>
        <w:rPr>
          <w:rFonts w:ascii="宋体" w:hAnsi="宋体" w:cs="宋体"/>
          <w:sz w:val="24"/>
          <w:szCs w:val="24"/>
        </w:rPr>
      </w:pPr>
      <w:r>
        <w:rPr>
          <w:rFonts w:hint="eastAsia" w:ascii="宋体" w:hAnsi="宋体" w:cs="宋体"/>
          <w:sz w:val="24"/>
          <w:szCs w:val="24"/>
          <w:highlight w:val="white"/>
        </w:rPr>
        <w:t>因重大变故，采购任务取消的。</w:t>
      </w:r>
    </w:p>
    <w:p>
      <w:pPr>
        <w:spacing w:line="360" w:lineRule="auto"/>
        <w:ind w:firstLine="422"/>
        <w:rPr>
          <w:rFonts w:ascii="宋体" w:hAnsi="宋体" w:cs="宋体"/>
          <w:b/>
          <w:sz w:val="24"/>
          <w:szCs w:val="24"/>
        </w:rPr>
      </w:pPr>
      <w:r>
        <w:rPr>
          <w:rFonts w:hint="eastAsia" w:ascii="宋体" w:hAnsi="宋体" w:cs="宋体"/>
          <w:b/>
          <w:sz w:val="24"/>
          <w:szCs w:val="24"/>
          <w:highlight w:val="white"/>
        </w:rPr>
        <w:t>6.3.3.3取消中标候选人资格条款</w:t>
      </w:r>
    </w:p>
    <w:p>
      <w:pPr>
        <w:numPr>
          <w:ilvl w:val="0"/>
          <w:numId w:val="11"/>
        </w:numPr>
        <w:snapToGrid w:val="0"/>
        <w:spacing w:line="360" w:lineRule="auto"/>
        <w:rPr>
          <w:rFonts w:ascii="宋体" w:hAnsi="宋体" w:cs="宋体"/>
          <w:sz w:val="24"/>
          <w:szCs w:val="24"/>
          <w:highlight w:val="white"/>
        </w:rPr>
      </w:pPr>
      <w:r>
        <w:rPr>
          <w:rFonts w:hint="eastAsia" w:ascii="宋体" w:hAnsi="宋体" w:cs="宋体"/>
          <w:sz w:val="24"/>
          <w:szCs w:val="24"/>
          <w:highlight w:val="white"/>
        </w:rPr>
        <w:t>提供虚假材料谋取中标的；</w:t>
      </w:r>
    </w:p>
    <w:p>
      <w:pPr>
        <w:numPr>
          <w:ilvl w:val="0"/>
          <w:numId w:val="11"/>
        </w:numPr>
        <w:snapToGrid w:val="0"/>
        <w:spacing w:line="360" w:lineRule="auto"/>
        <w:rPr>
          <w:rFonts w:ascii="宋体" w:hAnsi="宋体" w:cs="宋体"/>
          <w:sz w:val="24"/>
          <w:szCs w:val="24"/>
        </w:rPr>
      </w:pPr>
      <w:r>
        <w:rPr>
          <w:rFonts w:hint="eastAsia" w:ascii="宋体" w:hAnsi="宋体" w:cs="宋体"/>
          <w:sz w:val="24"/>
          <w:szCs w:val="24"/>
          <w:highlight w:val="white"/>
        </w:rPr>
        <w:t>采取不正当手段诋毁、排挤其他投标人的；</w:t>
      </w:r>
    </w:p>
    <w:p>
      <w:pPr>
        <w:numPr>
          <w:ilvl w:val="0"/>
          <w:numId w:val="11"/>
        </w:numPr>
        <w:snapToGrid w:val="0"/>
        <w:spacing w:line="360" w:lineRule="auto"/>
        <w:rPr>
          <w:rFonts w:ascii="宋体" w:hAnsi="宋体" w:cs="宋体"/>
          <w:sz w:val="24"/>
          <w:szCs w:val="24"/>
        </w:rPr>
      </w:pPr>
      <w:r>
        <w:rPr>
          <w:rFonts w:hint="eastAsia" w:ascii="宋体" w:hAnsi="宋体" w:cs="宋体"/>
          <w:sz w:val="24"/>
          <w:szCs w:val="24"/>
          <w:highlight w:val="white"/>
        </w:rPr>
        <w:t>与采购人、其他投标人或者采购代理机构恶意串通的；</w:t>
      </w:r>
    </w:p>
    <w:p>
      <w:pPr>
        <w:numPr>
          <w:ilvl w:val="0"/>
          <w:numId w:val="11"/>
        </w:numPr>
        <w:snapToGrid w:val="0"/>
        <w:spacing w:line="360" w:lineRule="auto"/>
        <w:rPr>
          <w:rFonts w:ascii="宋体" w:hAnsi="宋体" w:cs="宋体"/>
          <w:sz w:val="24"/>
          <w:szCs w:val="24"/>
        </w:rPr>
      </w:pPr>
      <w:r>
        <w:rPr>
          <w:rFonts w:hint="eastAsia" w:ascii="宋体" w:hAnsi="宋体" w:cs="宋体"/>
          <w:sz w:val="24"/>
          <w:szCs w:val="24"/>
          <w:highlight w:val="white"/>
        </w:rPr>
        <w:t>向采购人、采购代理机构行贿或者提供其他不正当利益的；</w:t>
      </w:r>
    </w:p>
    <w:p>
      <w:pPr>
        <w:numPr>
          <w:ilvl w:val="0"/>
          <w:numId w:val="11"/>
        </w:numPr>
        <w:snapToGrid w:val="0"/>
        <w:spacing w:line="360" w:lineRule="auto"/>
        <w:rPr>
          <w:rFonts w:ascii="宋体" w:hAnsi="宋体" w:cs="宋体"/>
          <w:sz w:val="24"/>
          <w:szCs w:val="24"/>
        </w:rPr>
      </w:pPr>
      <w:r>
        <w:rPr>
          <w:rFonts w:hint="eastAsia" w:ascii="宋体" w:hAnsi="宋体" w:cs="宋体"/>
          <w:sz w:val="24"/>
          <w:szCs w:val="24"/>
          <w:highlight w:val="white"/>
        </w:rPr>
        <w:t>未在规定时间内与采购人签订采购合同的；</w:t>
      </w:r>
    </w:p>
    <w:p>
      <w:pPr>
        <w:numPr>
          <w:ilvl w:val="0"/>
          <w:numId w:val="11"/>
        </w:numPr>
        <w:snapToGrid w:val="0"/>
        <w:spacing w:line="360" w:lineRule="auto"/>
        <w:rPr>
          <w:rFonts w:ascii="宋体" w:hAnsi="宋体" w:cs="宋体"/>
          <w:sz w:val="24"/>
          <w:szCs w:val="24"/>
        </w:rPr>
      </w:pPr>
      <w:r>
        <w:rPr>
          <w:rFonts w:hint="eastAsia" w:ascii="宋体" w:hAnsi="宋体" w:cs="宋体"/>
          <w:sz w:val="24"/>
          <w:szCs w:val="24"/>
          <w:highlight w:val="white"/>
        </w:rPr>
        <w:t>法律、法规规定的其它情况。</w:t>
      </w:r>
    </w:p>
    <w:p>
      <w:pPr>
        <w:spacing w:line="360" w:lineRule="auto"/>
        <w:ind w:firstLine="422"/>
        <w:rPr>
          <w:rFonts w:ascii="宋体" w:hAnsi="宋体" w:cs="宋体"/>
          <w:b/>
          <w:sz w:val="24"/>
          <w:szCs w:val="24"/>
        </w:rPr>
      </w:pPr>
      <w:r>
        <w:rPr>
          <w:rFonts w:hint="eastAsia" w:ascii="宋体" w:hAnsi="宋体" w:cs="宋体"/>
          <w:b/>
          <w:sz w:val="24"/>
          <w:szCs w:val="24"/>
          <w:highlight w:val="white"/>
        </w:rPr>
        <w:t>6.3.3.4恶意串通投标的情形</w:t>
      </w:r>
    </w:p>
    <w:p>
      <w:pPr>
        <w:snapToGrid w:val="0"/>
        <w:spacing w:line="360" w:lineRule="auto"/>
        <w:rPr>
          <w:rFonts w:ascii="宋体" w:hAnsi="宋体" w:cs="宋体"/>
          <w:sz w:val="24"/>
          <w:szCs w:val="24"/>
        </w:rPr>
      </w:pPr>
      <w:r>
        <w:rPr>
          <w:rFonts w:hint="eastAsia" w:ascii="宋体" w:hAnsi="宋体" w:cs="宋体"/>
          <w:sz w:val="24"/>
          <w:szCs w:val="24"/>
          <w:highlight w:val="white"/>
        </w:rPr>
        <w:t>（1）供应商直接或间接从采购人或采购代理机构处获得其他供应商的投标情况，并修改其投标文件；</w:t>
      </w:r>
    </w:p>
    <w:p>
      <w:pPr>
        <w:snapToGrid w:val="0"/>
        <w:spacing w:line="360" w:lineRule="auto"/>
        <w:rPr>
          <w:rFonts w:ascii="宋体" w:hAnsi="宋体" w:cs="宋体"/>
          <w:sz w:val="24"/>
          <w:szCs w:val="24"/>
        </w:rPr>
      </w:pPr>
      <w:r>
        <w:rPr>
          <w:rFonts w:hint="eastAsia" w:ascii="宋体" w:hAnsi="宋体" w:cs="宋体"/>
          <w:sz w:val="24"/>
          <w:szCs w:val="24"/>
          <w:highlight w:val="white"/>
        </w:rPr>
        <w:t>（2）评审活动开始前供应商直接或间接从采购人或采购代理机构处获得评标委员会组成人员情况；</w:t>
      </w:r>
    </w:p>
    <w:p>
      <w:pPr>
        <w:snapToGrid w:val="0"/>
        <w:spacing w:line="360" w:lineRule="auto"/>
        <w:rPr>
          <w:rFonts w:ascii="宋体" w:hAnsi="宋体" w:cs="宋体"/>
          <w:sz w:val="24"/>
          <w:szCs w:val="24"/>
        </w:rPr>
      </w:pPr>
      <w:r>
        <w:rPr>
          <w:rFonts w:hint="eastAsia" w:ascii="宋体" w:hAnsi="宋体" w:cs="宋体"/>
          <w:sz w:val="24"/>
          <w:szCs w:val="24"/>
          <w:highlight w:val="white"/>
        </w:rPr>
        <w:t>（3）供应商接受采购人或采购代理机构授意撤换、修改投标文件；</w:t>
      </w:r>
    </w:p>
    <w:p>
      <w:pPr>
        <w:snapToGrid w:val="0"/>
        <w:spacing w:line="360" w:lineRule="auto"/>
        <w:rPr>
          <w:rFonts w:ascii="宋体" w:hAnsi="宋体" w:cs="宋体"/>
          <w:sz w:val="24"/>
          <w:szCs w:val="24"/>
        </w:rPr>
      </w:pPr>
      <w:r>
        <w:rPr>
          <w:rFonts w:hint="eastAsia" w:ascii="宋体" w:hAnsi="宋体" w:cs="宋体"/>
          <w:sz w:val="24"/>
          <w:szCs w:val="24"/>
          <w:highlight w:val="white"/>
        </w:rPr>
        <w:t>（4）供应商之间协商投标报价、技术方案等投标文件实质性内容；</w:t>
      </w:r>
    </w:p>
    <w:p>
      <w:pPr>
        <w:snapToGrid w:val="0"/>
        <w:spacing w:line="360" w:lineRule="auto"/>
        <w:rPr>
          <w:rFonts w:ascii="宋体" w:hAnsi="宋体" w:cs="宋体"/>
          <w:sz w:val="24"/>
          <w:szCs w:val="24"/>
        </w:rPr>
      </w:pPr>
      <w:r>
        <w:rPr>
          <w:rFonts w:hint="eastAsia" w:ascii="宋体" w:hAnsi="宋体" w:cs="宋体"/>
          <w:sz w:val="24"/>
          <w:szCs w:val="24"/>
          <w:highlight w:val="white"/>
        </w:rPr>
        <w:t>（5）属于同一集团、协会、商会等组织成员的供应商按照该组织要求协同投标；</w:t>
      </w:r>
    </w:p>
    <w:p>
      <w:pPr>
        <w:snapToGrid w:val="0"/>
        <w:spacing w:line="360" w:lineRule="auto"/>
        <w:rPr>
          <w:rFonts w:ascii="宋体" w:hAnsi="宋体" w:cs="宋体"/>
          <w:sz w:val="24"/>
          <w:szCs w:val="24"/>
        </w:rPr>
      </w:pPr>
      <w:r>
        <w:rPr>
          <w:rFonts w:hint="eastAsia" w:ascii="宋体" w:hAnsi="宋体" w:cs="宋体"/>
          <w:sz w:val="24"/>
          <w:szCs w:val="24"/>
          <w:highlight w:val="white"/>
        </w:rPr>
        <w:t>（6）供应商之间事先约定由某一特定供应商中标、成交；</w:t>
      </w:r>
    </w:p>
    <w:p>
      <w:pPr>
        <w:snapToGrid w:val="0"/>
        <w:spacing w:line="360" w:lineRule="auto"/>
        <w:rPr>
          <w:rFonts w:ascii="宋体" w:hAnsi="宋体" w:cs="宋体"/>
          <w:sz w:val="24"/>
          <w:szCs w:val="24"/>
        </w:rPr>
      </w:pPr>
      <w:r>
        <w:rPr>
          <w:rFonts w:hint="eastAsia" w:ascii="宋体" w:hAnsi="宋体" w:cs="宋体"/>
          <w:sz w:val="24"/>
          <w:szCs w:val="24"/>
          <w:highlight w:val="white"/>
        </w:rPr>
        <w:t>（7）供应商之间商定部分供应商放弃投标或者放弃中标、成交；</w:t>
      </w:r>
    </w:p>
    <w:p>
      <w:pPr>
        <w:snapToGrid w:val="0"/>
        <w:spacing w:line="360" w:lineRule="auto"/>
        <w:rPr>
          <w:rFonts w:ascii="宋体" w:hAnsi="宋体" w:cs="宋体"/>
          <w:sz w:val="24"/>
          <w:szCs w:val="24"/>
        </w:rPr>
      </w:pPr>
      <w:r>
        <w:rPr>
          <w:rFonts w:hint="eastAsia" w:ascii="宋体" w:hAnsi="宋体" w:cs="宋体"/>
          <w:sz w:val="24"/>
          <w:szCs w:val="24"/>
          <w:highlight w:val="white"/>
        </w:rPr>
        <w:t>（8）供应商与采购人或采购代理机构之间、供应商相互之间为谋求特定供应商中标成交或者排斥其他供应商的其他串通行为；</w:t>
      </w:r>
    </w:p>
    <w:p>
      <w:pPr>
        <w:snapToGrid w:val="0"/>
        <w:spacing w:line="360" w:lineRule="auto"/>
        <w:rPr>
          <w:rFonts w:ascii="宋体" w:hAnsi="宋体" w:cs="宋体"/>
          <w:sz w:val="24"/>
          <w:szCs w:val="24"/>
        </w:rPr>
      </w:pPr>
      <w:r>
        <w:rPr>
          <w:rFonts w:hint="eastAsia" w:ascii="宋体" w:hAnsi="宋体" w:cs="宋体"/>
          <w:sz w:val="24"/>
          <w:szCs w:val="24"/>
          <w:highlight w:val="white"/>
        </w:rPr>
        <w:t>（9）不同投标人的投标文件由同一单位或者个人编制；</w:t>
      </w:r>
    </w:p>
    <w:p>
      <w:pPr>
        <w:snapToGrid w:val="0"/>
        <w:spacing w:line="360" w:lineRule="auto"/>
        <w:rPr>
          <w:rFonts w:ascii="宋体" w:hAnsi="宋体" w:cs="宋体"/>
          <w:sz w:val="24"/>
          <w:szCs w:val="24"/>
        </w:rPr>
      </w:pPr>
      <w:r>
        <w:rPr>
          <w:rFonts w:hint="eastAsia" w:ascii="宋体" w:hAnsi="宋体" w:cs="宋体"/>
          <w:sz w:val="24"/>
          <w:szCs w:val="24"/>
          <w:highlight w:val="white"/>
        </w:rPr>
        <w:t>（10）不同投标人委托同一单位或者个人办理投标事宜；</w:t>
      </w:r>
    </w:p>
    <w:p>
      <w:pPr>
        <w:snapToGrid w:val="0"/>
        <w:spacing w:line="360" w:lineRule="auto"/>
        <w:rPr>
          <w:rFonts w:ascii="宋体" w:hAnsi="宋体" w:cs="宋体"/>
          <w:sz w:val="24"/>
          <w:szCs w:val="24"/>
        </w:rPr>
      </w:pPr>
      <w:r>
        <w:rPr>
          <w:rFonts w:hint="eastAsia" w:ascii="宋体" w:hAnsi="宋体" w:cs="宋体"/>
          <w:sz w:val="24"/>
          <w:szCs w:val="24"/>
          <w:highlight w:val="white"/>
        </w:rPr>
        <w:t>（11）不同投标人的投标文件载明的项目管理成员为同一人；</w:t>
      </w:r>
    </w:p>
    <w:p>
      <w:pPr>
        <w:snapToGrid w:val="0"/>
        <w:spacing w:line="360" w:lineRule="auto"/>
        <w:rPr>
          <w:rFonts w:ascii="宋体" w:hAnsi="宋体" w:cs="宋体"/>
          <w:sz w:val="24"/>
          <w:szCs w:val="24"/>
        </w:rPr>
      </w:pPr>
      <w:r>
        <w:rPr>
          <w:rFonts w:hint="eastAsia" w:ascii="宋体" w:hAnsi="宋体" w:cs="宋体"/>
          <w:sz w:val="24"/>
          <w:szCs w:val="24"/>
          <w:highlight w:val="white"/>
        </w:rPr>
        <w:t>（12）不同投标人的投标文件异常一致或者投标报价呈规律性差异；</w:t>
      </w:r>
    </w:p>
    <w:p>
      <w:pPr>
        <w:snapToGrid w:val="0"/>
        <w:spacing w:line="360" w:lineRule="auto"/>
        <w:rPr>
          <w:sz w:val="24"/>
          <w:szCs w:val="24"/>
        </w:rPr>
      </w:pPr>
      <w:r>
        <w:rPr>
          <w:rFonts w:hint="eastAsia" w:ascii="宋体" w:hAnsi="宋体" w:cs="宋体"/>
          <w:sz w:val="24"/>
          <w:szCs w:val="24"/>
          <w:highlight w:val="white"/>
        </w:rPr>
        <w:t>（13）不同投标人的投标文件相互混装；</w:t>
      </w:r>
    </w:p>
    <w:p>
      <w:pPr>
        <w:pStyle w:val="4"/>
        <w:snapToGrid w:val="0"/>
        <w:spacing w:before="0" w:after="0" w:line="360" w:lineRule="auto"/>
        <w:rPr>
          <w:rFonts w:ascii="宋体" w:hAnsi="宋体" w:cs="宋体"/>
        </w:rPr>
      </w:pPr>
      <w:bookmarkStart w:id="89" w:name="_Toc3492"/>
      <w:bookmarkStart w:id="90" w:name="_Toc25285"/>
      <w:bookmarkStart w:id="91" w:name="_Toc10225"/>
      <w:bookmarkStart w:id="92" w:name="_Toc13674"/>
      <w:bookmarkStart w:id="93" w:name="_Toc40699926"/>
      <w:bookmarkStart w:id="94" w:name="_Toc22427"/>
      <w:bookmarkStart w:id="95" w:name="_Toc27539"/>
      <w:r>
        <w:rPr>
          <w:rFonts w:hint="eastAsia" w:ascii="宋体" w:hAnsi="宋体" w:cs="宋体"/>
        </w:rPr>
        <w:t>7.合同授予</w:t>
      </w:r>
      <w:bookmarkEnd w:id="89"/>
      <w:bookmarkEnd w:id="90"/>
      <w:bookmarkEnd w:id="91"/>
      <w:bookmarkEnd w:id="92"/>
      <w:bookmarkEnd w:id="93"/>
      <w:bookmarkEnd w:id="94"/>
      <w:bookmarkEnd w:id="95"/>
    </w:p>
    <w:p>
      <w:pPr>
        <w:snapToGrid w:val="0"/>
        <w:spacing w:line="360" w:lineRule="auto"/>
        <w:rPr>
          <w:rFonts w:ascii="宋体" w:hAnsi="宋体" w:cs="宋体"/>
          <w:kern w:val="0"/>
          <w:sz w:val="24"/>
          <w:szCs w:val="24"/>
        </w:rPr>
      </w:pPr>
      <w:bookmarkStart w:id="96" w:name="_Toc17614"/>
      <w:bookmarkStart w:id="97" w:name="_Toc443"/>
      <w:r>
        <w:rPr>
          <w:rFonts w:hint="eastAsia" w:ascii="宋体" w:hAnsi="宋体" w:cs="宋体"/>
          <w:kern w:val="0"/>
          <w:sz w:val="24"/>
          <w:szCs w:val="24"/>
        </w:rPr>
        <w:t>7.1中标候选人公示</w:t>
      </w:r>
      <w:bookmarkEnd w:id="96"/>
      <w:bookmarkEnd w:id="97"/>
    </w:p>
    <w:p>
      <w:pPr>
        <w:snapToGrid w:val="0"/>
        <w:spacing w:line="360" w:lineRule="auto"/>
        <w:rPr>
          <w:rFonts w:ascii="宋体" w:hAnsi="宋体" w:cs="宋体"/>
          <w:kern w:val="0"/>
          <w:sz w:val="24"/>
          <w:szCs w:val="24"/>
        </w:rPr>
      </w:pPr>
      <w:r>
        <w:rPr>
          <w:rFonts w:hint="eastAsia" w:ascii="宋体" w:hAnsi="宋体" w:cs="宋体"/>
          <w:kern w:val="0"/>
          <w:sz w:val="24"/>
          <w:szCs w:val="24"/>
        </w:rPr>
        <w:t>招标人在收到评标报告后，按照投标人须知前附表规定的公示媒介和期限公示中标候选人，公示期</w:t>
      </w:r>
      <w:r>
        <w:rPr>
          <w:rFonts w:hint="eastAsia" w:ascii="宋体" w:hAnsi="宋体" w:cs="宋体"/>
          <w:kern w:val="0"/>
          <w:sz w:val="24"/>
          <w:szCs w:val="24"/>
          <w:lang w:val="en-US" w:eastAsia="zh-CN"/>
        </w:rPr>
        <w:t>1</w:t>
      </w:r>
      <w:r>
        <w:rPr>
          <w:rFonts w:hint="eastAsia" w:ascii="宋体" w:hAnsi="宋体" w:cs="宋体"/>
          <w:kern w:val="0"/>
          <w:sz w:val="24"/>
          <w:szCs w:val="24"/>
        </w:rPr>
        <w:t>个工作日。</w:t>
      </w:r>
    </w:p>
    <w:p>
      <w:pPr>
        <w:snapToGrid w:val="0"/>
        <w:spacing w:line="360" w:lineRule="auto"/>
        <w:rPr>
          <w:rFonts w:ascii="宋体" w:hAnsi="宋体" w:cs="宋体"/>
          <w:kern w:val="0"/>
          <w:sz w:val="24"/>
          <w:szCs w:val="24"/>
        </w:rPr>
      </w:pPr>
      <w:bookmarkStart w:id="98" w:name="_Toc23256"/>
      <w:bookmarkStart w:id="99" w:name="_Toc1530"/>
      <w:r>
        <w:rPr>
          <w:rFonts w:hint="eastAsia" w:ascii="宋体" w:hAnsi="宋体" w:cs="宋体"/>
          <w:kern w:val="0"/>
          <w:sz w:val="24"/>
          <w:szCs w:val="24"/>
        </w:rPr>
        <w:t>7.2评标结果异议</w:t>
      </w:r>
      <w:bookmarkEnd w:id="98"/>
      <w:bookmarkEnd w:id="99"/>
    </w:p>
    <w:p>
      <w:pPr>
        <w:snapToGrid w:val="0"/>
        <w:spacing w:line="360" w:lineRule="auto"/>
        <w:rPr>
          <w:rFonts w:ascii="宋体" w:hAnsi="宋体" w:cs="宋体"/>
          <w:kern w:val="0"/>
          <w:sz w:val="24"/>
          <w:szCs w:val="24"/>
        </w:rPr>
      </w:pPr>
      <w:r>
        <w:rPr>
          <w:rFonts w:hint="eastAsia" w:ascii="宋体" w:hAnsi="宋体" w:cs="宋体"/>
          <w:kern w:val="0"/>
          <w:sz w:val="24"/>
          <w:szCs w:val="24"/>
        </w:rPr>
        <w:t>投标人或者其他利害关系人对评标结果有异议的，应当在中标候选人公示期间提出。招标人将在收到异议之日起 3 日内作出答复；作出答复前，将暂停招标投标活动。</w:t>
      </w:r>
    </w:p>
    <w:p>
      <w:pPr>
        <w:snapToGrid w:val="0"/>
        <w:spacing w:line="360" w:lineRule="auto"/>
        <w:rPr>
          <w:rFonts w:ascii="宋体" w:hAnsi="宋体" w:cs="宋体"/>
          <w:kern w:val="0"/>
          <w:sz w:val="24"/>
          <w:szCs w:val="24"/>
        </w:rPr>
      </w:pPr>
      <w:bookmarkStart w:id="100" w:name="_Toc6962"/>
      <w:bookmarkStart w:id="101" w:name="_Toc22097"/>
      <w:r>
        <w:rPr>
          <w:rFonts w:hint="eastAsia" w:ascii="宋体" w:hAnsi="宋体" w:cs="宋体"/>
          <w:kern w:val="0"/>
          <w:sz w:val="24"/>
          <w:szCs w:val="24"/>
        </w:rPr>
        <w:t>7.3中标候选人履约能力审查</w:t>
      </w:r>
      <w:bookmarkEnd w:id="100"/>
      <w:bookmarkEnd w:id="101"/>
    </w:p>
    <w:p>
      <w:pPr>
        <w:snapToGrid w:val="0"/>
        <w:spacing w:line="360" w:lineRule="auto"/>
        <w:rPr>
          <w:rFonts w:ascii="宋体" w:hAnsi="宋体" w:cs="宋体"/>
          <w:kern w:val="0"/>
          <w:sz w:val="24"/>
          <w:szCs w:val="24"/>
        </w:rPr>
      </w:pPr>
      <w:r>
        <w:rPr>
          <w:rFonts w:hint="eastAsia" w:ascii="宋体" w:hAnsi="宋体" w:cs="宋体"/>
          <w:kern w:val="0"/>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snapToGrid w:val="0"/>
        <w:spacing w:line="360" w:lineRule="auto"/>
        <w:rPr>
          <w:rFonts w:ascii="宋体" w:hAnsi="宋体" w:cs="宋体"/>
          <w:kern w:val="0"/>
          <w:sz w:val="24"/>
          <w:szCs w:val="24"/>
        </w:rPr>
      </w:pPr>
      <w:bookmarkStart w:id="102" w:name="_Toc28160"/>
      <w:bookmarkStart w:id="103" w:name="_Toc31335"/>
      <w:r>
        <w:rPr>
          <w:rFonts w:hint="eastAsia" w:ascii="宋体" w:hAnsi="宋体" w:cs="宋体"/>
          <w:kern w:val="0"/>
          <w:sz w:val="24"/>
          <w:szCs w:val="24"/>
        </w:rPr>
        <w:t>7.4定标</w:t>
      </w:r>
      <w:bookmarkEnd w:id="102"/>
      <w:bookmarkEnd w:id="103"/>
    </w:p>
    <w:p>
      <w:pPr>
        <w:snapToGrid w:val="0"/>
        <w:spacing w:line="360" w:lineRule="auto"/>
        <w:rPr>
          <w:rFonts w:ascii="宋体" w:hAnsi="宋体" w:cs="宋体"/>
          <w:kern w:val="0"/>
          <w:sz w:val="24"/>
          <w:szCs w:val="24"/>
        </w:rPr>
      </w:pPr>
      <w:r>
        <w:rPr>
          <w:rFonts w:hint="eastAsia" w:ascii="宋体" w:hAnsi="宋体" w:cs="宋体"/>
          <w:kern w:val="0"/>
          <w:sz w:val="24"/>
          <w:szCs w:val="24"/>
        </w:rPr>
        <w:t>按照投标人须知前附表的规定，招标人或招标人授权的评标委员会依法确定中标人。</w:t>
      </w:r>
    </w:p>
    <w:p>
      <w:pPr>
        <w:snapToGrid w:val="0"/>
        <w:spacing w:line="360" w:lineRule="auto"/>
        <w:rPr>
          <w:rFonts w:ascii="宋体" w:hAnsi="宋体" w:cs="宋体"/>
          <w:kern w:val="0"/>
          <w:sz w:val="24"/>
          <w:szCs w:val="24"/>
        </w:rPr>
      </w:pPr>
      <w:bookmarkStart w:id="104" w:name="_Toc5423"/>
      <w:bookmarkStart w:id="105" w:name="_Toc7363"/>
      <w:r>
        <w:rPr>
          <w:rFonts w:hint="eastAsia" w:ascii="宋体" w:hAnsi="宋体" w:cs="宋体"/>
          <w:kern w:val="0"/>
          <w:sz w:val="24"/>
          <w:szCs w:val="24"/>
        </w:rPr>
        <w:t>7.5中标通知</w:t>
      </w:r>
      <w:bookmarkEnd w:id="104"/>
      <w:bookmarkEnd w:id="105"/>
    </w:p>
    <w:p>
      <w:pPr>
        <w:snapToGrid w:val="0"/>
        <w:spacing w:line="360" w:lineRule="auto"/>
        <w:rPr>
          <w:rFonts w:ascii="宋体" w:hAnsi="宋体" w:cs="宋体"/>
          <w:kern w:val="0"/>
          <w:sz w:val="24"/>
          <w:szCs w:val="24"/>
        </w:rPr>
      </w:pPr>
      <w:r>
        <w:rPr>
          <w:rFonts w:hint="eastAsia" w:ascii="宋体" w:hAnsi="宋体" w:cs="宋体"/>
          <w:kern w:val="0"/>
          <w:sz w:val="24"/>
          <w:szCs w:val="24"/>
        </w:rPr>
        <w:t>在本章第3.3款规定的投标有效期内，招标人以书面形式向中标人发出中标通知书，同时将中标结果通知未中标的投标人。</w:t>
      </w:r>
    </w:p>
    <w:p>
      <w:pPr>
        <w:snapToGrid w:val="0"/>
        <w:spacing w:line="360" w:lineRule="auto"/>
        <w:rPr>
          <w:sz w:val="24"/>
          <w:szCs w:val="24"/>
        </w:rPr>
      </w:pPr>
      <w:bookmarkStart w:id="106" w:name="_Toc24577"/>
      <w:bookmarkStart w:id="107" w:name="_Toc28488"/>
      <w:r>
        <w:rPr>
          <w:rFonts w:hint="eastAsia" w:ascii="宋体" w:hAnsi="宋体" w:cs="宋体"/>
          <w:kern w:val="0"/>
          <w:sz w:val="24"/>
          <w:szCs w:val="24"/>
        </w:rPr>
        <w:t>7.6履约保证金</w:t>
      </w:r>
      <w:bookmarkEnd w:id="106"/>
      <w:bookmarkEnd w:id="107"/>
    </w:p>
    <w:p>
      <w:pPr>
        <w:snapToGrid w:val="0"/>
        <w:spacing w:line="360" w:lineRule="auto"/>
        <w:rPr>
          <w:rFonts w:ascii="宋体" w:hAnsi="宋体" w:cs="宋体"/>
          <w:b/>
          <w:bCs/>
          <w:kern w:val="0"/>
          <w:sz w:val="24"/>
          <w:szCs w:val="24"/>
        </w:rPr>
      </w:pPr>
      <w:r>
        <w:rPr>
          <w:rFonts w:hint="eastAsia" w:ascii="宋体" w:hAnsi="宋体" w:cs="宋体"/>
          <w:kern w:val="0"/>
          <w:sz w:val="24"/>
          <w:szCs w:val="24"/>
        </w:rPr>
        <w:t>7.6.1中标人应于中标后3个工作日内，在与采购人签订合同前，按投标人须知前附表规定的形式、金额向招标人提交履约保证金。除投标人须知前附表另有规定外，</w:t>
      </w:r>
      <w:r>
        <w:rPr>
          <w:rFonts w:hint="eastAsia" w:ascii="宋体" w:hAnsi="宋体" w:cs="宋体"/>
          <w:b/>
          <w:bCs/>
          <w:kern w:val="0"/>
          <w:sz w:val="24"/>
          <w:szCs w:val="24"/>
        </w:rPr>
        <w:t>履约保证金为</w:t>
      </w:r>
      <w:r>
        <w:rPr>
          <w:rFonts w:hint="eastAsia" w:hAnsi="宋体"/>
          <w:sz w:val="24"/>
          <w:szCs w:val="24"/>
          <w:u w:val="single"/>
        </w:rPr>
        <w:t>合同价10%</w:t>
      </w:r>
      <w:r>
        <w:rPr>
          <w:rFonts w:hint="eastAsia" w:ascii="宋体" w:hAnsi="宋体" w:cs="宋体"/>
          <w:b/>
          <w:bCs/>
          <w:kern w:val="0"/>
          <w:sz w:val="24"/>
          <w:szCs w:val="24"/>
        </w:rPr>
        <w:t>。</w:t>
      </w:r>
    </w:p>
    <w:p>
      <w:pPr>
        <w:snapToGrid w:val="0"/>
        <w:spacing w:line="360" w:lineRule="auto"/>
        <w:rPr>
          <w:rFonts w:ascii="宋体" w:hAnsi="宋体" w:cs="宋体"/>
          <w:kern w:val="0"/>
          <w:sz w:val="24"/>
          <w:szCs w:val="24"/>
        </w:rPr>
      </w:pPr>
      <w:r>
        <w:rPr>
          <w:rFonts w:hint="eastAsia" w:ascii="宋体" w:hAnsi="宋体" w:cs="宋体"/>
          <w:kern w:val="0"/>
          <w:sz w:val="24"/>
          <w:szCs w:val="24"/>
        </w:rPr>
        <w:t>7.6.2中标人不能按本章第7.6.1项要求提交履约保证金的，视为放弃中标，其投标保证金不予退还，给招标人造成的损失超过投标保证金数额的，中标人还应当对超过部分予以赔偿。</w:t>
      </w:r>
    </w:p>
    <w:p>
      <w:pPr>
        <w:snapToGrid w:val="0"/>
        <w:spacing w:line="360" w:lineRule="auto"/>
        <w:rPr>
          <w:sz w:val="24"/>
          <w:szCs w:val="24"/>
        </w:rPr>
      </w:pPr>
      <w:r>
        <w:rPr>
          <w:rFonts w:hint="eastAsia" w:ascii="宋体" w:hAnsi="宋体" w:cs="宋体"/>
          <w:kern w:val="0"/>
          <w:sz w:val="24"/>
          <w:szCs w:val="24"/>
        </w:rPr>
        <w:t>7.6.3项目完成验收后，中标人凭采购人出具的验收报告、履约保证金收据办理退付履约保证金手续，履约保证金将无息退回至中标人法人账户中。</w:t>
      </w:r>
    </w:p>
    <w:p>
      <w:pPr>
        <w:snapToGrid w:val="0"/>
        <w:spacing w:line="360" w:lineRule="auto"/>
        <w:rPr>
          <w:rFonts w:ascii="宋体" w:hAnsi="宋体" w:cs="宋体"/>
          <w:kern w:val="0"/>
          <w:sz w:val="24"/>
          <w:szCs w:val="24"/>
        </w:rPr>
      </w:pPr>
      <w:bookmarkStart w:id="108" w:name="_Toc9918"/>
      <w:r>
        <w:rPr>
          <w:rFonts w:hint="eastAsia" w:ascii="宋体" w:hAnsi="宋体" w:cs="宋体"/>
          <w:kern w:val="0"/>
          <w:sz w:val="24"/>
          <w:szCs w:val="24"/>
        </w:rPr>
        <w:t>7.7签订合同</w:t>
      </w:r>
      <w:bookmarkEnd w:id="108"/>
    </w:p>
    <w:p>
      <w:pPr>
        <w:snapToGrid w:val="0"/>
        <w:spacing w:line="360" w:lineRule="auto"/>
        <w:rPr>
          <w:rFonts w:ascii="宋体" w:hAnsi="宋体" w:cs="宋体"/>
          <w:kern w:val="0"/>
          <w:sz w:val="24"/>
          <w:szCs w:val="24"/>
        </w:rPr>
      </w:pPr>
      <w:r>
        <w:rPr>
          <w:rFonts w:hint="eastAsia" w:ascii="宋体" w:hAnsi="宋体" w:cs="宋体"/>
          <w:kern w:val="0"/>
          <w:sz w:val="24"/>
          <w:szCs w:val="24"/>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napToGrid w:val="0"/>
        <w:spacing w:line="360" w:lineRule="auto"/>
        <w:rPr>
          <w:rFonts w:ascii="宋体" w:hAnsi="宋体" w:cs="宋体"/>
          <w:kern w:val="0"/>
          <w:sz w:val="24"/>
          <w:szCs w:val="24"/>
        </w:rPr>
      </w:pPr>
      <w:r>
        <w:rPr>
          <w:rFonts w:hint="eastAsia" w:ascii="宋体" w:hAnsi="宋体" w:cs="宋体"/>
          <w:kern w:val="0"/>
          <w:sz w:val="24"/>
          <w:szCs w:val="24"/>
        </w:rPr>
        <w:t>7.7.2发出中标通知书后，招标人无正当理由拒签合同，或者在签订合同时向中标人提出附加条件的，招标人向中标人退还投标保证金；给中标人造成损失的，还应当赔偿损失。</w:t>
      </w:r>
    </w:p>
    <w:p>
      <w:pPr>
        <w:snapToGrid w:val="0"/>
        <w:spacing w:line="360" w:lineRule="auto"/>
        <w:rPr>
          <w:rFonts w:ascii="宋体" w:hAnsi="宋体" w:cs="宋体"/>
          <w:kern w:val="0"/>
          <w:sz w:val="24"/>
          <w:szCs w:val="24"/>
        </w:rPr>
      </w:pPr>
      <w:r>
        <w:rPr>
          <w:rFonts w:hint="eastAsia" w:ascii="宋体" w:hAnsi="宋体" w:cs="宋体"/>
          <w:kern w:val="0"/>
          <w:sz w:val="24"/>
          <w:szCs w:val="24"/>
        </w:rPr>
        <w:t>7.7.3联合体中标的，联合体各方应当共同与招标人签订合同，就中标项目向招标人承担连带责任。</w:t>
      </w:r>
    </w:p>
    <w:p>
      <w:pPr>
        <w:pStyle w:val="4"/>
        <w:snapToGrid w:val="0"/>
        <w:spacing w:before="0" w:after="0" w:line="360" w:lineRule="auto"/>
        <w:rPr>
          <w:rFonts w:ascii="宋体" w:hAnsi="宋体" w:cs="宋体"/>
        </w:rPr>
      </w:pPr>
      <w:bookmarkStart w:id="109" w:name="_Toc40699927"/>
      <w:bookmarkStart w:id="110" w:name="_Toc15957"/>
      <w:bookmarkStart w:id="111" w:name="_Toc12889"/>
      <w:bookmarkStart w:id="112" w:name="_Toc26734"/>
      <w:bookmarkStart w:id="113" w:name="_Toc17066"/>
      <w:bookmarkStart w:id="114" w:name="_Toc21186"/>
      <w:bookmarkStart w:id="115" w:name="_Toc20749"/>
      <w:r>
        <w:rPr>
          <w:rFonts w:hint="eastAsia" w:ascii="宋体" w:hAnsi="宋体" w:cs="宋体"/>
        </w:rPr>
        <w:t>8.纪律和监督</w:t>
      </w:r>
      <w:bookmarkEnd w:id="109"/>
      <w:bookmarkEnd w:id="110"/>
      <w:bookmarkEnd w:id="111"/>
      <w:bookmarkEnd w:id="112"/>
      <w:bookmarkEnd w:id="113"/>
      <w:bookmarkEnd w:id="114"/>
      <w:bookmarkEnd w:id="115"/>
    </w:p>
    <w:p>
      <w:pPr>
        <w:snapToGrid w:val="0"/>
        <w:spacing w:line="360" w:lineRule="auto"/>
        <w:rPr>
          <w:rFonts w:ascii="宋体" w:hAnsi="宋体" w:cs="宋体"/>
          <w:kern w:val="0"/>
          <w:sz w:val="24"/>
          <w:szCs w:val="24"/>
        </w:rPr>
      </w:pPr>
      <w:bookmarkStart w:id="116" w:name="_Toc14910"/>
      <w:bookmarkStart w:id="117" w:name="_Toc15697"/>
      <w:r>
        <w:rPr>
          <w:rFonts w:hint="eastAsia" w:ascii="宋体" w:hAnsi="宋体" w:cs="宋体"/>
          <w:kern w:val="0"/>
          <w:sz w:val="24"/>
          <w:szCs w:val="24"/>
        </w:rPr>
        <w:t>8.1对招标人的纪律要求</w:t>
      </w:r>
      <w:bookmarkEnd w:id="116"/>
      <w:bookmarkEnd w:id="117"/>
    </w:p>
    <w:p>
      <w:pPr>
        <w:snapToGrid w:val="0"/>
        <w:spacing w:line="360" w:lineRule="auto"/>
        <w:rPr>
          <w:rFonts w:ascii="宋体" w:hAnsi="宋体" w:cs="宋体"/>
          <w:kern w:val="0"/>
          <w:sz w:val="24"/>
          <w:szCs w:val="24"/>
        </w:rPr>
      </w:pPr>
      <w:r>
        <w:rPr>
          <w:rFonts w:hint="eastAsia" w:ascii="宋体" w:hAnsi="宋体" w:cs="宋体"/>
          <w:kern w:val="0"/>
          <w:sz w:val="24"/>
          <w:szCs w:val="24"/>
        </w:rPr>
        <w:t>招标人不得泄露招标投标活动中应当保密的情况和资料，不得与投标人串通损害国家利益、社会公共利益或者他人合法权益。</w:t>
      </w:r>
    </w:p>
    <w:p>
      <w:pPr>
        <w:snapToGrid w:val="0"/>
        <w:spacing w:line="360" w:lineRule="auto"/>
        <w:rPr>
          <w:rFonts w:ascii="宋体" w:hAnsi="宋体" w:cs="宋体"/>
          <w:kern w:val="0"/>
          <w:sz w:val="24"/>
          <w:szCs w:val="24"/>
        </w:rPr>
      </w:pPr>
      <w:bookmarkStart w:id="118" w:name="_Toc17821"/>
      <w:bookmarkStart w:id="119" w:name="_Toc30658"/>
      <w:r>
        <w:rPr>
          <w:rFonts w:hint="eastAsia" w:ascii="宋体" w:hAnsi="宋体" w:cs="宋体"/>
          <w:kern w:val="0"/>
          <w:sz w:val="24"/>
          <w:szCs w:val="24"/>
        </w:rPr>
        <w:t>8.2对投标人的纪律要求</w:t>
      </w:r>
      <w:bookmarkEnd w:id="118"/>
      <w:bookmarkEnd w:id="119"/>
    </w:p>
    <w:p>
      <w:pPr>
        <w:snapToGrid w:val="0"/>
        <w:spacing w:line="360" w:lineRule="auto"/>
        <w:rPr>
          <w:rFonts w:ascii="宋体" w:hAnsi="宋体" w:cs="宋体"/>
          <w:kern w:val="0"/>
          <w:sz w:val="24"/>
          <w:szCs w:val="24"/>
        </w:rPr>
      </w:pPr>
      <w:r>
        <w:rPr>
          <w:rFonts w:hint="eastAsia" w:ascii="宋体" w:hAnsi="宋体" w:cs="宋体"/>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napToGrid w:val="0"/>
        <w:spacing w:line="360" w:lineRule="auto"/>
        <w:rPr>
          <w:rFonts w:ascii="宋体" w:hAnsi="宋体" w:cs="宋体"/>
          <w:kern w:val="0"/>
          <w:sz w:val="24"/>
          <w:szCs w:val="24"/>
        </w:rPr>
      </w:pPr>
      <w:bookmarkStart w:id="120" w:name="_Toc32673"/>
      <w:bookmarkStart w:id="121" w:name="_Toc13412"/>
      <w:r>
        <w:rPr>
          <w:rFonts w:hint="eastAsia" w:ascii="宋体" w:hAnsi="宋体" w:cs="宋体"/>
          <w:kern w:val="0"/>
          <w:sz w:val="24"/>
          <w:szCs w:val="24"/>
        </w:rPr>
        <w:t>8.3对评标委员会成员的纪律要求</w:t>
      </w:r>
      <w:bookmarkEnd w:id="120"/>
      <w:bookmarkEnd w:id="121"/>
    </w:p>
    <w:p>
      <w:pPr>
        <w:snapToGrid w:val="0"/>
        <w:spacing w:line="360" w:lineRule="auto"/>
        <w:rPr>
          <w:rFonts w:ascii="宋体" w:hAnsi="宋体" w:cs="宋体"/>
          <w:kern w:val="0"/>
          <w:sz w:val="24"/>
          <w:szCs w:val="24"/>
        </w:rPr>
      </w:pPr>
      <w:r>
        <w:rPr>
          <w:rFonts w:hint="eastAsia" w:ascii="宋体" w:hAnsi="宋体" w:cs="宋体"/>
          <w:kern w:val="0"/>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pPr>
        <w:snapToGrid w:val="0"/>
        <w:spacing w:line="360" w:lineRule="auto"/>
        <w:rPr>
          <w:rFonts w:ascii="宋体" w:hAnsi="宋体" w:cs="宋体"/>
          <w:kern w:val="0"/>
          <w:sz w:val="24"/>
          <w:szCs w:val="24"/>
        </w:rPr>
      </w:pPr>
      <w:bookmarkStart w:id="122" w:name="_Toc16315"/>
      <w:bookmarkStart w:id="123" w:name="_Toc25524"/>
      <w:r>
        <w:rPr>
          <w:rFonts w:hint="eastAsia" w:ascii="宋体" w:hAnsi="宋体" w:cs="宋体"/>
          <w:kern w:val="0"/>
          <w:sz w:val="24"/>
          <w:szCs w:val="24"/>
        </w:rPr>
        <w:t>8.4对与评标活动有关的工作人员的纪律要求</w:t>
      </w:r>
      <w:bookmarkEnd w:id="122"/>
      <w:bookmarkEnd w:id="123"/>
    </w:p>
    <w:p>
      <w:pPr>
        <w:snapToGrid w:val="0"/>
        <w:spacing w:line="360" w:lineRule="auto"/>
        <w:rPr>
          <w:rFonts w:ascii="宋体" w:hAnsi="宋体" w:cs="宋体"/>
          <w:kern w:val="0"/>
          <w:sz w:val="24"/>
          <w:szCs w:val="24"/>
        </w:rPr>
      </w:pPr>
      <w:r>
        <w:rPr>
          <w:rFonts w:hint="eastAsia" w:ascii="宋体" w:hAnsi="宋体" w:cs="宋体"/>
          <w:kern w:val="0"/>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rPr>
          <w:rFonts w:ascii="宋体" w:hAnsi="宋体" w:cs="宋体"/>
          <w:kern w:val="0"/>
          <w:sz w:val="24"/>
          <w:szCs w:val="24"/>
        </w:rPr>
      </w:pPr>
      <w:bookmarkStart w:id="124" w:name="_Toc2722"/>
      <w:bookmarkStart w:id="125" w:name="_Toc19865"/>
      <w:r>
        <w:rPr>
          <w:rFonts w:hint="eastAsia" w:ascii="宋体" w:hAnsi="宋体" w:cs="宋体"/>
          <w:kern w:val="0"/>
          <w:sz w:val="24"/>
          <w:szCs w:val="24"/>
        </w:rPr>
        <w:t>8.5质疑与投诉</w:t>
      </w:r>
      <w:bookmarkEnd w:id="124"/>
      <w:bookmarkEnd w:id="125"/>
    </w:p>
    <w:p>
      <w:pPr>
        <w:snapToGrid w:val="0"/>
        <w:spacing w:line="360" w:lineRule="auto"/>
        <w:rPr>
          <w:rFonts w:ascii="宋体" w:hAnsi="宋体" w:cs="宋体"/>
          <w:kern w:val="0"/>
          <w:sz w:val="24"/>
          <w:szCs w:val="24"/>
        </w:rPr>
      </w:pPr>
      <w:r>
        <w:rPr>
          <w:rFonts w:hint="eastAsia" w:ascii="宋体" w:hAnsi="宋体" w:cs="宋体"/>
          <w:kern w:val="0"/>
          <w:sz w:val="24"/>
          <w:szCs w:val="24"/>
        </w:rPr>
        <w:t>8.5.1质疑人必须是直接参加本次招标活动的当事人。投标人认为采购文件、采购过程和中标结果使自己的权益受到损害的，可以在知道或者应知其权益受到损害之日起七个工作日内（具体起算时间见34.2），将质疑函以书面形式由法定代表人或法人授权代表送达采购代理机构或采购单位。质疑超出采购机构代理范围的，供应商应当向采购人提出。</w:t>
      </w:r>
    </w:p>
    <w:p>
      <w:pPr>
        <w:spacing w:line="360" w:lineRule="auto"/>
        <w:rPr>
          <w:rFonts w:ascii="宋体" w:hAnsi="宋体" w:cs="宋体"/>
          <w:sz w:val="24"/>
          <w:szCs w:val="24"/>
        </w:rPr>
      </w:pPr>
      <w:r>
        <w:rPr>
          <w:rFonts w:hint="eastAsia" w:ascii="宋体" w:hAnsi="宋体" w:cs="宋体"/>
          <w:sz w:val="24"/>
          <w:szCs w:val="24"/>
          <w:highlight w:val="white"/>
        </w:rPr>
        <w:t>8.5.2质疑起算时间</w:t>
      </w:r>
    </w:p>
    <w:p>
      <w:pPr>
        <w:spacing w:line="360" w:lineRule="auto"/>
        <w:rPr>
          <w:rFonts w:ascii="宋体" w:hAnsi="宋体" w:cs="宋体"/>
          <w:sz w:val="24"/>
          <w:szCs w:val="24"/>
        </w:rPr>
      </w:pPr>
      <w:r>
        <w:rPr>
          <w:rFonts w:hint="eastAsia" w:ascii="宋体" w:hAnsi="宋体" w:cs="宋体"/>
          <w:sz w:val="24"/>
          <w:szCs w:val="24"/>
          <w:highlight w:val="white"/>
        </w:rPr>
        <w:t>（1）对本项目采购文件提出质疑的，为采购文件公告期限届满之日；</w:t>
      </w:r>
    </w:p>
    <w:p>
      <w:pPr>
        <w:spacing w:line="360" w:lineRule="auto"/>
        <w:rPr>
          <w:rFonts w:ascii="宋体" w:hAnsi="宋体" w:cs="宋体"/>
          <w:sz w:val="24"/>
          <w:szCs w:val="24"/>
        </w:rPr>
      </w:pPr>
      <w:r>
        <w:rPr>
          <w:rFonts w:hint="eastAsia" w:ascii="宋体" w:hAnsi="宋体" w:cs="宋体"/>
          <w:sz w:val="24"/>
          <w:szCs w:val="24"/>
          <w:highlight w:val="white"/>
        </w:rPr>
        <w:t>（2）对本项目采购过程提出质疑的，为各采购程序环节结束之日；</w:t>
      </w:r>
    </w:p>
    <w:p>
      <w:pPr>
        <w:spacing w:line="360" w:lineRule="auto"/>
        <w:rPr>
          <w:rFonts w:ascii="宋体" w:hAnsi="宋体" w:cs="宋体"/>
          <w:sz w:val="24"/>
          <w:szCs w:val="24"/>
        </w:rPr>
      </w:pPr>
      <w:r>
        <w:rPr>
          <w:rFonts w:hint="eastAsia" w:ascii="宋体" w:hAnsi="宋体" w:cs="宋体"/>
          <w:sz w:val="24"/>
          <w:szCs w:val="24"/>
          <w:highlight w:val="white"/>
        </w:rPr>
        <w:t>（3）对本项目中标或者成交结果提出质疑的，为中标或者成交结果公告期限届满之日。</w:t>
      </w:r>
    </w:p>
    <w:p>
      <w:pPr>
        <w:spacing w:line="360" w:lineRule="auto"/>
        <w:rPr>
          <w:rFonts w:ascii="宋体" w:hAnsi="宋体" w:cs="宋体"/>
          <w:sz w:val="24"/>
          <w:szCs w:val="24"/>
        </w:rPr>
      </w:pPr>
      <w:r>
        <w:rPr>
          <w:rFonts w:hint="eastAsia" w:ascii="宋体" w:hAnsi="宋体" w:cs="宋体"/>
          <w:sz w:val="24"/>
          <w:szCs w:val="24"/>
          <w:highlight w:val="white"/>
        </w:rPr>
        <w:t>8.5.3投标人委托代理质疑的，应当向代理人提交授权委托书，并载明委托代理的具体权限和事项。委托代理人须为质疑人正式工作人员，提供近三个月内质疑人为其缴纳社会保险的证明。</w:t>
      </w:r>
    </w:p>
    <w:p>
      <w:pPr>
        <w:spacing w:line="360" w:lineRule="auto"/>
        <w:rPr>
          <w:rFonts w:ascii="宋体" w:hAnsi="宋体" w:cs="宋体"/>
          <w:sz w:val="24"/>
          <w:szCs w:val="24"/>
        </w:rPr>
      </w:pPr>
      <w:r>
        <w:rPr>
          <w:rFonts w:hint="eastAsia" w:ascii="宋体" w:hAnsi="宋体" w:cs="宋体"/>
          <w:sz w:val="24"/>
          <w:szCs w:val="24"/>
          <w:highlight w:val="white"/>
        </w:rPr>
        <w:t>8.5.4质疑函的必备内容</w:t>
      </w:r>
    </w:p>
    <w:p>
      <w:pPr>
        <w:spacing w:line="360" w:lineRule="auto"/>
        <w:rPr>
          <w:rFonts w:ascii="宋体" w:hAnsi="宋体" w:cs="宋体"/>
          <w:sz w:val="24"/>
          <w:szCs w:val="24"/>
        </w:rPr>
      </w:pPr>
      <w:r>
        <w:rPr>
          <w:rFonts w:hint="eastAsia" w:ascii="宋体" w:hAnsi="宋体" w:cs="宋体"/>
          <w:sz w:val="24"/>
          <w:szCs w:val="24"/>
          <w:highlight w:val="white"/>
        </w:rPr>
        <w:t>（1）质疑函必须注明质疑人单位名称、详细地址、邮编、单位和法定代表人电话号码、联系人及电话；</w:t>
      </w:r>
    </w:p>
    <w:p>
      <w:pPr>
        <w:spacing w:line="360" w:lineRule="auto"/>
        <w:rPr>
          <w:rFonts w:ascii="宋体" w:hAnsi="宋体" w:cs="宋体"/>
          <w:sz w:val="24"/>
          <w:szCs w:val="24"/>
        </w:rPr>
      </w:pPr>
      <w:r>
        <w:rPr>
          <w:rFonts w:hint="eastAsia" w:ascii="宋体" w:hAnsi="宋体" w:cs="宋体"/>
          <w:sz w:val="24"/>
          <w:szCs w:val="24"/>
          <w:highlight w:val="white"/>
        </w:rPr>
        <w:t>（2）所参加项目的具体质疑事项及事实依据；</w:t>
      </w:r>
    </w:p>
    <w:p>
      <w:pPr>
        <w:spacing w:line="360" w:lineRule="auto"/>
        <w:rPr>
          <w:rFonts w:ascii="宋体" w:hAnsi="宋体" w:cs="宋体"/>
          <w:sz w:val="24"/>
          <w:szCs w:val="24"/>
        </w:rPr>
      </w:pPr>
      <w:r>
        <w:rPr>
          <w:rFonts w:hint="eastAsia" w:ascii="宋体" w:hAnsi="宋体" w:cs="宋体"/>
          <w:sz w:val="24"/>
          <w:szCs w:val="24"/>
          <w:highlight w:val="white"/>
        </w:rPr>
        <w:t>（3）认为自己合法权益受到损害或可能受到损害的相关证据材料；</w:t>
      </w:r>
    </w:p>
    <w:p>
      <w:pPr>
        <w:spacing w:line="360" w:lineRule="auto"/>
        <w:rPr>
          <w:rFonts w:ascii="宋体" w:hAnsi="宋体" w:cs="宋体"/>
          <w:sz w:val="24"/>
          <w:szCs w:val="24"/>
        </w:rPr>
      </w:pPr>
      <w:r>
        <w:rPr>
          <w:rFonts w:hint="eastAsia" w:ascii="宋体" w:hAnsi="宋体" w:cs="宋体"/>
          <w:sz w:val="24"/>
          <w:szCs w:val="24"/>
          <w:highlight w:val="white"/>
        </w:rPr>
        <w:t xml:space="preserve">（4）提起质疑的日期； </w:t>
      </w:r>
    </w:p>
    <w:p>
      <w:pPr>
        <w:spacing w:line="360" w:lineRule="auto"/>
        <w:rPr>
          <w:rFonts w:ascii="宋体" w:hAnsi="宋体" w:cs="宋体"/>
          <w:sz w:val="24"/>
          <w:szCs w:val="24"/>
        </w:rPr>
      </w:pPr>
      <w:r>
        <w:rPr>
          <w:rFonts w:hint="eastAsia" w:ascii="宋体" w:hAnsi="宋体" w:cs="宋体"/>
          <w:sz w:val="24"/>
          <w:szCs w:val="24"/>
          <w:highlight w:val="white"/>
        </w:rPr>
        <w:t>（5）质疑函必须由法定代表人签字并加盖公章。</w:t>
      </w:r>
    </w:p>
    <w:p>
      <w:pPr>
        <w:spacing w:line="360" w:lineRule="auto"/>
        <w:rPr>
          <w:rFonts w:ascii="宋体" w:hAnsi="宋体" w:cs="宋体"/>
          <w:sz w:val="24"/>
          <w:szCs w:val="24"/>
        </w:rPr>
      </w:pPr>
      <w:r>
        <w:rPr>
          <w:rFonts w:hint="eastAsia" w:ascii="宋体" w:hAnsi="宋体" w:cs="宋体"/>
          <w:sz w:val="24"/>
          <w:szCs w:val="24"/>
          <w:highlight w:val="white"/>
        </w:rPr>
        <w:t>8.5.5质疑应符合下列条件：</w:t>
      </w:r>
    </w:p>
    <w:p>
      <w:pPr>
        <w:spacing w:line="360" w:lineRule="auto"/>
        <w:rPr>
          <w:rFonts w:ascii="宋体" w:hAnsi="宋体" w:cs="宋体"/>
          <w:sz w:val="24"/>
          <w:szCs w:val="24"/>
        </w:rPr>
      </w:pPr>
      <w:r>
        <w:rPr>
          <w:rFonts w:hint="eastAsia" w:ascii="宋体" w:hAnsi="宋体" w:cs="宋体"/>
          <w:sz w:val="24"/>
          <w:szCs w:val="24"/>
          <w:highlight w:val="white"/>
        </w:rPr>
        <w:t>（1）质疑人是参与所质疑项目的投标人；</w:t>
      </w:r>
    </w:p>
    <w:p>
      <w:pPr>
        <w:spacing w:line="360" w:lineRule="auto"/>
        <w:rPr>
          <w:rFonts w:ascii="宋体" w:hAnsi="宋体" w:cs="宋体"/>
          <w:sz w:val="24"/>
          <w:szCs w:val="24"/>
        </w:rPr>
      </w:pPr>
      <w:r>
        <w:rPr>
          <w:rFonts w:hint="eastAsia" w:ascii="宋体" w:hAnsi="宋体" w:cs="宋体"/>
          <w:sz w:val="24"/>
          <w:szCs w:val="24"/>
          <w:highlight w:val="white"/>
        </w:rPr>
        <w:t>（2）质疑函内容符合相关的规定；</w:t>
      </w:r>
    </w:p>
    <w:p>
      <w:pPr>
        <w:spacing w:line="360" w:lineRule="auto"/>
        <w:rPr>
          <w:rFonts w:ascii="宋体" w:hAnsi="宋体" w:cs="宋体"/>
          <w:sz w:val="24"/>
          <w:szCs w:val="24"/>
        </w:rPr>
      </w:pPr>
      <w:r>
        <w:rPr>
          <w:rFonts w:hint="eastAsia" w:ascii="宋体" w:hAnsi="宋体" w:cs="宋体"/>
          <w:sz w:val="24"/>
          <w:szCs w:val="24"/>
          <w:highlight w:val="white"/>
        </w:rPr>
        <w:t>（3）在规定的有效期限内提起质疑；</w:t>
      </w:r>
    </w:p>
    <w:p>
      <w:pPr>
        <w:spacing w:line="360" w:lineRule="auto"/>
        <w:rPr>
          <w:rFonts w:ascii="宋体" w:hAnsi="宋体" w:cs="宋体"/>
          <w:sz w:val="24"/>
          <w:szCs w:val="24"/>
        </w:rPr>
      </w:pPr>
      <w:r>
        <w:rPr>
          <w:rFonts w:hint="eastAsia" w:ascii="宋体" w:hAnsi="宋体" w:cs="宋体"/>
          <w:sz w:val="24"/>
          <w:szCs w:val="24"/>
          <w:highlight w:val="white"/>
        </w:rPr>
        <w:t>（4）国务院财政部门规定的其他条件。</w:t>
      </w:r>
    </w:p>
    <w:p>
      <w:pPr>
        <w:spacing w:line="360" w:lineRule="auto"/>
        <w:rPr>
          <w:rFonts w:ascii="宋体" w:hAnsi="宋体" w:cs="宋体"/>
          <w:sz w:val="24"/>
          <w:szCs w:val="24"/>
        </w:rPr>
      </w:pPr>
      <w:r>
        <w:rPr>
          <w:rFonts w:hint="eastAsia" w:ascii="宋体" w:hAnsi="宋体" w:cs="宋体"/>
          <w:sz w:val="24"/>
          <w:szCs w:val="24"/>
          <w:highlight w:val="white"/>
        </w:rPr>
        <w:t>8.5.6招标采购单位在收到质疑函后，认为质疑函内容、格式等不符合本规定的，告知质疑人进行补正。质疑人应当在法定质疑期限内进行补正并重新提交质疑函，拒不补正或者超过法定期限后未重新提交质疑函的，为无效质疑。</w:t>
      </w:r>
    </w:p>
    <w:p>
      <w:pPr>
        <w:spacing w:line="360" w:lineRule="auto"/>
        <w:rPr>
          <w:rFonts w:ascii="宋体" w:hAnsi="宋体" w:cs="宋体"/>
          <w:sz w:val="24"/>
          <w:szCs w:val="24"/>
        </w:rPr>
      </w:pPr>
      <w:r>
        <w:rPr>
          <w:rFonts w:hint="eastAsia" w:ascii="宋体" w:hAnsi="宋体" w:cs="宋体"/>
          <w:sz w:val="24"/>
          <w:szCs w:val="24"/>
          <w:highlight w:val="white"/>
        </w:rPr>
        <w:t>8.5.7招标采购单位在收到投标人的书面质疑后七个工作日内作出答复，并以书面形式通知质疑投标人和其他有关人员，但答复的内容不涉及商业秘密。</w:t>
      </w:r>
    </w:p>
    <w:p>
      <w:pPr>
        <w:spacing w:line="360" w:lineRule="auto"/>
        <w:rPr>
          <w:rFonts w:cs="宋体"/>
          <w:sz w:val="24"/>
          <w:szCs w:val="24"/>
        </w:rPr>
      </w:pPr>
      <w:r>
        <w:rPr>
          <w:rFonts w:hint="eastAsia" w:ascii="宋体" w:hAnsi="宋体" w:cs="宋体"/>
          <w:b/>
          <w:sz w:val="24"/>
          <w:szCs w:val="24"/>
          <w:highlight w:val="white"/>
          <w:u w:val="single"/>
        </w:rPr>
        <w:t>8.5.8对不符合质疑投诉条件及虚假、恶意质疑投诉、举报将予以驳回，并记录诚信管理档案，降低诚信等级。</w:t>
      </w:r>
    </w:p>
    <w:p>
      <w:pPr>
        <w:pStyle w:val="4"/>
        <w:snapToGrid w:val="0"/>
        <w:spacing w:before="0" w:after="0" w:line="360" w:lineRule="auto"/>
        <w:rPr>
          <w:rFonts w:ascii="宋体" w:hAnsi="宋体" w:cs="宋体"/>
        </w:rPr>
      </w:pPr>
      <w:bookmarkStart w:id="126" w:name="_Toc28238"/>
      <w:bookmarkStart w:id="127" w:name="_Toc29181"/>
      <w:bookmarkStart w:id="128" w:name="_Toc21003"/>
      <w:bookmarkStart w:id="129" w:name="_Toc16846"/>
      <w:bookmarkStart w:id="130" w:name="_Toc40699928"/>
      <w:bookmarkStart w:id="131" w:name="_Toc18267"/>
      <w:bookmarkStart w:id="132" w:name="_Toc12206"/>
      <w:r>
        <w:rPr>
          <w:rFonts w:hint="eastAsia" w:ascii="宋体" w:hAnsi="宋体" w:cs="宋体"/>
        </w:rPr>
        <w:t>9.是否采用电子招标投标</w:t>
      </w:r>
      <w:bookmarkEnd w:id="126"/>
      <w:bookmarkEnd w:id="127"/>
      <w:bookmarkEnd w:id="128"/>
      <w:bookmarkEnd w:id="129"/>
      <w:bookmarkEnd w:id="130"/>
      <w:bookmarkEnd w:id="131"/>
      <w:bookmarkEnd w:id="132"/>
    </w:p>
    <w:p>
      <w:pPr>
        <w:snapToGrid w:val="0"/>
        <w:spacing w:line="360" w:lineRule="auto"/>
        <w:rPr>
          <w:rFonts w:ascii="宋体" w:hAnsi="宋体" w:cs="宋体"/>
          <w:kern w:val="0"/>
          <w:sz w:val="24"/>
          <w:szCs w:val="24"/>
        </w:rPr>
      </w:pPr>
      <w:r>
        <w:rPr>
          <w:rFonts w:hint="eastAsia" w:ascii="宋体" w:hAnsi="宋体" w:cs="宋体"/>
          <w:kern w:val="0"/>
          <w:sz w:val="24"/>
          <w:szCs w:val="24"/>
        </w:rPr>
        <w:t>本招标项目是否采用电子招标投标方式，见投标人须知前附表。</w:t>
      </w:r>
    </w:p>
    <w:p>
      <w:pPr>
        <w:pStyle w:val="4"/>
        <w:snapToGrid w:val="0"/>
        <w:spacing w:before="0" w:after="0" w:line="360" w:lineRule="auto"/>
        <w:rPr>
          <w:rFonts w:ascii="宋体" w:hAnsi="宋体" w:cs="宋体"/>
        </w:rPr>
      </w:pPr>
      <w:bookmarkStart w:id="133" w:name="_Toc3113"/>
      <w:bookmarkStart w:id="134" w:name="_Toc15398"/>
      <w:bookmarkStart w:id="135" w:name="_Toc31109"/>
      <w:bookmarkStart w:id="136" w:name="_Toc40699929"/>
      <w:bookmarkStart w:id="137" w:name="_Toc12612"/>
      <w:bookmarkStart w:id="138" w:name="_Toc19541"/>
      <w:bookmarkStart w:id="139" w:name="_Toc12378"/>
      <w:r>
        <w:rPr>
          <w:rFonts w:hint="eastAsia" w:ascii="宋体" w:hAnsi="宋体" w:cs="宋体"/>
        </w:rPr>
        <w:t>10.需要补充的其他内容</w:t>
      </w:r>
      <w:bookmarkEnd w:id="133"/>
      <w:bookmarkEnd w:id="134"/>
      <w:bookmarkEnd w:id="135"/>
      <w:bookmarkEnd w:id="136"/>
      <w:bookmarkEnd w:id="137"/>
      <w:bookmarkEnd w:id="138"/>
      <w:bookmarkEnd w:id="139"/>
    </w:p>
    <w:p>
      <w:pPr>
        <w:snapToGrid w:val="0"/>
        <w:spacing w:line="360" w:lineRule="auto"/>
        <w:rPr>
          <w:rFonts w:ascii="宋体" w:hAnsi="宋体" w:cs="宋体"/>
          <w:kern w:val="0"/>
          <w:sz w:val="24"/>
          <w:szCs w:val="24"/>
        </w:rPr>
      </w:pPr>
      <w:r>
        <w:rPr>
          <w:rFonts w:hint="eastAsia" w:ascii="宋体" w:hAnsi="宋体" w:cs="宋体"/>
          <w:kern w:val="0"/>
          <w:sz w:val="24"/>
          <w:szCs w:val="24"/>
        </w:rPr>
        <w:t>需要补充的其他内容：见投标人须知前附表。</w:t>
      </w:r>
    </w:p>
    <w:p>
      <w:pPr>
        <w:pStyle w:val="50"/>
        <w:spacing w:before="0" w:after="0" w:line="360" w:lineRule="auto"/>
        <w:rPr>
          <w:rFonts w:ascii="宋体" w:hAnsi="宋体" w:eastAsia="宋体" w:cs="宋体"/>
          <w:sz w:val="24"/>
        </w:rPr>
      </w:pPr>
      <w:r>
        <w:rPr>
          <w:rFonts w:hint="eastAsia" w:ascii="宋体" w:hAnsi="宋体" w:eastAsia="宋体" w:cs="宋体"/>
          <w:bCs/>
          <w:sz w:val="24"/>
        </w:rPr>
        <w:br w:type="page"/>
      </w:r>
      <w:bookmarkStart w:id="140" w:name="_Toc22353"/>
      <w:r>
        <w:rPr>
          <w:rFonts w:hint="eastAsia" w:ascii="宋体" w:hAnsi="宋体" w:eastAsia="宋体" w:cs="Times New Roman"/>
          <w:snapToGrid w:val="0"/>
          <w:kern w:val="0"/>
          <w:sz w:val="44"/>
          <w:szCs w:val="20"/>
        </w:rPr>
        <w:t>第三章 项目需求</w:t>
      </w:r>
      <w:bookmarkEnd w:id="140"/>
      <w:bookmarkStart w:id="141" w:name="_Toc182848996"/>
      <w:bookmarkStart w:id="142" w:name="_Toc43217893"/>
      <w:bookmarkStart w:id="143" w:name="_Toc38121794"/>
      <w:bookmarkStart w:id="144" w:name="_Toc37322565"/>
      <w:bookmarkStart w:id="145" w:name="_Toc85627670"/>
    </w:p>
    <w:p>
      <w:pPr>
        <w:keepLines w:val="0"/>
        <w:pageBreakBefore w:val="0"/>
        <w:kinsoku/>
        <w:wordWrap/>
        <w:overflowPunct/>
        <w:topLinePunct w:val="0"/>
        <w:autoSpaceDE/>
        <w:autoSpaceDN/>
        <w:bidi w:val="0"/>
        <w:snapToGrid/>
        <w:spacing w:before="10" w:after="10" w:line="360" w:lineRule="auto"/>
        <w:ind w:left="0"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sz w:val="24"/>
          <w:szCs w:val="24"/>
          <w:lang w:val="en-US" w:eastAsia="zh-CN"/>
        </w:rPr>
        <w:t>通过对已建设的尊老金、居家养老、机构养老、居家和机构养老评估、中心厨房一卡通系统进行整合提升，拓展建设养老服务基础数据管理子系统、养老呼叫中心子系统、特殊困难老年人关爱子系统、“我的扬州”养老服务掌厅、养老服务可视化子系统</w:t>
      </w:r>
      <w:r>
        <w:rPr>
          <w:rFonts w:hint="eastAsia" w:ascii="宋体" w:hAnsi="宋体" w:eastAsia="宋体" w:cs="宋体"/>
          <w:sz w:val="24"/>
          <w:szCs w:val="24"/>
          <w:u w:val="none"/>
          <w:lang w:val="en-US" w:eastAsia="zh-CN"/>
        </w:rPr>
        <w:t>等功能模块，</w:t>
      </w:r>
      <w:r>
        <w:rPr>
          <w:rFonts w:hint="eastAsia" w:ascii="宋体" w:hAnsi="宋体" w:eastAsia="宋体" w:cs="宋体"/>
          <w:sz w:val="24"/>
          <w:szCs w:val="24"/>
          <w:lang w:val="en-US" w:eastAsia="zh-CN"/>
        </w:rPr>
        <w:t>同时实现与民政厅“金民工程”养老业务系统和政务“一张网”、扬州市大数据共享交换平台的数据对接和数</w:t>
      </w:r>
      <w:r>
        <w:rPr>
          <w:rFonts w:hint="eastAsia" w:ascii="宋体" w:hAnsi="宋体" w:eastAsia="宋体" w:cs="宋体"/>
          <w:i w:val="0"/>
          <w:iCs w:val="0"/>
          <w:sz w:val="24"/>
          <w:szCs w:val="24"/>
          <w:lang w:val="en-US" w:eastAsia="zh-CN"/>
        </w:rPr>
        <w:t>据共享。</w:t>
      </w:r>
    </w:p>
    <w:p>
      <w:pPr>
        <w:keepNext w:val="0"/>
        <w:keepLines w:val="0"/>
        <w:pageBreakBefore w:val="0"/>
        <w:widowControl w:val="0"/>
        <w:kinsoku/>
        <w:wordWrap/>
        <w:overflowPunct/>
        <w:topLinePunct w:val="0"/>
        <w:autoSpaceDE/>
        <w:autoSpaceDN/>
        <w:bidi w:val="0"/>
        <w:adjustRightInd/>
        <w:snapToGrid/>
        <w:spacing w:before="10" w:after="10" w:line="360" w:lineRule="auto"/>
        <w:ind w:left="0" w:firstLine="482" w:firstLineChars="200"/>
        <w:textAlignment w:val="auto"/>
        <w:outlineLvl w:val="1"/>
        <w:rPr>
          <w:rFonts w:hint="eastAsia" w:ascii="宋体" w:hAnsi="宋体" w:eastAsia="宋体" w:cs="宋体"/>
          <w:i w:val="0"/>
          <w:iCs w:val="0"/>
          <w:sz w:val="24"/>
          <w:szCs w:val="24"/>
          <w:lang w:eastAsia="zh-CN"/>
        </w:rPr>
      </w:pPr>
      <w:bookmarkStart w:id="146" w:name="_Toc25855"/>
      <w:r>
        <w:rPr>
          <w:rFonts w:hint="eastAsia" w:ascii="宋体" w:hAnsi="宋体" w:eastAsia="宋体" w:cs="宋体"/>
          <w:b/>
          <w:bCs/>
          <w:i w:val="0"/>
          <w:iCs w:val="0"/>
          <w:sz w:val="24"/>
          <w:szCs w:val="24"/>
          <w:lang w:val="en-US" w:eastAsia="zh-CN"/>
        </w:rPr>
        <w:t>（一）整合提升现有业务系统功能模块</w:t>
      </w:r>
      <w:bookmarkEnd w:id="146"/>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right="0" w:firstLine="480" w:firstLineChars="200"/>
        <w:textAlignment w:val="auto"/>
        <w:outlineLvl w:val="1"/>
        <w:rPr>
          <w:rFonts w:hint="eastAsia" w:ascii="宋体" w:hAnsi="宋体" w:eastAsia="宋体" w:cs="宋体"/>
          <w:b w:val="0"/>
          <w:bCs w:val="0"/>
          <w:color w:val="000000"/>
          <w:kern w:val="0"/>
          <w:sz w:val="24"/>
          <w:szCs w:val="24"/>
          <w:highlight w:val="none"/>
          <w:lang w:val="en-US" w:eastAsia="zh-CN"/>
        </w:rPr>
      </w:pPr>
      <w:bookmarkStart w:id="147" w:name="_Toc7026"/>
      <w:bookmarkStart w:id="148" w:name="_Toc31591"/>
      <w:r>
        <w:rPr>
          <w:rFonts w:hint="eastAsia" w:ascii="宋体" w:hAnsi="宋体" w:eastAsia="宋体" w:cs="宋体"/>
          <w:b w:val="0"/>
          <w:bCs w:val="0"/>
          <w:color w:val="000000"/>
          <w:kern w:val="0"/>
          <w:sz w:val="24"/>
          <w:szCs w:val="24"/>
          <w:highlight w:val="none"/>
          <w:lang w:val="en-US" w:eastAsia="zh-CN"/>
        </w:rPr>
        <w:t>1</w:t>
      </w:r>
      <w:r>
        <w:rPr>
          <w:rFonts w:hint="eastAsia" w:ascii="宋体" w:hAnsi="宋体" w:eastAsia="宋体" w:cs="宋体"/>
          <w:b/>
          <w:bCs/>
          <w:color w:val="auto"/>
          <w:sz w:val="24"/>
          <w:szCs w:val="24"/>
          <w:highlight w:val="none"/>
          <w:lang w:val="en-US" w:eastAsia="zh-CN"/>
        </w:rPr>
        <w:t>.尊老金管理系统</w:t>
      </w:r>
      <w:bookmarkEnd w:id="147"/>
      <w:bookmarkEnd w:id="148"/>
    </w:p>
    <w:p>
      <w:pPr>
        <w:keepNext w:val="0"/>
        <w:keepLines w:val="0"/>
        <w:pageBreakBefore w:val="0"/>
        <w:kinsoku/>
        <w:wordWrap/>
        <w:overflowPunct/>
        <w:topLinePunct w:val="0"/>
        <w:autoSpaceDE/>
        <w:autoSpaceDN/>
        <w:bidi w:val="0"/>
        <w:snapToGrid/>
        <w:spacing w:before="10" w:after="10" w:line="360" w:lineRule="auto"/>
        <w:ind w:left="0" w:right="0" w:firstLine="480" w:firstLineChars="20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增加审核审批流程，支持网上申办和子女代办，实现网上申请实名认证、电子证照调用和跨部门信息核验，支持电子档案、申办过程短信提醒。简化信息录入，通过身份证号，自动填充姓名、电子照片、户籍地、居住地等信息。</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right="0" w:firstLine="482" w:firstLineChars="200"/>
        <w:textAlignment w:val="auto"/>
        <w:outlineLvl w:val="1"/>
        <w:rPr>
          <w:rFonts w:hint="eastAsia" w:ascii="宋体" w:hAnsi="宋体" w:eastAsia="宋体" w:cs="宋体"/>
          <w:b/>
          <w:bCs/>
          <w:color w:val="auto"/>
          <w:sz w:val="24"/>
          <w:szCs w:val="24"/>
          <w:highlight w:val="none"/>
          <w:lang w:val="en-US" w:eastAsia="zh-CN"/>
        </w:rPr>
      </w:pPr>
      <w:bookmarkStart w:id="149" w:name="_Toc4819"/>
      <w:bookmarkStart w:id="150" w:name="_Toc5651"/>
      <w:r>
        <w:rPr>
          <w:rFonts w:hint="eastAsia" w:ascii="宋体" w:hAnsi="宋体" w:eastAsia="宋体" w:cs="宋体"/>
          <w:b/>
          <w:bCs/>
          <w:color w:val="auto"/>
          <w:sz w:val="24"/>
          <w:szCs w:val="24"/>
          <w:highlight w:val="none"/>
          <w:lang w:val="en-US" w:eastAsia="zh-CN"/>
        </w:rPr>
        <w:t>2.养老机构管理系统</w:t>
      </w:r>
      <w:bookmarkEnd w:id="149"/>
      <w:bookmarkEnd w:id="150"/>
    </w:p>
    <w:p>
      <w:pPr>
        <w:pStyle w:val="2"/>
        <w:pageBreakBefore w:val="0"/>
        <w:kinsoku/>
        <w:wordWrap/>
        <w:overflowPunct/>
        <w:topLinePunct w:val="0"/>
        <w:autoSpaceDE/>
        <w:autoSpaceDN/>
        <w:bidi w:val="0"/>
        <w:spacing w:before="10" w:after="10" w:line="360" w:lineRule="auto"/>
        <w:ind w:left="0" w:right="0" w:firstLine="480" w:firstLineChars="200"/>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highlight w:val="none"/>
          <w:lang w:val="en-US" w:eastAsia="zh-CN" w:bidi="ar-SA"/>
        </w:rPr>
        <w:t>进一步完善现有功能模块，增加采集养老机构外部环境、内部设施、地理位置等信息采集；按照省标准与省金民工程养老服务系统交互床位信息、入住老人、从业人员、机构等级评定等数据；接入全市养老机构数字监控，实时回传视频数据到统一监控中心。优化床位建设补贴、运营补贴和养老护理员津补贴监管，移动端支持人脸识别、扫码来定期打卡，确定老人入住周期和养老护理员在职时间。</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right="0" w:firstLine="482" w:firstLineChars="200"/>
        <w:textAlignment w:val="auto"/>
        <w:outlineLvl w:val="1"/>
        <w:rPr>
          <w:rFonts w:hint="eastAsia" w:ascii="宋体" w:hAnsi="宋体" w:eastAsia="宋体" w:cs="宋体"/>
          <w:b/>
          <w:bCs/>
          <w:color w:val="auto"/>
          <w:sz w:val="24"/>
          <w:szCs w:val="24"/>
          <w:highlight w:val="none"/>
          <w:lang w:val="en-US" w:eastAsia="zh-CN"/>
        </w:rPr>
      </w:pPr>
      <w:bookmarkStart w:id="151" w:name="_Toc28914"/>
      <w:r>
        <w:rPr>
          <w:rFonts w:hint="eastAsia" w:ascii="宋体" w:hAnsi="宋体" w:eastAsia="宋体" w:cs="宋体"/>
          <w:b/>
          <w:bCs/>
          <w:color w:val="auto"/>
          <w:sz w:val="24"/>
          <w:szCs w:val="24"/>
          <w:highlight w:val="none"/>
          <w:lang w:val="en-US" w:eastAsia="zh-CN"/>
        </w:rPr>
        <w:t>3.居家养老管理系统</w:t>
      </w:r>
      <w:bookmarkEnd w:id="151"/>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（1）增加新建小区配建、已建小区配置的养老服务用房规划、审核、验收过程管理，采集全市建成养老服务用房的外观、面积、地理位置等信息。</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（2）增加居家养老服务机构管理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采集全市街道综合性养老服务中心、日间照料中心、居家养老服务中心、中心厨房、助餐点的外观、面积、地理位置、服务项目、从业人员等信息，</w:t>
      </w:r>
      <w:r>
        <w:rPr>
          <w:rFonts w:hint="eastAsia" w:ascii="宋体" w:hAnsi="宋体" w:eastAsia="宋体" w:cs="宋体"/>
          <w:color w:val="auto"/>
          <w:sz w:val="24"/>
          <w:szCs w:val="24"/>
          <w:highlight w:val="none"/>
        </w:rPr>
        <w:t>全面</w:t>
      </w:r>
      <w:r>
        <w:rPr>
          <w:rFonts w:hint="eastAsia" w:ascii="宋体" w:hAnsi="宋体" w:eastAsia="宋体" w:cs="宋体"/>
          <w:color w:val="auto"/>
          <w:sz w:val="24"/>
          <w:szCs w:val="24"/>
          <w:highlight w:val="none"/>
          <w:lang w:val="en-US" w:eastAsia="zh-CN"/>
        </w:rPr>
        <w:t>掌握居家</w:t>
      </w:r>
      <w:r>
        <w:rPr>
          <w:rFonts w:hint="eastAsia" w:ascii="宋体" w:hAnsi="宋体" w:eastAsia="宋体" w:cs="宋体"/>
          <w:color w:val="auto"/>
          <w:sz w:val="24"/>
          <w:szCs w:val="24"/>
          <w:highlight w:val="none"/>
        </w:rPr>
        <w:t>养老服务</w:t>
      </w:r>
      <w:r>
        <w:rPr>
          <w:rFonts w:hint="eastAsia" w:ascii="宋体" w:hAnsi="宋体" w:eastAsia="宋体" w:cs="宋体"/>
          <w:color w:val="auto"/>
          <w:sz w:val="24"/>
          <w:szCs w:val="24"/>
          <w:highlight w:val="none"/>
          <w:lang w:val="en-US" w:eastAsia="zh-CN"/>
        </w:rPr>
        <w:t>机构</w:t>
      </w:r>
      <w:r>
        <w:rPr>
          <w:rFonts w:hint="eastAsia" w:ascii="宋体" w:hAnsi="宋体" w:eastAsia="宋体" w:cs="宋体"/>
          <w:color w:val="auto"/>
          <w:sz w:val="24"/>
          <w:szCs w:val="24"/>
          <w:highlight w:val="none"/>
        </w:rPr>
        <w:t>的分布，为合理布局</w:t>
      </w:r>
      <w:r>
        <w:rPr>
          <w:rFonts w:hint="eastAsia" w:ascii="宋体" w:hAnsi="宋体" w:eastAsia="宋体" w:cs="宋体"/>
          <w:color w:val="auto"/>
          <w:sz w:val="24"/>
          <w:szCs w:val="24"/>
          <w:highlight w:val="none"/>
          <w:lang w:val="en-US" w:eastAsia="zh-CN"/>
        </w:rPr>
        <w:t>居家</w:t>
      </w:r>
      <w:r>
        <w:rPr>
          <w:rFonts w:hint="eastAsia" w:ascii="宋体" w:hAnsi="宋体" w:eastAsia="宋体" w:cs="宋体"/>
          <w:color w:val="auto"/>
          <w:sz w:val="24"/>
          <w:szCs w:val="24"/>
          <w:highlight w:val="none"/>
        </w:rPr>
        <w:t>养老服务</w:t>
      </w:r>
      <w:r>
        <w:rPr>
          <w:rFonts w:hint="eastAsia" w:ascii="宋体" w:hAnsi="宋体" w:eastAsia="宋体" w:cs="宋体"/>
          <w:color w:val="auto"/>
          <w:sz w:val="24"/>
          <w:szCs w:val="24"/>
          <w:highlight w:val="none"/>
          <w:lang w:val="en-US" w:eastAsia="zh-CN"/>
        </w:rPr>
        <w:t>设施</w:t>
      </w:r>
      <w:r>
        <w:rPr>
          <w:rFonts w:hint="eastAsia" w:ascii="宋体" w:hAnsi="宋体" w:eastAsia="宋体" w:cs="宋体"/>
          <w:color w:val="auto"/>
          <w:sz w:val="24"/>
          <w:szCs w:val="24"/>
          <w:highlight w:val="none"/>
        </w:rPr>
        <w:t>提供参考依据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增加居家养老服务设施运营状况管理功能，实现与省厅金民工程养老服务系统社区养老服务模块数据对接，避免重复录入。</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增加居家养老服务申请、审核、审批功能。增加服务网上申请（手机和网页端），包含身份认证、证照采集、电子证照抓取、自动归集市民卡信息等功能。实现与尊老金申请进行联动办理，申请材料共用。支持与县（区）服务平台对接，满足部分地区使用自有平台的需求，实现服务对象审核审批全市统一系统，上门服务可由自建平台承担。</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（4）政府购买居家上门服务，支持按地区、服务商、服务站点三级管理，支持服务区域绑定、增加服务站点、服务项目、站点内服务人员</w:t>
      </w:r>
      <w:bookmarkStart w:id="152" w:name="_Toc22898"/>
      <w:bookmarkStart w:id="153" w:name="_Toc28779"/>
      <w:r>
        <w:rPr>
          <w:rFonts w:hint="eastAsia" w:ascii="宋体" w:hAnsi="宋体" w:eastAsia="宋体" w:cs="宋体"/>
          <w:color w:val="auto"/>
          <w:sz w:val="24"/>
          <w:szCs w:val="24"/>
          <w:highlight w:val="none"/>
          <w:lang w:val="en-US" w:eastAsia="zh-CN"/>
        </w:rPr>
        <w:t>管理。服务对象按服务站点进行管理，支持预约服务、人户分离，支持服务对象站点之间流动管理。</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补贴取消人工手动充值，改为自动充值，按照服务对象类型每月自动生成服务补贴资金，可以累积消费，不可提前消费。对服务对象可多次发起评估，并根据评估结果变更服务对象对象类型和生活能力等级，动态调整服务补贴标准。优化服务补贴计算、统计、分析、报表，达到财政资金精准化管理要求。</w:t>
      </w:r>
    </w:p>
    <w:bookmarkEnd w:id="152"/>
    <w:bookmarkEnd w:id="153"/>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移动服务终端app。支持二维码、刷脸和市民卡三种上门结算方式，后台通过唯一码进行关联，支持定位信息、服务过程照片上传，服务时长控制以及其他信息采集。移动服务终端app增加站点管理员模块，用于对站点范围内服务员和服务对象进行管理。</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（7）增加服务质量控制，</w:t>
      </w:r>
      <w:r>
        <w:rPr>
          <w:rFonts w:hint="eastAsia" w:ascii="宋体" w:hAnsi="宋体" w:eastAsia="宋体" w:cs="宋体"/>
          <w:color w:val="auto"/>
          <w:sz w:val="24"/>
          <w:szCs w:val="24"/>
          <w:highlight w:val="none"/>
        </w:rPr>
        <w:t>实现对居家</w:t>
      </w:r>
      <w:r>
        <w:rPr>
          <w:rFonts w:hint="eastAsia" w:ascii="宋体" w:hAnsi="宋体" w:eastAsia="宋体" w:cs="宋体"/>
          <w:color w:val="auto"/>
          <w:sz w:val="24"/>
          <w:szCs w:val="24"/>
          <w:highlight w:val="none"/>
          <w:lang w:val="en-US" w:eastAsia="zh-CN"/>
        </w:rPr>
        <w:t>上门</w:t>
      </w:r>
      <w:r>
        <w:rPr>
          <w:rFonts w:hint="eastAsia" w:ascii="宋体" w:hAnsi="宋体" w:eastAsia="宋体" w:cs="宋体"/>
          <w:color w:val="auto"/>
          <w:sz w:val="24"/>
          <w:szCs w:val="24"/>
          <w:highlight w:val="none"/>
        </w:rPr>
        <w:t>服务的全过程监管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包括视频通话、异常工单查询、异常工单复核、工单回访等内容，支持服务工单信息模糊个人隐私数据后自定义导出，供服务商下载使用。同时与语音呼叫平台联动，供市、区两级对服务工单进行满意度调查。</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val="en-US" w:eastAsia="zh-CN"/>
        </w:rPr>
      </w:pPr>
      <w:bookmarkStart w:id="154" w:name="_Toc7603"/>
      <w:bookmarkStart w:id="155" w:name="_Toc15622"/>
      <w:r>
        <w:rPr>
          <w:rFonts w:hint="eastAsia" w:ascii="宋体" w:hAnsi="宋体" w:eastAsia="宋体" w:cs="宋体"/>
          <w:color w:val="auto"/>
          <w:sz w:val="24"/>
          <w:szCs w:val="24"/>
          <w:highlight w:val="none"/>
          <w:lang w:val="en-US" w:eastAsia="zh-CN"/>
        </w:rPr>
        <w:t>（8）支持县（区）服务工单导入，支持异常比对、统计分析、数据导出，</w:t>
      </w:r>
      <w:bookmarkEnd w:id="154"/>
      <w:bookmarkEnd w:id="155"/>
      <w:r>
        <w:rPr>
          <w:rFonts w:hint="eastAsia" w:ascii="宋体" w:hAnsi="宋体" w:eastAsia="宋体" w:cs="宋体"/>
          <w:color w:val="auto"/>
          <w:sz w:val="24"/>
          <w:szCs w:val="24"/>
          <w:highlight w:val="none"/>
          <w:lang w:val="en-US" w:eastAsia="zh-CN"/>
        </w:rPr>
        <w:t>支持全市服务工单数据按照省厅格式标准自动上报，按月生成高质量考核覆盖率报表。</w:t>
      </w:r>
    </w:p>
    <w:p>
      <w:pPr>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（9）支持居家养老各类数据动态显示、统计、分析，实现</w:t>
      </w:r>
      <w:r>
        <w:rPr>
          <w:rFonts w:hint="eastAsia" w:ascii="宋体" w:hAnsi="宋体" w:eastAsia="宋体" w:cs="宋体"/>
          <w:b w:val="0"/>
          <w:bCs w:val="0"/>
          <w:color w:val="auto"/>
          <w:kern w:val="2"/>
          <w:sz w:val="24"/>
          <w:szCs w:val="24"/>
          <w:highlight w:val="none"/>
          <w:lang w:val="en-US" w:eastAsia="zh-CN" w:bidi="ar-SA"/>
        </w:rPr>
        <w:t>养老服务信息、数据可视化。</w:t>
      </w:r>
    </w:p>
    <w:p>
      <w:pPr>
        <w:keepNext w:val="0"/>
        <w:keepLines w:val="0"/>
        <w:pageBreakBefore w:val="0"/>
        <w:widowControl/>
        <w:kinsoku/>
        <w:wordWrap/>
        <w:overflowPunct/>
        <w:topLinePunct w:val="0"/>
        <w:autoSpaceDE/>
        <w:autoSpaceDN/>
        <w:bidi w:val="0"/>
        <w:snapToGrid/>
        <w:spacing w:before="0" w:after="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sz w:val="24"/>
          <w:szCs w:val="24"/>
          <w:highlight w:val="none"/>
          <w:lang w:val="en-US" w:eastAsia="zh-CN"/>
        </w:rPr>
        <w:t>集成中心厨房一卡通。</w:t>
      </w:r>
      <w:r>
        <w:rPr>
          <w:rFonts w:hint="eastAsia" w:ascii="宋体" w:hAnsi="宋体" w:eastAsia="宋体" w:cs="宋体"/>
          <w:color w:val="auto"/>
          <w:kern w:val="2"/>
          <w:sz w:val="24"/>
          <w:szCs w:val="24"/>
          <w:highlight w:val="none"/>
          <w:lang w:val="en-US" w:eastAsia="zh-CN" w:bidi="ar-SA"/>
        </w:rPr>
        <w:t>整合中心厨房一卡通系统，满足老年人或者老人子女网上订餐、网上充值，线下刷卡、刷脸就餐的需求，对在中央厨房就餐老人、数量、资金进行统计分析，支撑中央厨房补贴的精准发放。</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right="0" w:firstLine="482" w:firstLineChars="200"/>
        <w:textAlignment w:val="auto"/>
        <w:outlineLvl w:val="1"/>
        <w:rPr>
          <w:rFonts w:hint="eastAsia" w:ascii="宋体" w:hAnsi="宋体" w:eastAsia="宋体" w:cs="宋体"/>
          <w:b/>
          <w:bCs/>
          <w:color w:val="auto"/>
          <w:sz w:val="24"/>
          <w:szCs w:val="24"/>
          <w:highlight w:val="none"/>
          <w:lang w:val="en-US" w:eastAsia="zh-CN"/>
        </w:rPr>
      </w:pPr>
      <w:bookmarkStart w:id="156" w:name="_Toc3200"/>
      <w:r>
        <w:rPr>
          <w:rFonts w:hint="eastAsia" w:ascii="宋体" w:hAnsi="宋体" w:eastAsia="宋体" w:cs="宋体"/>
          <w:b/>
          <w:bCs/>
          <w:color w:val="auto"/>
          <w:sz w:val="24"/>
          <w:szCs w:val="24"/>
          <w:highlight w:val="none"/>
          <w:lang w:val="en-US" w:eastAsia="zh-CN"/>
        </w:rPr>
        <w:t>4.机构和居家评估管理系统</w:t>
      </w:r>
      <w:bookmarkEnd w:id="156"/>
    </w:p>
    <w:p>
      <w:pPr>
        <w:keepNext w:val="0"/>
        <w:keepLines w:val="0"/>
        <w:pageBreakBefore w:val="0"/>
        <w:kinsoku/>
        <w:wordWrap/>
        <w:overflowPunct/>
        <w:topLinePunct w:val="0"/>
        <w:autoSpaceDE/>
        <w:autoSpaceDN/>
        <w:bidi w:val="0"/>
        <w:snapToGrid/>
        <w:spacing w:before="10" w:after="1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整合已建的居家养老评估管理系统、机构养老评估管理系统，作为新平台的功能模块。评估移动端和管理后台增加老年人养老服务需求综合评估，支持通过评估移动端动态更新老年人基础数据，如老年人居住状态、户籍和居住住址、联系电话，联系人等信息。</w:t>
      </w:r>
    </w:p>
    <w:p>
      <w:pPr>
        <w:pStyle w:val="472"/>
        <w:keepNext w:val="0"/>
        <w:keepLines w:val="0"/>
        <w:pageBreakBefore w:val="0"/>
        <w:widowControl/>
        <w:kinsoku/>
        <w:wordWrap/>
        <w:overflowPunct/>
        <w:topLinePunct w:val="0"/>
        <w:autoSpaceDE/>
        <w:autoSpaceDN/>
        <w:bidi w:val="0"/>
        <w:adjustRightInd/>
        <w:snapToGrid/>
        <w:spacing w:before="10" w:after="10" w:line="360" w:lineRule="auto"/>
        <w:ind w:left="0" w:right="0" w:firstLine="482" w:firstLineChars="200"/>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157" w:name="_Toc20479"/>
      <w:r>
        <w:rPr>
          <w:rFonts w:hint="eastAsia" w:ascii="宋体" w:hAnsi="宋体" w:eastAsia="宋体" w:cs="宋体"/>
          <w:b/>
          <w:bCs/>
          <w:color w:val="auto"/>
          <w:kern w:val="2"/>
          <w:sz w:val="24"/>
          <w:szCs w:val="24"/>
          <w:highlight w:val="none"/>
          <w:lang w:val="en-US" w:eastAsia="zh-CN" w:bidi="ar-SA"/>
        </w:rPr>
        <w:t>（二）拓展建设业务系统功能模块</w:t>
      </w:r>
      <w:bookmarkEnd w:id="157"/>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right="0" w:firstLine="482" w:firstLineChars="200"/>
        <w:textAlignment w:val="auto"/>
        <w:outlineLvl w:val="1"/>
        <w:rPr>
          <w:rFonts w:hint="eastAsia" w:ascii="宋体" w:hAnsi="宋体" w:eastAsia="宋体" w:cs="宋体"/>
          <w:b/>
          <w:bCs/>
          <w:i w:val="0"/>
          <w:iCs w:val="0"/>
          <w:color w:val="auto"/>
          <w:sz w:val="24"/>
          <w:szCs w:val="24"/>
          <w:highlight w:val="none"/>
          <w:lang w:val="en-US" w:eastAsia="zh-CN"/>
        </w:rPr>
      </w:pPr>
      <w:bookmarkStart w:id="158" w:name="_Toc23355"/>
      <w:r>
        <w:rPr>
          <w:rFonts w:hint="eastAsia" w:ascii="宋体" w:hAnsi="宋体" w:eastAsia="宋体" w:cs="宋体"/>
          <w:b/>
          <w:bCs/>
          <w:i w:val="0"/>
          <w:iCs w:val="0"/>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养老服务</w:t>
      </w:r>
      <w:r>
        <w:rPr>
          <w:rFonts w:hint="eastAsia" w:ascii="宋体" w:hAnsi="宋体" w:eastAsia="宋体" w:cs="宋体"/>
          <w:b/>
          <w:bCs/>
          <w:i w:val="0"/>
          <w:iCs w:val="0"/>
          <w:color w:val="auto"/>
          <w:sz w:val="24"/>
          <w:szCs w:val="24"/>
          <w:highlight w:val="none"/>
          <w:lang w:val="en-US" w:eastAsia="zh-CN"/>
        </w:rPr>
        <w:t>基础数据管理系统</w:t>
      </w:r>
      <w:bookmarkEnd w:id="158"/>
    </w:p>
    <w:p>
      <w:pPr>
        <w:pStyle w:val="472"/>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lang w:val="en-US" w:eastAsia="zh-CN"/>
        </w:rPr>
        <w:t>1）建立全市统一的养老服务基础数据库，</w:t>
      </w:r>
      <w:r>
        <w:rPr>
          <w:rFonts w:hint="eastAsia" w:ascii="宋体" w:hAnsi="宋体" w:eastAsia="宋体" w:cs="宋体"/>
          <w:kern w:val="2"/>
          <w:sz w:val="24"/>
          <w:szCs w:val="24"/>
        </w:rPr>
        <w:t>为我市养老数据资源整合、业务协同和决策分析提供高质量的数据支撑。</w:t>
      </w:r>
      <w:r>
        <w:rPr>
          <w:rFonts w:hint="eastAsia" w:ascii="宋体" w:hAnsi="宋体" w:eastAsia="宋体" w:cs="宋体"/>
          <w:kern w:val="2"/>
          <w:sz w:val="24"/>
          <w:szCs w:val="24"/>
          <w:lang w:val="en-US" w:eastAsia="zh-CN"/>
        </w:rPr>
        <w:t>通过</w:t>
      </w:r>
      <w:r>
        <w:rPr>
          <w:rFonts w:hint="eastAsia" w:ascii="宋体" w:hAnsi="宋体" w:eastAsia="宋体" w:cs="宋体"/>
          <w:color w:val="auto"/>
          <w:sz w:val="24"/>
          <w:szCs w:val="24"/>
          <w:highlight w:val="none"/>
          <w:lang w:val="en-US" w:eastAsia="zh-CN"/>
        </w:rPr>
        <w:t>联动民政部门内部</w:t>
      </w:r>
      <w:r>
        <w:rPr>
          <w:rFonts w:hint="eastAsia" w:ascii="宋体" w:hAnsi="宋体" w:eastAsia="宋体" w:cs="宋体"/>
          <w:color w:val="auto"/>
          <w:sz w:val="24"/>
          <w:szCs w:val="24"/>
          <w:highlight w:val="none"/>
        </w:rPr>
        <w:t>尊老金、</w:t>
      </w:r>
      <w:r>
        <w:rPr>
          <w:rFonts w:hint="eastAsia" w:ascii="宋体" w:hAnsi="宋体" w:eastAsia="宋体" w:cs="宋体"/>
          <w:color w:val="auto"/>
          <w:sz w:val="24"/>
          <w:szCs w:val="24"/>
          <w:highlight w:val="none"/>
          <w:lang w:val="en-US" w:eastAsia="zh-CN"/>
        </w:rPr>
        <w:t>居家养老、</w:t>
      </w:r>
      <w:r>
        <w:rPr>
          <w:rFonts w:hint="eastAsia" w:ascii="宋体" w:hAnsi="宋体" w:eastAsia="宋体" w:cs="宋体"/>
          <w:color w:val="auto"/>
          <w:sz w:val="24"/>
          <w:szCs w:val="24"/>
          <w:highlight w:val="none"/>
        </w:rPr>
        <w:t>机构养老、养老评估、低保、特困、残疾人两项补贴、殡葬等各业务系统</w:t>
      </w:r>
      <w:r>
        <w:rPr>
          <w:rFonts w:hint="eastAsia" w:ascii="宋体" w:hAnsi="宋体" w:eastAsia="宋体" w:cs="宋体"/>
          <w:color w:val="auto"/>
          <w:sz w:val="24"/>
          <w:szCs w:val="24"/>
          <w:highlight w:val="none"/>
          <w:lang w:val="en-US" w:eastAsia="zh-CN"/>
        </w:rPr>
        <w:t>数据</w:t>
      </w:r>
      <w:r>
        <w:rPr>
          <w:rFonts w:hint="eastAsia" w:ascii="宋体" w:hAnsi="宋体" w:eastAsia="宋体" w:cs="宋体"/>
          <w:color w:val="auto"/>
          <w:sz w:val="24"/>
          <w:szCs w:val="24"/>
          <w:highlight w:val="none"/>
        </w:rPr>
        <w:t>，接入公安户籍、老龄健康、失独家庭、长期护理保险等数据，动态汇聚老年人基本信息、居住状况、身体状况、自理能力、社会保障、养老需求等</w:t>
      </w:r>
      <w:r>
        <w:rPr>
          <w:rFonts w:hint="eastAsia" w:ascii="宋体" w:hAnsi="宋体" w:eastAsia="宋体" w:cs="宋体"/>
          <w:color w:val="auto"/>
          <w:sz w:val="24"/>
          <w:szCs w:val="24"/>
          <w:highlight w:val="none"/>
          <w:lang w:val="en-US" w:eastAsia="zh-CN"/>
        </w:rPr>
        <w:t>老年人</w:t>
      </w:r>
      <w:r>
        <w:rPr>
          <w:rFonts w:hint="eastAsia" w:ascii="宋体" w:hAnsi="宋体" w:eastAsia="宋体" w:cs="宋体"/>
          <w:color w:val="auto"/>
          <w:sz w:val="24"/>
          <w:szCs w:val="24"/>
          <w:highlight w:val="none"/>
        </w:rPr>
        <w:t>基础信息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汇聚养老服务设施和养老服务组织等信息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实现老年人人口、服务、保障等基础信息分类管理。</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根据“大数据”生成扬州市老年人</w:t>
      </w:r>
      <w:r>
        <w:rPr>
          <w:rFonts w:hint="eastAsia" w:ascii="宋体" w:hAnsi="宋体" w:eastAsia="宋体" w:cs="宋体"/>
          <w:color w:val="auto"/>
          <w:sz w:val="24"/>
          <w:szCs w:val="24"/>
          <w:highlight w:val="none"/>
          <w:lang w:val="en-US" w:eastAsia="zh-CN"/>
        </w:rPr>
        <w:t>养老需求</w:t>
      </w:r>
      <w:r>
        <w:rPr>
          <w:rFonts w:hint="eastAsia" w:ascii="宋体" w:hAnsi="宋体" w:eastAsia="宋体" w:cs="宋体"/>
          <w:color w:val="auto"/>
          <w:sz w:val="24"/>
          <w:szCs w:val="24"/>
          <w:highlight w:val="none"/>
        </w:rPr>
        <w:t>分布图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养老服务设施和组织分布图</w:t>
      </w:r>
      <w:r>
        <w:rPr>
          <w:rFonts w:hint="eastAsia" w:ascii="宋体" w:hAnsi="宋体" w:eastAsia="宋体" w:cs="宋体"/>
          <w:color w:val="auto"/>
          <w:sz w:val="24"/>
          <w:szCs w:val="24"/>
          <w:highlight w:val="none"/>
        </w:rPr>
        <w:t>，为养老服务设施功能定位、建设选址提供地理信息依据，为养老服务政策制定，提供数据支撑。</w:t>
      </w:r>
    </w:p>
    <w:p>
      <w:pPr>
        <w:keepNext w:val="0"/>
        <w:keepLines w:val="0"/>
        <w:pageBreakBefore w:val="0"/>
        <w:kinsoku/>
        <w:wordWrap/>
        <w:overflowPunct/>
        <w:topLinePunct w:val="0"/>
        <w:autoSpaceDE/>
        <w:autoSpaceDN/>
        <w:bidi w:val="0"/>
        <w:spacing w:before="10" w:after="10" w:line="360" w:lineRule="auto"/>
        <w:ind w:left="0" w:right="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（3）支持</w:t>
      </w:r>
      <w:r>
        <w:rPr>
          <w:rFonts w:hint="eastAsia" w:ascii="宋体" w:hAnsi="宋体" w:eastAsia="宋体" w:cs="宋体"/>
          <w:color w:val="auto"/>
          <w:sz w:val="24"/>
          <w:szCs w:val="24"/>
          <w:highlight w:val="none"/>
          <w:lang w:val="en-US" w:eastAsia="zh-CN"/>
        </w:rPr>
        <w:t>信息共享和分级互联，支持</w:t>
      </w:r>
      <w:r>
        <w:rPr>
          <w:rFonts w:hint="eastAsia" w:ascii="宋体" w:hAnsi="宋体" w:eastAsia="宋体" w:cs="宋体"/>
          <w:color w:val="auto"/>
          <w:kern w:val="2"/>
          <w:sz w:val="24"/>
          <w:szCs w:val="24"/>
          <w:highlight w:val="none"/>
          <w:lang w:val="en-US" w:eastAsia="zh-CN" w:bidi="ar-SA"/>
        </w:rPr>
        <w:t>各类数据与已有各功能模块的互通和动态更新；支持数据导入、手动录入、更新、删除和导出各类基础数据。</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right="0" w:firstLine="482" w:firstLineChars="200"/>
        <w:textAlignment w:val="auto"/>
        <w:outlineLvl w:val="1"/>
        <w:rPr>
          <w:rFonts w:hint="eastAsia" w:ascii="宋体" w:hAnsi="宋体" w:eastAsia="宋体" w:cs="宋体"/>
          <w:color w:val="000000"/>
          <w:kern w:val="2"/>
          <w:sz w:val="24"/>
          <w:szCs w:val="24"/>
          <w:highlight w:val="none"/>
          <w:lang w:val="en-US" w:eastAsia="zh-CN" w:bidi="ar-SA"/>
        </w:rPr>
      </w:pPr>
      <w:bookmarkStart w:id="159" w:name="_Toc12242"/>
      <w:r>
        <w:rPr>
          <w:rFonts w:hint="eastAsia" w:ascii="宋体" w:hAnsi="宋体" w:eastAsia="宋体" w:cs="宋体"/>
          <w:b/>
          <w:bCs/>
          <w:color w:val="auto"/>
          <w:sz w:val="24"/>
          <w:szCs w:val="24"/>
          <w:highlight w:val="none"/>
          <w:lang w:val="en-US" w:eastAsia="zh-CN"/>
        </w:rPr>
        <w:t>2.特殊老年人关爱管理系统</w:t>
      </w:r>
      <w:bookmarkEnd w:id="159"/>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right="0" w:firstLine="480" w:firstLineChars="200"/>
        <w:textAlignment w:val="auto"/>
        <w:outlineLvl w:val="9"/>
        <w:rPr>
          <w:rFonts w:hint="eastAsia" w:ascii="宋体" w:hAnsi="宋体" w:eastAsia="宋体" w:cs="宋体"/>
          <w:b w:val="0"/>
          <w:bCs w:val="0"/>
          <w:color w:val="auto"/>
          <w:sz w:val="24"/>
          <w:szCs w:val="24"/>
          <w:highlight w:val="none"/>
          <w:lang w:val="en-US" w:eastAsia="zh-CN"/>
        </w:rPr>
      </w:pPr>
      <w:bookmarkStart w:id="160" w:name="_Toc18985"/>
      <w:r>
        <w:rPr>
          <w:rFonts w:hint="eastAsia" w:ascii="宋体" w:hAnsi="宋体" w:eastAsia="宋体" w:cs="宋体"/>
          <w:b w:val="0"/>
          <w:bCs w:val="0"/>
          <w:color w:val="auto"/>
          <w:sz w:val="24"/>
          <w:szCs w:val="24"/>
          <w:highlight w:val="none"/>
          <w:lang w:val="en-US" w:eastAsia="zh-CN"/>
        </w:rPr>
        <w:t>（1）走访探视管理</w:t>
      </w:r>
      <w:bookmarkEnd w:id="160"/>
    </w:p>
    <w:p>
      <w:pPr>
        <w:pStyle w:val="473"/>
        <w:keepNext w:val="0"/>
        <w:keepLines w:val="0"/>
        <w:pageBreakBefore w:val="0"/>
        <w:kinsoku/>
        <w:wordWrap/>
        <w:overflowPunct/>
        <w:topLinePunct w:val="0"/>
        <w:autoSpaceDE/>
        <w:autoSpaceDN/>
        <w:bidi w:val="0"/>
        <w:spacing w:before="10" w:after="10" w:line="360" w:lineRule="auto"/>
        <w:ind w:left="0" w:right="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发移动端应用辅助乡镇、社区工作者、志愿者对空巢独居、留守老人等特殊困难老人的进行探视管理、工作留痕，包括对走访探视对象进行信息采集，定时更新最新信息和走访情况，并与市域网格化治理平台进行数据对接，实现走访探视的数据的互联互通和网格员的及时处置。</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righ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bookmarkStart w:id="161" w:name="_Toc13210"/>
      <w:r>
        <w:rPr>
          <w:rFonts w:hint="eastAsia" w:ascii="宋体" w:hAnsi="宋体" w:eastAsia="宋体" w:cs="宋体"/>
          <w:b w:val="0"/>
          <w:bCs w:val="0"/>
          <w:color w:val="auto"/>
          <w:sz w:val="24"/>
          <w:szCs w:val="24"/>
          <w:highlight w:val="none"/>
          <w:lang w:val="en-US" w:eastAsia="zh-CN"/>
        </w:rPr>
        <w:t>智能设备监测和应急处置</w:t>
      </w:r>
      <w:bookmarkEnd w:id="161"/>
    </w:p>
    <w:p>
      <w:pPr>
        <w:pStyle w:val="48"/>
        <w:keepNext w:val="0"/>
        <w:keepLines w:val="0"/>
        <w:pageBreakBefore w:val="0"/>
        <w:shd w:val="clear" w:color="auto" w:fill="FFFFFF"/>
        <w:tabs>
          <w:tab w:val="left" w:pos="645"/>
        </w:tabs>
        <w:kinsoku/>
        <w:wordWrap/>
        <w:overflowPunct/>
        <w:topLinePunct w:val="0"/>
        <w:autoSpaceDE/>
        <w:autoSpaceDN/>
        <w:bidi w:val="0"/>
        <w:snapToGrid/>
        <w:spacing w:before="10" w:beforeAutospacing="0" w:after="10" w:afterAutospacing="0" w:line="360" w:lineRule="auto"/>
        <w:ind w:left="0" w:right="0"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以广陵区为试点，集成广陵区内养老服务服务商的智能监测设备平台，接入适老化改造、家庭养老床位等家庭（老人）配备的智能监测设备，实时获取特困、失独、独居、低保、残疾等特殊困难老人配备的智能设备（智能手环、烟雾报警、门磁等）的实时数据，实时监测老人居家与在外安全。支持与呼叫中心的联动，支持异常报警-呼叫中心处理派单-服务人员或网格员上门处理并反馈结果-呼叫中心回访的应急处置流程。</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righ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（3）关键数据比对提醒和处置</w:t>
      </w:r>
    </w:p>
    <w:p>
      <w:pPr>
        <w:pStyle w:val="48"/>
        <w:keepNext w:val="0"/>
        <w:keepLines w:val="0"/>
        <w:pageBreakBefore w:val="0"/>
        <w:shd w:val="clear" w:color="auto" w:fill="FFFFFF"/>
        <w:tabs>
          <w:tab w:val="left" w:pos="645"/>
        </w:tabs>
        <w:kinsoku/>
        <w:wordWrap/>
        <w:overflowPunct/>
        <w:topLinePunct w:val="0"/>
        <w:autoSpaceDE/>
        <w:autoSpaceDN/>
        <w:bidi w:val="0"/>
        <w:snapToGrid/>
        <w:spacing w:before="10" w:beforeAutospacing="0" w:after="10" w:afterAutospacing="0" w:line="360" w:lineRule="auto"/>
        <w:ind w:left="0" w:right="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通过大数据共享交换平台的数据接口，获取特殊困难家庭日常水、电、气使用实时数据，对使用情况进行分析，发现异常自动提醒，并与呼叫中心联动处置，防止老人发生意外。</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right="0" w:firstLine="482" w:firstLineChars="200"/>
        <w:textAlignment w:val="auto"/>
        <w:outlineLvl w:val="1"/>
        <w:rPr>
          <w:rFonts w:hint="eastAsia" w:ascii="宋体" w:hAnsi="宋体" w:eastAsia="宋体" w:cs="宋体"/>
          <w:b/>
          <w:bCs/>
          <w:color w:val="auto"/>
          <w:sz w:val="24"/>
          <w:szCs w:val="24"/>
          <w:highlight w:val="none"/>
          <w:lang w:val="en-US" w:eastAsia="zh-CN"/>
        </w:rPr>
      </w:pPr>
      <w:bookmarkStart w:id="162" w:name="_Toc1608"/>
      <w:bookmarkStart w:id="163" w:name="_Toc18038"/>
      <w:bookmarkStart w:id="164" w:name="_Toc10460"/>
      <w:r>
        <w:rPr>
          <w:rFonts w:hint="eastAsia" w:ascii="宋体" w:hAnsi="宋体" w:eastAsia="宋体" w:cs="宋体"/>
          <w:b/>
          <w:bCs/>
          <w:color w:val="auto"/>
          <w:sz w:val="24"/>
          <w:szCs w:val="24"/>
          <w:highlight w:val="none"/>
          <w:lang w:val="en-US" w:eastAsia="zh-CN"/>
        </w:rPr>
        <w:t>3.“我的扬州”民政养老服务掌厅</w:t>
      </w:r>
      <w:bookmarkEnd w:id="162"/>
      <w:bookmarkEnd w:id="163"/>
      <w:bookmarkEnd w:id="164"/>
    </w:p>
    <w:p>
      <w:pPr>
        <w:pStyle w:val="48"/>
        <w:keepNext w:val="0"/>
        <w:keepLines w:val="0"/>
        <w:pageBreakBefore w:val="0"/>
        <w:shd w:val="clear" w:color="auto" w:fill="FFFFFF"/>
        <w:tabs>
          <w:tab w:val="left" w:pos="645"/>
        </w:tabs>
        <w:kinsoku/>
        <w:wordWrap/>
        <w:overflowPunct/>
        <w:topLinePunct w:val="0"/>
        <w:autoSpaceDE/>
        <w:autoSpaceDN/>
        <w:bidi w:val="0"/>
        <w:snapToGrid/>
        <w:spacing w:before="10" w:beforeAutospacing="0" w:after="1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将平台各功能模块的养老移动应用以H5版本嵌入到“我的扬州”app，并与养老服务平台后端进行联动，接入“我的扬州”APP实名认证体系，按照根据账号不同的角色和权限，面向不同人群提供不同的服务和功能。</w:t>
      </w:r>
    </w:p>
    <w:p>
      <w:pPr>
        <w:pStyle w:val="472"/>
        <w:pageBreakBefore w:val="0"/>
        <w:numPr>
          <w:ilvl w:val="0"/>
          <w:numId w:val="12"/>
        </w:numPr>
        <w:kinsoku/>
        <w:wordWrap/>
        <w:overflowPunct/>
        <w:topLinePunct w:val="0"/>
        <w:autoSpaceDE/>
        <w:autoSpaceDN/>
        <w:bidi w:val="0"/>
        <w:spacing w:line="360" w:lineRule="auto"/>
        <w:ind w:firstLine="48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面向公众，</w:t>
      </w:r>
      <w:r>
        <w:rPr>
          <w:rFonts w:hint="eastAsia" w:ascii="宋体" w:hAnsi="宋体" w:eastAsia="宋体" w:cs="宋体"/>
          <w:color w:val="auto"/>
          <w:kern w:val="2"/>
          <w:sz w:val="24"/>
          <w:szCs w:val="24"/>
          <w:highlight w:val="none"/>
          <w:lang w:val="en-US" w:eastAsia="zh-CN"/>
        </w:rPr>
        <w:t>提供养老服务顾问服务，可通过养老服务地图查询各类养老服务机构、养老服务组织和服务信息，查询养老服 务政策和基本养老服务目录，，进行养老服务咨询和投诉；提供尊老金、政府购买居家服务在线申请和中心厨房个性化定餐、充值，支持子女代办。</w:t>
      </w:r>
    </w:p>
    <w:p>
      <w:pPr>
        <w:pStyle w:val="472"/>
        <w:pageBreakBefore w:val="0"/>
        <w:numPr>
          <w:ilvl w:val="0"/>
          <w:numId w:val="0"/>
        </w:numPr>
        <w:kinsoku/>
        <w:wordWrap/>
        <w:overflowPunct/>
        <w:topLinePunct w:val="0"/>
        <w:autoSpaceDE/>
        <w:autoSpaceDN/>
        <w:bidi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（2）面向基层经办人员</w:t>
      </w:r>
      <w:r>
        <w:rPr>
          <w:rFonts w:hint="eastAsia" w:ascii="宋体" w:hAnsi="宋体" w:eastAsia="宋体" w:cs="宋体"/>
          <w:color w:val="auto"/>
          <w:kern w:val="2"/>
          <w:sz w:val="24"/>
          <w:szCs w:val="24"/>
          <w:highlight w:val="none"/>
          <w:lang w:val="en-US" w:eastAsia="zh-CN"/>
        </w:rPr>
        <w:t>，提供尊老金和政府购买居家养老服务在线受理、审核审批、智能查询、智能提醒、困难老人走访探视等功能。</w:t>
      </w:r>
    </w:p>
    <w:p>
      <w:pPr>
        <w:pStyle w:val="472"/>
        <w:pageBreakBefore w:val="0"/>
        <w:numPr>
          <w:ilvl w:val="0"/>
          <w:numId w:val="0"/>
        </w:numPr>
        <w:kinsoku/>
        <w:wordWrap/>
        <w:overflowPunct/>
        <w:topLinePunct w:val="0"/>
        <w:autoSpaceDE/>
        <w:autoSpaceDN/>
        <w:bidi w:val="0"/>
        <w:spacing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（3）面向第三方评估机构</w:t>
      </w:r>
      <w:r>
        <w:rPr>
          <w:rFonts w:hint="eastAsia" w:ascii="宋体" w:hAnsi="宋体" w:eastAsia="宋体" w:cs="宋体"/>
          <w:color w:val="auto"/>
          <w:kern w:val="2"/>
          <w:sz w:val="24"/>
          <w:szCs w:val="24"/>
          <w:highlight w:val="none"/>
          <w:lang w:val="en-US" w:eastAsia="zh-CN"/>
        </w:rPr>
        <w:t>，提供居家养老对象、机构养老对象自理能力评估、养老服务需求综合评估。</w:t>
      </w:r>
    </w:p>
    <w:p>
      <w:pPr>
        <w:pStyle w:val="472"/>
        <w:pageBreakBefore w:val="0"/>
        <w:numPr>
          <w:ilvl w:val="0"/>
          <w:numId w:val="0"/>
        </w:numPr>
        <w:kinsoku/>
        <w:wordWrap/>
        <w:overflowPunct/>
        <w:topLinePunct w:val="0"/>
        <w:autoSpaceDE/>
        <w:autoSpaceDN/>
        <w:bidi w:val="0"/>
        <w:spacing w:line="360" w:lineRule="auto"/>
        <w:ind w:firstLine="48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（4）面向助老员，提供政府购买居家养老服务上门服务和结算，支持</w:t>
      </w:r>
      <w:r>
        <w:rPr>
          <w:rFonts w:hint="eastAsia" w:ascii="宋体" w:hAnsi="宋体" w:eastAsia="宋体" w:cs="宋体"/>
          <w:color w:val="auto"/>
          <w:kern w:val="2"/>
          <w:sz w:val="24"/>
          <w:szCs w:val="24"/>
          <w:highlight w:val="none"/>
          <w:lang w:val="en-US" w:eastAsia="zh-CN" w:bidi="ar-SA"/>
        </w:rPr>
        <w:t>拍照上传、定位、视频通话、扫码、刷卡、人脸识别和服务对象信息更新。</w:t>
      </w:r>
    </w:p>
    <w:p>
      <w:pPr>
        <w:keepNext w:val="0"/>
        <w:keepLines w:val="0"/>
        <w:pageBreakBefore w:val="0"/>
        <w:kinsoku/>
        <w:wordWrap/>
        <w:overflowPunct/>
        <w:topLinePunct w:val="0"/>
        <w:autoSpaceDE/>
        <w:autoSpaceDN/>
        <w:bidi w:val="0"/>
        <w:spacing w:before="10" w:after="10" w:line="360" w:lineRule="auto"/>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（5）面向养老机构，提供对入住老人和享受津补贴养老护理员进行定期打卡，支持扫码、人脸识别等方式。</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baseline"/>
        <w:outlineLvl w:val="1"/>
        <w:rPr>
          <w:rFonts w:hint="eastAsia" w:ascii="宋体" w:hAnsi="宋体" w:eastAsia="宋体" w:cs="宋体"/>
          <w:b/>
          <w:bCs/>
          <w:color w:val="auto"/>
          <w:kern w:val="2"/>
          <w:sz w:val="24"/>
          <w:szCs w:val="24"/>
          <w:highlight w:val="none"/>
          <w:lang w:val="en-US" w:eastAsia="zh-CN" w:bidi="ar-SA"/>
        </w:rPr>
      </w:pPr>
      <w:bookmarkStart w:id="165" w:name="_Toc3133"/>
      <w:r>
        <w:rPr>
          <w:rFonts w:hint="eastAsia" w:ascii="宋体" w:hAnsi="宋体" w:eastAsia="宋体" w:cs="宋体"/>
          <w:b/>
          <w:bCs/>
          <w:color w:val="auto"/>
          <w:kern w:val="2"/>
          <w:sz w:val="24"/>
          <w:szCs w:val="24"/>
          <w:highlight w:val="none"/>
          <w:lang w:val="en-US" w:eastAsia="zh-CN" w:bidi="ar-SA"/>
        </w:rPr>
        <w:t>4、养老服务顾问小程序</w:t>
      </w:r>
      <w:bookmarkEnd w:id="165"/>
    </w:p>
    <w:p>
      <w:pPr>
        <w:keepNext w:val="0"/>
        <w:keepLines w:val="0"/>
        <w:pageBreakBefore w:val="0"/>
        <w:kinsoku/>
        <w:wordWrap/>
        <w:overflowPunct/>
        <w:topLinePunct w:val="0"/>
        <w:autoSpaceDE/>
        <w:autoSpaceDN/>
        <w:bidi w:val="0"/>
        <w:spacing w:before="10" w:after="1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将我的扬州app养老服务掌厅中面向公众端服务内容，以微信小程序呈现，通过小程序传播的快捷性，更加便于公众查询养老服务供给具体信息。</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baseline"/>
        <w:outlineLvl w:val="1"/>
        <w:rPr>
          <w:rFonts w:hint="eastAsia" w:ascii="宋体" w:hAnsi="宋体" w:eastAsia="宋体" w:cs="宋体"/>
          <w:b/>
          <w:bCs/>
          <w:color w:val="auto"/>
          <w:kern w:val="2"/>
          <w:sz w:val="24"/>
          <w:szCs w:val="24"/>
          <w:highlight w:val="none"/>
          <w:lang w:val="en-US" w:eastAsia="zh-CN" w:bidi="ar-SA"/>
        </w:rPr>
      </w:pPr>
      <w:bookmarkStart w:id="166" w:name="_Toc7628"/>
      <w:r>
        <w:rPr>
          <w:rFonts w:hint="eastAsia" w:ascii="宋体" w:hAnsi="宋体" w:eastAsia="宋体" w:cs="宋体"/>
          <w:b/>
          <w:bCs/>
          <w:color w:val="auto"/>
          <w:kern w:val="2"/>
          <w:sz w:val="24"/>
          <w:szCs w:val="24"/>
          <w:highlight w:val="none"/>
          <w:lang w:val="en-US" w:eastAsia="zh-CN" w:bidi="ar-SA"/>
        </w:rPr>
        <w:t>5、养老呼叫中心</w:t>
      </w:r>
      <w:bookmarkEnd w:id="166"/>
    </w:p>
    <w:p>
      <w:pPr>
        <w:keepNext w:val="0"/>
        <w:keepLines w:val="0"/>
        <w:pageBreakBefore w:val="0"/>
        <w:kinsoku/>
        <w:wordWrap/>
        <w:overflowPunct/>
        <w:topLinePunct w:val="0"/>
        <w:autoSpaceDE/>
        <w:autoSpaceDN/>
        <w:bidi w:val="0"/>
        <w:spacing w:before="10" w:after="10" w:line="360" w:lineRule="auto"/>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支持集成呼叫电话设备，承接居民关于养老工作的政策法规咨询、居家上门服务预约、服务需求转介、投诉受理业务。具备与居家养老服务系统相衔接，实现政府购买居家养服务“工单派遣、留痕记录、电话录音、数据存储、分析统计”功能。支持县（区）配备语言呼叫程控设备后共用。</w:t>
      </w:r>
    </w:p>
    <w:p>
      <w:pPr>
        <w:keepNext w:val="0"/>
        <w:keepLines w:val="0"/>
        <w:pageBreakBefore w:val="0"/>
        <w:kinsoku/>
        <w:wordWrap/>
        <w:overflowPunct/>
        <w:topLinePunct w:val="0"/>
        <w:autoSpaceDE/>
        <w:autoSpaceDN/>
        <w:bidi w:val="0"/>
        <w:spacing w:before="10" w:after="10" w:line="360" w:lineRule="auto"/>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（1）热线诉求呼入支持</w:t>
      </w:r>
    </w:p>
    <w:p>
      <w:pPr>
        <w:keepNext w:val="0"/>
        <w:keepLines w:val="0"/>
        <w:pageBreakBefore w:val="0"/>
        <w:kinsoku/>
        <w:wordWrap/>
        <w:overflowPunct/>
        <w:topLinePunct w:val="0"/>
        <w:autoSpaceDE/>
        <w:autoSpaceDN/>
        <w:bidi w:val="0"/>
        <w:spacing w:before="10" w:after="10" w:line="360" w:lineRule="auto"/>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（2）工单形成及流转，支持根据热线内容录入工单信息，并根据对象所属区域自动分配居家养老服务服务商，将预约服务工单信息推送至服务商用户。</w:t>
      </w:r>
    </w:p>
    <w:p>
      <w:pPr>
        <w:keepNext w:val="0"/>
        <w:keepLines w:val="0"/>
        <w:pageBreakBefore w:val="0"/>
        <w:kinsoku/>
        <w:wordWrap/>
        <w:overflowPunct/>
        <w:topLinePunct w:val="0"/>
        <w:autoSpaceDE/>
        <w:autoSpaceDN/>
        <w:bidi w:val="0"/>
        <w:spacing w:before="10" w:after="10" w:line="360" w:lineRule="auto"/>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（3）支持工单回访及满意度调查，支持系统生成回访工单列表，可根据回访内容录入信息及满意度调查情况，并实时推送给平台中服务商用户</w:t>
      </w:r>
    </w:p>
    <w:p>
      <w:pPr>
        <w:keepNext w:val="0"/>
        <w:keepLines w:val="0"/>
        <w:pageBreakBefore w:val="0"/>
        <w:kinsoku/>
        <w:wordWrap/>
        <w:overflowPunct/>
        <w:topLinePunct w:val="0"/>
        <w:autoSpaceDE/>
        <w:autoSpaceDN/>
        <w:bidi w:val="0"/>
        <w:spacing w:before="10" w:after="10" w:line="360" w:lineRule="auto"/>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异常提醒和处置，支持接收智能硬件监测到的异常信息、智能比对分析异常信息，及时提醒呼叫中心工作人员应急处置，调用系统内应急通讯录，呼叫相应人员前去查看。支持通过地图查看异常信息位置信息、记录整个处置流程信息。</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baseline"/>
        <w:outlineLvl w:val="1"/>
        <w:rPr>
          <w:rFonts w:hint="eastAsia" w:ascii="宋体" w:hAnsi="宋体" w:eastAsia="宋体" w:cs="宋体"/>
          <w:b/>
          <w:bCs/>
          <w:color w:val="auto"/>
          <w:kern w:val="2"/>
          <w:sz w:val="24"/>
          <w:szCs w:val="24"/>
          <w:highlight w:val="none"/>
          <w:lang w:val="en-US" w:eastAsia="zh-CN" w:bidi="ar-SA"/>
        </w:rPr>
      </w:pPr>
      <w:bookmarkStart w:id="167" w:name="_Toc17986"/>
      <w:bookmarkStart w:id="168" w:name="_Toc10338"/>
      <w:bookmarkStart w:id="169" w:name="_Toc126"/>
      <w:r>
        <w:rPr>
          <w:rFonts w:hint="eastAsia" w:ascii="宋体" w:hAnsi="宋体" w:eastAsia="宋体" w:cs="宋体"/>
          <w:b/>
          <w:bCs/>
          <w:color w:val="auto"/>
          <w:kern w:val="2"/>
          <w:sz w:val="24"/>
          <w:szCs w:val="24"/>
          <w:highlight w:val="none"/>
          <w:lang w:val="en-US" w:eastAsia="zh-CN" w:bidi="ar-SA"/>
        </w:rPr>
        <w:t>6.养老服务可视化云图</w:t>
      </w:r>
      <w:bookmarkEnd w:id="167"/>
      <w:bookmarkEnd w:id="168"/>
      <w:bookmarkEnd w:id="169"/>
    </w:p>
    <w:p>
      <w:pPr>
        <w:keepNext w:val="0"/>
        <w:keepLines w:val="0"/>
        <w:pageBreakBefore w:val="0"/>
        <w:kinsoku/>
        <w:wordWrap/>
        <w:overflowPunct/>
        <w:topLinePunct w:val="0"/>
        <w:autoSpaceDE/>
        <w:autoSpaceDN/>
        <w:bidi w:val="0"/>
        <w:spacing w:before="10" w:after="10" w:line="360" w:lineRule="auto"/>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汇聚全市养老基础数据信息，包括老年人、养老服务用房、养老机构、居家服务机构、养老服务组织、</w:t>
      </w:r>
      <w:r>
        <w:rPr>
          <w:rFonts w:hint="eastAsia" w:ascii="宋体" w:hAnsi="宋体" w:eastAsia="宋体" w:cs="宋体"/>
          <w:color w:val="auto"/>
          <w:sz w:val="24"/>
          <w:szCs w:val="24"/>
          <w:highlight w:val="none"/>
          <w:lang w:val="en-US" w:eastAsia="zh-CN"/>
        </w:rPr>
        <w:t>居家</w:t>
      </w:r>
      <w:r>
        <w:rPr>
          <w:rFonts w:hint="eastAsia" w:ascii="宋体" w:hAnsi="宋体" w:eastAsia="宋体" w:cs="宋体"/>
          <w:color w:val="auto"/>
          <w:sz w:val="24"/>
          <w:szCs w:val="24"/>
          <w:highlight w:val="none"/>
        </w:rPr>
        <w:t>上门服务人员等GIS电子地图区域分布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bidi="ar-SA"/>
        </w:rPr>
        <w:t>集成居家实时服务数据、实时呼叫数据、实时分析统计数据，</w:t>
      </w:r>
      <w:r>
        <w:rPr>
          <w:rFonts w:hint="eastAsia" w:ascii="宋体" w:hAnsi="宋体" w:eastAsia="宋体" w:cs="宋体"/>
          <w:color w:val="auto"/>
          <w:sz w:val="24"/>
          <w:szCs w:val="24"/>
          <w:highlight w:val="none"/>
        </w:rPr>
        <w:t>展示养老服务记录跟踪情况，实现大屏视频呼叫功能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以及预警功能，</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详尽有效的信息和动态灵活的分析机制</w:t>
      </w:r>
      <w:r>
        <w:rPr>
          <w:rFonts w:hint="eastAsia" w:ascii="宋体" w:hAnsi="宋体" w:eastAsia="宋体" w:cs="宋体"/>
          <w:color w:val="auto"/>
          <w:sz w:val="24"/>
          <w:szCs w:val="24"/>
          <w:highlight w:val="none"/>
          <w:lang w:eastAsia="zh-CN"/>
        </w:rPr>
        <w:t>，实现养老</w:t>
      </w:r>
      <w:r>
        <w:rPr>
          <w:rFonts w:hint="eastAsia" w:ascii="宋体" w:hAnsi="宋体" w:eastAsia="宋体" w:cs="宋体"/>
          <w:color w:val="auto"/>
          <w:sz w:val="24"/>
          <w:szCs w:val="24"/>
          <w:highlight w:val="none"/>
          <w:lang w:val="en-US" w:eastAsia="zh-CN"/>
        </w:rPr>
        <w:t>服务基础</w:t>
      </w:r>
      <w:r>
        <w:rPr>
          <w:rFonts w:hint="eastAsia" w:ascii="宋体" w:hAnsi="宋体" w:eastAsia="宋体" w:cs="宋体"/>
          <w:color w:val="auto"/>
          <w:sz w:val="24"/>
          <w:szCs w:val="24"/>
          <w:highlight w:val="none"/>
          <w:lang w:eastAsia="zh-CN"/>
        </w:rPr>
        <w:t>数据、</w:t>
      </w:r>
      <w:r>
        <w:rPr>
          <w:rFonts w:hint="eastAsia" w:ascii="宋体" w:hAnsi="宋体" w:eastAsia="宋体" w:cs="宋体"/>
          <w:color w:val="auto"/>
          <w:sz w:val="24"/>
          <w:szCs w:val="24"/>
          <w:highlight w:val="none"/>
          <w:lang w:val="en-US" w:eastAsia="zh-CN"/>
        </w:rPr>
        <w:t>监管数据、资金结算数据可视化，便于市、县（区）两级服务质量指导中心进行监管。</w:t>
      </w:r>
    </w:p>
    <w:p>
      <w:pPr>
        <w:pStyle w:val="472"/>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textAlignment w:val="auto"/>
        <w:outlineLvl w:val="0"/>
        <w:rPr>
          <w:rFonts w:hint="eastAsia" w:ascii="宋体" w:hAnsi="宋体" w:eastAsia="宋体" w:cs="宋体"/>
          <w:color w:val="auto"/>
          <w:kern w:val="2"/>
          <w:sz w:val="24"/>
          <w:szCs w:val="24"/>
          <w:highlight w:val="none"/>
          <w:lang w:val="en-US" w:eastAsia="zh-CN"/>
        </w:rPr>
      </w:pPr>
      <w:r>
        <w:rPr>
          <w:rFonts w:hint="eastAsia" w:ascii="宋体" w:hAnsi="宋体" w:eastAsia="宋体" w:cs="宋体"/>
          <w:sz w:val="24"/>
          <w:szCs w:val="24"/>
          <w:lang w:val="en-US" w:eastAsia="zh-CN"/>
        </w:rPr>
        <w:t xml:space="preserve">  </w:t>
      </w:r>
      <w:bookmarkStart w:id="170" w:name="_Toc29432"/>
      <w:r>
        <w:rPr>
          <w:rFonts w:hint="eastAsia" w:ascii="宋体" w:hAnsi="宋体" w:eastAsia="宋体" w:cs="宋体"/>
          <w:b/>
          <w:bCs/>
          <w:color w:val="auto"/>
          <w:kern w:val="2"/>
          <w:sz w:val="24"/>
          <w:szCs w:val="24"/>
          <w:highlight w:val="none"/>
          <w:lang w:val="en-US" w:eastAsia="zh-CN"/>
        </w:rPr>
        <w:t>（三）系统对接和数据共享</w:t>
      </w:r>
      <w:bookmarkEnd w:id="170"/>
    </w:p>
    <w:p>
      <w:pPr>
        <w:pStyle w:val="472"/>
        <w:pageBreakBefore w:val="0"/>
        <w:numPr>
          <w:ilvl w:val="0"/>
          <w:numId w:val="0"/>
        </w:numPr>
        <w:kinsoku/>
        <w:wordWrap/>
        <w:overflowPunct/>
        <w:topLinePunct w:val="0"/>
        <w:autoSpaceDE/>
        <w:autoSpaceDN/>
        <w:bidi w:val="0"/>
        <w:spacing w:line="360" w:lineRule="auto"/>
        <w:ind w:left="0" w:leftChars="0" w:firstLine="240" w:firstLineChars="100"/>
        <w:rPr>
          <w:rFonts w:hint="eastAsia" w:ascii="宋体" w:hAnsi="宋体" w:eastAsia="宋体" w:cs="宋体"/>
          <w:color w:val="auto"/>
          <w:kern w:val="2"/>
          <w:sz w:val="24"/>
          <w:szCs w:val="24"/>
          <w:highlight w:val="none"/>
        </w:rPr>
      </w:pPr>
      <w:bookmarkStart w:id="171" w:name="_Toc32480"/>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与</w:t>
      </w:r>
      <w:r>
        <w:rPr>
          <w:rFonts w:hint="eastAsia" w:ascii="宋体" w:hAnsi="宋体" w:eastAsia="宋体" w:cs="宋体"/>
          <w:color w:val="auto"/>
          <w:kern w:val="2"/>
          <w:sz w:val="24"/>
          <w:szCs w:val="24"/>
          <w:highlight w:val="none"/>
        </w:rPr>
        <w:t>大数据共享交换平台数据</w:t>
      </w:r>
      <w:bookmarkEnd w:id="171"/>
      <w:r>
        <w:rPr>
          <w:rFonts w:hint="eastAsia" w:ascii="宋体" w:hAnsi="宋体" w:eastAsia="宋体" w:cs="宋体"/>
          <w:b w:val="0"/>
          <w:bCs w:val="0"/>
          <w:color w:val="auto"/>
          <w:kern w:val="2"/>
          <w:sz w:val="24"/>
          <w:szCs w:val="24"/>
          <w:highlight w:val="none"/>
          <w:lang w:val="en-US" w:eastAsia="zh-CN"/>
        </w:rPr>
        <w:t>对接</w:t>
      </w:r>
    </w:p>
    <w:p>
      <w:pPr>
        <w:pStyle w:val="472"/>
        <w:pageBreakBefore w:val="0"/>
        <w:numPr>
          <w:ilvl w:val="0"/>
          <w:numId w:val="0"/>
        </w:numPr>
        <w:kinsoku/>
        <w:wordWrap/>
        <w:overflowPunct/>
        <w:topLinePunct w:val="0"/>
        <w:autoSpaceDE/>
        <w:autoSpaceDN/>
        <w:bidi w:val="0"/>
        <w:snapToGrid/>
        <w:spacing w:line="360" w:lineRule="auto"/>
        <w:ind w:firstLine="240" w:firstLineChars="1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依托大数据共享交换平台、统一身份认证、电子印章等基础支撑，</w:t>
      </w:r>
      <w:r>
        <w:rPr>
          <w:rFonts w:hint="eastAsia" w:ascii="宋体" w:hAnsi="宋体" w:eastAsia="宋体" w:cs="宋体"/>
          <w:color w:val="auto"/>
          <w:kern w:val="2"/>
          <w:sz w:val="24"/>
          <w:szCs w:val="24"/>
          <w:highlight w:val="none"/>
          <w:lang w:val="en-US" w:eastAsia="zh-CN"/>
        </w:rPr>
        <w:t>实现</w:t>
      </w:r>
      <w:r>
        <w:rPr>
          <w:rFonts w:hint="eastAsia" w:ascii="宋体" w:hAnsi="宋体" w:eastAsia="宋体" w:cs="宋体"/>
          <w:color w:val="auto"/>
          <w:kern w:val="2"/>
          <w:sz w:val="24"/>
          <w:szCs w:val="24"/>
          <w:highlight w:val="none"/>
        </w:rPr>
        <w:t>电子证照调用、跨部门信息</w:t>
      </w:r>
      <w:r>
        <w:rPr>
          <w:rFonts w:hint="eastAsia" w:ascii="宋体" w:hAnsi="宋体" w:eastAsia="宋体" w:cs="宋体"/>
          <w:color w:val="auto"/>
          <w:kern w:val="2"/>
          <w:sz w:val="24"/>
          <w:szCs w:val="24"/>
          <w:highlight w:val="none"/>
          <w:lang w:val="en-US" w:eastAsia="zh-CN"/>
        </w:rPr>
        <w:t>调用，上传民政数据供多部门共用。</w:t>
      </w:r>
    </w:p>
    <w:p>
      <w:pPr>
        <w:pStyle w:val="472"/>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w:t>
      </w:r>
      <w:bookmarkStart w:id="172" w:name="_Toc19588"/>
      <w:r>
        <w:rPr>
          <w:rFonts w:hint="eastAsia" w:ascii="宋体" w:hAnsi="宋体" w:eastAsia="宋体" w:cs="宋体"/>
          <w:b w:val="0"/>
          <w:bCs w:val="0"/>
          <w:color w:val="auto"/>
          <w:kern w:val="2"/>
          <w:sz w:val="24"/>
          <w:szCs w:val="24"/>
          <w:highlight w:val="none"/>
          <w:lang w:val="en-US" w:eastAsia="zh-CN"/>
        </w:rPr>
        <w:t>与市</w:t>
      </w:r>
      <w:r>
        <w:rPr>
          <w:rFonts w:hint="eastAsia" w:ascii="宋体" w:hAnsi="宋体" w:eastAsia="宋体" w:cs="宋体"/>
          <w:color w:val="auto"/>
          <w:kern w:val="2"/>
          <w:sz w:val="24"/>
          <w:szCs w:val="24"/>
          <w:highlight w:val="none"/>
        </w:rPr>
        <w:t>政务一张网</w:t>
      </w:r>
      <w:bookmarkEnd w:id="172"/>
      <w:r>
        <w:rPr>
          <w:rFonts w:hint="eastAsia" w:ascii="宋体" w:hAnsi="宋体" w:eastAsia="宋体" w:cs="宋体"/>
          <w:b w:val="0"/>
          <w:bCs w:val="0"/>
          <w:color w:val="auto"/>
          <w:kern w:val="2"/>
          <w:sz w:val="24"/>
          <w:szCs w:val="24"/>
          <w:highlight w:val="none"/>
          <w:lang w:val="en-US" w:eastAsia="zh-CN"/>
        </w:rPr>
        <w:t>业务和数据对接。</w:t>
      </w:r>
      <w:r>
        <w:rPr>
          <w:rFonts w:hint="eastAsia" w:ascii="宋体" w:hAnsi="宋体" w:eastAsia="宋体" w:cs="宋体"/>
          <w:color w:val="auto"/>
          <w:kern w:val="2"/>
          <w:sz w:val="24"/>
          <w:szCs w:val="24"/>
          <w:highlight w:val="none"/>
        </w:rPr>
        <w:t>按照</w:t>
      </w:r>
      <w:r>
        <w:rPr>
          <w:rFonts w:hint="eastAsia" w:ascii="宋体" w:hAnsi="宋体" w:eastAsia="宋体" w:cs="宋体"/>
          <w:b w:val="0"/>
          <w:bCs w:val="0"/>
          <w:color w:val="auto"/>
          <w:kern w:val="2"/>
          <w:sz w:val="24"/>
          <w:szCs w:val="24"/>
          <w:highlight w:val="none"/>
          <w:lang w:val="en-US" w:eastAsia="zh-CN"/>
        </w:rPr>
        <w:t>市</w:t>
      </w:r>
      <w:r>
        <w:rPr>
          <w:rFonts w:hint="eastAsia" w:ascii="宋体" w:hAnsi="宋体" w:eastAsia="宋体" w:cs="宋体"/>
          <w:color w:val="auto"/>
          <w:kern w:val="2"/>
          <w:sz w:val="24"/>
          <w:szCs w:val="24"/>
          <w:highlight w:val="none"/>
        </w:rPr>
        <w:t>政务办要求，</w:t>
      </w:r>
      <w:r>
        <w:rPr>
          <w:rFonts w:hint="eastAsia" w:ascii="宋体" w:hAnsi="宋体" w:eastAsia="宋体" w:cs="宋体"/>
          <w:b w:val="0"/>
          <w:bCs w:val="0"/>
          <w:color w:val="auto"/>
          <w:kern w:val="2"/>
          <w:sz w:val="24"/>
          <w:szCs w:val="24"/>
          <w:highlight w:val="none"/>
          <w:lang w:val="en-US" w:eastAsia="zh-CN"/>
        </w:rPr>
        <w:t>将平台内</w:t>
      </w:r>
      <w:r>
        <w:rPr>
          <w:rFonts w:hint="eastAsia" w:ascii="宋体" w:hAnsi="宋体" w:eastAsia="宋体" w:cs="宋体"/>
          <w:color w:val="auto"/>
          <w:kern w:val="2"/>
          <w:sz w:val="24"/>
          <w:szCs w:val="24"/>
          <w:highlight w:val="none"/>
        </w:rPr>
        <w:t>尊老金、</w:t>
      </w:r>
      <w:r>
        <w:rPr>
          <w:rFonts w:hint="eastAsia" w:ascii="宋体" w:hAnsi="宋体" w:eastAsia="宋体" w:cs="宋体"/>
          <w:b w:val="0"/>
          <w:bCs w:val="0"/>
          <w:color w:val="auto"/>
          <w:kern w:val="2"/>
          <w:sz w:val="24"/>
          <w:szCs w:val="24"/>
          <w:highlight w:val="none"/>
          <w:lang w:val="en-US" w:eastAsia="zh-CN"/>
        </w:rPr>
        <w:t>政府购买居家养老服务两项</w:t>
      </w:r>
      <w:r>
        <w:rPr>
          <w:rFonts w:hint="eastAsia" w:ascii="宋体" w:hAnsi="宋体" w:eastAsia="宋体" w:cs="宋体"/>
          <w:color w:val="auto"/>
          <w:kern w:val="2"/>
          <w:sz w:val="24"/>
          <w:szCs w:val="24"/>
          <w:highlight w:val="none"/>
        </w:rPr>
        <w:t>与政务一张网</w:t>
      </w:r>
      <w:r>
        <w:rPr>
          <w:rFonts w:hint="eastAsia" w:ascii="宋体" w:hAnsi="宋体" w:eastAsia="宋体" w:cs="宋体"/>
          <w:b w:val="0"/>
          <w:bCs w:val="0"/>
          <w:color w:val="auto"/>
          <w:kern w:val="2"/>
          <w:sz w:val="24"/>
          <w:szCs w:val="24"/>
          <w:highlight w:val="none"/>
          <w:lang w:val="en-US" w:eastAsia="zh-CN"/>
        </w:rPr>
        <w:t>进行业务衔接</w:t>
      </w:r>
      <w:r>
        <w:rPr>
          <w:rFonts w:hint="eastAsia" w:ascii="宋体" w:hAnsi="宋体" w:eastAsia="宋体" w:cs="宋体"/>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以</w:t>
      </w:r>
      <w:r>
        <w:rPr>
          <w:rFonts w:hint="eastAsia" w:ascii="宋体" w:hAnsi="宋体" w:eastAsia="宋体" w:cs="宋体"/>
          <w:color w:val="auto"/>
          <w:kern w:val="2"/>
          <w:sz w:val="24"/>
          <w:szCs w:val="24"/>
          <w:highlight w:val="none"/>
          <w:lang w:val="en-US" w:eastAsia="zh-CN"/>
        </w:rPr>
        <w:t>数据共享模式</w:t>
      </w:r>
      <w:r>
        <w:rPr>
          <w:rFonts w:hint="eastAsia" w:ascii="宋体" w:hAnsi="宋体" w:eastAsia="宋体" w:cs="宋体"/>
          <w:color w:val="auto"/>
          <w:kern w:val="2"/>
          <w:sz w:val="24"/>
          <w:szCs w:val="24"/>
          <w:highlight w:val="none"/>
        </w:rPr>
        <w:t>做到统一入口、统一身份认证、统一办件受理、统一办件报送、统一电子印章、、统一电子证照、统一评价、统一结果反馈</w:t>
      </w:r>
      <w:r>
        <w:rPr>
          <w:rFonts w:hint="eastAsia" w:ascii="宋体" w:hAnsi="宋体" w:eastAsia="宋体" w:cs="宋体"/>
          <w:b w:val="0"/>
          <w:bCs w:val="0"/>
          <w:color w:val="auto"/>
          <w:kern w:val="2"/>
          <w:sz w:val="24"/>
          <w:szCs w:val="24"/>
          <w:highlight w:val="none"/>
          <w:lang w:val="en-US" w:eastAsia="zh-CN"/>
        </w:rPr>
        <w:t>等对接</w:t>
      </w:r>
      <w:r>
        <w:rPr>
          <w:rFonts w:hint="eastAsia" w:ascii="宋体" w:hAnsi="宋体" w:eastAsia="宋体" w:cs="宋体"/>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对接包含网页端和移动端。</w:t>
      </w:r>
    </w:p>
    <w:p>
      <w:pPr>
        <w:pStyle w:val="472"/>
        <w:pageBreakBefore w:val="0"/>
        <w:numPr>
          <w:ilvl w:val="0"/>
          <w:numId w:val="0"/>
        </w:numPr>
        <w:kinsoku/>
        <w:wordWrap/>
        <w:overflowPunct/>
        <w:topLinePunct w:val="0"/>
        <w:autoSpaceDE/>
        <w:autoSpaceDN/>
        <w:bidi w:val="0"/>
        <w:spacing w:line="360" w:lineRule="auto"/>
        <w:ind w:left="0" w:leftChars="0"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）与</w:t>
      </w:r>
      <w:bookmarkStart w:id="173" w:name="_Toc5507"/>
      <w:r>
        <w:rPr>
          <w:rFonts w:hint="eastAsia" w:ascii="宋体" w:hAnsi="宋体" w:eastAsia="宋体" w:cs="宋体"/>
          <w:color w:val="auto"/>
          <w:kern w:val="2"/>
          <w:sz w:val="24"/>
          <w:szCs w:val="24"/>
          <w:highlight w:val="none"/>
          <w:lang w:val="en-US" w:eastAsia="zh-CN"/>
        </w:rPr>
        <w:t>民政</w:t>
      </w:r>
      <w:r>
        <w:rPr>
          <w:rFonts w:hint="eastAsia" w:ascii="宋体" w:hAnsi="宋体" w:eastAsia="宋体" w:cs="宋体"/>
          <w:color w:val="auto"/>
          <w:kern w:val="2"/>
          <w:sz w:val="24"/>
          <w:szCs w:val="24"/>
          <w:highlight w:val="none"/>
        </w:rPr>
        <w:t>厅“金民工程”养老业务系统的数据</w:t>
      </w:r>
      <w:bookmarkEnd w:id="173"/>
      <w:r>
        <w:rPr>
          <w:rFonts w:hint="eastAsia" w:ascii="宋体" w:hAnsi="宋体" w:eastAsia="宋体" w:cs="宋体"/>
          <w:b w:val="0"/>
          <w:bCs w:val="0"/>
          <w:color w:val="auto"/>
          <w:kern w:val="2"/>
          <w:sz w:val="24"/>
          <w:szCs w:val="24"/>
          <w:highlight w:val="none"/>
          <w:lang w:val="en-US" w:eastAsia="zh-CN"/>
        </w:rPr>
        <w:t>对接</w:t>
      </w:r>
    </w:p>
    <w:p>
      <w:pPr>
        <w:pStyle w:val="472"/>
        <w:pageBreakBefore w:val="0"/>
        <w:numPr>
          <w:ilvl w:val="0"/>
          <w:numId w:val="0"/>
        </w:numPr>
        <w:kinsoku/>
        <w:wordWrap/>
        <w:overflowPunct/>
        <w:topLinePunct w:val="0"/>
        <w:autoSpaceDE/>
        <w:autoSpaceDN/>
        <w:bidi w:val="0"/>
        <w:spacing w:line="360" w:lineRule="auto"/>
        <w:ind w:left="0" w:leftChars="0"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w:t>
      </w:r>
      <w:r>
        <w:rPr>
          <w:rFonts w:hint="eastAsia" w:ascii="宋体" w:hAnsi="宋体" w:eastAsia="宋体" w:cs="宋体"/>
          <w:color w:val="auto"/>
          <w:kern w:val="2"/>
          <w:sz w:val="24"/>
          <w:szCs w:val="24"/>
          <w:highlight w:val="none"/>
          <w:lang w:val="en-US" w:eastAsia="zh-CN"/>
        </w:rPr>
        <w:t>民政厅</w:t>
      </w:r>
      <w:r>
        <w:rPr>
          <w:rFonts w:hint="eastAsia" w:ascii="宋体" w:hAnsi="宋体" w:eastAsia="宋体" w:cs="宋体"/>
          <w:color w:val="auto"/>
          <w:kern w:val="2"/>
          <w:sz w:val="24"/>
          <w:szCs w:val="24"/>
          <w:highlight w:val="none"/>
        </w:rPr>
        <w:t>“金民工程”养老业务系统</w:t>
      </w:r>
      <w:r>
        <w:rPr>
          <w:rFonts w:hint="eastAsia" w:ascii="宋体" w:hAnsi="宋体" w:eastAsia="宋体" w:cs="宋体"/>
          <w:color w:val="auto"/>
          <w:kern w:val="2"/>
          <w:sz w:val="24"/>
          <w:szCs w:val="24"/>
          <w:highlight w:val="none"/>
          <w:lang w:val="en-US" w:eastAsia="zh-CN"/>
        </w:rPr>
        <w:t>数据标准</w:t>
      </w:r>
      <w:r>
        <w:rPr>
          <w:rFonts w:hint="eastAsia" w:ascii="宋体" w:hAnsi="宋体" w:eastAsia="宋体" w:cs="宋体"/>
          <w:color w:val="auto"/>
          <w:kern w:val="2"/>
          <w:sz w:val="24"/>
          <w:szCs w:val="24"/>
          <w:highlight w:val="none"/>
        </w:rPr>
        <w:t>，将养老机构基本信息、</w:t>
      </w:r>
      <w:r>
        <w:rPr>
          <w:rFonts w:hint="eastAsia" w:ascii="宋体" w:hAnsi="宋体" w:eastAsia="宋体" w:cs="宋体"/>
          <w:color w:val="auto"/>
          <w:kern w:val="2"/>
          <w:sz w:val="24"/>
          <w:szCs w:val="24"/>
          <w:highlight w:val="none"/>
          <w:lang w:val="en-US" w:eastAsia="zh-CN"/>
        </w:rPr>
        <w:t>入住</w:t>
      </w:r>
      <w:r>
        <w:rPr>
          <w:rFonts w:hint="eastAsia" w:ascii="宋体" w:hAnsi="宋体" w:eastAsia="宋体" w:cs="宋体"/>
          <w:color w:val="auto"/>
          <w:kern w:val="2"/>
          <w:sz w:val="24"/>
          <w:szCs w:val="24"/>
          <w:highlight w:val="none"/>
        </w:rPr>
        <w:t>老人、</w:t>
      </w:r>
      <w:r>
        <w:rPr>
          <w:rFonts w:hint="eastAsia" w:ascii="宋体" w:hAnsi="宋体" w:eastAsia="宋体" w:cs="宋体"/>
          <w:color w:val="auto"/>
          <w:kern w:val="2"/>
          <w:sz w:val="24"/>
          <w:szCs w:val="24"/>
          <w:highlight w:val="none"/>
          <w:lang w:val="en-US" w:eastAsia="zh-CN"/>
        </w:rPr>
        <w:t>从业人员、</w:t>
      </w:r>
      <w:r>
        <w:rPr>
          <w:rFonts w:hint="eastAsia" w:ascii="宋体" w:hAnsi="宋体" w:eastAsia="宋体" w:cs="宋体"/>
          <w:color w:val="auto"/>
          <w:kern w:val="2"/>
          <w:sz w:val="24"/>
          <w:szCs w:val="24"/>
          <w:highlight w:val="none"/>
        </w:rPr>
        <w:t>居家</w:t>
      </w:r>
      <w:r>
        <w:rPr>
          <w:rFonts w:hint="eastAsia" w:ascii="宋体" w:hAnsi="宋体" w:eastAsia="宋体" w:cs="宋体"/>
          <w:color w:val="auto"/>
          <w:kern w:val="2"/>
          <w:sz w:val="24"/>
          <w:szCs w:val="24"/>
          <w:highlight w:val="none"/>
          <w:lang w:val="en-US" w:eastAsia="zh-CN"/>
        </w:rPr>
        <w:t>服务机构</w:t>
      </w:r>
      <w:r>
        <w:rPr>
          <w:rFonts w:hint="eastAsia" w:ascii="宋体" w:hAnsi="宋体" w:eastAsia="宋体" w:cs="宋体"/>
          <w:color w:val="auto"/>
          <w:kern w:val="2"/>
          <w:sz w:val="24"/>
          <w:szCs w:val="24"/>
          <w:highlight w:val="none"/>
        </w:rPr>
        <w:t>、适老化改造、</w:t>
      </w:r>
      <w:r>
        <w:rPr>
          <w:rFonts w:hint="eastAsia" w:ascii="宋体" w:hAnsi="宋体" w:eastAsia="宋体" w:cs="宋体"/>
          <w:color w:val="auto"/>
          <w:kern w:val="2"/>
          <w:sz w:val="24"/>
          <w:szCs w:val="24"/>
          <w:highlight w:val="none"/>
          <w:lang w:val="en-US" w:eastAsia="zh-CN"/>
        </w:rPr>
        <w:t>等级评定、</w:t>
      </w:r>
      <w:r>
        <w:rPr>
          <w:rFonts w:hint="eastAsia" w:ascii="宋体" w:hAnsi="宋体" w:eastAsia="宋体" w:cs="宋体"/>
          <w:color w:val="auto"/>
          <w:kern w:val="2"/>
          <w:sz w:val="24"/>
          <w:szCs w:val="24"/>
          <w:highlight w:val="none"/>
        </w:rPr>
        <w:t>尊老金、居家</w:t>
      </w:r>
      <w:r>
        <w:rPr>
          <w:rFonts w:hint="eastAsia" w:ascii="宋体" w:hAnsi="宋体" w:eastAsia="宋体" w:cs="宋体"/>
          <w:color w:val="auto"/>
          <w:kern w:val="2"/>
          <w:sz w:val="24"/>
          <w:szCs w:val="24"/>
          <w:highlight w:val="none"/>
          <w:lang w:val="en-US" w:eastAsia="zh-CN"/>
        </w:rPr>
        <w:t>上门</w:t>
      </w:r>
      <w:r>
        <w:rPr>
          <w:rFonts w:hint="eastAsia" w:ascii="宋体" w:hAnsi="宋体" w:eastAsia="宋体" w:cs="宋体"/>
          <w:color w:val="auto"/>
          <w:kern w:val="2"/>
          <w:sz w:val="24"/>
          <w:szCs w:val="24"/>
          <w:highlight w:val="none"/>
        </w:rPr>
        <w:t>服务等数据进行</w:t>
      </w:r>
      <w:r>
        <w:rPr>
          <w:rFonts w:hint="eastAsia" w:ascii="宋体" w:hAnsi="宋体" w:eastAsia="宋体" w:cs="宋体"/>
          <w:color w:val="auto"/>
          <w:kern w:val="2"/>
          <w:sz w:val="24"/>
          <w:szCs w:val="24"/>
          <w:highlight w:val="none"/>
          <w:lang w:val="en-US" w:eastAsia="zh-CN"/>
        </w:rPr>
        <w:t>互通</w:t>
      </w:r>
      <w:r>
        <w:rPr>
          <w:rFonts w:hint="eastAsia" w:ascii="宋体" w:hAnsi="宋体" w:eastAsia="宋体" w:cs="宋体"/>
          <w:color w:val="auto"/>
          <w:kern w:val="2"/>
          <w:sz w:val="24"/>
          <w:szCs w:val="24"/>
          <w:highlight w:val="none"/>
        </w:rPr>
        <w:t>，实现与省厅系统数据共享，</w:t>
      </w:r>
      <w:r>
        <w:rPr>
          <w:rFonts w:hint="eastAsia" w:ascii="宋体" w:hAnsi="宋体" w:eastAsia="宋体" w:cs="宋体"/>
          <w:color w:val="auto"/>
          <w:kern w:val="2"/>
          <w:sz w:val="24"/>
          <w:szCs w:val="24"/>
          <w:highlight w:val="none"/>
          <w:lang w:val="en-US" w:eastAsia="zh-CN"/>
        </w:rPr>
        <w:t>自动</w:t>
      </w:r>
      <w:r>
        <w:rPr>
          <w:rFonts w:hint="eastAsia" w:ascii="宋体" w:hAnsi="宋体" w:eastAsia="宋体" w:cs="宋体"/>
          <w:color w:val="auto"/>
          <w:kern w:val="2"/>
          <w:sz w:val="24"/>
          <w:szCs w:val="24"/>
          <w:highlight w:val="none"/>
        </w:rPr>
        <w:t>上报</w:t>
      </w:r>
      <w:r>
        <w:rPr>
          <w:rFonts w:hint="eastAsia" w:ascii="宋体" w:hAnsi="宋体" w:eastAsia="宋体" w:cs="宋体"/>
          <w:color w:val="auto"/>
          <w:kern w:val="2"/>
          <w:sz w:val="24"/>
          <w:szCs w:val="24"/>
          <w:highlight w:val="none"/>
          <w:lang w:val="en-US" w:eastAsia="zh-CN"/>
        </w:rPr>
        <w:t>和回传</w:t>
      </w:r>
      <w:r>
        <w:rPr>
          <w:rFonts w:hint="eastAsia" w:ascii="宋体" w:hAnsi="宋体" w:eastAsia="宋体" w:cs="宋体"/>
          <w:color w:val="auto"/>
          <w:kern w:val="2"/>
          <w:sz w:val="24"/>
          <w:szCs w:val="24"/>
          <w:highlight w:val="none"/>
        </w:rPr>
        <w:t>，避免重复录入，减轻工作人员工作负担。</w:t>
      </w:r>
    </w:p>
    <w:p>
      <w:pPr>
        <w:pStyle w:val="472"/>
        <w:pageBreakBefore w:val="0"/>
        <w:numPr>
          <w:ilvl w:val="0"/>
          <w:numId w:val="0"/>
        </w:numPr>
        <w:kinsoku/>
        <w:wordWrap/>
        <w:overflowPunct/>
        <w:topLinePunct w:val="0"/>
        <w:autoSpaceDE/>
        <w:autoSpaceDN/>
        <w:bidi w:val="0"/>
        <w:spacing w:line="360" w:lineRule="auto"/>
        <w:ind w:left="0" w:leftChars="0"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w:t>
      </w:r>
      <w:bookmarkStart w:id="174" w:name="_Toc20273"/>
      <w:r>
        <w:rPr>
          <w:rFonts w:hint="eastAsia" w:ascii="宋体" w:hAnsi="宋体" w:eastAsia="宋体" w:cs="宋体"/>
          <w:b w:val="0"/>
          <w:bCs w:val="0"/>
          <w:color w:val="auto"/>
          <w:kern w:val="2"/>
          <w:sz w:val="24"/>
          <w:szCs w:val="24"/>
          <w:highlight w:val="none"/>
          <w:lang w:val="en-US" w:eastAsia="zh-CN"/>
        </w:rPr>
        <w:t>与</w:t>
      </w:r>
      <w:r>
        <w:rPr>
          <w:rFonts w:hint="eastAsia" w:ascii="宋体" w:hAnsi="宋体" w:eastAsia="宋体" w:cs="宋体"/>
          <w:color w:val="auto"/>
          <w:kern w:val="2"/>
          <w:sz w:val="24"/>
          <w:szCs w:val="24"/>
          <w:highlight w:val="none"/>
        </w:rPr>
        <w:t>市域网格化治理平台</w:t>
      </w:r>
      <w:bookmarkEnd w:id="174"/>
      <w:r>
        <w:rPr>
          <w:rFonts w:hint="eastAsia" w:ascii="宋体" w:hAnsi="宋体" w:eastAsia="宋体" w:cs="宋体"/>
          <w:b w:val="0"/>
          <w:bCs w:val="0"/>
          <w:color w:val="auto"/>
          <w:kern w:val="2"/>
          <w:sz w:val="24"/>
          <w:szCs w:val="24"/>
          <w:highlight w:val="none"/>
          <w:lang w:val="en-US" w:eastAsia="zh-CN"/>
        </w:rPr>
        <w:t>数据对接</w:t>
      </w:r>
    </w:p>
    <w:p>
      <w:pPr>
        <w:pStyle w:val="472"/>
        <w:pageBreakBefore w:val="0"/>
        <w:numPr>
          <w:ilvl w:val="0"/>
          <w:numId w:val="0"/>
        </w:numPr>
        <w:kinsoku/>
        <w:wordWrap/>
        <w:overflowPunct/>
        <w:topLinePunct w:val="0"/>
        <w:autoSpaceDE/>
        <w:autoSpaceDN/>
        <w:bidi w:val="0"/>
        <w:spacing w:line="360" w:lineRule="auto"/>
        <w:ind w:left="0" w:leftChars="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rPr>
        <w:t>通过与市域网格化治理系统的对接，实现走访探视对象</w:t>
      </w:r>
      <w:r>
        <w:rPr>
          <w:rFonts w:hint="eastAsia" w:ascii="宋体" w:hAnsi="宋体" w:eastAsia="宋体" w:cs="宋体"/>
          <w:color w:val="auto"/>
          <w:kern w:val="2"/>
          <w:sz w:val="24"/>
          <w:szCs w:val="24"/>
          <w:highlight w:val="none"/>
          <w:lang w:eastAsia="zh-CN"/>
        </w:rPr>
        <w:t>与</w:t>
      </w:r>
      <w:r>
        <w:rPr>
          <w:rFonts w:hint="eastAsia" w:ascii="宋体" w:hAnsi="宋体" w:eastAsia="宋体" w:cs="宋体"/>
          <w:color w:val="auto"/>
          <w:kern w:val="2"/>
          <w:sz w:val="24"/>
          <w:szCs w:val="24"/>
          <w:highlight w:val="none"/>
        </w:rPr>
        <w:t>网格员</w:t>
      </w:r>
      <w:r>
        <w:rPr>
          <w:rFonts w:hint="eastAsia" w:ascii="宋体" w:hAnsi="宋体" w:eastAsia="宋体" w:cs="宋体"/>
          <w:color w:val="auto"/>
          <w:kern w:val="2"/>
          <w:sz w:val="24"/>
          <w:szCs w:val="24"/>
          <w:highlight w:val="none"/>
          <w:lang w:eastAsia="zh-CN"/>
        </w:rPr>
        <w:t>日常网格走访相衔接，特殊情况由网格员及时应急处置</w:t>
      </w:r>
      <w:r>
        <w:rPr>
          <w:rFonts w:hint="eastAsia" w:ascii="宋体" w:hAnsi="宋体" w:eastAsia="宋体" w:cs="宋体"/>
          <w:color w:val="auto"/>
          <w:kern w:val="2"/>
          <w:sz w:val="24"/>
          <w:szCs w:val="24"/>
          <w:highlight w:val="none"/>
        </w:rPr>
        <w:t>。</w:t>
      </w:r>
      <w:bookmarkStart w:id="175" w:name="_Toc18128"/>
      <w:r>
        <w:rPr>
          <w:rFonts w:hint="eastAsia" w:ascii="宋体" w:hAnsi="宋体" w:eastAsia="宋体" w:cs="宋体"/>
          <w:color w:val="auto"/>
          <w:kern w:val="2"/>
          <w:sz w:val="24"/>
          <w:szCs w:val="24"/>
          <w:highlight w:val="none"/>
          <w:lang w:val="en-US" w:eastAsia="zh-CN"/>
        </w:rPr>
        <w:t xml:space="preserve"> </w:t>
      </w:r>
      <w:bookmarkEnd w:id="175"/>
    </w:p>
    <w:p>
      <w:pPr>
        <w:pStyle w:val="472"/>
        <w:keepNext w:val="0"/>
        <w:keepLines w:val="0"/>
        <w:pageBreakBefore w:val="0"/>
        <w:widowControl/>
        <w:numPr>
          <w:ilvl w:val="0"/>
          <w:numId w:val="0"/>
        </w:numPr>
        <w:kinsoku/>
        <w:wordWrap/>
        <w:overflowPunct/>
        <w:topLinePunct w:val="0"/>
        <w:autoSpaceDE/>
        <w:autoSpaceDN/>
        <w:bidi w:val="0"/>
        <w:adjustRightInd/>
        <w:snapToGrid/>
        <w:spacing w:line="360" w:lineRule="auto"/>
        <w:ind w:firstLine="241" w:firstLineChars="100"/>
        <w:textAlignment w:val="auto"/>
        <w:outlineLvl w:val="0"/>
        <w:rPr>
          <w:rFonts w:hint="eastAsia" w:ascii="宋体" w:hAnsi="宋体" w:eastAsia="宋体" w:cs="宋体"/>
          <w:b/>
          <w:bCs/>
          <w:color w:val="auto"/>
          <w:kern w:val="2"/>
          <w:sz w:val="24"/>
          <w:szCs w:val="24"/>
          <w:highlight w:val="none"/>
          <w:lang w:val="en-US" w:eastAsia="zh-CN"/>
        </w:rPr>
      </w:pPr>
      <w:bookmarkStart w:id="176" w:name="_Toc27085"/>
      <w:r>
        <w:rPr>
          <w:rFonts w:hint="eastAsia" w:ascii="宋体" w:hAnsi="宋体" w:eastAsia="宋体" w:cs="宋体"/>
          <w:b/>
          <w:bCs/>
          <w:color w:val="auto"/>
          <w:kern w:val="2"/>
          <w:sz w:val="24"/>
          <w:szCs w:val="24"/>
          <w:highlight w:val="none"/>
          <w:lang w:val="en-US" w:eastAsia="zh-CN"/>
        </w:rPr>
        <w:t>（四）项目建设整体要求</w:t>
      </w:r>
      <w:bookmarkEnd w:id="176"/>
    </w:p>
    <w:p>
      <w:pPr>
        <w:pStyle w:val="4"/>
        <w:pageBreakBefore w:val="0"/>
        <w:numPr>
          <w:ilvl w:val="0"/>
          <w:numId w:val="0"/>
        </w:numPr>
        <w:kinsoku/>
        <w:wordWrap/>
        <w:overflowPunct/>
        <w:topLinePunct w:val="0"/>
        <w:autoSpaceDE/>
        <w:autoSpaceDN/>
        <w:bidi w:val="0"/>
        <w:spacing w:before="10" w:after="10" w:line="360" w:lineRule="auto"/>
        <w:ind w:left="-425" w:leftChars="0" w:firstLine="482" w:firstLineChars="200"/>
        <w:jc w:val="left"/>
        <w:textAlignment w:val="auto"/>
        <w:rPr>
          <w:rFonts w:hint="eastAsia" w:ascii="宋体" w:hAnsi="宋体" w:eastAsia="宋体" w:cs="宋体"/>
          <w:b/>
          <w:bCs w:val="0"/>
          <w:sz w:val="24"/>
          <w:szCs w:val="24"/>
        </w:rPr>
      </w:pPr>
      <w:bookmarkStart w:id="177" w:name="_Toc179"/>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整体技术要求</w:t>
      </w:r>
      <w:bookmarkEnd w:id="177"/>
    </w:p>
    <w:p>
      <w:pPr>
        <w:pStyle w:val="472"/>
        <w:pageBreakBefore w:val="0"/>
        <w:numPr>
          <w:ilvl w:val="0"/>
          <w:numId w:val="13"/>
        </w:numPr>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平台软件应支持</w:t>
      </w:r>
      <w:r>
        <w:rPr>
          <w:rFonts w:hint="eastAsia" w:ascii="宋体" w:hAnsi="宋体" w:eastAsia="宋体" w:cs="宋体"/>
          <w:sz w:val="24"/>
          <w:szCs w:val="24"/>
        </w:rPr>
        <w:t>Linux CentOS7</w:t>
      </w:r>
      <w:r>
        <w:rPr>
          <w:rFonts w:hint="eastAsia" w:ascii="宋体" w:hAnsi="宋体" w:eastAsia="宋体" w:cs="宋体"/>
          <w:color w:val="000000"/>
          <w:sz w:val="24"/>
          <w:szCs w:val="24"/>
        </w:rPr>
        <w:t>操作系统环境；</w:t>
      </w:r>
    </w:p>
    <w:p>
      <w:pPr>
        <w:pStyle w:val="472"/>
        <w:pageBreakBefore w:val="0"/>
        <w:numPr>
          <w:ilvl w:val="0"/>
          <w:numId w:val="13"/>
        </w:numPr>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数据库管理系统应支持</w:t>
      </w:r>
      <w:r>
        <w:rPr>
          <w:rFonts w:hint="eastAsia" w:ascii="宋体" w:hAnsi="宋体" w:eastAsia="宋体" w:cs="宋体"/>
          <w:sz w:val="24"/>
          <w:szCs w:val="24"/>
        </w:rPr>
        <w:t>服务器+MySQL数据库系统的方案；</w:t>
      </w:r>
    </w:p>
    <w:p>
      <w:pPr>
        <w:pStyle w:val="472"/>
        <w:pageBreakBefore w:val="0"/>
        <w:numPr>
          <w:ilvl w:val="0"/>
          <w:numId w:val="13"/>
        </w:numPr>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项目主要使用Redis做数据缓存</w:t>
      </w:r>
      <w:r>
        <w:rPr>
          <w:rFonts w:hint="eastAsia" w:ascii="宋体" w:hAnsi="宋体" w:eastAsia="宋体" w:cs="宋体"/>
          <w:color w:val="000000"/>
          <w:sz w:val="24"/>
          <w:szCs w:val="24"/>
          <w:lang w:eastAsia="zh-CN"/>
        </w:rPr>
        <w:t>；</w:t>
      </w:r>
    </w:p>
    <w:p>
      <w:pPr>
        <w:pStyle w:val="472"/>
        <w:pageBreakBefore w:val="0"/>
        <w:numPr>
          <w:ilvl w:val="0"/>
          <w:numId w:val="13"/>
        </w:numPr>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充分考虑系统数据的冗余和安全性；</w:t>
      </w:r>
    </w:p>
    <w:p>
      <w:pPr>
        <w:pStyle w:val="472"/>
        <w:pageBreakBefore w:val="0"/>
        <w:numPr>
          <w:ilvl w:val="0"/>
          <w:numId w:val="13"/>
        </w:numPr>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输入数据有效性、完整性校验；</w:t>
      </w:r>
    </w:p>
    <w:p>
      <w:pPr>
        <w:pStyle w:val="472"/>
        <w:pageBreakBefore w:val="0"/>
        <w:numPr>
          <w:ilvl w:val="0"/>
          <w:numId w:val="13"/>
        </w:numPr>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实现分级授权和操作日志记录。</w:t>
      </w:r>
    </w:p>
    <w:p>
      <w:pPr>
        <w:pStyle w:val="4"/>
        <w:pageBreakBefore w:val="0"/>
        <w:numPr>
          <w:ilvl w:val="0"/>
          <w:numId w:val="0"/>
        </w:numPr>
        <w:kinsoku/>
        <w:wordWrap/>
        <w:overflowPunct/>
        <w:topLinePunct w:val="0"/>
        <w:autoSpaceDE/>
        <w:autoSpaceDN/>
        <w:bidi w:val="0"/>
        <w:spacing w:before="10" w:after="10" w:line="360" w:lineRule="auto"/>
        <w:ind w:left="-425" w:leftChars="0" w:firstLine="482" w:firstLineChars="200"/>
        <w:jc w:val="left"/>
        <w:textAlignment w:val="auto"/>
        <w:rPr>
          <w:rFonts w:hint="eastAsia" w:ascii="宋体" w:hAnsi="宋体" w:eastAsia="宋体" w:cs="宋体"/>
          <w:b/>
          <w:bCs w:val="0"/>
          <w:sz w:val="24"/>
          <w:szCs w:val="24"/>
        </w:rPr>
      </w:pPr>
      <w:bookmarkStart w:id="178" w:name="_Toc22340"/>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非软件技术需求</w:t>
      </w:r>
      <w:bookmarkEnd w:id="178"/>
    </w:p>
    <w:p>
      <w:pPr>
        <w:pStyle w:val="472"/>
        <w:pageBreakBefore w:val="0"/>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rPr>
        <w:t>1)本项目不接受联合体投</w:t>
      </w:r>
      <w:r>
        <w:rPr>
          <w:rFonts w:hint="eastAsia" w:ascii="宋体" w:hAnsi="宋体" w:eastAsia="宋体" w:cs="宋体"/>
          <w:color w:val="auto"/>
          <w:sz w:val="24"/>
          <w:szCs w:val="24"/>
        </w:rPr>
        <w:t>标；</w:t>
      </w:r>
    </w:p>
    <w:p>
      <w:pPr>
        <w:pStyle w:val="472"/>
        <w:pageBreakBefore w:val="0"/>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2)建设工期：系统建设在签订合同后</w:t>
      </w:r>
      <w:r>
        <w:rPr>
          <w:rFonts w:hint="eastAsia" w:ascii="宋体" w:hAnsi="宋体" w:eastAsia="宋体" w:cs="宋体"/>
          <w:color w:val="auto"/>
          <w:sz w:val="24"/>
          <w:szCs w:val="24"/>
          <w:lang w:val="en-US" w:eastAsia="zh-CN"/>
        </w:rPr>
        <w:t>40个自然日</w:t>
      </w:r>
      <w:r>
        <w:rPr>
          <w:rFonts w:hint="eastAsia" w:ascii="宋体" w:hAnsi="宋体" w:eastAsia="宋体" w:cs="宋体"/>
          <w:color w:val="auto"/>
          <w:sz w:val="24"/>
          <w:szCs w:val="24"/>
        </w:rPr>
        <w:t>内完成</w:t>
      </w:r>
      <w:r>
        <w:rPr>
          <w:rFonts w:hint="eastAsia" w:ascii="宋体" w:hAnsi="宋体" w:eastAsia="宋体" w:cs="宋体"/>
          <w:color w:val="000000"/>
          <w:sz w:val="24"/>
          <w:szCs w:val="24"/>
        </w:rPr>
        <w:t>；</w:t>
      </w:r>
    </w:p>
    <w:p>
      <w:pPr>
        <w:pStyle w:val="472"/>
        <w:pageBreakBefore w:val="0"/>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3)本项目技术线路、数据库、网络架构须与现有系统平台保持延续性和一致性；</w:t>
      </w:r>
    </w:p>
    <w:p>
      <w:pPr>
        <w:pStyle w:val="472"/>
        <w:pageBreakBefore w:val="0"/>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3)本项目相关业务需求和数据对接工作由供应商自行与相关业务部门进行咨询、对接、开发、实施，所涉及的所有费用均包含在此次招标费用中，采购方不再另行支付相关经费。</w:t>
      </w:r>
    </w:p>
    <w:p>
      <w:pPr>
        <w:pStyle w:val="472"/>
        <w:pageBreakBefore w:val="0"/>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4）免费维护期：自系统验收通过后免费维护1年；</w:t>
      </w:r>
    </w:p>
    <w:p>
      <w:pPr>
        <w:pStyle w:val="472"/>
        <w:pageBreakBefore w:val="0"/>
        <w:kinsoku/>
        <w:wordWrap/>
        <w:overflowPunct/>
        <w:topLinePunct w:val="0"/>
        <w:autoSpaceDE/>
        <w:autoSpaceDN/>
        <w:bidi w:val="0"/>
        <w:spacing w:before="10" w:after="10" w:line="360" w:lineRule="auto"/>
        <w:ind w:left="0" w:firstLine="480"/>
        <w:textAlignment w:val="auto"/>
        <w:rPr>
          <w:rFonts w:hint="eastAsia" w:ascii="宋体" w:hAnsi="宋体" w:cs="宋体"/>
          <w:kern w:val="0"/>
          <w:sz w:val="24"/>
          <w:szCs w:val="24"/>
        </w:rPr>
      </w:pPr>
      <w:r>
        <w:rPr>
          <w:rFonts w:hint="eastAsia" w:ascii="宋体" w:hAnsi="宋体" w:eastAsia="宋体" w:cs="宋体"/>
          <w:color w:val="000000"/>
          <w:sz w:val="24"/>
          <w:szCs w:val="24"/>
        </w:rPr>
        <w:t>5)支付方式：合同签订后5个工作日内预付</w:t>
      </w:r>
      <w:r>
        <w:rPr>
          <w:rFonts w:hint="eastAsia" w:cs="宋体"/>
          <w:color w:val="000000"/>
          <w:sz w:val="24"/>
          <w:szCs w:val="24"/>
          <w:lang w:val="en-US" w:eastAsia="zh-CN"/>
        </w:rPr>
        <w:t>2</w:t>
      </w:r>
      <w:r>
        <w:rPr>
          <w:rFonts w:hint="eastAsia" w:ascii="宋体" w:hAnsi="宋体" w:eastAsia="宋体" w:cs="宋体"/>
          <w:color w:val="000000"/>
          <w:sz w:val="24"/>
          <w:szCs w:val="24"/>
        </w:rPr>
        <w:t>0%，项目通过验收后</w:t>
      </w:r>
      <w:r>
        <w:rPr>
          <w:rFonts w:hint="eastAsia" w:cs="宋体"/>
          <w:color w:val="000000"/>
          <w:sz w:val="24"/>
          <w:szCs w:val="24"/>
          <w:lang w:val="en-US" w:eastAsia="zh-CN"/>
        </w:rPr>
        <w:t>7</w:t>
      </w:r>
      <w:r>
        <w:rPr>
          <w:rFonts w:hint="eastAsia" w:ascii="宋体" w:hAnsi="宋体" w:eastAsia="宋体" w:cs="宋体"/>
          <w:color w:val="000000"/>
          <w:sz w:val="24"/>
          <w:szCs w:val="24"/>
        </w:rPr>
        <w:t>个工作日内支付合同金额的</w:t>
      </w:r>
      <w:r>
        <w:rPr>
          <w:rFonts w:hint="eastAsia" w:cs="宋体"/>
          <w:color w:val="000000"/>
          <w:sz w:val="24"/>
          <w:szCs w:val="24"/>
          <w:lang w:val="en-US" w:eastAsia="zh-CN"/>
        </w:rPr>
        <w:t>7</w:t>
      </w:r>
      <w:r>
        <w:rPr>
          <w:rFonts w:hint="eastAsia" w:ascii="宋体" w:hAnsi="宋体" w:eastAsia="宋体" w:cs="宋体"/>
          <w:color w:val="000000"/>
          <w:sz w:val="24"/>
          <w:szCs w:val="24"/>
          <w:lang w:val="en-US"/>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w:t>
      </w:r>
      <w:r>
        <w:rPr>
          <w:rFonts w:hint="eastAsia" w:ascii="宋体" w:hAnsi="宋体" w:cs="宋体"/>
          <w:kern w:val="0"/>
          <w:sz w:val="24"/>
          <w:szCs w:val="24"/>
        </w:rPr>
        <w:t>项目组验收满一年后的5个工作日内</w:t>
      </w:r>
      <w:r>
        <w:rPr>
          <w:rFonts w:hint="eastAsia" w:cs="宋体"/>
          <w:kern w:val="0"/>
          <w:sz w:val="24"/>
          <w:szCs w:val="24"/>
          <w:lang w:eastAsia="zh-CN"/>
        </w:rPr>
        <w:t>，</w:t>
      </w:r>
      <w:r>
        <w:rPr>
          <w:rFonts w:hint="eastAsia" w:ascii="宋体" w:hAnsi="宋体" w:cs="宋体"/>
          <w:kern w:val="0"/>
          <w:sz w:val="24"/>
          <w:szCs w:val="24"/>
        </w:rPr>
        <w:t>付合同总额的10%，即项目尾款</w:t>
      </w:r>
      <w:r>
        <w:rPr>
          <w:rFonts w:hint="eastAsia" w:ascii="宋体" w:hAnsi="宋体" w:eastAsia="宋体" w:cs="宋体"/>
          <w:color w:val="000000"/>
          <w:sz w:val="24"/>
          <w:szCs w:val="24"/>
        </w:rPr>
        <w:t>。</w:t>
      </w:r>
    </w:p>
    <w:p>
      <w:pPr>
        <w:pStyle w:val="472"/>
        <w:pageBreakBefore w:val="0"/>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6)维护升级要求：模块增加和功能提升相应时间控制在十个工作日；</w:t>
      </w:r>
    </w:p>
    <w:p>
      <w:pPr>
        <w:pStyle w:val="472"/>
        <w:pageBreakBefore w:val="0"/>
        <w:kinsoku/>
        <w:wordWrap/>
        <w:overflowPunct/>
        <w:topLinePunct w:val="0"/>
        <w:autoSpaceDE/>
        <w:autoSpaceDN/>
        <w:bidi w:val="0"/>
        <w:spacing w:before="10" w:after="10" w:line="360" w:lineRule="auto"/>
        <w:ind w:left="0"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7)服务相应要求：需要</w:t>
      </w:r>
      <w:r>
        <w:rPr>
          <w:rFonts w:hint="eastAsia" w:ascii="宋体" w:hAnsi="宋体" w:eastAsia="宋体" w:cs="宋体"/>
          <w:color w:val="000000"/>
          <w:sz w:val="24"/>
          <w:szCs w:val="24"/>
          <w:lang w:val="en-US" w:eastAsia="zh-CN"/>
        </w:rPr>
        <w:t>提供两名工作人员进行驻场服务</w:t>
      </w:r>
      <w:r>
        <w:rPr>
          <w:rFonts w:hint="eastAsia" w:ascii="宋体" w:hAnsi="宋体" w:eastAsia="宋体" w:cs="宋体"/>
          <w:color w:val="000000"/>
          <w:sz w:val="24"/>
          <w:szCs w:val="24"/>
        </w:rPr>
        <w:t>且承诺现场服务1小时响应到场并且在全天（节假日除外）24小时内完成维护工作及简单升级工作。</w:t>
      </w: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34"/>
        <w:rPr>
          <w:rFonts w:ascii="宋体" w:hAnsi="宋体" w:cs="宋体"/>
          <w:sz w:val="24"/>
          <w:szCs w:val="24"/>
        </w:rPr>
      </w:pPr>
    </w:p>
    <w:p>
      <w:pPr>
        <w:pStyle w:val="50"/>
        <w:spacing w:before="0" w:after="0" w:line="360" w:lineRule="auto"/>
        <w:rPr>
          <w:rFonts w:ascii="宋体" w:hAnsi="宋体" w:eastAsia="宋体" w:cs="Times New Roman"/>
          <w:snapToGrid w:val="0"/>
          <w:kern w:val="0"/>
          <w:sz w:val="44"/>
          <w:szCs w:val="20"/>
        </w:rPr>
      </w:pPr>
      <w:bookmarkStart w:id="179" w:name="_Toc6522"/>
      <w:r>
        <w:rPr>
          <w:rFonts w:hint="eastAsia" w:ascii="宋体" w:hAnsi="宋体" w:eastAsia="宋体" w:cs="Times New Roman"/>
          <w:snapToGrid w:val="0"/>
          <w:kern w:val="0"/>
          <w:sz w:val="44"/>
          <w:szCs w:val="20"/>
        </w:rPr>
        <w:t>第四章 评审方法和程序</w:t>
      </w:r>
      <w:bookmarkEnd w:id="179"/>
    </w:p>
    <w:p>
      <w:pPr>
        <w:pStyle w:val="4"/>
        <w:spacing w:before="0" w:after="0" w:line="360" w:lineRule="auto"/>
        <w:rPr>
          <w:rFonts w:ascii="宋体" w:hAnsi="宋体" w:eastAsia="宋体" w:cs="宋体"/>
          <w:b/>
          <w:sz w:val="24"/>
          <w:szCs w:val="24"/>
        </w:rPr>
      </w:pPr>
      <w:bookmarkStart w:id="180" w:name="_Toc8268"/>
      <w:bookmarkStart w:id="181" w:name="_Toc31243"/>
      <w:bookmarkStart w:id="182" w:name="_Toc22277"/>
      <w:r>
        <w:rPr>
          <w:rFonts w:hint="eastAsia" w:ascii="宋体" w:hAnsi="宋体" w:eastAsia="宋体" w:cs="宋体"/>
          <w:b/>
          <w:sz w:val="24"/>
          <w:szCs w:val="24"/>
        </w:rPr>
        <w:t>1.评审小组</w:t>
      </w:r>
      <w:bookmarkEnd w:id="141"/>
      <w:bookmarkEnd w:id="180"/>
      <w:bookmarkEnd w:id="181"/>
      <w:bookmarkEnd w:id="182"/>
    </w:p>
    <w:p>
      <w:pPr>
        <w:snapToGrid w:val="0"/>
        <w:spacing w:line="360" w:lineRule="auto"/>
        <w:ind w:firstLine="480" w:firstLineChars="200"/>
        <w:contextualSpacing/>
        <w:rPr>
          <w:rFonts w:ascii="宋体" w:hAnsi="宋体" w:cs="宋体"/>
          <w:color w:val="000000"/>
          <w:sz w:val="24"/>
          <w:szCs w:val="24"/>
          <w:lang w:val="zh-CN"/>
        </w:rPr>
      </w:pPr>
      <w:r>
        <w:rPr>
          <w:rFonts w:hint="eastAsia" w:ascii="宋体" w:hAnsi="宋体" w:cs="宋体"/>
          <w:bCs/>
          <w:color w:val="000000"/>
          <w:sz w:val="24"/>
          <w:szCs w:val="24"/>
          <w:lang w:val="zh-CN"/>
        </w:rPr>
        <w:t>1.本项目采购依《中华人民共和国政府采购法》及有关法律法规成立评审小组。评审小组由采购人代表和评审专家共5人组成</w:t>
      </w:r>
      <w:r>
        <w:rPr>
          <w:rFonts w:hint="eastAsia" w:ascii="宋体" w:hAnsi="宋体" w:cs="宋体"/>
          <w:color w:val="000000"/>
          <w:sz w:val="24"/>
          <w:szCs w:val="24"/>
          <w:lang w:val="zh-CN"/>
        </w:rPr>
        <w:t>。</w:t>
      </w:r>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rPr>
        <w:t>2</w:t>
      </w:r>
      <w:r>
        <w:rPr>
          <w:rFonts w:hint="eastAsia" w:ascii="宋体" w:hAnsi="宋体" w:cs="宋体"/>
          <w:bCs/>
          <w:color w:val="000000"/>
          <w:sz w:val="24"/>
          <w:szCs w:val="24"/>
          <w:lang w:val="zh-CN"/>
        </w:rPr>
        <w:t>.评审小组的职责：审查投标供应商的响应文件并作出评价；要求供应商解释或者澄清其响应文件；编写评审报告；告知采购人在评审过程中发现的供应商的违法违规行为。</w:t>
      </w:r>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rPr>
        <w:t>3</w:t>
      </w:r>
      <w:r>
        <w:rPr>
          <w:rFonts w:hint="eastAsia" w:ascii="宋体" w:hAnsi="宋体" w:cs="宋体"/>
          <w:bCs/>
          <w:color w:val="000000"/>
          <w:sz w:val="24"/>
          <w:szCs w:val="24"/>
          <w:lang w:val="zh-CN"/>
        </w:rPr>
        <w:t>.评审小组成员的义务：遵纪守法，客观、公正、廉洁地履行职责；根据采购文件的规定独立进行评审，对个人的评审意见承担法律责任；参与评审报告的起草；配合采购人答复供应商提出的质疑，配合财政部门的投诉处理和监督检查工作。</w:t>
      </w:r>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rPr>
        <w:t>4</w:t>
      </w:r>
      <w:r>
        <w:rPr>
          <w:rFonts w:hint="eastAsia" w:ascii="宋体" w:hAnsi="宋体" w:cs="宋体"/>
          <w:bCs/>
          <w:color w:val="000000"/>
          <w:sz w:val="24"/>
          <w:szCs w:val="24"/>
          <w:lang w:val="zh-CN"/>
        </w:rPr>
        <w:t>.评审有关记录由评审小组成员签名，存档备查。</w:t>
      </w:r>
    </w:p>
    <w:p>
      <w:pPr>
        <w:snapToGrid w:val="0"/>
        <w:spacing w:line="360" w:lineRule="auto"/>
        <w:ind w:firstLine="480" w:firstLineChars="200"/>
        <w:contextualSpacing/>
        <w:rPr>
          <w:rFonts w:ascii="宋体" w:hAnsi="宋体" w:cs="宋体"/>
          <w:b/>
          <w:bCs/>
          <w:color w:val="000000"/>
          <w:sz w:val="24"/>
          <w:szCs w:val="24"/>
        </w:rPr>
      </w:pPr>
      <w:r>
        <w:rPr>
          <w:rFonts w:hint="eastAsia" w:ascii="宋体" w:hAnsi="宋体" w:cs="宋体"/>
          <w:bCs/>
          <w:color w:val="000000"/>
          <w:sz w:val="24"/>
          <w:szCs w:val="24"/>
        </w:rPr>
        <w:t>5</w:t>
      </w:r>
      <w:r>
        <w:rPr>
          <w:rFonts w:hint="eastAsia" w:ascii="宋体" w:hAnsi="宋体" w:cs="宋体"/>
          <w:bCs/>
          <w:color w:val="000000"/>
          <w:sz w:val="24"/>
          <w:szCs w:val="24"/>
          <w:lang w:val="zh-CN"/>
        </w:rPr>
        <w:t>.</w:t>
      </w:r>
      <w:r>
        <w:rPr>
          <w:rFonts w:hint="eastAsia" w:ascii="宋体" w:hAnsi="宋体" w:cs="宋体"/>
          <w:sz w:val="24"/>
          <w:szCs w:val="24"/>
        </w:rPr>
        <w:t>如评委会认为有必要，</w:t>
      </w:r>
      <w:r>
        <w:rPr>
          <w:rFonts w:hint="eastAsia" w:ascii="宋体" w:hAnsi="宋体" w:cs="宋体"/>
          <w:bCs/>
          <w:color w:val="000000"/>
          <w:sz w:val="24"/>
          <w:szCs w:val="24"/>
          <w:lang w:val="zh-CN"/>
        </w:rPr>
        <w:t>投标人可</w:t>
      </w:r>
      <w:r>
        <w:rPr>
          <w:rFonts w:hint="eastAsia" w:ascii="宋体" w:hAnsi="宋体" w:cs="宋体"/>
          <w:sz w:val="24"/>
          <w:szCs w:val="24"/>
        </w:rPr>
        <w:t>按评委会的要求作陈述、演示、答疑及澄清其投标内容。时间由评委会掌握。重要澄清答复应是书面的，但不得对投标内容进行实质性修改。</w:t>
      </w:r>
    </w:p>
    <w:p>
      <w:pPr>
        <w:pStyle w:val="4"/>
        <w:spacing w:before="0" w:after="0" w:line="360" w:lineRule="auto"/>
        <w:rPr>
          <w:rFonts w:ascii="宋体" w:hAnsi="宋体" w:eastAsia="宋体" w:cs="宋体"/>
          <w:b/>
          <w:sz w:val="24"/>
          <w:szCs w:val="24"/>
        </w:rPr>
      </w:pPr>
      <w:bookmarkStart w:id="183" w:name="_Toc25252"/>
      <w:bookmarkStart w:id="184" w:name="_Toc14318"/>
      <w:bookmarkStart w:id="185" w:name="_Toc29617"/>
      <w:r>
        <w:rPr>
          <w:rFonts w:hint="eastAsia" w:ascii="宋体" w:hAnsi="宋体" w:eastAsia="宋体" w:cs="宋体"/>
          <w:b/>
          <w:sz w:val="24"/>
          <w:szCs w:val="24"/>
        </w:rPr>
        <w:t>2.评审方法与评分标准</w:t>
      </w:r>
      <w:bookmarkEnd w:id="183"/>
      <w:bookmarkEnd w:id="184"/>
      <w:bookmarkEnd w:id="185"/>
    </w:p>
    <w:p>
      <w:pPr>
        <w:snapToGrid w:val="0"/>
        <w:spacing w:line="360" w:lineRule="auto"/>
        <w:ind w:firstLine="480" w:firstLineChars="200"/>
        <w:contextualSpacing/>
        <w:rPr>
          <w:rFonts w:ascii="宋体" w:hAnsi="宋体" w:cs="宋体"/>
          <w:bCs/>
          <w:color w:val="000000"/>
          <w:sz w:val="24"/>
          <w:szCs w:val="24"/>
          <w:lang w:val="zh-CN"/>
        </w:rPr>
      </w:pPr>
      <w:r>
        <w:rPr>
          <w:rFonts w:hint="eastAsia" w:ascii="宋体" w:hAnsi="宋体" w:cs="宋体"/>
          <w:bCs/>
          <w:color w:val="000000"/>
          <w:sz w:val="24"/>
          <w:szCs w:val="24"/>
          <w:lang w:val="zh-CN"/>
        </w:rPr>
        <w:t>1.评审方法</w:t>
      </w:r>
    </w:p>
    <w:p>
      <w:pPr>
        <w:snapToGrid w:val="0"/>
        <w:spacing w:line="360" w:lineRule="auto"/>
        <w:ind w:firstLine="480" w:firstLineChars="200"/>
        <w:contextualSpacing/>
        <w:rPr>
          <w:rFonts w:ascii="宋体" w:hAnsi="宋体" w:cs="宋体"/>
          <w:sz w:val="24"/>
          <w:szCs w:val="24"/>
        </w:rPr>
      </w:pPr>
      <w:r>
        <w:rPr>
          <w:rFonts w:hint="eastAsia" w:ascii="宋体" w:hAnsi="宋体" w:cs="宋体"/>
          <w:color w:val="000000"/>
          <w:sz w:val="24"/>
          <w:szCs w:val="24"/>
        </w:rPr>
        <w:t>本项目采用：综合评分法</w:t>
      </w:r>
      <w:r>
        <w:rPr>
          <w:rFonts w:hint="eastAsia" w:ascii="宋体" w:hAnsi="宋体" w:cs="宋体"/>
          <w:sz w:val="24"/>
          <w:szCs w:val="24"/>
        </w:rPr>
        <w:t>。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2.评分标准</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本项目采用综合评分法确定中标人。评标委员会将按下列评分办法和标准进行评分，总分值为100分。</w:t>
      </w:r>
    </w:p>
    <w:tbl>
      <w:tblPr>
        <w:tblStyle w:val="5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62"/>
        <w:gridCol w:w="1157"/>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4" w:hRule="atLeast"/>
          <w:jc w:val="center"/>
        </w:trPr>
        <w:tc>
          <w:tcPr>
            <w:tcW w:w="671" w:type="pct"/>
            <w:noWrap w:val="0"/>
            <w:vAlign w:val="center"/>
          </w:tcPr>
          <w:p>
            <w:pPr>
              <w:autoSpaceDE w:val="0"/>
              <w:autoSpaceDN w:val="0"/>
              <w:adjustRightInd w:val="0"/>
              <w:spacing w:line="4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w:t>
            </w:r>
          </w:p>
        </w:tc>
        <w:tc>
          <w:tcPr>
            <w:tcW w:w="4328" w:type="pct"/>
            <w:gridSpan w:val="2"/>
            <w:noWrap w:val="0"/>
            <w:vAlign w:val="center"/>
          </w:tcPr>
          <w:p>
            <w:pPr>
              <w:autoSpaceDE w:val="0"/>
              <w:autoSpaceDN w:val="0"/>
              <w:adjustRightInd w:val="0"/>
              <w:spacing w:line="4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7" w:hRule="atLeast"/>
          <w:jc w:val="center"/>
        </w:trPr>
        <w:tc>
          <w:tcPr>
            <w:tcW w:w="671" w:type="pct"/>
            <w:noWrap w:val="0"/>
            <w:vAlign w:val="center"/>
          </w:tcPr>
          <w:p>
            <w:pPr>
              <w:spacing w:line="4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投标报价</w:t>
            </w:r>
          </w:p>
          <w:p>
            <w:pPr>
              <w:spacing w:line="4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10</w:t>
            </w:r>
            <w:r>
              <w:rPr>
                <w:color w:val="000000" w:themeColor="text1"/>
                <w:szCs w:val="21"/>
                <w14:textFill>
                  <w14:solidFill>
                    <w14:schemeClr w14:val="tx1"/>
                  </w14:solidFill>
                </w14:textFill>
              </w:rPr>
              <w:t>分）</w:t>
            </w:r>
          </w:p>
        </w:tc>
        <w:tc>
          <w:tcPr>
            <w:tcW w:w="4328" w:type="pct"/>
            <w:gridSpan w:val="2"/>
            <w:noWrap w:val="0"/>
            <w:vAlign w:val="center"/>
          </w:tcPr>
          <w:p>
            <w:pPr>
              <w:spacing w:line="40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以满足磋商文件要求的最低报价为基准价，得满分</w:t>
            </w:r>
            <w:r>
              <w:rPr>
                <w:rFonts w:hint="eastAsia"/>
                <w:color w:val="000000" w:themeColor="text1"/>
                <w:szCs w:val="21"/>
                <w:lang w:val="en-US" w:eastAsia="zh-CN"/>
                <w14:textFill>
                  <w14:solidFill>
                    <w14:schemeClr w14:val="tx1"/>
                  </w14:solidFill>
                </w14:textFill>
              </w:rPr>
              <w:t>10</w:t>
            </w:r>
            <w:r>
              <w:rPr>
                <w:color w:val="000000" w:themeColor="text1"/>
                <w:szCs w:val="21"/>
                <w14:textFill>
                  <w14:solidFill>
                    <w14:schemeClr w14:val="tx1"/>
                  </w14:solidFill>
                </w14:textFill>
              </w:rPr>
              <w:t>分其它报价得分＝（基准价/投标报价）×</w:t>
            </w:r>
            <w:r>
              <w:rPr>
                <w:rFonts w:hint="eastAsia"/>
                <w:color w:val="000000" w:themeColor="text1"/>
                <w:szCs w:val="21"/>
                <w:lang w:val="en-US" w:eastAsia="zh-CN"/>
                <w14:textFill>
                  <w14:solidFill>
                    <w14:schemeClr w14:val="tx1"/>
                  </w14:solidFill>
                </w14:textFill>
              </w:rPr>
              <w:t>10</w:t>
            </w:r>
            <w:r>
              <w:rPr>
                <w:color w:val="000000" w:themeColor="text1"/>
                <w:szCs w:val="21"/>
                <w14:textFill>
                  <w14:solidFill>
                    <w14:schemeClr w14:val="tx1"/>
                  </w14:solidFill>
                </w14:textFill>
              </w:rPr>
              <w:t>×100％（保留两位小数）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7" w:hRule="atLeast"/>
          <w:jc w:val="center"/>
        </w:trPr>
        <w:tc>
          <w:tcPr>
            <w:tcW w:w="671" w:type="pct"/>
            <w:noWrap w:val="0"/>
            <w:vAlign w:val="center"/>
          </w:tcPr>
          <w:p>
            <w:pPr>
              <w:spacing w:line="4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技术方案</w:t>
            </w:r>
          </w:p>
          <w:p>
            <w:pPr>
              <w:spacing w:line="4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35</w:t>
            </w:r>
            <w:r>
              <w:rPr>
                <w:color w:val="000000" w:themeColor="text1"/>
                <w:szCs w:val="21"/>
                <w14:textFill>
                  <w14:solidFill>
                    <w14:schemeClr w14:val="tx1"/>
                  </w14:solidFill>
                </w14:textFill>
              </w:rPr>
              <w:t>分）</w:t>
            </w:r>
          </w:p>
        </w:tc>
        <w:tc>
          <w:tcPr>
            <w:tcW w:w="4328" w:type="pct"/>
            <w:gridSpan w:val="2"/>
            <w:noWrap w:val="0"/>
            <w:vAlign w:val="center"/>
          </w:tcPr>
          <w:p>
            <w:pPr>
              <w:adjustRightInd w:val="0"/>
              <w:snapToGrid w:val="0"/>
              <w:spacing w:line="360" w:lineRule="exact"/>
              <w:rPr>
                <w:rFonts w:ascii="宋体" w:hAnsi="宋体" w:cs="宋体"/>
                <w:szCs w:val="21"/>
              </w:rPr>
            </w:pPr>
            <w:r>
              <w:rPr>
                <w:rFonts w:hint="eastAsia" w:ascii="宋体" w:hAnsi="宋体" w:cs="宋体"/>
                <w:b/>
                <w:bCs/>
                <w:szCs w:val="21"/>
                <w:lang w:val="en-US" w:eastAsia="zh-CN"/>
              </w:rPr>
              <w:t>1、需求理解（8分）：</w:t>
            </w:r>
            <w:r>
              <w:rPr>
                <w:rFonts w:hint="eastAsia" w:ascii="宋体" w:hAnsi="宋体" w:cs="宋体"/>
                <w:szCs w:val="21"/>
              </w:rPr>
              <w:t>根据响应文件提供的</w:t>
            </w:r>
            <w:r>
              <w:rPr>
                <w:rFonts w:hint="eastAsia" w:ascii="宋体" w:hAnsi="宋体" w:cs="宋体"/>
                <w:szCs w:val="21"/>
                <w:lang w:val="en-US" w:eastAsia="zh-CN"/>
              </w:rPr>
              <w:t>养老服务管理系统升级项目</w:t>
            </w:r>
            <w:r>
              <w:rPr>
                <w:rFonts w:hint="eastAsia" w:ascii="宋体" w:hAnsi="宋体" w:cs="宋体"/>
                <w:szCs w:val="21"/>
              </w:rPr>
              <w:t>建设背景、现状描述及需求分析等进行综合评分，能够准确阐述</w:t>
            </w:r>
            <w:r>
              <w:rPr>
                <w:rFonts w:hint="eastAsia" w:ascii="宋体" w:hAnsi="宋体" w:cs="宋体"/>
                <w:szCs w:val="21"/>
                <w:lang w:val="en-US" w:eastAsia="zh-CN"/>
              </w:rPr>
              <w:t>养老服务管理系统升级项目</w:t>
            </w:r>
            <w:r>
              <w:rPr>
                <w:rFonts w:hint="eastAsia" w:ascii="宋体" w:hAnsi="宋体" w:cs="宋体"/>
                <w:szCs w:val="21"/>
              </w:rPr>
              <w:t>现状及运行情况、应用环境、存在问题、解决方法，最高得</w:t>
            </w:r>
            <w:r>
              <w:rPr>
                <w:rFonts w:hint="eastAsia" w:ascii="宋体" w:hAnsi="宋体" w:cs="宋体"/>
                <w:szCs w:val="21"/>
                <w:lang w:val="en-US" w:eastAsia="zh-CN"/>
              </w:rPr>
              <w:t>8</w:t>
            </w:r>
            <w:r>
              <w:rPr>
                <w:rFonts w:hint="eastAsia" w:ascii="宋体" w:hAnsi="宋体" w:cs="宋体"/>
                <w:szCs w:val="21"/>
              </w:rPr>
              <w:t>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方案详细完整有序正确，可操作性强，得</w:t>
            </w:r>
            <w:r>
              <w:rPr>
                <w:rFonts w:hint="eastAsia" w:ascii="宋体" w:hAnsi="宋体" w:cs="宋体"/>
                <w:szCs w:val="21"/>
                <w:lang w:val="en-US" w:eastAsia="zh-CN"/>
              </w:rPr>
              <w:t>8</w:t>
            </w:r>
            <w:r>
              <w:rPr>
                <w:rFonts w:hint="eastAsia" w:ascii="宋体" w:hAnsi="宋体" w:cs="宋体"/>
                <w:szCs w:val="21"/>
              </w:rPr>
              <w:t>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方案合理，描述不够完整，操作性一般，得</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方案较为合理，描述有偏离，不具有一定可操作性的，得1-2分。</w:t>
            </w:r>
          </w:p>
          <w:p>
            <w:pPr>
              <w:widowControl/>
              <w:numPr>
                <w:ilvl w:val="0"/>
                <w:numId w:val="0"/>
              </w:numPr>
              <w:ind w:firstLine="420" w:firstLineChars="200"/>
              <w:jc w:val="left"/>
              <w:rPr>
                <w:rFonts w:hint="eastAsia"/>
              </w:rPr>
            </w:pPr>
            <w:r>
              <w:rPr>
                <w:rFonts w:hint="eastAsia" w:ascii="宋体" w:hAnsi="宋体" w:cs="宋体"/>
                <w:szCs w:val="21"/>
              </w:rPr>
              <w:t>无相关内容的描述或相关内容材料，不得分。</w:t>
            </w:r>
          </w:p>
          <w:p>
            <w:pPr>
              <w:widowControl/>
              <w:numPr>
                <w:ilvl w:val="0"/>
                <w:numId w:val="14"/>
              </w:numPr>
              <w:jc w:val="left"/>
              <w:rPr>
                <w:rFonts w:ascii="宋体" w:hAnsi="宋体" w:cs="宋体"/>
                <w:szCs w:val="21"/>
              </w:rPr>
            </w:pPr>
            <w:r>
              <w:rPr>
                <w:rFonts w:hint="eastAsia"/>
                <w:b/>
                <w:bCs/>
              </w:rPr>
              <w:t>系统整体架构（</w:t>
            </w:r>
            <w:r>
              <w:rPr>
                <w:rFonts w:hint="eastAsia"/>
                <w:b/>
                <w:bCs/>
                <w:lang w:val="en-US" w:eastAsia="zh-CN"/>
              </w:rPr>
              <w:t>8</w:t>
            </w:r>
            <w:r>
              <w:rPr>
                <w:rFonts w:hint="eastAsia"/>
                <w:b/>
                <w:bCs/>
              </w:rPr>
              <w:t>分）</w:t>
            </w:r>
            <w:r>
              <w:rPr>
                <w:rFonts w:hint="eastAsia"/>
              </w:rPr>
              <w:t>：</w:t>
            </w:r>
            <w:r>
              <w:rPr>
                <w:rFonts w:hint="eastAsia" w:ascii="宋体" w:hAnsi="宋体" w:cs="宋体"/>
                <w:szCs w:val="21"/>
              </w:rPr>
              <w:t>根据响应文件提供的对项目的理解以及项目的整体架构设计、网络系统设计、安全设计、系统性能等，最高得5分。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设计方案详细完整，可操作性强，得</w:t>
            </w:r>
            <w:r>
              <w:rPr>
                <w:rFonts w:hint="eastAsia" w:ascii="宋体" w:hAnsi="宋体" w:cs="宋体"/>
                <w:szCs w:val="21"/>
                <w:lang w:val="en-US" w:eastAsia="zh-CN"/>
              </w:rPr>
              <w:t>8</w:t>
            </w:r>
            <w:r>
              <w:rPr>
                <w:rFonts w:hint="eastAsia" w:ascii="宋体" w:hAnsi="宋体" w:cs="宋体"/>
                <w:szCs w:val="21"/>
              </w:rPr>
              <w:t>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方案合理，描述不够完整，操作性一般，得</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设计方案基本合理，描述有偏离，不具有一定可操作性的，得1-2分。</w:t>
            </w:r>
          </w:p>
          <w:p>
            <w:pPr>
              <w:adjustRightInd w:val="0"/>
              <w:snapToGrid w:val="0"/>
              <w:spacing w:line="360" w:lineRule="exact"/>
              <w:ind w:firstLine="420" w:firstLineChars="200"/>
              <w:rPr>
                <w:rFonts w:hint="eastAsia"/>
              </w:rPr>
            </w:pPr>
            <w:r>
              <w:rPr>
                <w:rFonts w:hint="eastAsia" w:ascii="宋体" w:hAnsi="宋体" w:cs="宋体"/>
                <w:szCs w:val="21"/>
              </w:rPr>
              <w:t>无相关内容的描述或相关内容材料，不得分。</w:t>
            </w:r>
          </w:p>
          <w:p>
            <w:pPr>
              <w:widowControl/>
              <w:numPr>
                <w:ilvl w:val="0"/>
                <w:numId w:val="14"/>
              </w:numPr>
              <w:ind w:left="0" w:leftChars="0" w:firstLine="0" w:firstLineChars="0"/>
              <w:jc w:val="left"/>
              <w:rPr>
                <w:rFonts w:ascii="宋体" w:hAnsi="宋体" w:cs="宋体"/>
                <w:szCs w:val="21"/>
              </w:rPr>
            </w:pPr>
            <w:r>
              <w:rPr>
                <w:rFonts w:hint="eastAsia"/>
                <w:b/>
                <w:bCs/>
              </w:rPr>
              <w:t>系统功能设计（</w:t>
            </w:r>
            <w:r>
              <w:rPr>
                <w:rFonts w:hint="eastAsia"/>
                <w:b/>
                <w:bCs/>
                <w:lang w:val="en-US" w:eastAsia="zh-CN"/>
              </w:rPr>
              <w:t>8</w:t>
            </w:r>
            <w:r>
              <w:rPr>
                <w:rFonts w:hint="eastAsia"/>
                <w:b/>
                <w:bCs/>
              </w:rPr>
              <w:t>分）</w:t>
            </w:r>
            <w:r>
              <w:rPr>
                <w:rFonts w:hint="eastAsia"/>
              </w:rPr>
              <w:t>：</w:t>
            </w:r>
            <w:r>
              <w:rPr>
                <w:rFonts w:hint="eastAsia" w:ascii="宋体" w:hAnsi="宋体" w:cs="宋体"/>
                <w:szCs w:val="21"/>
              </w:rPr>
              <w:t>根据供应商对招标文件中各功能模块理解的完整性、准确性、专业性进行综合评分，提供对应的软件界面图，最高得</w:t>
            </w:r>
            <w:r>
              <w:rPr>
                <w:rFonts w:hint="eastAsia" w:ascii="宋体" w:hAnsi="宋体" w:cs="宋体"/>
                <w:szCs w:val="21"/>
                <w:lang w:val="en-US" w:eastAsia="zh-CN"/>
              </w:rPr>
              <w:t>8</w:t>
            </w:r>
            <w:r>
              <w:rPr>
                <w:rFonts w:hint="eastAsia" w:ascii="宋体" w:hAnsi="宋体" w:cs="宋体"/>
                <w:szCs w:val="21"/>
              </w:rPr>
              <w:t>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设计方案详细完整，可操作性强，得</w:t>
            </w:r>
            <w:r>
              <w:rPr>
                <w:rFonts w:hint="eastAsia" w:ascii="宋体" w:hAnsi="宋体" w:cs="宋体"/>
                <w:szCs w:val="21"/>
                <w:lang w:val="en-US" w:eastAsia="zh-CN"/>
              </w:rPr>
              <w:t>8</w:t>
            </w:r>
            <w:r>
              <w:rPr>
                <w:rFonts w:hint="eastAsia" w:ascii="宋体" w:hAnsi="宋体" w:cs="宋体"/>
                <w:szCs w:val="21"/>
              </w:rPr>
              <w:t>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方案合理，描述不够完整，操作性一般，得</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设计方案基本合理，描述有偏离，不具有一定可操作性的，得1-2分。</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无相关内容的描述或相关内容材料，不得分。</w:t>
            </w:r>
          </w:p>
          <w:p>
            <w:pPr>
              <w:widowControl/>
              <w:numPr>
                <w:ilvl w:val="0"/>
                <w:numId w:val="15"/>
              </w:numPr>
              <w:jc w:val="left"/>
            </w:pPr>
            <w:r>
              <w:rPr>
                <w:rFonts w:hint="eastAsia"/>
                <w:b/>
                <w:bCs/>
              </w:rPr>
              <w:t>数据共享交换（</w:t>
            </w:r>
            <w:r>
              <w:rPr>
                <w:rFonts w:hint="eastAsia"/>
                <w:b/>
                <w:bCs/>
                <w:lang w:val="en-US" w:eastAsia="zh-CN"/>
              </w:rPr>
              <w:t>11</w:t>
            </w:r>
            <w:r>
              <w:rPr>
                <w:rFonts w:hint="eastAsia"/>
                <w:b/>
                <w:bCs/>
              </w:rPr>
              <w:t>分）</w:t>
            </w:r>
            <w:r>
              <w:rPr>
                <w:rFonts w:hint="eastAsia"/>
              </w:rPr>
              <w:t>：根据招标文件建设内容，实现与市民政云平台、市中心厨房一卡通系统、居家养老管理系统、机构养老管理系统、尊老金管理系统现有数据无缝对接，实现数据的交换与共享</w:t>
            </w:r>
            <w:r>
              <w:rPr>
                <w:rFonts w:hint="eastAsia"/>
                <w:lang w:val="en-US" w:eastAsia="zh-CN"/>
              </w:rPr>
              <w:t>进行评审，</w:t>
            </w:r>
            <w:r>
              <w:rPr>
                <w:rFonts w:hint="eastAsia" w:ascii="宋体" w:hAnsi="宋体" w:cs="宋体"/>
                <w:szCs w:val="21"/>
              </w:rPr>
              <w:t>最高得</w:t>
            </w:r>
            <w:r>
              <w:rPr>
                <w:rFonts w:hint="eastAsia" w:ascii="宋体" w:hAnsi="宋体" w:cs="宋体"/>
                <w:szCs w:val="21"/>
                <w:lang w:val="en-US" w:eastAsia="zh-CN"/>
              </w:rPr>
              <w:t>11</w:t>
            </w:r>
            <w:r>
              <w:rPr>
                <w:rFonts w:hint="eastAsia" w:ascii="宋体" w:hAnsi="宋体" w:cs="宋体"/>
                <w:szCs w:val="21"/>
              </w:rPr>
              <w:t>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方案合理，可操作性强，得</w:t>
            </w:r>
            <w:r>
              <w:rPr>
                <w:rFonts w:hint="eastAsia" w:ascii="宋体" w:hAnsi="宋体" w:cs="宋体"/>
                <w:szCs w:val="21"/>
                <w:lang w:val="en-US" w:eastAsia="zh-CN"/>
              </w:rPr>
              <w:t>11</w:t>
            </w:r>
            <w:r>
              <w:rPr>
                <w:rFonts w:hint="eastAsia" w:ascii="宋体" w:hAnsi="宋体" w:cs="宋体"/>
                <w:szCs w:val="21"/>
              </w:rPr>
              <w:t>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方案较为合理，通俗可操作，得</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方案基本合理，具有一定可操作性的，得</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p>
            <w:pPr>
              <w:adjustRightInd w:val="0"/>
              <w:snapToGrid w:val="0"/>
              <w:spacing w:line="360" w:lineRule="exact"/>
              <w:ind w:firstLine="420" w:firstLineChars="200"/>
            </w:pPr>
            <w:r>
              <w:rPr>
                <w:rFonts w:hint="eastAsia" w:ascii="宋体" w:hAnsi="宋体" w:eastAsia="宋体" w:cs="宋体"/>
                <w:kern w:val="2"/>
                <w:sz w:val="21"/>
                <w:szCs w:val="21"/>
                <w:lang w:val="en-US" w:eastAsia="zh-CN" w:bidi="ar-SA"/>
              </w:rPr>
              <w:t>无相关内容的描述或相关内容材料，不得分。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7" w:hRule="atLeast"/>
          <w:jc w:val="center"/>
        </w:trPr>
        <w:tc>
          <w:tcPr>
            <w:tcW w:w="671" w:type="pct"/>
            <w:noWrap w:val="0"/>
            <w:vAlign w:val="center"/>
          </w:tcPr>
          <w:p>
            <w:pPr>
              <w:spacing w:line="480" w:lineRule="exact"/>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系统演示</w:t>
            </w:r>
          </w:p>
          <w:p>
            <w:pPr>
              <w:spacing w:line="480" w:lineRule="exact"/>
              <w:jc w:val="center"/>
              <w:rPr>
                <w:rFonts w:hint="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20</w:t>
            </w:r>
            <w:r>
              <w:rPr>
                <w:rFonts w:hint="eastAsia" w:ascii="Times New Roman" w:hAnsi="Times New Roman" w:cs="Times New Roman"/>
                <w:color w:val="000000" w:themeColor="text1"/>
                <w:szCs w:val="21"/>
                <w:lang w:val="en-US" w:eastAsia="zh-CN"/>
                <w14:textFill>
                  <w14:solidFill>
                    <w14:schemeClr w14:val="tx1"/>
                  </w14:solidFill>
                </w14:textFill>
              </w:rPr>
              <w:t>分）</w:t>
            </w:r>
          </w:p>
        </w:tc>
        <w:tc>
          <w:tcPr>
            <w:tcW w:w="4328"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leftChars="0" w:right="0" w:firstLine="420" w:firstLineChars="200"/>
              <w:textAlignment w:val="auto"/>
              <w:rPr>
                <w:rFonts w:hint="eastAsia"/>
              </w:rPr>
            </w:pPr>
            <w:r>
              <w:rPr>
                <w:rFonts w:hint="eastAsia"/>
              </w:rPr>
              <w:t>系统演示：</w:t>
            </w:r>
            <w:r>
              <w:rPr>
                <w:rFonts w:hint="eastAsia"/>
                <w:lang w:eastAsia="zh-CN"/>
              </w:rPr>
              <w:t>供应商</w:t>
            </w:r>
            <w:r>
              <w:rPr>
                <w:rFonts w:hint="eastAsia"/>
              </w:rPr>
              <w:t>使用真实系统对项目中的主要功能进行演示，无演示（或PPT演示）不得分，每位</w:t>
            </w:r>
            <w:r>
              <w:rPr>
                <w:rFonts w:hint="eastAsia"/>
                <w:lang w:eastAsia="zh-CN"/>
              </w:rPr>
              <w:t>供应商</w:t>
            </w:r>
            <w:r>
              <w:rPr>
                <w:rFonts w:hint="eastAsia"/>
              </w:rPr>
              <w:t>演示时间不超过</w:t>
            </w:r>
            <w:r>
              <w:rPr>
                <w:rFonts w:hint="eastAsia"/>
                <w:lang w:val="en-US" w:eastAsia="zh-CN"/>
              </w:rPr>
              <w:t>1</w:t>
            </w:r>
            <w:r>
              <w:rPr>
                <w:rFonts w:hint="eastAsia"/>
              </w:rPr>
              <w:t>0分钟，演示必须包括以下内容：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0" w:after="10" w:line="360" w:lineRule="auto"/>
              <w:ind w:right="0" w:rightChars="0" w:firstLine="420" w:firstLineChars="200"/>
              <w:textAlignment w:val="auto"/>
              <w:rPr>
                <w:rFonts w:hint="eastAsia"/>
                <w:lang w:val="en-US" w:eastAsia="zh-CN"/>
              </w:rPr>
            </w:pPr>
            <w:r>
              <w:rPr>
                <w:rFonts w:hint="eastAsia"/>
                <w:lang w:val="en-US" w:eastAsia="zh-CN"/>
              </w:rPr>
              <w:t>1.演示尊老金发放管理，与扬州市智慧民政云平台无缝对接，展示尊老金发放人员信息，演示具有尊老金网上申请，在线审核、审批；</w:t>
            </w:r>
            <w:r>
              <w:rPr>
                <w:rFonts w:hint="eastAsia"/>
              </w:rPr>
              <w:t>最高得</w:t>
            </w:r>
            <w:r>
              <w:rPr>
                <w:rFonts w:hint="eastAsia"/>
                <w:lang w:val="en-US" w:eastAsia="zh-CN"/>
              </w:rPr>
              <w:t>5</w:t>
            </w:r>
            <w:r>
              <w:rPr>
                <w:rFonts w:hint="eastAsia"/>
              </w:rPr>
              <w:t>分</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0" w:after="10" w:line="360" w:lineRule="auto"/>
              <w:ind w:right="0" w:rightChars="0" w:firstLine="420" w:firstLineChars="200"/>
              <w:textAlignment w:val="auto"/>
              <w:rPr>
                <w:rFonts w:hint="eastAsia"/>
                <w:lang w:val="en-US" w:eastAsia="zh-CN"/>
              </w:rPr>
            </w:pPr>
            <w:r>
              <w:rPr>
                <w:rFonts w:hint="eastAsia"/>
                <w:lang w:val="en-US" w:eastAsia="zh-CN"/>
              </w:rPr>
              <w:t>功能全部实现，符合要求，得5分；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0" w:after="10" w:line="360" w:lineRule="auto"/>
              <w:ind w:right="0" w:rightChars="0" w:firstLine="420" w:firstLineChars="200"/>
              <w:textAlignment w:val="auto"/>
              <w:rPr>
                <w:rFonts w:hint="eastAsia"/>
                <w:lang w:val="en-US" w:eastAsia="zh-CN"/>
              </w:rPr>
            </w:pPr>
            <w:r>
              <w:rPr>
                <w:rFonts w:hint="eastAsia"/>
                <w:lang w:val="en-US" w:eastAsia="zh-CN"/>
              </w:rPr>
              <w:t>功能部分实现，基本符合要求，得3分；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0" w:after="10" w:line="360" w:lineRule="auto"/>
              <w:ind w:right="0" w:rightChars="0" w:firstLine="420" w:firstLineChars="200"/>
              <w:textAlignment w:val="auto"/>
              <w:rPr>
                <w:rFonts w:hint="eastAsia"/>
                <w:lang w:val="en-US" w:eastAsia="zh-CN"/>
              </w:rPr>
            </w:pPr>
            <w:r>
              <w:rPr>
                <w:rFonts w:hint="eastAsia"/>
                <w:lang w:val="en-US" w:eastAsia="zh-CN"/>
              </w:rPr>
              <w:t>功能实现极少，较为符合要求，得1分；</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leftChars="0" w:right="0" w:firstLine="420" w:firstLineChars="200"/>
              <w:textAlignment w:val="auto"/>
              <w:rPr>
                <w:rFonts w:hint="eastAsia"/>
                <w:lang w:val="en-US" w:eastAsia="zh-CN"/>
              </w:rPr>
            </w:pPr>
            <w:r>
              <w:rPr>
                <w:rFonts w:hint="eastAsia"/>
                <w:lang w:val="en-US" w:eastAsia="zh-CN"/>
              </w:rPr>
              <w:t>功能全部未实现，不符合要求，不得分。</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leftChars="0" w:right="0" w:firstLine="420" w:firstLineChars="200"/>
              <w:textAlignment w:val="auto"/>
              <w:rPr>
                <w:rFonts w:hint="eastAsia"/>
                <w:lang w:eastAsia="zh-CN"/>
              </w:rPr>
            </w:pPr>
            <w:r>
              <w:rPr>
                <w:rFonts w:hint="eastAsia"/>
                <w:lang w:val="en-US" w:eastAsia="zh-CN"/>
              </w:rPr>
              <w:t>2.演示居家服务管理，与扬州市智慧民政云平台无缝对接，</w:t>
            </w:r>
            <w:r>
              <w:rPr>
                <w:rFonts w:hint="eastAsia"/>
              </w:rPr>
              <w:t>实现与市级尊老金信息化平台的对接，体现</w:t>
            </w:r>
            <w:r>
              <w:rPr>
                <w:rFonts w:hint="eastAsia"/>
                <w:lang w:val="en-US" w:eastAsia="zh-CN"/>
              </w:rPr>
              <w:t>扬州市智慧养老服务平台</w:t>
            </w:r>
            <w:r>
              <w:rPr>
                <w:rFonts w:hint="eastAsia"/>
              </w:rPr>
              <w:t>的相关数据与市级尊老金数据的实时共享交换</w:t>
            </w:r>
            <w:r>
              <w:rPr>
                <w:rFonts w:hint="eastAsia"/>
                <w:lang w:eastAsia="zh-CN"/>
              </w:rPr>
              <w:t>；</w:t>
            </w:r>
            <w:r>
              <w:rPr>
                <w:rFonts w:hint="eastAsia"/>
              </w:rPr>
              <w:t>最高得</w:t>
            </w:r>
            <w:r>
              <w:rPr>
                <w:rFonts w:hint="eastAsia"/>
                <w:lang w:val="en-US" w:eastAsia="zh-CN"/>
              </w:rPr>
              <w:t>5</w:t>
            </w:r>
            <w:r>
              <w:rPr>
                <w:rFonts w:hint="eastAsia"/>
              </w:rPr>
              <w:t>分</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leftChars="0" w:right="0" w:firstLine="420" w:firstLineChars="200"/>
              <w:textAlignment w:val="auto"/>
              <w:rPr>
                <w:rFonts w:hint="eastAsia"/>
                <w:lang w:val="en-US" w:eastAsia="zh-CN"/>
              </w:rPr>
            </w:pPr>
            <w:r>
              <w:rPr>
                <w:rFonts w:hint="eastAsia"/>
                <w:lang w:val="en-US" w:eastAsia="zh-CN"/>
              </w:rPr>
              <w:t>功能全部实现，符合要求，得5分；</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right="0" w:firstLine="420" w:firstLineChars="200"/>
              <w:textAlignment w:val="auto"/>
              <w:rPr>
                <w:rFonts w:hint="eastAsia"/>
                <w:lang w:val="en-US" w:eastAsia="zh-CN"/>
              </w:rPr>
            </w:pPr>
            <w:r>
              <w:rPr>
                <w:rFonts w:hint="eastAsia"/>
                <w:lang w:val="en-US" w:eastAsia="zh-CN"/>
              </w:rPr>
              <w:t>功能部分实现，基本符合要求，得3分；</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leftChars="0" w:right="0" w:firstLine="420" w:firstLineChars="200"/>
              <w:textAlignment w:val="auto"/>
              <w:rPr>
                <w:rFonts w:hint="eastAsia"/>
                <w:lang w:val="en-US" w:eastAsia="zh-CN"/>
              </w:rPr>
            </w:pPr>
            <w:r>
              <w:rPr>
                <w:rFonts w:hint="eastAsia"/>
                <w:lang w:val="en-US" w:eastAsia="zh-CN"/>
              </w:rPr>
              <w:t>功能实现极少，较为符合要求，得1分；</w:t>
            </w:r>
          </w:p>
          <w:p>
            <w:pPr>
              <w:keepNext w:val="0"/>
              <w:keepLines w:val="0"/>
              <w:pageBreakBefore w:val="0"/>
              <w:widowControl w:val="0"/>
              <w:kinsoku/>
              <w:wordWrap/>
              <w:overflowPunct/>
              <w:topLinePunct w:val="0"/>
              <w:autoSpaceDE/>
              <w:autoSpaceDN/>
              <w:bidi w:val="0"/>
              <w:adjustRightInd w:val="0"/>
              <w:snapToGrid w:val="0"/>
              <w:spacing w:before="10" w:after="10" w:line="360" w:lineRule="auto"/>
              <w:ind w:left="0" w:leftChars="0" w:right="0" w:firstLine="420" w:firstLineChars="200"/>
              <w:textAlignment w:val="auto"/>
              <w:rPr>
                <w:rFonts w:hint="eastAsia"/>
                <w:lang w:val="en-US" w:eastAsia="zh-CN"/>
              </w:rPr>
            </w:pPr>
            <w:r>
              <w:rPr>
                <w:rFonts w:hint="eastAsia"/>
                <w:lang w:val="en-US" w:eastAsia="zh-CN"/>
              </w:rPr>
              <w:t>功能全部未实现，不符合要求，不得分。</w:t>
            </w:r>
          </w:p>
          <w:p>
            <w:pPr>
              <w:adjustRightInd w:val="0"/>
              <w:snapToGrid w:val="0"/>
              <w:spacing w:line="360" w:lineRule="exact"/>
              <w:ind w:firstLine="420" w:firstLineChars="200"/>
            </w:pPr>
            <w:r>
              <w:rPr>
                <w:rFonts w:hint="eastAsia"/>
                <w:lang w:val="en-US" w:eastAsia="zh-CN"/>
              </w:rPr>
              <w:t>3.</w:t>
            </w:r>
            <w:r>
              <w:rPr>
                <w:rFonts w:hint="eastAsia"/>
              </w:rPr>
              <w:t>援助对象管理，实现与市级</w:t>
            </w:r>
            <w:r>
              <w:rPr>
                <w:rFonts w:hint="eastAsia"/>
                <w:lang w:val="en-US" w:eastAsia="zh-CN"/>
              </w:rPr>
              <w:t>居家</w:t>
            </w:r>
            <w:r>
              <w:rPr>
                <w:rFonts w:hint="eastAsia"/>
              </w:rPr>
              <w:t>养老</w:t>
            </w:r>
            <w:r>
              <w:rPr>
                <w:rFonts w:hint="eastAsia"/>
                <w:lang w:val="en-US" w:eastAsia="zh-CN"/>
              </w:rPr>
              <w:t>系统</w:t>
            </w:r>
            <w:r>
              <w:rPr>
                <w:rFonts w:hint="eastAsia"/>
              </w:rPr>
              <w:t>的对接，体现</w:t>
            </w:r>
            <w:r>
              <w:rPr>
                <w:rFonts w:hint="eastAsia"/>
                <w:lang w:val="en-US" w:eastAsia="zh-CN"/>
              </w:rPr>
              <w:t>扬州市智慧养老服务平台</w:t>
            </w:r>
            <w:r>
              <w:rPr>
                <w:rFonts w:hint="eastAsia"/>
              </w:rPr>
              <w:t>的援助对象数据与市级</w:t>
            </w:r>
            <w:r>
              <w:rPr>
                <w:rFonts w:hint="eastAsia"/>
                <w:lang w:val="en-US" w:eastAsia="zh-CN"/>
              </w:rPr>
              <w:t>居家</w:t>
            </w:r>
            <w:r>
              <w:rPr>
                <w:rFonts w:hint="eastAsia"/>
              </w:rPr>
              <w:t>养老</w:t>
            </w:r>
            <w:r>
              <w:rPr>
                <w:rFonts w:hint="eastAsia"/>
                <w:lang w:val="en-US" w:eastAsia="zh-CN"/>
              </w:rPr>
              <w:t>系统</w:t>
            </w:r>
            <w:r>
              <w:rPr>
                <w:rFonts w:hint="eastAsia"/>
              </w:rPr>
              <w:t>的实时共享交换，最高得</w:t>
            </w:r>
            <w:r>
              <w:rPr>
                <w:rFonts w:hint="eastAsia"/>
                <w:lang w:val="en-US" w:eastAsia="zh-CN"/>
              </w:rPr>
              <w:t>5</w:t>
            </w:r>
            <w:r>
              <w:rPr>
                <w:rFonts w:hint="eastAsia"/>
              </w:rPr>
              <w:t>分。</w:t>
            </w:r>
          </w:p>
          <w:p>
            <w:pPr>
              <w:adjustRightInd w:val="0"/>
              <w:snapToGrid w:val="0"/>
              <w:spacing w:line="360" w:lineRule="exact"/>
              <w:ind w:firstLine="420" w:firstLineChars="200"/>
            </w:pPr>
            <w:r>
              <w:rPr>
                <w:rFonts w:hint="eastAsia"/>
              </w:rPr>
              <w:t>功能全部实现，符合要求，得</w:t>
            </w:r>
            <w:r>
              <w:rPr>
                <w:rFonts w:hint="eastAsia"/>
                <w:lang w:val="en-US" w:eastAsia="zh-CN"/>
              </w:rPr>
              <w:t>5</w:t>
            </w:r>
            <w:r>
              <w:rPr>
                <w:rFonts w:hint="eastAsia"/>
              </w:rPr>
              <w:t>分；</w:t>
            </w:r>
          </w:p>
          <w:p>
            <w:pPr>
              <w:adjustRightInd w:val="0"/>
              <w:snapToGrid w:val="0"/>
              <w:spacing w:line="360" w:lineRule="exact"/>
              <w:ind w:firstLine="420" w:firstLineChars="200"/>
            </w:pPr>
            <w:r>
              <w:rPr>
                <w:rFonts w:hint="eastAsia"/>
              </w:rPr>
              <w:t>功能部分实现，基本符合要求，得</w:t>
            </w:r>
            <w:r>
              <w:rPr>
                <w:rFonts w:hint="eastAsia"/>
                <w:lang w:val="en-US" w:eastAsia="zh-CN"/>
              </w:rPr>
              <w:t>3</w:t>
            </w:r>
            <w:r>
              <w:rPr>
                <w:rFonts w:hint="eastAsia"/>
              </w:rPr>
              <w:t>分；</w:t>
            </w:r>
          </w:p>
          <w:p>
            <w:pPr>
              <w:adjustRightInd w:val="0"/>
              <w:snapToGrid w:val="0"/>
              <w:spacing w:line="360" w:lineRule="exact"/>
              <w:ind w:firstLine="420" w:firstLineChars="200"/>
            </w:pPr>
            <w:r>
              <w:rPr>
                <w:rFonts w:hint="eastAsia"/>
              </w:rPr>
              <w:t>功能实现极少，较为符合要求，得</w:t>
            </w:r>
            <w:r>
              <w:rPr>
                <w:rFonts w:hint="eastAsia"/>
                <w:lang w:val="en-US" w:eastAsia="zh-CN"/>
              </w:rPr>
              <w:t>1</w:t>
            </w:r>
            <w:r>
              <w:rPr>
                <w:rFonts w:hint="eastAsia"/>
              </w:rPr>
              <w:t>分；</w:t>
            </w:r>
          </w:p>
          <w:p>
            <w:pPr>
              <w:adjustRightInd w:val="0"/>
              <w:snapToGrid w:val="0"/>
              <w:spacing w:line="360" w:lineRule="exact"/>
              <w:ind w:firstLine="420" w:firstLineChars="200"/>
            </w:pPr>
            <w:r>
              <w:rPr>
                <w:rFonts w:hint="eastAsia"/>
              </w:rPr>
              <w:t>功能全部未实现，不符合要求，不得分。</w:t>
            </w:r>
          </w:p>
          <w:p>
            <w:pPr>
              <w:numPr>
                <w:ilvl w:val="0"/>
                <w:numId w:val="0"/>
              </w:numPr>
              <w:adjustRightInd w:val="0"/>
              <w:snapToGrid w:val="0"/>
              <w:spacing w:line="360" w:lineRule="exact"/>
              <w:ind w:firstLine="420" w:firstLineChars="200"/>
              <w:rPr>
                <w:rFonts w:hint="eastAsia"/>
              </w:rPr>
            </w:pPr>
            <w:r>
              <w:rPr>
                <w:rFonts w:hint="eastAsia"/>
                <w:lang w:val="en-US" w:eastAsia="zh-CN"/>
              </w:rPr>
              <w:t>4.</w:t>
            </w:r>
            <w:r>
              <w:rPr>
                <w:rFonts w:hint="eastAsia"/>
              </w:rPr>
              <w:t>评估管理，实现与</w:t>
            </w:r>
            <w:r>
              <w:rPr>
                <w:rFonts w:hint="eastAsia"/>
                <w:lang w:val="en-US" w:eastAsia="zh-CN"/>
              </w:rPr>
              <w:t>扬州市智慧民政云平台</w:t>
            </w:r>
            <w:r>
              <w:rPr>
                <w:rFonts w:hint="eastAsia"/>
              </w:rPr>
              <w:t>的对接，体现</w:t>
            </w:r>
            <w:r>
              <w:rPr>
                <w:rFonts w:hint="eastAsia"/>
                <w:lang w:val="en-US" w:eastAsia="zh-CN"/>
              </w:rPr>
              <w:t>扬州市智慧民政云平台</w:t>
            </w:r>
            <w:r>
              <w:rPr>
                <w:rFonts w:hint="eastAsia"/>
              </w:rPr>
              <w:t>的评估相关数据与</w:t>
            </w:r>
            <w:r>
              <w:rPr>
                <w:rFonts w:hint="eastAsia"/>
                <w:lang w:val="en-US" w:eastAsia="zh-CN"/>
              </w:rPr>
              <w:t>扬州市智慧养老服务平台</w:t>
            </w:r>
            <w:r>
              <w:rPr>
                <w:rFonts w:hint="eastAsia"/>
              </w:rPr>
              <w:t>的实时共享交换，最高得</w:t>
            </w:r>
            <w:r>
              <w:rPr>
                <w:rFonts w:hint="eastAsia"/>
                <w:lang w:val="en-US" w:eastAsia="zh-CN"/>
              </w:rPr>
              <w:t>5</w:t>
            </w:r>
            <w:r>
              <w:rPr>
                <w:rFonts w:hint="eastAsia"/>
              </w:rPr>
              <w:t>分。</w:t>
            </w:r>
          </w:p>
          <w:p>
            <w:pPr>
              <w:adjustRightInd w:val="0"/>
              <w:snapToGrid w:val="0"/>
              <w:spacing w:line="360" w:lineRule="exact"/>
              <w:ind w:firstLine="420" w:firstLineChars="200"/>
              <w:rPr>
                <w:rFonts w:hint="eastAsia"/>
              </w:rPr>
            </w:pPr>
            <w:r>
              <w:rPr>
                <w:rFonts w:hint="eastAsia"/>
              </w:rPr>
              <w:t>功能全部实现，符合要求，得</w:t>
            </w:r>
            <w:r>
              <w:rPr>
                <w:rFonts w:hint="eastAsia"/>
                <w:lang w:val="en-US" w:eastAsia="zh-CN"/>
              </w:rPr>
              <w:t>5</w:t>
            </w:r>
            <w:r>
              <w:rPr>
                <w:rFonts w:hint="eastAsia"/>
              </w:rPr>
              <w:t>分；</w:t>
            </w:r>
          </w:p>
          <w:p>
            <w:pPr>
              <w:adjustRightInd w:val="0"/>
              <w:snapToGrid w:val="0"/>
              <w:spacing w:line="360" w:lineRule="exact"/>
              <w:ind w:firstLine="420" w:firstLineChars="200"/>
              <w:rPr>
                <w:rFonts w:hint="eastAsia"/>
              </w:rPr>
            </w:pPr>
            <w:r>
              <w:rPr>
                <w:rFonts w:hint="eastAsia"/>
              </w:rPr>
              <w:t>功能部分实现，基本符合要求，得</w:t>
            </w:r>
            <w:r>
              <w:rPr>
                <w:rFonts w:hint="eastAsia"/>
                <w:lang w:val="en-US" w:eastAsia="zh-CN"/>
              </w:rPr>
              <w:t>3</w:t>
            </w:r>
            <w:r>
              <w:rPr>
                <w:rFonts w:hint="eastAsia"/>
              </w:rPr>
              <w:t>分；</w:t>
            </w:r>
          </w:p>
          <w:p>
            <w:pPr>
              <w:adjustRightInd w:val="0"/>
              <w:snapToGrid w:val="0"/>
              <w:spacing w:line="360" w:lineRule="exact"/>
              <w:ind w:firstLine="420" w:firstLineChars="200"/>
              <w:rPr>
                <w:rFonts w:hint="eastAsia"/>
              </w:rPr>
            </w:pPr>
            <w:r>
              <w:rPr>
                <w:rFonts w:hint="eastAsia"/>
              </w:rPr>
              <w:t>功能实现极少，较为符合要求，得</w:t>
            </w:r>
            <w:r>
              <w:rPr>
                <w:rFonts w:hint="eastAsia"/>
                <w:lang w:val="en-US" w:eastAsia="zh-CN"/>
              </w:rPr>
              <w:t>1</w:t>
            </w:r>
            <w:r>
              <w:rPr>
                <w:rFonts w:hint="eastAsia"/>
              </w:rPr>
              <w:t>分；</w:t>
            </w:r>
          </w:p>
          <w:p>
            <w:pPr>
              <w:adjustRightInd w:val="0"/>
              <w:snapToGrid w:val="0"/>
              <w:spacing w:line="360" w:lineRule="exact"/>
              <w:ind w:firstLine="420" w:firstLineChars="200"/>
              <w:rPr>
                <w:rFonts w:hint="eastAsia"/>
              </w:rPr>
            </w:pPr>
            <w:r>
              <w:rPr>
                <w:rFonts w:hint="eastAsia"/>
                <w:lang w:val="en-US" w:eastAsia="zh-CN"/>
              </w:rPr>
              <w:t>功能全部未实现，不符合要求，不得分</w:t>
            </w:r>
            <w:r>
              <w:rPr>
                <w:rFonts w:hint="eastAsia"/>
              </w:rPr>
              <w:t>。</w:t>
            </w:r>
          </w:p>
          <w:p>
            <w:pPr>
              <w:adjustRightInd w:val="0"/>
              <w:snapToGrid w:val="0"/>
              <w:spacing w:line="360" w:lineRule="exact"/>
              <w:ind w:firstLine="422" w:firstLineChars="200"/>
              <w:rPr>
                <w:rFonts w:hint="default" w:eastAsia="黑体"/>
                <w:lang w:val="en-US" w:eastAsia="zh-CN"/>
              </w:rPr>
            </w:pPr>
            <w:r>
              <w:rPr>
                <w:rFonts w:hint="eastAsia" w:ascii="宋体" w:hAnsi="宋体" w:cs="宋体"/>
                <w:b/>
                <w:bCs/>
                <w:color w:val="auto"/>
                <w:szCs w:val="21"/>
                <w:lang w:eastAsia="zh-CN"/>
              </w:rPr>
              <w:t>系统演示部分请投标单位将演示内容自行录制做成视频，放到优盘里随投标文件一起寄送过来，视频格式可为</w:t>
            </w:r>
            <w:r>
              <w:rPr>
                <w:rFonts w:hint="eastAsia" w:ascii="宋体" w:hAnsi="宋体" w:cs="宋体"/>
                <w:b/>
                <w:bCs/>
                <w:color w:val="auto"/>
                <w:szCs w:val="21"/>
                <w:lang w:val="en-US" w:eastAsia="zh-CN"/>
              </w:rPr>
              <w:t>mp4、avi等。如因格式造成视频无法播放，请各单位自行负责。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7" w:hRule="atLeast"/>
          <w:jc w:val="center"/>
        </w:trPr>
        <w:tc>
          <w:tcPr>
            <w:tcW w:w="671" w:type="pct"/>
            <w:vMerge w:val="restart"/>
            <w:noWrap w:val="0"/>
            <w:vAlign w:val="center"/>
          </w:tcPr>
          <w:p>
            <w:pPr>
              <w:spacing w:line="360" w:lineRule="auto"/>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履约能力</w:t>
            </w:r>
          </w:p>
          <w:p>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25</w:t>
            </w:r>
            <w:r>
              <w:rPr>
                <w:color w:val="000000" w:themeColor="text1"/>
                <w:szCs w:val="21"/>
                <w14:textFill>
                  <w14:solidFill>
                    <w14:schemeClr w14:val="tx1"/>
                  </w14:solidFill>
                </w14:textFill>
              </w:rPr>
              <w:t>分）</w:t>
            </w:r>
          </w:p>
        </w:tc>
        <w:tc>
          <w:tcPr>
            <w:tcW w:w="668" w:type="pct"/>
            <w:noWrap w:val="0"/>
            <w:vAlign w:val="center"/>
          </w:tcPr>
          <w:p>
            <w:pPr>
              <w:widowControl/>
              <w:jc w:val="center"/>
              <w:rPr>
                <w:rFonts w:hint="eastAsia"/>
                <w:lang w:val="en-US" w:eastAsia="zh-CN"/>
              </w:rPr>
            </w:pPr>
            <w:r>
              <w:rPr>
                <w:rFonts w:hint="eastAsia"/>
                <w:lang w:val="en-US" w:eastAsia="zh-CN"/>
              </w:rPr>
              <w:t>成功案例</w:t>
            </w:r>
          </w:p>
          <w:p>
            <w:pPr>
              <w:widowControl/>
              <w:jc w:val="center"/>
              <w:rPr>
                <w:rFonts w:hint="default"/>
                <w:lang w:val="en-US" w:eastAsia="zh-CN"/>
              </w:rPr>
            </w:pP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val="en-US" w:eastAsia="zh-CN"/>
              </w:rPr>
              <w:t>10</w:t>
            </w:r>
            <w:r>
              <w:rPr>
                <w:rFonts w:hint="eastAsia" w:ascii="宋体" w:hAnsi="宋体" w:eastAsia="宋体" w:cs="宋体"/>
                <w:b w:val="0"/>
                <w:bCs w:val="0"/>
                <w:color w:val="auto"/>
                <w:sz w:val="21"/>
                <w:szCs w:val="21"/>
              </w:rPr>
              <w:t>分）</w:t>
            </w:r>
          </w:p>
        </w:tc>
        <w:tc>
          <w:tcPr>
            <w:tcW w:w="3660" w:type="pct"/>
            <w:noWrap w:val="0"/>
            <w:vAlign w:val="center"/>
          </w:tcPr>
          <w:p>
            <w:pPr>
              <w:widowControl/>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供应商</w:t>
            </w:r>
            <w:r>
              <w:rPr>
                <w:rFonts w:hint="eastAsia"/>
                <w:color w:val="000000" w:themeColor="text1"/>
                <w:szCs w:val="21"/>
                <w14:textFill>
                  <w14:solidFill>
                    <w14:schemeClr w14:val="tx1"/>
                  </w14:solidFill>
                </w14:textFill>
              </w:rPr>
              <w:t>201</w:t>
            </w:r>
            <w:r>
              <w:rPr>
                <w:rFonts w:hint="eastAsia"/>
                <w:color w:val="000000" w:themeColor="text1"/>
                <w:szCs w:val="21"/>
                <w:lang w:val="en-US" w:eastAsia="zh-CN"/>
                <w14:textFill>
                  <w14:solidFill>
                    <w14:schemeClr w14:val="tx1"/>
                  </w14:solidFill>
                </w14:textFill>
              </w:rPr>
              <w:t>8</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1日</w:t>
            </w:r>
            <w:r>
              <w:rPr>
                <w:rFonts w:hint="eastAsia"/>
                <w:color w:val="000000" w:themeColor="text1"/>
                <w:szCs w:val="21"/>
                <w14:textFill>
                  <w14:solidFill>
                    <w14:schemeClr w14:val="tx1"/>
                  </w14:solidFill>
                </w14:textFill>
              </w:rPr>
              <w:t>以来完成的</w:t>
            </w:r>
            <w:r>
              <w:rPr>
                <w:rFonts w:hint="eastAsia"/>
                <w:color w:val="000000" w:themeColor="text1"/>
                <w:szCs w:val="21"/>
                <w:lang w:val="en-US" w:eastAsia="zh-CN"/>
                <w14:textFill>
                  <w14:solidFill>
                    <w14:schemeClr w14:val="tx1"/>
                  </w14:solidFill>
                </w14:textFill>
              </w:rPr>
              <w:t>类似</w:t>
            </w:r>
            <w:r>
              <w:rPr>
                <w:rFonts w:hint="eastAsia"/>
                <w:color w:val="000000" w:themeColor="text1"/>
                <w:szCs w:val="21"/>
                <w14:textFill>
                  <w14:solidFill>
                    <w14:schemeClr w14:val="tx1"/>
                  </w14:solidFill>
                </w14:textFill>
              </w:rPr>
              <w:t>项目，每提供一项得</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分，最高得</w:t>
            </w:r>
            <w:r>
              <w:rPr>
                <w:rFonts w:hint="eastAsia"/>
                <w:color w:val="000000" w:themeColor="text1"/>
                <w:szCs w:val="21"/>
                <w:lang w:val="en-US" w:eastAsia="zh-CN"/>
                <w14:textFill>
                  <w14:solidFill>
                    <w14:schemeClr w14:val="tx1"/>
                  </w14:solidFill>
                </w14:textFill>
              </w:rPr>
              <w:t>10</w:t>
            </w:r>
            <w:r>
              <w:rPr>
                <w:rFonts w:hint="eastAsia"/>
                <w:color w:val="000000" w:themeColor="text1"/>
                <w:szCs w:val="21"/>
                <w14:textFill>
                  <w14:solidFill>
                    <w14:schemeClr w14:val="tx1"/>
                  </w14:solidFill>
                </w14:textFill>
              </w:rPr>
              <w:t>分。</w:t>
            </w:r>
            <w:r>
              <w:rPr>
                <w:rFonts w:hint="eastAsia"/>
                <w:b/>
                <w:bCs/>
                <w:color w:val="000000" w:themeColor="text1"/>
                <w:szCs w:val="21"/>
                <w14:textFill>
                  <w14:solidFill>
                    <w14:schemeClr w14:val="tx1"/>
                  </w14:solidFill>
                </w14:textFill>
              </w:rPr>
              <w:t>（以合同签订时间为准，提供合同复印件加盖供应商公章）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7" w:hRule="atLeast"/>
          <w:jc w:val="center"/>
        </w:trPr>
        <w:tc>
          <w:tcPr>
            <w:tcW w:w="671" w:type="pct"/>
            <w:vMerge w:val="continue"/>
            <w:noWrap w:val="0"/>
            <w:vAlign w:val="center"/>
          </w:tcPr>
          <w:p>
            <w:pPr>
              <w:spacing w:line="360" w:lineRule="auto"/>
              <w:jc w:val="center"/>
              <w:rPr>
                <w:color w:val="000000" w:themeColor="text1"/>
                <w:szCs w:val="21"/>
                <w14:textFill>
                  <w14:solidFill>
                    <w14:schemeClr w14:val="tx1"/>
                  </w14:solidFill>
                </w14:textFill>
              </w:rPr>
            </w:pPr>
          </w:p>
        </w:tc>
        <w:tc>
          <w:tcPr>
            <w:tcW w:w="668" w:type="pct"/>
            <w:noWrap w:val="0"/>
            <w:vAlign w:val="center"/>
          </w:tcPr>
          <w:p>
            <w:pPr>
              <w:widowControl/>
              <w:jc w:val="center"/>
              <w:rPr>
                <w:rFonts w:hint="eastAsia"/>
                <w:color w:val="000000" w:themeColor="text1"/>
                <w:szCs w:val="21"/>
                <w:lang w:val="en-US" w:eastAsia="zh-CN"/>
                <w14:textFill>
                  <w14:solidFill>
                    <w14:schemeClr w14:val="tx1"/>
                  </w14:solidFill>
                </w14:textFill>
              </w:rPr>
            </w:pPr>
            <w:r>
              <w:rPr>
                <w:rFonts w:hint="eastAsia" w:ascii="宋体" w:hAnsi="宋体" w:eastAsia="宋体" w:cs="宋体"/>
                <w:b w:val="0"/>
                <w:bCs w:val="0"/>
                <w:color w:val="auto"/>
                <w:sz w:val="21"/>
                <w:szCs w:val="21"/>
              </w:rPr>
              <w:t>企业实力</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val="en-US" w:eastAsia="zh-CN"/>
              </w:rPr>
              <w:t>15</w:t>
            </w:r>
            <w:r>
              <w:rPr>
                <w:rFonts w:hint="eastAsia" w:ascii="宋体" w:hAnsi="宋体" w:eastAsia="宋体" w:cs="宋体"/>
                <w:b w:val="0"/>
                <w:bCs w:val="0"/>
                <w:color w:val="auto"/>
                <w:sz w:val="21"/>
                <w:szCs w:val="21"/>
              </w:rPr>
              <w:t>分）</w:t>
            </w:r>
          </w:p>
        </w:tc>
        <w:tc>
          <w:tcPr>
            <w:tcW w:w="36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lang w:val="en-US" w:eastAsia="zh-CN"/>
              </w:rPr>
              <w:t>相关养老平台</w:t>
            </w:r>
            <w:r>
              <w:rPr>
                <w:rFonts w:hint="eastAsia" w:ascii="宋体" w:hAnsi="宋体" w:cs="宋体"/>
                <w:color w:val="auto"/>
                <w:sz w:val="21"/>
                <w:szCs w:val="21"/>
                <w:lang w:val="en-US" w:eastAsia="zh-CN"/>
              </w:rPr>
              <w:t>获得</w:t>
            </w:r>
            <w:r>
              <w:rPr>
                <w:rFonts w:hint="eastAsia" w:ascii="宋体" w:hAnsi="宋体" w:eastAsia="宋体" w:cs="宋体"/>
                <w:color w:val="auto"/>
                <w:sz w:val="21"/>
                <w:szCs w:val="21"/>
                <w:lang w:val="en-US" w:eastAsia="zh-CN"/>
              </w:rPr>
              <w:t>国家</w:t>
            </w:r>
            <w:r>
              <w:rPr>
                <w:rFonts w:hint="eastAsia" w:ascii="宋体" w:hAnsi="宋体" w:cs="宋体"/>
                <w:color w:val="auto"/>
                <w:sz w:val="21"/>
                <w:szCs w:val="21"/>
                <w:lang w:val="en-US" w:eastAsia="zh-CN"/>
              </w:rPr>
              <w:t>级奖项</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获得</w:t>
            </w:r>
            <w:r>
              <w:rPr>
                <w:rFonts w:hint="eastAsia" w:ascii="宋体" w:hAnsi="宋体" w:eastAsia="宋体" w:cs="宋体"/>
                <w:color w:val="auto"/>
                <w:sz w:val="21"/>
                <w:szCs w:val="21"/>
                <w:lang w:val="en-US" w:eastAsia="zh-CN"/>
              </w:rPr>
              <w:t>过与本项目采购内容相关的</w:t>
            </w:r>
            <w:r>
              <w:rPr>
                <w:rFonts w:hint="eastAsia" w:ascii="宋体" w:hAnsi="宋体" w:eastAsia="宋体" w:cs="宋体"/>
                <w:color w:val="auto"/>
                <w:sz w:val="21"/>
                <w:szCs w:val="21"/>
              </w:rPr>
              <w:t>软件著作权证书，有一个得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p>
            <w:pPr>
              <w:widowControl/>
              <w:jc w:val="left"/>
              <w:rPr>
                <w:rFonts w:hint="eastAsia"/>
                <w:color w:val="000000" w:themeColor="text1"/>
                <w:szCs w:val="21"/>
                <w:lang w:val="en-US" w:eastAsia="zh-CN"/>
                <w14:textFill>
                  <w14:solidFill>
                    <w14:schemeClr w14:val="tx1"/>
                  </w14:solidFill>
                </w14:textFill>
              </w:rPr>
            </w:pPr>
            <w:r>
              <w:rPr>
                <w:rFonts w:hint="eastAsia" w:ascii="宋体" w:hAnsi="宋体" w:cs="宋体"/>
                <w:b/>
                <w:bCs/>
                <w:color w:val="auto"/>
                <w:sz w:val="21"/>
                <w:szCs w:val="21"/>
                <w:lang w:val="en-US" w:eastAsia="zh-CN"/>
              </w:rPr>
              <w:t>投标</w:t>
            </w:r>
            <w:r>
              <w:rPr>
                <w:rFonts w:hint="eastAsia" w:ascii="宋体" w:hAnsi="宋体" w:eastAsia="宋体" w:cs="宋体"/>
                <w:b/>
                <w:bCs/>
                <w:color w:val="auto"/>
                <w:sz w:val="21"/>
                <w:szCs w:val="21"/>
              </w:rPr>
              <w:t>文件中提供证书复印件并加盖</w:t>
            </w:r>
            <w:r>
              <w:rPr>
                <w:rFonts w:hint="eastAsia" w:ascii="宋体" w:hAnsi="宋体" w:cs="宋体"/>
                <w:b/>
                <w:bCs/>
                <w:color w:val="auto"/>
                <w:sz w:val="21"/>
                <w:szCs w:val="21"/>
                <w:lang w:val="en-US" w:eastAsia="zh-CN"/>
              </w:rPr>
              <w:t>公</w:t>
            </w:r>
            <w:r>
              <w:rPr>
                <w:rFonts w:hint="eastAsia" w:ascii="宋体" w:hAnsi="宋体" w:eastAsia="宋体" w:cs="宋体"/>
                <w:b/>
                <w:bCs/>
                <w:color w:val="auto"/>
                <w:sz w:val="21"/>
                <w:szCs w:val="21"/>
              </w:rPr>
              <w:t>章，原件或公证件携带至开标现场核查，否则不得分。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7" w:hRule="atLeast"/>
          <w:jc w:val="center"/>
        </w:trPr>
        <w:tc>
          <w:tcPr>
            <w:tcW w:w="671" w:type="pct"/>
            <w:noWrap w:val="0"/>
            <w:vAlign w:val="center"/>
          </w:tcPr>
          <w:p>
            <w:pPr>
              <w:spacing w:line="360" w:lineRule="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售后服务</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10</w:t>
            </w:r>
            <w:r>
              <w:rPr>
                <w:rFonts w:hint="eastAsia"/>
                <w:color w:val="000000" w:themeColor="text1"/>
                <w:sz w:val="21"/>
                <w:szCs w:val="21"/>
                <w14:textFill>
                  <w14:solidFill>
                    <w14:schemeClr w14:val="tx1"/>
                  </w14:solidFill>
                </w14:textFill>
              </w:rPr>
              <w:t>分）</w:t>
            </w:r>
          </w:p>
        </w:tc>
        <w:tc>
          <w:tcPr>
            <w:tcW w:w="4328" w:type="pct"/>
            <w:gridSpan w:val="2"/>
            <w:noWrap w:val="0"/>
            <w:vAlign w:val="center"/>
          </w:tcPr>
          <w:p>
            <w:pPr>
              <w:spacing w:line="340" w:lineRule="exact"/>
              <w:ind w:firstLine="420" w:firstLineChars="200"/>
              <w:rPr>
                <w:rFonts w:ascii="宋体" w:hAnsi="宋体" w:eastAsia="宋体" w:cs="宋体"/>
                <w:szCs w:val="21"/>
              </w:rPr>
            </w:pPr>
            <w:r>
              <w:rPr>
                <w:rFonts w:hint="eastAsia" w:ascii="宋体" w:hAnsi="宋体" w:eastAsia="宋体" w:cs="宋体"/>
                <w:szCs w:val="21"/>
              </w:rPr>
              <w:t>根据供应商的项目培训方案、售后服务方案、系统故障响应时间及解决方案、专业技术人员保障、服务承诺等方面进行综合评价，最高得</w:t>
            </w:r>
            <w:r>
              <w:rPr>
                <w:rFonts w:hint="eastAsia" w:ascii="宋体" w:hAnsi="宋体" w:cs="宋体"/>
                <w:szCs w:val="21"/>
                <w:lang w:val="en-US" w:eastAsia="zh-CN"/>
              </w:rPr>
              <w:t>5</w:t>
            </w:r>
            <w:r>
              <w:rPr>
                <w:rFonts w:hint="eastAsia" w:ascii="宋体" w:hAnsi="宋体" w:eastAsia="宋体" w:cs="宋体"/>
                <w:szCs w:val="21"/>
              </w:rPr>
              <w:t>分。</w:t>
            </w:r>
          </w:p>
          <w:p>
            <w:pPr>
              <w:spacing w:line="340" w:lineRule="exact"/>
              <w:ind w:firstLine="420" w:firstLineChars="200"/>
              <w:rPr>
                <w:rFonts w:ascii="宋体" w:hAnsi="宋体" w:eastAsia="宋体" w:cs="宋体"/>
                <w:szCs w:val="21"/>
              </w:rPr>
            </w:pPr>
            <w:r>
              <w:rPr>
                <w:rFonts w:hint="eastAsia" w:ascii="宋体" w:hAnsi="宋体" w:eastAsia="宋体" w:cs="宋体"/>
                <w:szCs w:val="21"/>
              </w:rPr>
              <w:t>方案完整有序，可操作性强，得</w:t>
            </w:r>
            <w:r>
              <w:rPr>
                <w:rFonts w:hint="eastAsia" w:ascii="宋体" w:hAnsi="宋体" w:cs="宋体"/>
                <w:szCs w:val="21"/>
                <w:lang w:val="en-US" w:eastAsia="zh-CN"/>
              </w:rPr>
              <w:t>5</w:t>
            </w:r>
            <w:r>
              <w:rPr>
                <w:rFonts w:hint="eastAsia" w:ascii="宋体" w:hAnsi="宋体" w:eastAsia="宋体" w:cs="宋体"/>
                <w:szCs w:val="21"/>
              </w:rPr>
              <w:t>分；</w:t>
            </w:r>
          </w:p>
          <w:p>
            <w:pPr>
              <w:spacing w:line="340" w:lineRule="exact"/>
              <w:ind w:firstLine="420" w:firstLineChars="200"/>
              <w:rPr>
                <w:rFonts w:ascii="宋体" w:hAnsi="宋体" w:eastAsia="宋体" w:cs="宋体"/>
                <w:szCs w:val="21"/>
              </w:rPr>
            </w:pPr>
            <w:r>
              <w:rPr>
                <w:rFonts w:hint="eastAsia" w:ascii="宋体" w:hAnsi="宋体" w:eastAsia="宋体" w:cs="宋体"/>
                <w:szCs w:val="21"/>
              </w:rPr>
              <w:t>方案较为合理，通俗可操作，得</w:t>
            </w:r>
            <w:r>
              <w:rPr>
                <w:rFonts w:hint="eastAsia" w:ascii="宋体" w:hAnsi="宋体" w:eastAsia="宋体" w:cs="宋体"/>
                <w:szCs w:val="21"/>
                <w:lang w:val="en-US" w:eastAsia="zh-CN"/>
              </w:rPr>
              <w:t>4</w:t>
            </w:r>
            <w:r>
              <w:rPr>
                <w:rFonts w:hint="eastAsia" w:ascii="宋体" w:hAnsi="宋体" w:eastAsia="宋体" w:cs="宋体"/>
                <w:szCs w:val="21"/>
              </w:rPr>
              <w:t>分；</w:t>
            </w:r>
          </w:p>
          <w:p>
            <w:pPr>
              <w:pStyle w:val="472"/>
              <w:pageBreakBefore w:val="0"/>
              <w:kinsoku/>
              <w:wordWrap/>
              <w:overflowPunct/>
              <w:topLinePunct w:val="0"/>
              <w:autoSpaceDE/>
              <w:autoSpaceDN/>
              <w:bidi w:val="0"/>
              <w:spacing w:before="10" w:after="10" w:line="360" w:lineRule="auto"/>
              <w:ind w:left="0" w:firstLine="48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方案基本合理，具有一定可操作性的，得</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分。</w:t>
            </w:r>
          </w:p>
          <w:p>
            <w:pPr>
              <w:pStyle w:val="472"/>
              <w:pageBreakBefore w:val="0"/>
              <w:kinsoku/>
              <w:wordWrap/>
              <w:overflowPunct/>
              <w:topLinePunct w:val="0"/>
              <w:autoSpaceDE/>
              <w:autoSpaceDN/>
              <w:bidi w:val="0"/>
              <w:spacing w:before="10" w:after="10" w:line="360" w:lineRule="auto"/>
              <w:ind w:left="0" w:firstLine="48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承诺提供本地服务人员并且如发生故障时，满足1小时内到现场服务，得</w:t>
            </w:r>
            <w:r>
              <w:rPr>
                <w:rFonts w:hint="eastAsia" w:cs="宋体"/>
                <w:kern w:val="2"/>
                <w:sz w:val="21"/>
                <w:szCs w:val="21"/>
                <w:lang w:val="en-US" w:eastAsia="zh-CN" w:bidi="ar-SA"/>
              </w:rPr>
              <w:t>5</w:t>
            </w:r>
            <w:r>
              <w:rPr>
                <w:rFonts w:hint="eastAsia" w:ascii="宋体" w:hAnsi="宋体" w:eastAsia="宋体" w:cs="宋体"/>
                <w:kern w:val="2"/>
                <w:sz w:val="21"/>
                <w:szCs w:val="21"/>
                <w:lang w:val="en-US" w:eastAsia="zh-CN" w:bidi="ar-SA"/>
              </w:rPr>
              <w:t>分；不满足</w:t>
            </w:r>
            <w:bookmarkStart w:id="212" w:name="_GoBack"/>
            <w:bookmarkEnd w:id="212"/>
            <w:r>
              <w:rPr>
                <w:rFonts w:hint="eastAsia" w:ascii="宋体" w:hAnsi="宋体" w:eastAsia="宋体" w:cs="宋体"/>
                <w:kern w:val="2"/>
                <w:sz w:val="21"/>
                <w:szCs w:val="21"/>
                <w:lang w:val="en-US" w:eastAsia="zh-CN" w:bidi="ar-SA"/>
              </w:rPr>
              <w:t>则不得分。提供承诺函原件，无则不得分。</w:t>
            </w:r>
          </w:p>
        </w:tc>
      </w:tr>
    </w:tbl>
    <w:p>
      <w:pPr>
        <w:pStyle w:val="463"/>
        <w:ind w:firstLine="0"/>
        <w:rPr>
          <w:rFonts w:ascii="宋体" w:hAnsi="宋体" w:cs="宋体"/>
          <w:b/>
          <w:sz w:val="21"/>
          <w:szCs w:val="21"/>
        </w:rPr>
      </w:pPr>
      <w:r>
        <w:rPr>
          <w:rFonts w:hint="eastAsia" w:ascii="宋体" w:hAnsi="宋体" w:cs="宋体"/>
          <w:b/>
          <w:sz w:val="21"/>
          <w:szCs w:val="21"/>
        </w:rPr>
        <w:t xml:space="preserve">注：（1）评分细则中要求提供的证明文件及资料等在投标文件中提供复印件并加盖供应商公章。 </w:t>
      </w:r>
    </w:p>
    <w:p>
      <w:pPr>
        <w:widowControl/>
        <w:ind w:firstLine="422" w:firstLineChars="200"/>
        <w:jc w:val="left"/>
        <w:rPr>
          <w:rFonts w:ascii="宋体" w:hAnsi="宋体" w:cs="宋体"/>
          <w:bCs/>
          <w:color w:val="000000"/>
          <w:sz w:val="24"/>
          <w:szCs w:val="24"/>
        </w:rPr>
      </w:pPr>
      <w:r>
        <w:rPr>
          <w:rFonts w:hint="eastAsia" w:ascii="宋体" w:hAnsi="宋体"/>
          <w:b/>
          <w:kern w:val="0"/>
          <w:szCs w:val="21"/>
        </w:rPr>
        <w:t>（2）评标时，未能按以上要求提供相应证明（复印件和原件）的，不作为评标依据，不得分。</w:t>
      </w:r>
    </w:p>
    <w:bookmarkEnd w:id="142"/>
    <w:bookmarkEnd w:id="143"/>
    <w:bookmarkEnd w:id="144"/>
    <w:bookmarkEnd w:id="145"/>
    <w:p>
      <w:pPr>
        <w:pStyle w:val="4"/>
        <w:spacing w:before="0" w:after="0" w:line="360" w:lineRule="auto"/>
        <w:rPr>
          <w:rFonts w:ascii="宋体" w:hAnsi="宋体" w:eastAsia="宋体" w:cs="宋体"/>
          <w:b/>
          <w:sz w:val="24"/>
          <w:szCs w:val="24"/>
        </w:rPr>
      </w:pPr>
      <w:bookmarkStart w:id="186" w:name="_Toc29108"/>
      <w:bookmarkStart w:id="187" w:name="_Toc26722"/>
      <w:bookmarkStart w:id="188" w:name="_Toc13959"/>
      <w:bookmarkStart w:id="189" w:name="_Toc562"/>
      <w:bookmarkStart w:id="190" w:name="_Toc8181"/>
      <w:bookmarkStart w:id="191" w:name="_Toc40699934"/>
      <w:bookmarkStart w:id="192" w:name="_Toc32625"/>
      <w:r>
        <w:rPr>
          <w:rFonts w:hint="eastAsia" w:ascii="宋体" w:hAnsi="宋体" w:eastAsia="宋体" w:cs="宋体"/>
          <w:b/>
          <w:sz w:val="24"/>
          <w:szCs w:val="24"/>
          <w:lang w:val="en-US"/>
        </w:rPr>
        <w:t>3</w:t>
      </w:r>
      <w:r>
        <w:rPr>
          <w:rFonts w:hint="eastAsia" w:ascii="宋体" w:hAnsi="宋体" w:eastAsia="宋体" w:cs="宋体"/>
          <w:b/>
          <w:sz w:val="24"/>
          <w:szCs w:val="24"/>
        </w:rPr>
        <w:t>、评标程序</w:t>
      </w:r>
      <w:bookmarkEnd w:id="186"/>
      <w:bookmarkEnd w:id="187"/>
      <w:bookmarkEnd w:id="188"/>
      <w:bookmarkEnd w:id="189"/>
      <w:bookmarkEnd w:id="190"/>
      <w:bookmarkEnd w:id="191"/>
      <w:bookmarkEnd w:id="192"/>
    </w:p>
    <w:p>
      <w:pPr>
        <w:spacing w:line="360" w:lineRule="auto"/>
        <w:jc w:val="left"/>
        <w:rPr>
          <w:rFonts w:ascii="宋体" w:hAnsi="宋体" w:cs="宋体"/>
          <w:sz w:val="24"/>
          <w:szCs w:val="24"/>
        </w:rPr>
      </w:pPr>
      <w:bookmarkStart w:id="193" w:name="_Toc5857"/>
      <w:bookmarkStart w:id="194" w:name="_Toc31556"/>
      <w:r>
        <w:rPr>
          <w:rFonts w:hint="eastAsia" w:ascii="宋体" w:hAnsi="宋体" w:cs="宋体"/>
          <w:sz w:val="24"/>
          <w:szCs w:val="24"/>
        </w:rPr>
        <w:t>3.1初步评审</w:t>
      </w:r>
      <w:bookmarkEnd w:id="193"/>
      <w:bookmarkEnd w:id="194"/>
    </w:p>
    <w:p>
      <w:pPr>
        <w:spacing w:line="360" w:lineRule="auto"/>
        <w:jc w:val="left"/>
        <w:rPr>
          <w:rFonts w:ascii="宋体" w:hAnsi="宋体" w:cs="宋体"/>
          <w:sz w:val="24"/>
          <w:szCs w:val="24"/>
        </w:rPr>
      </w:pPr>
      <w:r>
        <w:rPr>
          <w:rFonts w:hint="eastAsia" w:ascii="宋体" w:hAnsi="宋体" w:cs="宋体"/>
          <w:sz w:val="24"/>
          <w:szCs w:val="24"/>
        </w:rPr>
        <w:t>3.1.1评标委员会可以要求投标人提交第一章“投标人须知”规定的有关证明和证件的原件，以便核验。评标委员会依据本章第2款规定的标准对投标文件进行初步评审。有一项不符合评审标准的，评标委员会应当否决其投标。</w:t>
      </w:r>
    </w:p>
    <w:p>
      <w:pPr>
        <w:spacing w:line="360" w:lineRule="auto"/>
        <w:jc w:val="left"/>
        <w:rPr>
          <w:rFonts w:ascii="宋体" w:hAnsi="宋体" w:cs="宋体"/>
          <w:sz w:val="24"/>
          <w:szCs w:val="24"/>
        </w:rPr>
      </w:pPr>
      <w:r>
        <w:rPr>
          <w:rFonts w:hint="eastAsia" w:ascii="宋体" w:hAnsi="宋体" w:cs="宋体"/>
          <w:sz w:val="24"/>
          <w:szCs w:val="24"/>
        </w:rPr>
        <w:t>3.1.2投标人有以下情形之一的，评标委员会应当否决其投标：</w:t>
      </w:r>
    </w:p>
    <w:p>
      <w:pPr>
        <w:spacing w:line="360" w:lineRule="auto"/>
        <w:jc w:val="left"/>
        <w:rPr>
          <w:rFonts w:ascii="宋体" w:hAnsi="宋体" w:cs="宋体"/>
          <w:sz w:val="24"/>
          <w:szCs w:val="24"/>
        </w:rPr>
      </w:pPr>
      <w:r>
        <w:rPr>
          <w:rFonts w:hint="eastAsia" w:ascii="宋体" w:hAnsi="宋体" w:cs="宋体"/>
          <w:sz w:val="24"/>
          <w:szCs w:val="24"/>
        </w:rPr>
        <w:t>（1）投标文件没有对招标文件的实质性要求和条件作出响应，或者对招标文件的偏差超出招标文件规定的偏差范围或最高项数；</w:t>
      </w:r>
    </w:p>
    <w:p>
      <w:pPr>
        <w:spacing w:line="360" w:lineRule="auto"/>
        <w:jc w:val="left"/>
        <w:rPr>
          <w:rFonts w:ascii="宋体" w:hAnsi="宋体" w:cs="宋体"/>
          <w:sz w:val="24"/>
          <w:szCs w:val="24"/>
        </w:rPr>
      </w:pPr>
      <w:r>
        <w:rPr>
          <w:rFonts w:hint="eastAsia" w:ascii="宋体" w:hAnsi="宋体" w:cs="宋体"/>
          <w:sz w:val="24"/>
          <w:szCs w:val="24"/>
        </w:rPr>
        <w:t>（2）有串通投标、弄虚作假、行贿等违法行为。</w:t>
      </w:r>
    </w:p>
    <w:p>
      <w:pPr>
        <w:spacing w:line="360" w:lineRule="auto"/>
        <w:jc w:val="left"/>
        <w:rPr>
          <w:rFonts w:ascii="宋体" w:hAnsi="宋体" w:cs="宋体"/>
          <w:sz w:val="24"/>
          <w:szCs w:val="24"/>
        </w:rPr>
      </w:pPr>
      <w:r>
        <w:rPr>
          <w:rFonts w:hint="eastAsia" w:ascii="宋体" w:hAnsi="宋体" w:cs="宋体"/>
          <w:sz w:val="24"/>
          <w:szCs w:val="24"/>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jc w:val="left"/>
        <w:rPr>
          <w:rFonts w:ascii="宋体" w:hAnsi="宋体" w:cs="宋体"/>
          <w:sz w:val="24"/>
          <w:szCs w:val="24"/>
        </w:rPr>
      </w:pPr>
      <w:r>
        <w:rPr>
          <w:rFonts w:hint="eastAsia" w:ascii="宋体" w:hAnsi="宋体" w:cs="宋体"/>
          <w:sz w:val="24"/>
          <w:szCs w:val="24"/>
        </w:rPr>
        <w:t>（1）投标文件中的大写金额与小写金额不一致的，以大写金额为准；</w:t>
      </w:r>
    </w:p>
    <w:p>
      <w:pPr>
        <w:spacing w:line="360" w:lineRule="auto"/>
        <w:jc w:val="left"/>
        <w:rPr>
          <w:rFonts w:ascii="宋体" w:hAnsi="宋体" w:cs="宋体"/>
          <w:sz w:val="24"/>
          <w:szCs w:val="24"/>
        </w:rPr>
      </w:pPr>
      <w:r>
        <w:rPr>
          <w:rFonts w:hint="eastAsia" w:ascii="宋体" w:hAnsi="宋体" w:cs="宋体"/>
          <w:sz w:val="24"/>
          <w:szCs w:val="24"/>
        </w:rPr>
        <w:t>（2）总价金额与单价金额不一致的，以单价金额为准，但单价金额小数点有明显错误的除外；</w:t>
      </w:r>
    </w:p>
    <w:p>
      <w:pPr>
        <w:spacing w:line="360" w:lineRule="auto"/>
        <w:jc w:val="left"/>
        <w:rPr>
          <w:rFonts w:ascii="宋体" w:hAnsi="宋体" w:cs="宋体"/>
          <w:sz w:val="24"/>
          <w:szCs w:val="24"/>
        </w:rPr>
      </w:pPr>
      <w:r>
        <w:rPr>
          <w:rFonts w:hint="eastAsia" w:ascii="宋体" w:hAnsi="宋体" w:cs="宋体"/>
          <w:sz w:val="24"/>
          <w:szCs w:val="24"/>
        </w:rPr>
        <w:t>（3）投标报价为各分项报价金额之和，投标报价与分项报价的合价不一致的，应以各分项合价累计数为准，修正投标报价；</w:t>
      </w:r>
    </w:p>
    <w:p>
      <w:pPr>
        <w:spacing w:line="360" w:lineRule="auto"/>
        <w:jc w:val="left"/>
        <w:rPr>
          <w:rFonts w:ascii="宋体" w:hAnsi="宋体" w:cs="宋体"/>
          <w:sz w:val="24"/>
          <w:szCs w:val="24"/>
        </w:rPr>
      </w:pPr>
      <w:r>
        <w:rPr>
          <w:rFonts w:hint="eastAsia" w:ascii="宋体" w:hAnsi="宋体" w:cs="宋体"/>
          <w:sz w:val="24"/>
          <w:szCs w:val="24"/>
        </w:rPr>
        <w:t>（4）如果分项报价中存在缺漏项，则视为缺漏项价格已包含在其他分项报价之中。</w:t>
      </w:r>
    </w:p>
    <w:p>
      <w:pPr>
        <w:spacing w:line="360" w:lineRule="auto"/>
        <w:jc w:val="left"/>
        <w:rPr>
          <w:rFonts w:ascii="宋体" w:hAnsi="宋体" w:cs="宋体"/>
          <w:sz w:val="24"/>
          <w:szCs w:val="24"/>
        </w:rPr>
      </w:pPr>
      <w:r>
        <w:rPr>
          <w:rFonts w:hint="eastAsia" w:ascii="宋体" w:hAnsi="宋体" w:cs="宋体"/>
          <w:sz w:val="24"/>
          <w:szCs w:val="24"/>
        </w:rPr>
        <w:t>3.2详细评审</w:t>
      </w:r>
    </w:p>
    <w:p>
      <w:pPr>
        <w:spacing w:line="360" w:lineRule="auto"/>
        <w:jc w:val="left"/>
        <w:rPr>
          <w:rFonts w:ascii="宋体" w:hAnsi="宋体" w:cs="宋体"/>
          <w:sz w:val="24"/>
          <w:szCs w:val="24"/>
        </w:rPr>
      </w:pPr>
      <w:r>
        <w:rPr>
          <w:rFonts w:hint="eastAsia" w:ascii="宋体" w:hAnsi="宋体" w:cs="宋体"/>
          <w:sz w:val="24"/>
          <w:szCs w:val="24"/>
        </w:rPr>
        <w:t>3.2.1评标委员会按本章第2.2款规定的量化因素和分值进行打分，并计算出综合评估得分。评分顺序如下：</w:t>
      </w:r>
    </w:p>
    <w:p>
      <w:pPr>
        <w:spacing w:line="360" w:lineRule="auto"/>
        <w:jc w:val="left"/>
        <w:rPr>
          <w:rFonts w:ascii="宋体" w:hAnsi="宋体" w:cs="宋体"/>
          <w:sz w:val="24"/>
          <w:szCs w:val="24"/>
        </w:rPr>
      </w:pPr>
      <w:r>
        <w:rPr>
          <w:rFonts w:hint="eastAsia" w:ascii="宋体" w:hAnsi="宋体" w:cs="宋体"/>
          <w:sz w:val="24"/>
          <w:szCs w:val="24"/>
        </w:rPr>
        <w:t>（1）按本章规定的评审因素和分值对商务部分计算出得分A；</w:t>
      </w:r>
    </w:p>
    <w:p>
      <w:pPr>
        <w:spacing w:line="360" w:lineRule="auto"/>
        <w:jc w:val="left"/>
        <w:rPr>
          <w:rFonts w:ascii="宋体" w:hAnsi="宋体" w:cs="宋体"/>
          <w:sz w:val="24"/>
          <w:szCs w:val="24"/>
        </w:rPr>
      </w:pPr>
      <w:r>
        <w:rPr>
          <w:rFonts w:hint="eastAsia" w:ascii="宋体" w:hAnsi="宋体" w:cs="宋体"/>
          <w:sz w:val="24"/>
          <w:szCs w:val="24"/>
        </w:rPr>
        <w:t>（2）按本章规定的评审因素和分值对技术部分计算出得分B（技术得分为所有评委评分的平均值）；</w:t>
      </w:r>
    </w:p>
    <w:p>
      <w:pPr>
        <w:spacing w:line="360" w:lineRule="auto"/>
        <w:jc w:val="left"/>
        <w:rPr>
          <w:rFonts w:ascii="宋体" w:hAnsi="宋体" w:cs="宋体"/>
          <w:sz w:val="24"/>
          <w:szCs w:val="24"/>
        </w:rPr>
      </w:pPr>
      <w:r>
        <w:rPr>
          <w:rFonts w:hint="eastAsia" w:ascii="宋体" w:hAnsi="宋体" w:cs="宋体"/>
          <w:sz w:val="24"/>
          <w:szCs w:val="24"/>
        </w:rPr>
        <w:t>（3）按本章规定的评审因素和分值对投标报价计算出得分C；</w:t>
      </w:r>
    </w:p>
    <w:p>
      <w:pPr>
        <w:spacing w:line="360" w:lineRule="auto"/>
        <w:jc w:val="left"/>
        <w:rPr>
          <w:rFonts w:ascii="宋体" w:hAnsi="宋体" w:cs="宋体"/>
          <w:sz w:val="24"/>
          <w:szCs w:val="24"/>
        </w:rPr>
      </w:pPr>
      <w:r>
        <w:rPr>
          <w:rFonts w:hint="eastAsia" w:ascii="宋体" w:hAnsi="宋体" w:cs="宋体"/>
          <w:sz w:val="24"/>
          <w:szCs w:val="24"/>
        </w:rPr>
        <w:t>3.2.2评分分值计算保留小数点后两位，小数点后第三位“四舍五入”。</w:t>
      </w:r>
    </w:p>
    <w:p>
      <w:pPr>
        <w:spacing w:line="360" w:lineRule="auto"/>
        <w:jc w:val="left"/>
        <w:rPr>
          <w:rFonts w:ascii="宋体" w:hAnsi="宋体" w:cs="宋体"/>
          <w:sz w:val="24"/>
          <w:szCs w:val="24"/>
        </w:rPr>
      </w:pPr>
      <w:r>
        <w:rPr>
          <w:rFonts w:hint="eastAsia" w:ascii="宋体" w:hAnsi="宋体" w:cs="宋体"/>
          <w:sz w:val="24"/>
          <w:szCs w:val="24"/>
        </w:rPr>
        <w:t>3.2.3投标人得分=A+B+C。</w:t>
      </w:r>
    </w:p>
    <w:p>
      <w:pPr>
        <w:spacing w:line="360" w:lineRule="auto"/>
        <w:jc w:val="left"/>
        <w:rPr>
          <w:rFonts w:ascii="宋体" w:hAnsi="宋体" w:cs="宋体"/>
          <w:sz w:val="24"/>
          <w:szCs w:val="24"/>
        </w:rPr>
      </w:pPr>
      <w:r>
        <w:rPr>
          <w:rFonts w:hint="eastAsia" w:ascii="宋体" w:hAnsi="宋体" w:cs="宋体"/>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jc w:val="left"/>
        <w:rPr>
          <w:rFonts w:ascii="宋体" w:hAnsi="宋体" w:cs="宋体"/>
          <w:sz w:val="24"/>
          <w:szCs w:val="24"/>
        </w:rPr>
      </w:pPr>
      <w:bookmarkStart w:id="195" w:name="_Toc26010"/>
      <w:bookmarkStart w:id="196" w:name="_Toc16426"/>
      <w:r>
        <w:rPr>
          <w:rFonts w:hint="eastAsia" w:ascii="宋体" w:hAnsi="宋体" w:cs="宋体"/>
          <w:sz w:val="24"/>
          <w:szCs w:val="24"/>
        </w:rPr>
        <w:t>3.3投标文件的澄清</w:t>
      </w:r>
      <w:bookmarkEnd w:id="195"/>
      <w:bookmarkEnd w:id="196"/>
    </w:p>
    <w:p>
      <w:pPr>
        <w:spacing w:line="360" w:lineRule="auto"/>
        <w:jc w:val="left"/>
        <w:rPr>
          <w:rFonts w:ascii="宋体" w:hAnsi="宋体" w:cs="宋体"/>
          <w:sz w:val="24"/>
          <w:szCs w:val="24"/>
        </w:rPr>
      </w:pPr>
      <w:r>
        <w:rPr>
          <w:rFonts w:hint="eastAsia" w:ascii="宋体" w:hAnsi="宋体" w:cs="宋体"/>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jc w:val="left"/>
        <w:rPr>
          <w:rFonts w:ascii="宋体" w:hAnsi="宋体" w:cs="宋体"/>
          <w:sz w:val="24"/>
          <w:szCs w:val="24"/>
        </w:rPr>
      </w:pPr>
      <w:r>
        <w:rPr>
          <w:rFonts w:hint="eastAsia" w:ascii="宋体" w:hAnsi="宋体" w:cs="宋体"/>
          <w:sz w:val="24"/>
          <w:szCs w:val="24"/>
        </w:rPr>
        <w:t>3.3.2澄清、说明或补正不得超出投标文件的范围且不得改变投标文件的实质性内容，并构成投标文件的组成部分。</w:t>
      </w:r>
    </w:p>
    <w:p>
      <w:pPr>
        <w:spacing w:line="360" w:lineRule="auto"/>
        <w:jc w:val="left"/>
        <w:rPr>
          <w:rFonts w:ascii="宋体" w:hAnsi="宋体" w:cs="宋体"/>
          <w:sz w:val="24"/>
          <w:szCs w:val="24"/>
        </w:rPr>
      </w:pPr>
      <w:r>
        <w:rPr>
          <w:rFonts w:hint="eastAsia" w:ascii="宋体" w:hAnsi="宋体" w:cs="宋体"/>
          <w:sz w:val="24"/>
          <w:szCs w:val="24"/>
        </w:rPr>
        <w:t>3.3.3评标委员会对投标人提交的澄清、说明或补正有疑问的，可以要求投标人进一步澄清、说明或补正，直至满足评标委员会的要求。</w:t>
      </w:r>
    </w:p>
    <w:p>
      <w:pPr>
        <w:spacing w:line="360" w:lineRule="auto"/>
        <w:jc w:val="left"/>
        <w:rPr>
          <w:rFonts w:ascii="宋体" w:hAnsi="宋体" w:cs="宋体"/>
          <w:sz w:val="24"/>
          <w:szCs w:val="24"/>
        </w:rPr>
      </w:pPr>
      <w:bookmarkStart w:id="197" w:name="_Toc14333"/>
      <w:bookmarkStart w:id="198" w:name="_Toc13137"/>
      <w:r>
        <w:rPr>
          <w:rFonts w:hint="eastAsia" w:ascii="宋体" w:hAnsi="宋体" w:cs="宋体"/>
          <w:sz w:val="24"/>
          <w:szCs w:val="24"/>
        </w:rPr>
        <w:t>3.4评标结果</w:t>
      </w:r>
      <w:bookmarkEnd w:id="197"/>
      <w:bookmarkEnd w:id="198"/>
    </w:p>
    <w:p>
      <w:pPr>
        <w:spacing w:line="360" w:lineRule="auto"/>
        <w:jc w:val="left"/>
        <w:rPr>
          <w:rFonts w:ascii="宋体" w:hAnsi="宋体" w:cs="宋体"/>
          <w:kern w:val="0"/>
          <w:sz w:val="24"/>
          <w:szCs w:val="24"/>
        </w:rPr>
      </w:pPr>
      <w:r>
        <w:rPr>
          <w:rFonts w:hint="eastAsia" w:ascii="宋体" w:hAnsi="宋体" w:cs="宋体"/>
          <w:sz w:val="24"/>
          <w:szCs w:val="24"/>
        </w:rPr>
        <w:t>3.4.1除第一章“投标人须知”前附表授权直接确定中标人外，评标委员会按照得分由高到低的顺序推荐中标候选人，并标明排序。</w:t>
      </w:r>
    </w:p>
    <w:p>
      <w:pPr>
        <w:pStyle w:val="4"/>
        <w:spacing w:before="0" w:after="0" w:line="360" w:lineRule="auto"/>
        <w:rPr>
          <w:rFonts w:ascii="宋体" w:hAnsi="宋体" w:eastAsia="宋体" w:cs="宋体"/>
          <w:b/>
          <w:sz w:val="24"/>
          <w:szCs w:val="24"/>
        </w:rPr>
      </w:pPr>
      <w:bookmarkStart w:id="199" w:name="_Toc9736"/>
      <w:bookmarkStart w:id="200" w:name="_Toc384"/>
      <w:r>
        <w:rPr>
          <w:rFonts w:hint="eastAsia" w:ascii="宋体" w:hAnsi="宋体" w:eastAsia="宋体" w:cs="宋体"/>
          <w:b/>
          <w:sz w:val="24"/>
          <w:szCs w:val="24"/>
          <w:lang w:val="en-US"/>
        </w:rPr>
        <w:t>4</w:t>
      </w:r>
      <w:r>
        <w:rPr>
          <w:rFonts w:hint="eastAsia" w:ascii="宋体" w:hAnsi="宋体" w:eastAsia="宋体" w:cs="宋体"/>
          <w:b/>
          <w:sz w:val="24"/>
          <w:szCs w:val="24"/>
        </w:rPr>
        <w:t>、中标通知书</w:t>
      </w:r>
      <w:bookmarkEnd w:id="199"/>
      <w:bookmarkEnd w:id="200"/>
    </w:p>
    <w:p>
      <w:pPr>
        <w:spacing w:line="360" w:lineRule="auto"/>
        <w:rPr>
          <w:rFonts w:ascii="宋体" w:hAnsi="宋体"/>
          <w:sz w:val="24"/>
          <w:szCs w:val="24"/>
        </w:rPr>
      </w:pPr>
      <w:r>
        <w:rPr>
          <w:rFonts w:hint="eastAsia" w:ascii="宋体" w:hAnsi="宋体"/>
          <w:sz w:val="24"/>
          <w:szCs w:val="24"/>
        </w:rPr>
        <w:t>4.1中标结果确定后，代理机构将向中标供应商发出中标通知书。</w:t>
      </w:r>
    </w:p>
    <w:p>
      <w:pPr>
        <w:spacing w:line="360" w:lineRule="auto"/>
        <w:rPr>
          <w:rFonts w:ascii="宋体" w:hAnsi="宋体"/>
          <w:sz w:val="24"/>
          <w:szCs w:val="24"/>
        </w:rPr>
      </w:pPr>
      <w:r>
        <w:rPr>
          <w:rFonts w:hint="eastAsia" w:ascii="宋体" w:hAnsi="宋体"/>
          <w:sz w:val="24"/>
          <w:szCs w:val="24"/>
        </w:rPr>
        <w:t>4.2 中标供应商收到中标通知书后，应签字确认中标通知书已收到。若无回复，则公告后视同中标供应商已经知悉并同意接受。</w:t>
      </w:r>
    </w:p>
    <w:p>
      <w:pPr>
        <w:spacing w:line="360" w:lineRule="auto"/>
        <w:rPr>
          <w:rFonts w:ascii="宋体" w:hAnsi="宋体"/>
          <w:sz w:val="24"/>
          <w:szCs w:val="24"/>
        </w:rPr>
      </w:pPr>
      <w:r>
        <w:rPr>
          <w:rFonts w:hint="eastAsia" w:ascii="宋体" w:hAnsi="宋体"/>
          <w:sz w:val="24"/>
          <w:szCs w:val="24"/>
        </w:rPr>
        <w:t>4.3中标通知书将是合同的一个组成部分。对采购人和中标供应商均具有法律效力。中标通知书发出后，采购人改变中标结果的，或者中标供应商放弃中标项目的，应当依法承担法律责任。</w:t>
      </w:r>
    </w:p>
    <w:p>
      <w:pPr>
        <w:spacing w:line="360" w:lineRule="auto"/>
        <w:rPr>
          <w:rFonts w:ascii="宋体" w:hAnsi="宋体"/>
          <w:sz w:val="24"/>
          <w:szCs w:val="24"/>
        </w:rPr>
      </w:pPr>
      <w:r>
        <w:rPr>
          <w:rFonts w:hint="eastAsia" w:ascii="宋体" w:hAnsi="宋体"/>
          <w:sz w:val="24"/>
          <w:szCs w:val="24"/>
        </w:rPr>
        <w:t>4.4所有投标文件都将作为档案保存，不论中标与否，代理机构均不退回。</w:t>
      </w:r>
    </w:p>
    <w:p>
      <w:pPr>
        <w:pStyle w:val="4"/>
        <w:spacing w:before="0" w:after="0" w:line="360" w:lineRule="auto"/>
        <w:rPr>
          <w:rFonts w:ascii="宋体" w:hAnsi="宋体" w:eastAsia="宋体" w:cs="宋体"/>
          <w:b/>
          <w:sz w:val="24"/>
          <w:szCs w:val="24"/>
        </w:rPr>
      </w:pPr>
      <w:bookmarkStart w:id="201" w:name="_Toc26213"/>
      <w:bookmarkStart w:id="202" w:name="_Toc21486"/>
      <w:bookmarkStart w:id="203" w:name="_Toc20823309"/>
      <w:bookmarkStart w:id="204" w:name="_Toc16938553"/>
      <w:bookmarkStart w:id="205" w:name="_Toc513029237"/>
      <w:r>
        <w:rPr>
          <w:rFonts w:hint="eastAsia" w:ascii="宋体" w:hAnsi="宋体" w:eastAsia="宋体" w:cs="宋体"/>
          <w:b/>
          <w:sz w:val="24"/>
          <w:szCs w:val="24"/>
          <w:lang w:val="en-US"/>
        </w:rPr>
        <w:t>5、</w:t>
      </w:r>
      <w:r>
        <w:rPr>
          <w:rFonts w:hint="eastAsia" w:ascii="宋体" w:hAnsi="宋体" w:eastAsia="宋体" w:cs="宋体"/>
          <w:b/>
          <w:sz w:val="24"/>
          <w:szCs w:val="24"/>
        </w:rPr>
        <w:t>签订合同</w:t>
      </w:r>
      <w:bookmarkEnd w:id="201"/>
      <w:bookmarkEnd w:id="202"/>
    </w:p>
    <w:p>
      <w:pPr>
        <w:spacing w:line="360" w:lineRule="auto"/>
        <w:rPr>
          <w:rFonts w:ascii="宋体" w:hAnsi="宋体"/>
          <w:sz w:val="24"/>
          <w:szCs w:val="24"/>
        </w:rPr>
      </w:pPr>
      <w:r>
        <w:rPr>
          <w:rFonts w:hint="eastAsia" w:ascii="宋体" w:hAnsi="宋体"/>
          <w:bCs/>
          <w:sz w:val="24"/>
          <w:szCs w:val="24"/>
        </w:rPr>
        <w:t>5</w:t>
      </w:r>
      <w:r>
        <w:rPr>
          <w:rFonts w:hint="eastAsia" w:ascii="宋体" w:hAnsi="宋体"/>
          <w:sz w:val="24"/>
          <w:szCs w:val="24"/>
        </w:rPr>
        <w:t>.l中标供应商应按中标通知书规定的时间、地点,按照招标文件确定的事项与采购人签订采购合同，且不得迟于中标通知书发出之日起三十日，否则由此给采购人造成损失的，中标供应商应承担赔偿责任。</w:t>
      </w:r>
    </w:p>
    <w:p>
      <w:pPr>
        <w:spacing w:line="360" w:lineRule="auto"/>
        <w:rPr>
          <w:rFonts w:ascii="宋体" w:hAnsi="宋体"/>
          <w:sz w:val="24"/>
          <w:szCs w:val="24"/>
        </w:rPr>
      </w:pPr>
      <w:r>
        <w:rPr>
          <w:rFonts w:hint="eastAsia" w:ascii="宋体" w:hAnsi="宋体"/>
          <w:bCs/>
          <w:sz w:val="24"/>
          <w:szCs w:val="24"/>
        </w:rPr>
        <w:t>5</w:t>
      </w:r>
      <w:r>
        <w:rPr>
          <w:rFonts w:hint="eastAsia" w:ascii="宋体" w:hAnsi="宋体"/>
          <w:sz w:val="24"/>
          <w:szCs w:val="24"/>
        </w:rPr>
        <w:t>.2招标文件、中标供应商的投标文件及招标过程中有关澄清、承诺文件均应作为合同附件。</w:t>
      </w:r>
    </w:p>
    <w:p>
      <w:pPr>
        <w:spacing w:line="360" w:lineRule="auto"/>
        <w:rPr>
          <w:rFonts w:ascii="宋体" w:hAnsi="宋体"/>
          <w:sz w:val="24"/>
          <w:szCs w:val="24"/>
        </w:rPr>
      </w:pPr>
      <w:r>
        <w:rPr>
          <w:rFonts w:hint="eastAsia" w:ascii="宋体" w:hAnsi="宋体"/>
          <w:bCs/>
          <w:sz w:val="24"/>
          <w:szCs w:val="24"/>
        </w:rPr>
        <w:t>5.</w:t>
      </w:r>
      <w:r>
        <w:rPr>
          <w:rFonts w:hint="eastAsia" w:ascii="宋体" w:hAnsi="宋体"/>
          <w:sz w:val="24"/>
          <w:szCs w:val="24"/>
        </w:rPr>
        <w:t>3 签订合同后，</w:t>
      </w:r>
      <w:r>
        <w:rPr>
          <w:rFonts w:hint="eastAsia" w:ascii="宋体" w:hAnsi="宋体"/>
          <w:i/>
          <w:sz w:val="24"/>
          <w:szCs w:val="24"/>
          <w:u w:val="single"/>
        </w:rPr>
        <w:t>中标供应商不得将服务进行转包</w:t>
      </w:r>
      <w:r>
        <w:rPr>
          <w:rFonts w:hint="eastAsia" w:ascii="宋体" w:hAnsi="宋体"/>
          <w:sz w:val="24"/>
          <w:szCs w:val="24"/>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rPr>
          <w:rFonts w:ascii="宋体" w:hAnsi="宋体" w:cs="宋体"/>
          <w:sz w:val="24"/>
          <w:szCs w:val="24"/>
        </w:rPr>
      </w:pPr>
      <w:r>
        <w:rPr>
          <w:rFonts w:hint="eastAsia" w:ascii="宋体" w:hAnsi="宋体"/>
          <w:bCs/>
          <w:sz w:val="24"/>
          <w:szCs w:val="24"/>
        </w:rPr>
        <w:t>5.</w:t>
      </w:r>
      <w:r>
        <w:rPr>
          <w:rFonts w:hint="eastAsia" w:ascii="宋体" w:hAnsi="宋体"/>
          <w:sz w:val="24"/>
          <w:szCs w:val="24"/>
        </w:rPr>
        <w:t>4采购人不得向中标人提出任何不合理的要求作为签订合同的条件，不得与中标人私下订立背离合同实质性内容的协议。所签订的合同不得对招标文件确定事项和中标人投标文件作实质性修改。</w:t>
      </w:r>
      <w:bookmarkEnd w:id="203"/>
      <w:bookmarkEnd w:id="204"/>
      <w:bookmarkEnd w:id="205"/>
    </w:p>
    <w:p>
      <w:pPr>
        <w:pStyle w:val="50"/>
        <w:spacing w:before="0" w:after="0" w:line="360" w:lineRule="auto"/>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jc w:val="both"/>
        <w:outlineLvl w:val="9"/>
        <w:rPr>
          <w:rFonts w:ascii="宋体" w:hAnsi="宋体" w:eastAsia="宋体" w:cs="Times New Roman"/>
          <w:snapToGrid w:val="0"/>
          <w:kern w:val="0"/>
          <w:sz w:val="44"/>
          <w:szCs w:val="20"/>
        </w:rPr>
      </w:pPr>
    </w:p>
    <w:p>
      <w:pPr>
        <w:pStyle w:val="50"/>
        <w:spacing w:before="0" w:after="0" w:line="360" w:lineRule="auto"/>
        <w:rPr>
          <w:rFonts w:ascii="宋体" w:hAnsi="宋体" w:eastAsia="宋体" w:cs="Times New Roman"/>
          <w:snapToGrid w:val="0"/>
          <w:kern w:val="0"/>
          <w:sz w:val="44"/>
          <w:szCs w:val="20"/>
          <w:lang w:val="zh-CN"/>
        </w:rPr>
      </w:pPr>
      <w:bookmarkStart w:id="206" w:name="_Toc27557"/>
      <w:r>
        <w:rPr>
          <w:rFonts w:hint="eastAsia" w:ascii="宋体" w:hAnsi="宋体" w:eastAsia="宋体" w:cs="Times New Roman"/>
          <w:snapToGrid w:val="0"/>
          <w:kern w:val="0"/>
          <w:sz w:val="44"/>
          <w:szCs w:val="20"/>
        </w:rPr>
        <w:t xml:space="preserve">第五章 </w:t>
      </w:r>
      <w:r>
        <w:rPr>
          <w:rFonts w:hint="eastAsia" w:ascii="宋体" w:hAnsi="宋体" w:eastAsia="宋体" w:cs="Times New Roman"/>
          <w:snapToGrid w:val="0"/>
          <w:kern w:val="0"/>
          <w:sz w:val="44"/>
          <w:szCs w:val="20"/>
          <w:lang w:val="zh-CN"/>
        </w:rPr>
        <w:t>合同条款及格式</w:t>
      </w:r>
      <w:bookmarkEnd w:id="206"/>
    </w:p>
    <w:p>
      <w:pPr>
        <w:pStyle w:val="28"/>
        <w:spacing w:line="360" w:lineRule="auto"/>
        <w:ind w:firstLine="480" w:firstLineChars="200"/>
        <w:rPr>
          <w:rFonts w:hAnsi="宋体"/>
          <w:sz w:val="24"/>
          <w:szCs w:val="24"/>
        </w:rPr>
      </w:pPr>
      <w:r>
        <w:rPr>
          <w:rFonts w:hint="eastAsia" w:hAnsi="宋体"/>
          <w:sz w:val="24"/>
          <w:szCs w:val="24"/>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28"/>
        <w:rPr>
          <w:rFonts w:hAnsi="宋体"/>
          <w:sz w:val="24"/>
          <w:szCs w:val="24"/>
        </w:rPr>
      </w:pPr>
    </w:p>
    <w:p>
      <w:pPr>
        <w:spacing w:before="156" w:beforeLines="50" w:after="156" w:afterLines="50"/>
        <w:jc w:val="center"/>
        <w:outlineLvl w:val="0"/>
        <w:rPr>
          <w:rFonts w:ascii="宋体" w:hAnsi="宋体"/>
          <w:b/>
          <w:kern w:val="0"/>
          <w:sz w:val="24"/>
          <w:szCs w:val="24"/>
        </w:rPr>
      </w:pPr>
      <w:bookmarkStart w:id="207" w:name="_Toc31250"/>
      <w:bookmarkStart w:id="208" w:name="_Toc23273"/>
      <w:r>
        <w:rPr>
          <w:rFonts w:hint="eastAsia" w:ascii="宋体" w:hAnsi="宋体"/>
          <w:b/>
          <w:sz w:val="24"/>
          <w:szCs w:val="24"/>
        </w:rPr>
        <w:t>政府采购合同（服务）</w:t>
      </w:r>
      <w:bookmarkEnd w:id="207"/>
      <w:bookmarkEnd w:id="208"/>
    </w:p>
    <w:p>
      <w:pPr>
        <w:spacing w:before="156" w:beforeLines="50" w:after="156" w:afterLines="50"/>
        <w:jc w:val="center"/>
        <w:outlineLvl w:val="0"/>
        <w:rPr>
          <w:rFonts w:ascii="宋体" w:hAnsi="宋体"/>
          <w:b/>
          <w:bCs/>
          <w:sz w:val="24"/>
          <w:szCs w:val="24"/>
        </w:rPr>
      </w:pPr>
    </w:p>
    <w:p>
      <w:pPr>
        <w:pStyle w:val="463"/>
        <w:spacing w:before="0" w:after="0"/>
        <w:ind w:firstLineChars="200"/>
        <w:jc w:val="both"/>
        <w:rPr>
          <w:rFonts w:hAnsi="宋体"/>
        </w:rPr>
      </w:pPr>
      <w:r>
        <w:rPr>
          <w:rFonts w:hint="eastAsia" w:hAnsi="宋体"/>
        </w:rPr>
        <w:t>项目名称</w:t>
      </w:r>
      <w:r>
        <w:rPr>
          <w:rFonts w:hint="eastAsia" w:ascii="宋体" w:hAnsi="宋体" w:cs="Courier New" w:eastAsiaTheme="minorEastAsia"/>
          <w:kern w:val="2"/>
        </w:rPr>
        <w:t>：</w:t>
      </w:r>
      <w:r>
        <w:rPr>
          <w:rFonts w:hint="eastAsia" w:ascii="宋体" w:hAnsi="宋体" w:cs="Courier New" w:eastAsiaTheme="minorEastAsia"/>
          <w:kern w:val="2"/>
          <w:lang w:val="zh-CN"/>
        </w:rPr>
        <w:t>养老服务管理系统升级项目</w:t>
      </w:r>
      <w:r>
        <w:rPr>
          <w:rFonts w:hint="eastAsia" w:ascii="宋体" w:hAnsi="宋体" w:cs="Courier New" w:eastAsiaTheme="minorEastAsia"/>
          <w:kern w:val="2"/>
        </w:rPr>
        <w:t xml:space="preserve">  </w:t>
      </w:r>
      <w:r>
        <w:rPr>
          <w:rFonts w:hint="eastAsia" w:hAnsi="宋体"/>
        </w:rPr>
        <w:t xml:space="preserve">             </w:t>
      </w:r>
    </w:p>
    <w:p>
      <w:pPr>
        <w:pStyle w:val="28"/>
        <w:snapToGrid w:val="0"/>
        <w:spacing w:before="120" w:after="120" w:line="360" w:lineRule="auto"/>
        <w:rPr>
          <w:rFonts w:hAnsi="宋体"/>
          <w:sz w:val="24"/>
          <w:szCs w:val="24"/>
        </w:rPr>
      </w:pPr>
      <w:r>
        <w:rPr>
          <w:rFonts w:hint="eastAsia" w:hAnsi="宋体"/>
          <w:sz w:val="24"/>
          <w:szCs w:val="24"/>
        </w:rPr>
        <w:t>编号：</w:t>
      </w:r>
    </w:p>
    <w:p>
      <w:pPr>
        <w:pStyle w:val="28"/>
        <w:snapToGrid w:val="0"/>
        <w:spacing w:before="120" w:after="120" w:line="360" w:lineRule="auto"/>
        <w:rPr>
          <w:rFonts w:hAnsi="宋体"/>
          <w:sz w:val="24"/>
          <w:szCs w:val="24"/>
          <w:u w:val="single"/>
        </w:rPr>
      </w:pPr>
      <w:r>
        <w:rPr>
          <w:rFonts w:hint="eastAsia" w:hAnsi="宋体"/>
          <w:sz w:val="24"/>
          <w:szCs w:val="24"/>
        </w:rPr>
        <w:t>甲方（采购人/买方）：                            乙方（供应商/卖方）：</w:t>
      </w:r>
    </w:p>
    <w:p>
      <w:pPr>
        <w:pStyle w:val="28"/>
        <w:snapToGrid w:val="0"/>
        <w:spacing w:before="120" w:after="120" w:line="360" w:lineRule="auto"/>
        <w:ind w:firstLine="480" w:firstLineChars="200"/>
        <w:rPr>
          <w:rFonts w:hAnsi="宋体"/>
          <w:sz w:val="24"/>
          <w:szCs w:val="24"/>
        </w:rPr>
      </w:pPr>
      <w:r>
        <w:rPr>
          <w:rFonts w:hint="eastAsia" w:hAnsi="宋体"/>
          <w:sz w:val="24"/>
          <w:szCs w:val="24"/>
        </w:rPr>
        <w:t>根据《中华人民共和国政府采购法》、《中华人民共和国民法典》等法律法规的规定，甲乙双方按照扬州市嘉诚造价咨询有限公司关于本项目招标结果签订本合同。</w:t>
      </w:r>
    </w:p>
    <w:p>
      <w:pPr>
        <w:pStyle w:val="28"/>
        <w:snapToGrid w:val="0"/>
        <w:spacing w:before="120" w:after="120" w:line="360" w:lineRule="auto"/>
        <w:ind w:firstLine="482" w:firstLineChars="200"/>
        <w:rPr>
          <w:rFonts w:hAnsi="宋体"/>
          <w:b/>
          <w:bCs/>
          <w:sz w:val="24"/>
          <w:szCs w:val="24"/>
        </w:rPr>
      </w:pPr>
      <w:r>
        <w:rPr>
          <w:rFonts w:hint="eastAsia" w:hAnsi="宋体"/>
          <w:b/>
          <w:bCs/>
          <w:sz w:val="24"/>
          <w:szCs w:val="24"/>
        </w:rPr>
        <w:t>1、合同标的</w:t>
      </w:r>
    </w:p>
    <w:p>
      <w:pPr>
        <w:pStyle w:val="28"/>
        <w:snapToGrid w:val="0"/>
        <w:spacing w:before="120" w:after="120" w:line="360" w:lineRule="auto"/>
        <w:ind w:firstLine="480" w:firstLineChars="200"/>
        <w:rPr>
          <w:rFonts w:hAnsi="宋体"/>
          <w:b/>
          <w:sz w:val="24"/>
          <w:szCs w:val="24"/>
        </w:rPr>
      </w:pPr>
      <w:r>
        <w:rPr>
          <w:rFonts w:hint="eastAsia" w:hAnsi="宋体"/>
          <w:sz w:val="24"/>
          <w:szCs w:val="24"/>
        </w:rPr>
        <w:t>乙方根据甲方需求，提供下列服务：</w:t>
      </w:r>
      <w:r>
        <w:rPr>
          <w:rFonts w:hint="eastAsia" w:hAnsi="宋体"/>
          <w:color w:val="000000"/>
          <w:sz w:val="24"/>
          <w:szCs w:val="24"/>
          <w:u w:val="single"/>
        </w:rPr>
        <w:t xml:space="preserve">                                  </w:t>
      </w:r>
      <w:r>
        <w:rPr>
          <w:rFonts w:hint="eastAsia" w:hAnsi="宋体"/>
          <w:color w:val="000000"/>
          <w:sz w:val="24"/>
          <w:szCs w:val="24"/>
        </w:rPr>
        <w:t>，</w:t>
      </w:r>
      <w:r>
        <w:rPr>
          <w:rFonts w:hint="eastAsia" w:hAnsi="宋体"/>
          <w:sz w:val="24"/>
          <w:szCs w:val="24"/>
        </w:rPr>
        <w:t>服务内容等要求详见招投标文件。</w:t>
      </w:r>
    </w:p>
    <w:p>
      <w:pPr>
        <w:pStyle w:val="28"/>
        <w:snapToGrid w:val="0"/>
        <w:spacing w:before="120" w:after="120" w:line="360" w:lineRule="auto"/>
        <w:ind w:firstLine="482" w:firstLineChars="200"/>
        <w:rPr>
          <w:rFonts w:hAnsi="宋体"/>
          <w:b/>
          <w:bCs/>
          <w:sz w:val="24"/>
          <w:szCs w:val="24"/>
        </w:rPr>
      </w:pPr>
      <w:r>
        <w:rPr>
          <w:rFonts w:hint="eastAsia" w:hAnsi="宋体"/>
          <w:b/>
          <w:bCs/>
          <w:sz w:val="24"/>
          <w:szCs w:val="24"/>
        </w:rPr>
        <w:t>2、合同总金额</w:t>
      </w:r>
    </w:p>
    <w:p>
      <w:pPr>
        <w:spacing w:line="400" w:lineRule="exact"/>
        <w:ind w:firstLine="480" w:firstLineChars="200"/>
        <w:rPr>
          <w:rFonts w:ascii="宋体" w:hAnsi="宋体"/>
          <w:sz w:val="24"/>
          <w:szCs w:val="24"/>
        </w:rPr>
      </w:pPr>
      <w:r>
        <w:rPr>
          <w:rFonts w:hint="eastAsia" w:ascii="宋体" w:hAnsi="宋体"/>
          <w:sz w:val="24"/>
          <w:szCs w:val="24"/>
        </w:rPr>
        <w:t>2.1 本合同金额为（大写）：_______________________________元人民币（¥_____元）。</w:t>
      </w:r>
    </w:p>
    <w:p>
      <w:pPr>
        <w:spacing w:line="400" w:lineRule="exact"/>
        <w:ind w:firstLine="480" w:firstLineChars="200"/>
        <w:rPr>
          <w:rFonts w:ascii="宋体" w:hAnsi="宋体"/>
          <w:sz w:val="24"/>
          <w:szCs w:val="24"/>
        </w:rPr>
      </w:pPr>
      <w:r>
        <w:rPr>
          <w:rFonts w:hint="eastAsia" w:ascii="宋体" w:hAnsi="宋体"/>
          <w:sz w:val="24"/>
          <w:szCs w:val="24"/>
        </w:rPr>
        <w:t>2.2 本合同总金额包括乙方提供的服务及其他有关的为完成本项目发生的所有费用，招标文件中另有规定的除外。</w:t>
      </w:r>
    </w:p>
    <w:p>
      <w:pPr>
        <w:spacing w:line="400" w:lineRule="exact"/>
        <w:ind w:firstLine="480" w:firstLineChars="200"/>
        <w:rPr>
          <w:rFonts w:ascii="宋体" w:hAnsi="宋体"/>
          <w:sz w:val="24"/>
          <w:szCs w:val="24"/>
        </w:rPr>
      </w:pPr>
      <w:r>
        <w:rPr>
          <w:rFonts w:hint="eastAsia" w:ascii="宋体" w:hAnsi="宋体"/>
          <w:sz w:val="24"/>
          <w:szCs w:val="24"/>
        </w:rPr>
        <w:t>2.3 在招标文件未列明，而乙方认为履行本合同必需的费用也包含在合同总金额中。</w:t>
      </w:r>
    </w:p>
    <w:p>
      <w:pPr>
        <w:spacing w:line="400" w:lineRule="exact"/>
        <w:ind w:firstLine="480" w:firstLineChars="200"/>
        <w:rPr>
          <w:rFonts w:ascii="宋体" w:hAnsi="宋体"/>
          <w:sz w:val="24"/>
          <w:szCs w:val="24"/>
        </w:rPr>
      </w:pPr>
      <w:r>
        <w:rPr>
          <w:rFonts w:hint="eastAsia" w:ascii="宋体" w:hAnsi="宋体"/>
          <w:sz w:val="24"/>
          <w:szCs w:val="24"/>
        </w:rPr>
        <w:t>2.4 本合同总金额还包含乙方提供的伴随服务/售后服务费用。</w:t>
      </w:r>
    </w:p>
    <w:p>
      <w:pPr>
        <w:pStyle w:val="28"/>
        <w:snapToGrid w:val="0"/>
        <w:spacing w:before="120" w:after="120" w:line="400" w:lineRule="exact"/>
        <w:ind w:firstLine="482" w:firstLineChars="200"/>
        <w:rPr>
          <w:rFonts w:hAnsi="宋体"/>
          <w:b/>
          <w:bCs/>
          <w:sz w:val="24"/>
          <w:szCs w:val="24"/>
        </w:rPr>
      </w:pPr>
      <w:r>
        <w:rPr>
          <w:rFonts w:hint="eastAsia" w:hAnsi="宋体"/>
          <w:b/>
          <w:bCs/>
          <w:sz w:val="24"/>
          <w:szCs w:val="24"/>
        </w:rPr>
        <w:t>3、组成本合同的有关文件</w:t>
      </w:r>
    </w:p>
    <w:p>
      <w:pPr>
        <w:spacing w:line="400" w:lineRule="exact"/>
        <w:ind w:firstLine="480" w:firstLineChars="200"/>
        <w:rPr>
          <w:rFonts w:ascii="宋体" w:hAnsi="宋体"/>
          <w:sz w:val="24"/>
          <w:szCs w:val="24"/>
        </w:rPr>
      </w:pPr>
      <w:r>
        <w:rPr>
          <w:rFonts w:hint="eastAsia" w:ascii="宋体" w:hAnsi="宋体"/>
          <w:sz w:val="24"/>
          <w:szCs w:val="24"/>
        </w:rPr>
        <w:t>3.1乙方应按招标文件规定的时间向甲方提供服务的有关技术资料。</w:t>
      </w:r>
    </w:p>
    <w:p>
      <w:pPr>
        <w:spacing w:line="400" w:lineRule="exact"/>
        <w:ind w:firstLine="480" w:firstLineChars="200"/>
        <w:rPr>
          <w:rFonts w:ascii="宋体" w:hAnsi="宋体"/>
          <w:sz w:val="24"/>
          <w:szCs w:val="24"/>
        </w:rPr>
      </w:pPr>
      <w:r>
        <w:rPr>
          <w:rFonts w:hint="eastAsia" w:ascii="宋体" w:hAnsi="宋体"/>
          <w:sz w:val="24"/>
          <w:szCs w:val="24"/>
        </w:rPr>
        <w:t>3.2 没有甲方事先书面同意，乙方不得将由甲方提供的有关合同或任何合同条文或资料提供给任何其他人。即使向履行本合同有关的人员提供，也应注意保密并限于履行合同的必需范围。</w:t>
      </w:r>
    </w:p>
    <w:p>
      <w:pPr>
        <w:spacing w:line="400" w:lineRule="exact"/>
        <w:ind w:firstLine="480" w:firstLineChars="200"/>
        <w:rPr>
          <w:rFonts w:ascii="宋体" w:hAnsi="宋体"/>
          <w:sz w:val="24"/>
          <w:szCs w:val="24"/>
        </w:rPr>
      </w:pPr>
      <w:r>
        <w:rPr>
          <w:rFonts w:hint="eastAsia" w:ascii="宋体" w:hAnsi="宋体"/>
          <w:sz w:val="24"/>
          <w:szCs w:val="24"/>
        </w:rPr>
        <w:t>3.3 关于本项目政府采购的招投标文件或与本次采购活动方式相适应的文件及有关附件是本合同不可分割的组成部分，这些文件包括但不限于：</w:t>
      </w:r>
    </w:p>
    <w:p>
      <w:pPr>
        <w:spacing w:line="400" w:lineRule="exact"/>
        <w:ind w:firstLine="480" w:firstLineChars="200"/>
        <w:rPr>
          <w:rFonts w:ascii="宋体" w:hAnsi="宋体"/>
          <w:sz w:val="24"/>
          <w:szCs w:val="24"/>
        </w:rPr>
      </w:pPr>
      <w:r>
        <w:rPr>
          <w:rFonts w:hint="eastAsia" w:ascii="宋体" w:hAnsi="宋体"/>
          <w:sz w:val="24"/>
          <w:szCs w:val="24"/>
        </w:rPr>
        <w:t xml:space="preserve">   （1）投标响应文件；               （2）投标报价文件；</w:t>
      </w:r>
    </w:p>
    <w:p>
      <w:pPr>
        <w:spacing w:line="400" w:lineRule="exact"/>
        <w:ind w:firstLine="480" w:firstLineChars="200"/>
        <w:rPr>
          <w:rFonts w:ascii="宋体" w:hAnsi="宋体"/>
          <w:sz w:val="24"/>
          <w:szCs w:val="24"/>
        </w:rPr>
      </w:pPr>
      <w:r>
        <w:rPr>
          <w:rFonts w:hint="eastAsia" w:ascii="宋体" w:hAnsi="宋体"/>
          <w:sz w:val="24"/>
          <w:szCs w:val="24"/>
        </w:rPr>
        <w:t xml:space="preserve">   （3）项目组人员表                 （4）服务承诺；</w:t>
      </w:r>
    </w:p>
    <w:p>
      <w:pPr>
        <w:spacing w:line="400" w:lineRule="exact"/>
        <w:ind w:firstLine="480" w:firstLineChars="200"/>
        <w:rPr>
          <w:rFonts w:ascii="宋体" w:hAnsi="宋体"/>
          <w:sz w:val="24"/>
          <w:szCs w:val="24"/>
        </w:rPr>
      </w:pPr>
      <w:r>
        <w:rPr>
          <w:rFonts w:hint="eastAsia" w:ascii="宋体" w:hAnsi="宋体"/>
          <w:sz w:val="24"/>
          <w:szCs w:val="24"/>
        </w:rPr>
        <w:t xml:space="preserve">   （5）中标通知书；                 （6）甲乙双方补充协议；</w:t>
      </w:r>
    </w:p>
    <w:p>
      <w:pPr>
        <w:spacing w:line="400" w:lineRule="exact"/>
        <w:ind w:firstLine="480" w:firstLineChars="200"/>
        <w:rPr>
          <w:rFonts w:ascii="宋体" w:hAnsi="宋体"/>
          <w:sz w:val="24"/>
          <w:szCs w:val="24"/>
        </w:rPr>
      </w:pPr>
      <w:r>
        <w:rPr>
          <w:rFonts w:hint="eastAsia" w:ascii="宋体" w:hAnsi="宋体"/>
          <w:sz w:val="24"/>
          <w:szCs w:val="24"/>
        </w:rPr>
        <w:t xml:space="preserve">   （7）乙方投标时提供的响应文件。</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4、知识产权保证</w:t>
      </w:r>
    </w:p>
    <w:p>
      <w:pPr>
        <w:autoSpaceDE w:val="0"/>
        <w:autoSpaceDN w:val="0"/>
        <w:spacing w:line="400" w:lineRule="exact"/>
        <w:ind w:firstLine="480" w:firstLineChars="200"/>
        <w:rPr>
          <w:rFonts w:ascii="宋体" w:hAnsi="宋体"/>
          <w:sz w:val="24"/>
          <w:szCs w:val="24"/>
        </w:rPr>
      </w:pPr>
      <w:r>
        <w:rPr>
          <w:rFonts w:hint="eastAsia" w:ascii="宋体" w:hAnsi="宋体"/>
          <w:sz w:val="24"/>
          <w:szCs w:val="24"/>
        </w:rPr>
        <w:t>乙方保证甲方在使用、接受本合同服务或其任何一部分时，不受第三方提出侵犯其专利权、版权、商标权和工业设计权等知识产权的起诉。一旦出现侵权，由乙方负全部责任。</w:t>
      </w:r>
    </w:p>
    <w:p>
      <w:pPr>
        <w:pStyle w:val="28"/>
        <w:snapToGrid w:val="0"/>
        <w:spacing w:before="120" w:after="120" w:line="400" w:lineRule="exact"/>
        <w:ind w:firstLine="482" w:firstLineChars="200"/>
        <w:rPr>
          <w:rFonts w:hAnsi="宋体"/>
          <w:b/>
          <w:bCs/>
          <w:sz w:val="24"/>
          <w:szCs w:val="24"/>
        </w:rPr>
      </w:pPr>
      <w:r>
        <w:rPr>
          <w:rFonts w:hint="eastAsia" w:hAnsi="宋体"/>
          <w:b/>
          <w:bCs/>
          <w:sz w:val="24"/>
          <w:szCs w:val="24"/>
        </w:rPr>
        <w:t>5、产权保证</w:t>
      </w:r>
    </w:p>
    <w:p>
      <w:pPr>
        <w:autoSpaceDE w:val="0"/>
        <w:autoSpaceDN w:val="0"/>
        <w:spacing w:line="400" w:lineRule="exact"/>
        <w:ind w:firstLine="480" w:firstLineChars="200"/>
        <w:rPr>
          <w:rFonts w:ascii="宋体" w:hAnsi="宋体"/>
          <w:sz w:val="24"/>
          <w:szCs w:val="24"/>
        </w:rPr>
      </w:pPr>
      <w:r>
        <w:rPr>
          <w:rFonts w:hint="eastAsia" w:ascii="宋体" w:hAnsi="宋体"/>
          <w:sz w:val="24"/>
          <w:szCs w:val="24"/>
        </w:rPr>
        <w:t>乙方保证所交付的服务和服务所涉及的物品所有权无任何抵押、查封等权利瑕疵。</w:t>
      </w:r>
    </w:p>
    <w:p>
      <w:pPr>
        <w:pStyle w:val="28"/>
        <w:numPr>
          <w:ilvl w:val="0"/>
          <w:numId w:val="16"/>
        </w:numPr>
        <w:snapToGrid w:val="0"/>
        <w:spacing w:line="440" w:lineRule="exact"/>
        <w:ind w:left="315" w:leftChars="150" w:firstLine="120" w:firstLineChars="50"/>
        <w:rPr>
          <w:rFonts w:hAnsi="宋体"/>
          <w:b/>
          <w:bCs/>
          <w:sz w:val="24"/>
          <w:szCs w:val="24"/>
        </w:rPr>
      </w:pPr>
      <w:r>
        <w:rPr>
          <w:rFonts w:hint="eastAsia" w:hAnsi="宋体"/>
          <w:b/>
          <w:bCs/>
          <w:sz w:val="24"/>
          <w:szCs w:val="24"/>
        </w:rPr>
        <w:t>履约保证金：</w:t>
      </w:r>
    </w:p>
    <w:p>
      <w:pPr>
        <w:pStyle w:val="28"/>
        <w:snapToGrid w:val="0"/>
        <w:spacing w:line="440" w:lineRule="exact"/>
        <w:ind w:left="420" w:leftChars="200"/>
        <w:rPr>
          <w:rFonts w:hAnsi="宋体"/>
          <w:color w:val="FF0000"/>
          <w:sz w:val="24"/>
          <w:szCs w:val="24"/>
        </w:rPr>
      </w:pPr>
      <w:r>
        <w:rPr>
          <w:rFonts w:hint="eastAsia" w:hAnsi="宋体"/>
          <w:sz w:val="24"/>
          <w:szCs w:val="24"/>
        </w:rPr>
        <w:t xml:space="preserve">6.1 </w:t>
      </w:r>
      <w:r>
        <w:rPr>
          <w:rFonts w:hint="eastAsia" w:hAnsi="宋体"/>
          <w:color w:val="FF0000"/>
          <w:sz w:val="24"/>
          <w:szCs w:val="24"/>
        </w:rPr>
        <w:t>乙方在领取成交通知书后需向甲方提供合同价10%的履约保函作为本合同的履约保证金。</w:t>
      </w:r>
    </w:p>
    <w:p>
      <w:pPr>
        <w:pStyle w:val="28"/>
        <w:snapToGrid w:val="0"/>
        <w:spacing w:line="440" w:lineRule="exact"/>
        <w:ind w:firstLine="480" w:firstLineChars="200"/>
        <w:rPr>
          <w:rFonts w:hAnsi="宋体"/>
          <w:sz w:val="24"/>
          <w:szCs w:val="24"/>
        </w:rPr>
      </w:pPr>
      <w:r>
        <w:rPr>
          <w:rFonts w:hint="eastAsia" w:hAnsi="宋体"/>
          <w:sz w:val="24"/>
          <w:szCs w:val="24"/>
        </w:rPr>
        <w:t>6.2履约保证金用以约束乙方在合同履行中的行为，以及弥补合同履行中由于乙方自身行为可能给甲方带来的各种损失；若保证金额不足以弥补乙方违约造成甲方损失的，甲方可继续向乙方主张索赔。</w:t>
      </w:r>
    </w:p>
    <w:p>
      <w:pPr>
        <w:pStyle w:val="28"/>
        <w:snapToGrid w:val="0"/>
        <w:spacing w:line="440" w:lineRule="exact"/>
        <w:ind w:firstLine="480" w:firstLineChars="200"/>
        <w:rPr>
          <w:rFonts w:hAnsi="宋体"/>
          <w:b/>
          <w:bCs/>
          <w:sz w:val="24"/>
          <w:szCs w:val="24"/>
        </w:rPr>
      </w:pPr>
      <w:r>
        <w:rPr>
          <w:rFonts w:hint="eastAsia" w:hAnsi="宋体"/>
          <w:sz w:val="24"/>
          <w:szCs w:val="24"/>
        </w:rPr>
        <w:t xml:space="preserve">6.3 履约保证金扣除甲方应得的补偿后的余额，在本合同履行结束后7个工作日由乙方向甲方申请退还，甲方无息退还。 </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7、转包或分包</w:t>
      </w:r>
    </w:p>
    <w:p>
      <w:pPr>
        <w:spacing w:line="400" w:lineRule="exact"/>
        <w:ind w:firstLine="480" w:firstLineChars="200"/>
        <w:rPr>
          <w:rFonts w:ascii="宋体" w:hAnsi="宋体"/>
          <w:sz w:val="24"/>
          <w:szCs w:val="24"/>
        </w:rPr>
      </w:pPr>
      <w:r>
        <w:rPr>
          <w:rFonts w:hint="eastAsia" w:ascii="宋体" w:hAnsi="宋体"/>
          <w:sz w:val="24"/>
          <w:szCs w:val="24"/>
        </w:rPr>
        <w:t>7.1 本合同禁止转包，本合同范围的服务，应由乙方直接提供的，不得转让他人提供。</w:t>
      </w:r>
    </w:p>
    <w:p>
      <w:pPr>
        <w:spacing w:line="400" w:lineRule="exact"/>
        <w:ind w:firstLine="480" w:firstLineChars="200"/>
        <w:rPr>
          <w:rFonts w:ascii="宋体" w:hAnsi="宋体"/>
          <w:sz w:val="24"/>
          <w:szCs w:val="24"/>
        </w:rPr>
      </w:pPr>
      <w:r>
        <w:rPr>
          <w:rFonts w:hint="eastAsia" w:ascii="宋体" w:hAnsi="宋体"/>
          <w:sz w:val="24"/>
          <w:szCs w:val="24"/>
        </w:rPr>
        <w:t>7.2 经甲方同意，乙方可以依法采取分包方式履行合同，但是分包方式履行的，乙方应就采购项目向甲方负全责。</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8、免费维保期</w:t>
      </w:r>
    </w:p>
    <w:p>
      <w:pPr>
        <w:pStyle w:val="28"/>
        <w:snapToGrid w:val="0"/>
        <w:spacing w:before="120" w:after="120" w:line="400" w:lineRule="exact"/>
        <w:ind w:left="315" w:leftChars="150" w:firstLine="120" w:firstLineChars="50"/>
        <w:rPr>
          <w:rFonts w:hAnsi="宋体"/>
          <w:sz w:val="24"/>
          <w:szCs w:val="24"/>
        </w:rPr>
      </w:pPr>
      <w:r>
        <w:rPr>
          <w:rFonts w:hint="eastAsia" w:hAnsi="宋体"/>
          <w:sz w:val="24"/>
          <w:szCs w:val="24"/>
        </w:rPr>
        <w:t>8.1 免费维保期</w:t>
      </w:r>
      <w:r>
        <w:rPr>
          <w:rFonts w:hint="eastAsia" w:hAnsi="宋体"/>
          <w:sz w:val="24"/>
          <w:szCs w:val="24"/>
          <w:u w:val="single"/>
        </w:rPr>
        <w:t xml:space="preserve">      </w:t>
      </w:r>
      <w:r>
        <w:rPr>
          <w:rFonts w:hint="eastAsia" w:hAnsi="宋体"/>
          <w:sz w:val="24"/>
          <w:szCs w:val="24"/>
        </w:rPr>
        <w:t>年。（自验收合格之日起计）</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9、交付期、交付方式及交付地点</w:t>
      </w:r>
    </w:p>
    <w:p>
      <w:pPr>
        <w:pStyle w:val="28"/>
        <w:snapToGrid w:val="0"/>
        <w:spacing w:before="120" w:after="120" w:line="400" w:lineRule="exact"/>
        <w:ind w:firstLine="480" w:firstLineChars="200"/>
        <w:rPr>
          <w:rFonts w:hAnsi="宋体"/>
          <w:b/>
          <w:sz w:val="24"/>
          <w:szCs w:val="24"/>
        </w:rPr>
      </w:pPr>
      <w:r>
        <w:rPr>
          <w:rFonts w:hint="eastAsia" w:hAnsi="宋体"/>
          <w:color w:val="000000"/>
          <w:sz w:val="24"/>
          <w:szCs w:val="24"/>
          <w:lang w:val="zh-CN"/>
        </w:rPr>
        <w:t>项目完成时间按照谈判、投标文件规定执行，交付地点由买方指定。</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10、货款支付</w:t>
      </w:r>
    </w:p>
    <w:p>
      <w:pPr>
        <w:spacing w:line="400" w:lineRule="exact"/>
        <w:ind w:firstLine="480" w:firstLineChars="200"/>
        <w:rPr>
          <w:rFonts w:ascii="宋体" w:hAnsi="宋体"/>
          <w:sz w:val="24"/>
          <w:szCs w:val="24"/>
        </w:rPr>
      </w:pPr>
      <w:r>
        <w:rPr>
          <w:rFonts w:ascii="宋体" w:hAnsi="宋体"/>
          <w:sz w:val="24"/>
          <w:szCs w:val="24"/>
        </w:rPr>
        <w:t xml:space="preserve">10.1 </w:t>
      </w:r>
      <w:r>
        <w:rPr>
          <w:rFonts w:hint="eastAsia" w:ascii="宋体" w:hAnsi="宋体"/>
          <w:sz w:val="24"/>
          <w:szCs w:val="24"/>
        </w:rPr>
        <w:t xml:space="preserve">本合同项下所有款项均以人民币支付。 </w:t>
      </w:r>
    </w:p>
    <w:p>
      <w:pPr>
        <w:spacing w:line="400" w:lineRule="exact"/>
        <w:ind w:firstLine="480" w:firstLineChars="200"/>
        <w:rPr>
          <w:rFonts w:ascii="宋体" w:hAnsi="宋体"/>
          <w:sz w:val="24"/>
          <w:szCs w:val="24"/>
        </w:rPr>
      </w:pPr>
      <w:r>
        <w:rPr>
          <w:rFonts w:hint="eastAsia" w:ascii="宋体" w:hAnsi="宋体"/>
          <w:sz w:val="24"/>
          <w:szCs w:val="24"/>
        </w:rPr>
        <w:t>10.2 本合同项下的采购资金由甲方支付，付款前乙方向甲方开具发票。</w:t>
      </w:r>
    </w:p>
    <w:p>
      <w:pPr>
        <w:spacing w:line="400" w:lineRule="exact"/>
        <w:ind w:firstLine="480" w:firstLineChars="200"/>
        <w:rPr>
          <w:rFonts w:ascii="宋体" w:hAnsi="宋体"/>
          <w:sz w:val="24"/>
          <w:szCs w:val="24"/>
        </w:rPr>
      </w:pPr>
      <w:r>
        <w:rPr>
          <w:rFonts w:hint="eastAsia" w:ascii="宋体" w:hAnsi="宋体"/>
          <w:sz w:val="24"/>
          <w:szCs w:val="24"/>
        </w:rPr>
        <w:t>10.3 甲方付款方式：</w:t>
      </w:r>
    </w:p>
    <w:p>
      <w:pPr>
        <w:ind w:firstLine="480" w:firstLineChars="200"/>
        <w:rPr>
          <w:color w:val="FF0000"/>
          <w:sz w:val="24"/>
          <w:szCs w:val="24"/>
        </w:rPr>
      </w:pPr>
      <w:r>
        <w:rPr>
          <w:rFonts w:hint="eastAsia"/>
          <w:color w:val="FF0000"/>
          <w:sz w:val="24"/>
          <w:szCs w:val="24"/>
        </w:rPr>
        <w:t>项目合同签订的</w:t>
      </w:r>
      <w:r>
        <w:rPr>
          <w:color w:val="FF0000"/>
          <w:sz w:val="24"/>
          <w:szCs w:val="24"/>
        </w:rPr>
        <w:t>5</w:t>
      </w:r>
      <w:r>
        <w:rPr>
          <w:rFonts w:hint="eastAsia"/>
          <w:color w:val="FF0000"/>
          <w:sz w:val="24"/>
          <w:szCs w:val="24"/>
        </w:rPr>
        <w:t>个工作日内，付合同总额的</w:t>
      </w:r>
      <w:r>
        <w:rPr>
          <w:color w:val="FF0000"/>
          <w:sz w:val="24"/>
          <w:szCs w:val="24"/>
        </w:rPr>
        <w:t>20%</w:t>
      </w:r>
      <w:r>
        <w:rPr>
          <w:rFonts w:hint="eastAsia"/>
          <w:color w:val="FF0000"/>
          <w:sz w:val="24"/>
          <w:szCs w:val="24"/>
        </w:rPr>
        <w:t>，作为预付款；</w:t>
      </w:r>
    </w:p>
    <w:p>
      <w:pPr>
        <w:pStyle w:val="70"/>
        <w:ind w:firstLine="0"/>
        <w:rPr>
          <w:color w:val="FF0000"/>
          <w:szCs w:val="24"/>
        </w:rPr>
      </w:pPr>
      <w:r>
        <w:rPr>
          <w:rFonts w:hint="eastAsia"/>
          <w:color w:val="FF0000"/>
          <w:szCs w:val="24"/>
        </w:rPr>
        <w:t xml:space="preserve">    项目验收完成的</w:t>
      </w:r>
      <w:r>
        <w:rPr>
          <w:color w:val="FF0000"/>
          <w:szCs w:val="24"/>
        </w:rPr>
        <w:t>7</w:t>
      </w:r>
      <w:r>
        <w:rPr>
          <w:rFonts w:hint="eastAsia"/>
          <w:color w:val="FF0000"/>
          <w:szCs w:val="24"/>
        </w:rPr>
        <w:t>个工作日内，付合同总额的</w:t>
      </w:r>
      <w:r>
        <w:rPr>
          <w:color w:val="FF0000"/>
          <w:szCs w:val="24"/>
        </w:rPr>
        <w:t>70%</w:t>
      </w:r>
      <w:r>
        <w:rPr>
          <w:rFonts w:hint="eastAsia"/>
          <w:color w:val="FF0000"/>
          <w:szCs w:val="24"/>
        </w:rPr>
        <w:t>，作为验收阶段性款；</w:t>
      </w:r>
    </w:p>
    <w:p>
      <w:pPr>
        <w:pStyle w:val="70"/>
        <w:ind w:firstLine="0"/>
        <w:rPr>
          <w:color w:val="FF0000"/>
          <w:szCs w:val="24"/>
        </w:rPr>
      </w:pPr>
      <w:r>
        <w:rPr>
          <w:rFonts w:hint="eastAsia"/>
          <w:color w:val="FF0000"/>
          <w:szCs w:val="24"/>
        </w:rPr>
        <w:t xml:space="preserve">    项目组验收满一年后的</w:t>
      </w:r>
      <w:r>
        <w:rPr>
          <w:color w:val="FF0000"/>
          <w:szCs w:val="24"/>
        </w:rPr>
        <w:t>5</w:t>
      </w:r>
      <w:r>
        <w:rPr>
          <w:rFonts w:hint="eastAsia"/>
          <w:color w:val="FF0000"/>
          <w:szCs w:val="24"/>
        </w:rPr>
        <w:t>个工作日内，付合同总额的</w:t>
      </w:r>
      <w:r>
        <w:rPr>
          <w:color w:val="FF0000"/>
          <w:szCs w:val="24"/>
        </w:rPr>
        <w:t>10%</w:t>
      </w:r>
      <w:r>
        <w:rPr>
          <w:rFonts w:hint="eastAsia"/>
          <w:color w:val="FF0000"/>
          <w:szCs w:val="24"/>
        </w:rPr>
        <w:t>，即项目尾款。</w:t>
      </w:r>
      <w:r>
        <w:rPr>
          <w:rFonts w:hint="eastAsia"/>
          <w:color w:val="0000FF"/>
          <w:szCs w:val="24"/>
        </w:rPr>
        <w:t xml:space="preserve"> </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11、税费</w:t>
      </w:r>
    </w:p>
    <w:p>
      <w:pPr>
        <w:pStyle w:val="28"/>
        <w:snapToGrid w:val="0"/>
        <w:spacing w:before="120" w:after="120" w:line="400" w:lineRule="exact"/>
        <w:ind w:firstLine="480" w:firstLineChars="200"/>
        <w:rPr>
          <w:rFonts w:hAnsi="宋体"/>
          <w:b/>
          <w:bCs/>
          <w:sz w:val="24"/>
          <w:szCs w:val="24"/>
        </w:rPr>
      </w:pPr>
      <w:r>
        <w:rPr>
          <w:rFonts w:hint="eastAsia" w:hAnsi="宋体" w:cs="宋体"/>
          <w:sz w:val="24"/>
          <w:szCs w:val="24"/>
        </w:rPr>
        <w:t>本合同执行中相关的一切税费均由乙方负担。</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12、质量保证及售后服务</w:t>
      </w:r>
    </w:p>
    <w:p>
      <w:pPr>
        <w:spacing w:line="400" w:lineRule="exact"/>
        <w:ind w:firstLine="480" w:firstLineChars="200"/>
        <w:rPr>
          <w:rFonts w:ascii="宋体" w:hAnsi="宋体"/>
          <w:sz w:val="24"/>
          <w:szCs w:val="24"/>
        </w:rPr>
      </w:pPr>
      <w:r>
        <w:rPr>
          <w:rFonts w:hint="eastAsia" w:ascii="宋体" w:hAnsi="宋体"/>
          <w:sz w:val="24"/>
          <w:szCs w:val="24"/>
        </w:rPr>
        <w:t>12.1 乙方应按招标文件规定及响应文件承诺的技术性能、技术要求、质量标准向甲方提供服务；若无特殊说明，则按国家有关部门最新颁布的标准及规范为准。</w:t>
      </w:r>
    </w:p>
    <w:p>
      <w:pPr>
        <w:spacing w:line="400" w:lineRule="exact"/>
        <w:ind w:firstLine="480" w:firstLineChars="200"/>
        <w:rPr>
          <w:rFonts w:ascii="宋体" w:hAnsi="宋体"/>
          <w:sz w:val="24"/>
          <w:szCs w:val="24"/>
        </w:rPr>
      </w:pPr>
      <w:r>
        <w:rPr>
          <w:rFonts w:hint="eastAsia" w:ascii="宋体" w:hAnsi="宋体"/>
          <w:sz w:val="24"/>
          <w:szCs w:val="24"/>
        </w:rPr>
        <w:t>12.2乙方应保证其提供的服务是全面和规范的，并完全符合招投标文件。如因乙方提供的服务有瑕疵造成甲方损失的，所需费用由乙方承担。</w:t>
      </w:r>
    </w:p>
    <w:p>
      <w:pPr>
        <w:spacing w:line="400" w:lineRule="exact"/>
        <w:ind w:firstLine="480" w:firstLineChars="200"/>
        <w:rPr>
          <w:rFonts w:ascii="宋体" w:hAnsi="宋体"/>
          <w:sz w:val="24"/>
          <w:szCs w:val="24"/>
        </w:rPr>
      </w:pPr>
      <w:r>
        <w:rPr>
          <w:rFonts w:hint="eastAsia" w:ascii="宋体" w:hAnsi="宋体"/>
          <w:sz w:val="24"/>
          <w:szCs w:val="24"/>
        </w:rPr>
        <w:t>12.3 如在使用过程中发生质量问题，乙方在接到甲方通知后在_________小时内到达甲方现场。</w:t>
      </w:r>
    </w:p>
    <w:p>
      <w:pPr>
        <w:spacing w:line="400" w:lineRule="exact"/>
        <w:ind w:firstLine="480" w:firstLineChars="200"/>
        <w:rPr>
          <w:rFonts w:ascii="宋体" w:hAnsi="宋体"/>
          <w:sz w:val="24"/>
          <w:szCs w:val="24"/>
        </w:rPr>
      </w:pPr>
      <w:r>
        <w:rPr>
          <w:rFonts w:hint="eastAsia" w:ascii="宋体" w:hAnsi="宋体"/>
          <w:sz w:val="24"/>
          <w:szCs w:val="24"/>
        </w:rPr>
        <w:t>12.4 免费维保期内，乙方应对所提供服务出现的质量及安全问题负责处理解决并承担一切费用。</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13、交付和验收</w:t>
      </w:r>
    </w:p>
    <w:p>
      <w:pPr>
        <w:spacing w:line="400" w:lineRule="exact"/>
        <w:ind w:firstLine="480" w:firstLineChars="200"/>
        <w:rPr>
          <w:rFonts w:ascii="宋体" w:hAnsi="宋体"/>
          <w:sz w:val="24"/>
          <w:szCs w:val="24"/>
        </w:rPr>
      </w:pPr>
      <w:r>
        <w:rPr>
          <w:rFonts w:hint="eastAsia" w:ascii="宋体" w:hAnsi="宋体"/>
          <w:sz w:val="24"/>
          <w:szCs w:val="24"/>
        </w:rPr>
        <w:t>13.1 乙方应当在合同签订后</w:t>
      </w:r>
      <w:r>
        <w:rPr>
          <w:rFonts w:hint="eastAsia" w:ascii="宋体" w:hAnsi="宋体"/>
          <w:sz w:val="24"/>
          <w:szCs w:val="24"/>
          <w:u w:val="single"/>
        </w:rPr>
        <w:t xml:space="preserve">     </w:t>
      </w:r>
      <w:r>
        <w:rPr>
          <w:rFonts w:hint="eastAsia" w:ascii="宋体" w:hAnsi="宋体"/>
          <w:sz w:val="24"/>
          <w:szCs w:val="24"/>
        </w:rPr>
        <w:t>天内完成服务事项，招标文件有约定的，从其约定。</w:t>
      </w:r>
    </w:p>
    <w:p>
      <w:pPr>
        <w:spacing w:line="400" w:lineRule="exact"/>
        <w:ind w:firstLine="480" w:firstLineChars="200"/>
        <w:rPr>
          <w:rFonts w:ascii="宋体" w:hAnsi="宋体"/>
          <w:sz w:val="24"/>
          <w:szCs w:val="24"/>
        </w:rPr>
      </w:pPr>
      <w:r>
        <w:rPr>
          <w:rFonts w:hint="eastAsia" w:ascii="宋体" w:hAnsi="宋体"/>
          <w:sz w:val="24"/>
          <w:szCs w:val="24"/>
        </w:rPr>
        <w:t>在交付前，乙方应作出全面检查和对验收文件进行整理，并列出清单，作为甲方初验收和使用的技术条件依据，检验的结果交甲方。</w:t>
      </w:r>
    </w:p>
    <w:p>
      <w:pPr>
        <w:spacing w:line="400" w:lineRule="exact"/>
        <w:ind w:firstLine="480" w:firstLineChars="200"/>
        <w:rPr>
          <w:rFonts w:ascii="宋体" w:hAnsi="宋体"/>
          <w:sz w:val="24"/>
          <w:szCs w:val="24"/>
        </w:rPr>
      </w:pPr>
      <w:r>
        <w:rPr>
          <w:rFonts w:hint="eastAsia" w:ascii="宋体" w:hAnsi="宋体"/>
          <w:sz w:val="24"/>
          <w:szCs w:val="24"/>
        </w:rPr>
        <w:t>13.2 验收标准：按乙方投标文件的承诺，并不低于国家相关标准。</w:t>
      </w:r>
    </w:p>
    <w:p>
      <w:pPr>
        <w:spacing w:line="400" w:lineRule="exact"/>
        <w:ind w:firstLine="480" w:firstLineChars="200"/>
        <w:rPr>
          <w:rFonts w:ascii="宋体" w:hAnsi="宋体"/>
          <w:sz w:val="24"/>
          <w:szCs w:val="24"/>
        </w:rPr>
      </w:pPr>
      <w:r>
        <w:rPr>
          <w:rFonts w:hint="eastAsia" w:ascii="宋体" w:hAnsi="宋体"/>
          <w:sz w:val="24"/>
          <w:szCs w:val="24"/>
        </w:rPr>
        <w:t>对于乙方要交付的服务，甲乙双方须在</w:t>
      </w:r>
      <w:r>
        <w:rPr>
          <w:rFonts w:hint="eastAsia" w:ascii="宋体" w:hAnsi="宋体"/>
          <w:sz w:val="24"/>
          <w:szCs w:val="24"/>
          <w:u w:val="single"/>
        </w:rPr>
        <w:t xml:space="preserve">    </w:t>
      </w:r>
      <w:r>
        <w:rPr>
          <w:rFonts w:hint="eastAsia" w:ascii="宋体" w:hAnsi="宋体"/>
          <w:sz w:val="24"/>
          <w:szCs w:val="24"/>
        </w:rPr>
        <w:t>工作日内初验收，甲方对乙方提交的服务依据招标文件上的技术要求和国家有关质量标准进行现场初步验收，外观、说明书、包装符合招标文件技术要求的，给予签收，初步验收不合格的不予签收。</w:t>
      </w:r>
    </w:p>
    <w:p>
      <w:pPr>
        <w:spacing w:line="400" w:lineRule="exact"/>
        <w:ind w:firstLine="480" w:firstLineChars="200"/>
        <w:rPr>
          <w:rFonts w:ascii="宋体" w:hAnsi="宋体"/>
          <w:sz w:val="24"/>
          <w:szCs w:val="24"/>
        </w:rPr>
      </w:pPr>
      <w:r>
        <w:rPr>
          <w:rFonts w:hint="eastAsia" w:ascii="宋体" w:hAnsi="宋体"/>
          <w:sz w:val="24"/>
          <w:szCs w:val="24"/>
        </w:rPr>
        <w:t>13.3 乙方按照招标文件要求负责安装并培训甲方的使用操作人员，乙方在甲方使用前进行调试，调试直到符合技术要求的甲方才做最终验收。</w:t>
      </w:r>
    </w:p>
    <w:p>
      <w:pPr>
        <w:spacing w:line="400" w:lineRule="exact"/>
        <w:ind w:firstLine="480" w:firstLineChars="200"/>
        <w:rPr>
          <w:rFonts w:ascii="宋体" w:hAnsi="宋体"/>
          <w:sz w:val="24"/>
          <w:szCs w:val="24"/>
        </w:rPr>
      </w:pPr>
      <w:r>
        <w:rPr>
          <w:rFonts w:hint="eastAsia" w:ascii="宋体" w:hAnsi="宋体"/>
          <w:sz w:val="24"/>
          <w:szCs w:val="24"/>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400" w:lineRule="exact"/>
        <w:ind w:firstLine="480" w:firstLineChars="200"/>
        <w:rPr>
          <w:rFonts w:ascii="宋体" w:hAnsi="宋体"/>
          <w:sz w:val="24"/>
          <w:szCs w:val="24"/>
          <w:u w:val="single"/>
        </w:rPr>
      </w:pPr>
      <w:r>
        <w:rPr>
          <w:rFonts w:hint="eastAsia" w:ascii="宋体" w:hAnsi="宋体"/>
          <w:sz w:val="24"/>
          <w:szCs w:val="24"/>
        </w:rPr>
        <w:t>13.5 甲乙双方关于调试和验收的其他约定：</w:t>
      </w:r>
      <w:r>
        <w:rPr>
          <w:rFonts w:hint="eastAsia" w:ascii="宋体" w:hAnsi="宋体"/>
          <w:sz w:val="24"/>
          <w:szCs w:val="24"/>
          <w:u w:val="single"/>
        </w:rPr>
        <w:t xml:space="preserve">                           </w:t>
      </w:r>
      <w:r>
        <w:rPr>
          <w:rFonts w:hint="eastAsia" w:ascii="宋体" w:hAnsi="宋体"/>
          <w:sz w:val="24"/>
          <w:szCs w:val="24"/>
        </w:rPr>
        <w:t>。</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14、包装、发运及运输</w:t>
      </w:r>
    </w:p>
    <w:p>
      <w:pPr>
        <w:pStyle w:val="28"/>
        <w:snapToGrid w:val="0"/>
        <w:spacing w:line="400" w:lineRule="exact"/>
        <w:ind w:firstLine="480" w:firstLineChars="200"/>
        <w:rPr>
          <w:rFonts w:hAnsi="宋体"/>
          <w:sz w:val="24"/>
          <w:szCs w:val="24"/>
        </w:rPr>
      </w:pPr>
      <w:r>
        <w:rPr>
          <w:rFonts w:hint="eastAsia" w:hAnsi="宋体"/>
          <w:sz w:val="24"/>
          <w:szCs w:val="24"/>
        </w:rPr>
        <w:t>14.1 乙方应对其提供的服务所涉及物品在发运前对其进行满足运输距离、防潮、防震、防锈和防破损装卸等要求包装，以保证安全运达甲方指定地点。</w:t>
      </w:r>
    </w:p>
    <w:p>
      <w:pPr>
        <w:pStyle w:val="28"/>
        <w:snapToGrid w:val="0"/>
        <w:spacing w:line="400" w:lineRule="exact"/>
        <w:ind w:firstLine="480" w:firstLineChars="200"/>
        <w:rPr>
          <w:rFonts w:hAnsi="宋体"/>
          <w:sz w:val="24"/>
          <w:szCs w:val="24"/>
        </w:rPr>
      </w:pPr>
      <w:r>
        <w:rPr>
          <w:rFonts w:hint="eastAsia" w:hAnsi="宋体"/>
          <w:sz w:val="24"/>
          <w:szCs w:val="24"/>
        </w:rPr>
        <w:t>14.2 乙方交付时，使用说明书、检验证明书、随配附件和工具以及清单一并附于内。</w:t>
      </w:r>
    </w:p>
    <w:p>
      <w:pPr>
        <w:pStyle w:val="28"/>
        <w:snapToGrid w:val="0"/>
        <w:spacing w:line="400" w:lineRule="exact"/>
        <w:ind w:firstLine="480" w:firstLineChars="200"/>
        <w:rPr>
          <w:rFonts w:hAnsi="宋体"/>
          <w:sz w:val="24"/>
          <w:szCs w:val="24"/>
        </w:rPr>
      </w:pPr>
      <w:r>
        <w:rPr>
          <w:rFonts w:hint="eastAsia" w:hAnsi="宋体"/>
          <w:sz w:val="24"/>
          <w:szCs w:val="24"/>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28"/>
        <w:snapToGrid w:val="0"/>
        <w:spacing w:line="400" w:lineRule="exact"/>
        <w:ind w:firstLine="480" w:firstLineChars="200"/>
        <w:rPr>
          <w:rFonts w:hAnsi="宋体"/>
          <w:sz w:val="24"/>
          <w:szCs w:val="24"/>
        </w:rPr>
      </w:pPr>
      <w:r>
        <w:rPr>
          <w:rFonts w:hint="eastAsia" w:hAnsi="宋体"/>
          <w:sz w:val="24"/>
          <w:szCs w:val="24"/>
        </w:rPr>
        <w:t>14.4 服务在交付甲方前发生的风险均由乙方负责。</w:t>
      </w:r>
    </w:p>
    <w:p>
      <w:pPr>
        <w:pStyle w:val="28"/>
        <w:snapToGrid w:val="0"/>
        <w:spacing w:line="400" w:lineRule="exact"/>
        <w:ind w:firstLine="480" w:firstLineChars="200"/>
        <w:rPr>
          <w:rFonts w:hAnsi="宋体"/>
          <w:sz w:val="24"/>
          <w:szCs w:val="24"/>
        </w:rPr>
      </w:pPr>
      <w:r>
        <w:rPr>
          <w:rFonts w:hint="eastAsia" w:hAnsi="宋体"/>
          <w:sz w:val="24"/>
          <w:szCs w:val="24"/>
        </w:rPr>
        <w:t>14.5 服务在规定的交付期限内由乙方送达甲方指定的地点。</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15、违约责任</w:t>
      </w:r>
    </w:p>
    <w:p>
      <w:pPr>
        <w:pStyle w:val="28"/>
        <w:snapToGrid w:val="0"/>
        <w:spacing w:line="400" w:lineRule="exact"/>
        <w:ind w:firstLine="480" w:firstLineChars="200"/>
        <w:rPr>
          <w:rFonts w:hAnsi="宋体"/>
          <w:sz w:val="24"/>
          <w:szCs w:val="24"/>
        </w:rPr>
      </w:pPr>
      <w:r>
        <w:rPr>
          <w:rFonts w:hint="eastAsia" w:hAnsi="宋体"/>
          <w:sz w:val="24"/>
          <w:szCs w:val="24"/>
        </w:rPr>
        <w:t>15.1 甲方无正当理由拒绝初验收和终验收服务项目的，甲方应按未付服务项目款金额每日万分之五向乙方支付违约金。</w:t>
      </w:r>
    </w:p>
    <w:p>
      <w:pPr>
        <w:pStyle w:val="28"/>
        <w:snapToGrid w:val="0"/>
        <w:spacing w:line="400" w:lineRule="exact"/>
        <w:ind w:firstLine="480" w:firstLineChars="200"/>
        <w:rPr>
          <w:rFonts w:hAnsi="宋体"/>
          <w:sz w:val="24"/>
          <w:szCs w:val="24"/>
        </w:rPr>
      </w:pPr>
      <w:r>
        <w:rPr>
          <w:rFonts w:hint="eastAsia" w:hAnsi="宋体"/>
          <w:sz w:val="24"/>
          <w:szCs w:val="24"/>
        </w:rPr>
        <w:t>15.2 甲方无故逾期验收和无故逾期办理款项支付手续的,甲方应按逾期付款金额每日万分之五向乙方支付违约金。</w:t>
      </w:r>
    </w:p>
    <w:p>
      <w:pPr>
        <w:pStyle w:val="28"/>
        <w:snapToGrid w:val="0"/>
        <w:spacing w:line="400" w:lineRule="exact"/>
        <w:ind w:firstLine="480" w:firstLineChars="200"/>
        <w:rPr>
          <w:rFonts w:hAnsi="宋体"/>
          <w:sz w:val="24"/>
          <w:szCs w:val="24"/>
        </w:rPr>
      </w:pPr>
      <w:r>
        <w:rPr>
          <w:rFonts w:hint="eastAsia" w:hAnsi="宋体"/>
          <w:sz w:val="24"/>
          <w:szCs w:val="24"/>
        </w:rPr>
        <w:t>15.3乙方违约，在消除违约情形前，应按本合同项目总额每日万分之五向甲方支付违约金，甲方可以从待付款项中扣除。</w:t>
      </w:r>
    </w:p>
    <w:p>
      <w:pPr>
        <w:pStyle w:val="28"/>
        <w:snapToGrid w:val="0"/>
        <w:spacing w:line="400" w:lineRule="exact"/>
        <w:ind w:firstLine="480" w:firstLineChars="200"/>
        <w:rPr>
          <w:rFonts w:hAnsi="宋体"/>
          <w:sz w:val="24"/>
          <w:szCs w:val="24"/>
        </w:rPr>
      </w:pPr>
      <w:r>
        <w:rPr>
          <w:rFonts w:hint="eastAsia" w:hAnsi="宋体"/>
          <w:sz w:val="24"/>
          <w:szCs w:val="24"/>
        </w:rPr>
        <w:t>15.4乙方因逾期交付服务项目或因其他违约行为，导致甲方解除合同的，乙方应向甲方支付合同总值5%的违约金，如造成甲方损失超过违约金的，超出部分由乙方继续承担赔偿责任。</w:t>
      </w:r>
    </w:p>
    <w:p>
      <w:pPr>
        <w:pStyle w:val="28"/>
        <w:snapToGrid w:val="0"/>
        <w:spacing w:line="400" w:lineRule="exact"/>
        <w:ind w:firstLine="480" w:firstLineChars="200"/>
        <w:rPr>
          <w:rFonts w:hAnsi="宋体"/>
          <w:sz w:val="24"/>
          <w:szCs w:val="24"/>
        </w:rPr>
      </w:pPr>
      <w:r>
        <w:rPr>
          <w:rFonts w:hint="eastAsia" w:hAnsi="宋体"/>
          <w:sz w:val="24"/>
          <w:szCs w:val="24"/>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28"/>
        <w:snapToGrid w:val="0"/>
        <w:spacing w:line="400" w:lineRule="exact"/>
        <w:ind w:firstLine="480" w:firstLineChars="200"/>
        <w:rPr>
          <w:rFonts w:hAnsi="宋体" w:cs="宋体"/>
          <w:sz w:val="24"/>
          <w:szCs w:val="24"/>
        </w:rPr>
      </w:pPr>
      <w:r>
        <w:rPr>
          <w:rFonts w:hint="eastAsia" w:hAnsi="宋体"/>
          <w:sz w:val="24"/>
          <w:szCs w:val="24"/>
        </w:rPr>
        <w:t>15.6合同生效后，发现乙方投标属虚假承诺，或经权威部门监测提供的服务不能满足招标文件要求，造</w:t>
      </w:r>
      <w:r>
        <w:rPr>
          <w:rFonts w:hint="eastAsia" w:hAnsi="宋体" w:cs="宋体"/>
          <w:sz w:val="24"/>
          <w:szCs w:val="24"/>
        </w:rPr>
        <w:t>成合同无法继续履行的，乙方应向甲方支付不少于合同总价</w:t>
      </w:r>
      <w:r>
        <w:rPr>
          <w:rFonts w:hint="eastAsia" w:hAnsi="宋体" w:cs="宋体"/>
          <w:sz w:val="24"/>
          <w:szCs w:val="24"/>
          <w:u w:val="single"/>
        </w:rPr>
        <w:t xml:space="preserve">   </w:t>
      </w:r>
      <w:r>
        <w:rPr>
          <w:rFonts w:hint="eastAsia" w:hAnsi="宋体" w:cs="宋体"/>
          <w:sz w:val="24"/>
          <w:szCs w:val="24"/>
        </w:rPr>
        <w:t>%赔偿金。</w:t>
      </w:r>
    </w:p>
    <w:p>
      <w:pPr>
        <w:pStyle w:val="28"/>
        <w:snapToGrid w:val="0"/>
        <w:spacing w:before="120" w:after="120" w:line="400" w:lineRule="exact"/>
        <w:ind w:firstLine="482" w:firstLineChars="200"/>
        <w:rPr>
          <w:rFonts w:hAnsi="宋体"/>
          <w:b/>
          <w:bCs/>
          <w:sz w:val="24"/>
          <w:szCs w:val="24"/>
        </w:rPr>
      </w:pPr>
      <w:r>
        <w:rPr>
          <w:rFonts w:hint="eastAsia" w:hAnsi="宋体"/>
          <w:b/>
          <w:bCs/>
          <w:sz w:val="24"/>
          <w:szCs w:val="24"/>
        </w:rPr>
        <w:t>16、不可抗力事件处理</w:t>
      </w:r>
    </w:p>
    <w:p>
      <w:pPr>
        <w:pStyle w:val="28"/>
        <w:snapToGrid w:val="0"/>
        <w:spacing w:line="400" w:lineRule="exact"/>
        <w:ind w:firstLine="480" w:firstLineChars="200"/>
        <w:rPr>
          <w:rFonts w:hAnsi="宋体"/>
          <w:sz w:val="24"/>
          <w:szCs w:val="24"/>
        </w:rPr>
      </w:pPr>
      <w:r>
        <w:rPr>
          <w:rFonts w:hint="eastAsia" w:hAnsi="宋体"/>
          <w:sz w:val="24"/>
          <w:szCs w:val="24"/>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28"/>
        <w:snapToGrid w:val="0"/>
        <w:spacing w:line="400" w:lineRule="exact"/>
        <w:ind w:firstLine="480" w:firstLineChars="200"/>
        <w:rPr>
          <w:rFonts w:hAnsi="宋体"/>
          <w:sz w:val="24"/>
          <w:szCs w:val="24"/>
        </w:rPr>
      </w:pPr>
      <w:r>
        <w:rPr>
          <w:rFonts w:hint="eastAsia" w:hAnsi="宋体"/>
          <w:sz w:val="24"/>
          <w:szCs w:val="24"/>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17、争议解决</w:t>
      </w:r>
    </w:p>
    <w:p>
      <w:pPr>
        <w:pStyle w:val="28"/>
        <w:snapToGrid w:val="0"/>
        <w:spacing w:line="400" w:lineRule="exact"/>
        <w:ind w:firstLine="480" w:firstLineChars="200"/>
        <w:rPr>
          <w:rFonts w:hAnsi="宋体"/>
          <w:sz w:val="24"/>
          <w:szCs w:val="24"/>
        </w:rPr>
      </w:pPr>
      <w:r>
        <w:rPr>
          <w:rFonts w:hint="eastAsia" w:hAnsi="宋体"/>
          <w:sz w:val="24"/>
          <w:szCs w:val="24"/>
        </w:rPr>
        <w:t>17.1 因服务的品质质量问题发生争议的，可在国家认可的质量检测机构对服务内容质量进行鉴定。服务符合标准的，鉴定费由甲方承担；服务项目不符合质量标准的，鉴定费由乙方承担。</w:t>
      </w:r>
    </w:p>
    <w:p>
      <w:pPr>
        <w:pStyle w:val="28"/>
        <w:snapToGrid w:val="0"/>
        <w:spacing w:line="400" w:lineRule="exact"/>
        <w:ind w:firstLine="480" w:firstLineChars="200"/>
        <w:rPr>
          <w:rFonts w:hAnsi="宋体"/>
          <w:sz w:val="24"/>
          <w:szCs w:val="24"/>
        </w:rPr>
      </w:pPr>
      <w:r>
        <w:rPr>
          <w:rFonts w:hint="eastAsia" w:hAnsi="宋体"/>
          <w:sz w:val="24"/>
          <w:szCs w:val="24"/>
        </w:rPr>
        <w:t>17.2 因履行本合同引起的或与本合同有关的争议，甲、乙双方应首先通过友好协商解决；如果协商不能解决争议，甲乙双方同意采取下列方式解决争议：</w:t>
      </w:r>
    </w:p>
    <w:p>
      <w:pPr>
        <w:pStyle w:val="28"/>
        <w:snapToGrid w:val="0"/>
        <w:spacing w:line="400" w:lineRule="exact"/>
        <w:ind w:firstLine="480" w:firstLineChars="200"/>
        <w:rPr>
          <w:rFonts w:hAnsi="宋体"/>
          <w:sz w:val="24"/>
          <w:szCs w:val="24"/>
        </w:rPr>
      </w:pPr>
      <w:r>
        <w:rPr>
          <w:rFonts w:hint="eastAsia" w:hAnsi="宋体"/>
          <w:sz w:val="24"/>
          <w:szCs w:val="24"/>
        </w:rPr>
        <w:t>向甲方所在地有管辖权的人民法院提起诉讼，适用中华人民共和国法律；</w:t>
      </w:r>
    </w:p>
    <w:p>
      <w:pPr>
        <w:pStyle w:val="28"/>
        <w:snapToGrid w:val="0"/>
        <w:spacing w:line="400" w:lineRule="exact"/>
        <w:ind w:firstLine="480" w:firstLineChars="200"/>
        <w:rPr>
          <w:rFonts w:hAnsi="宋体"/>
          <w:sz w:val="24"/>
          <w:szCs w:val="24"/>
        </w:rPr>
      </w:pPr>
      <w:r>
        <w:rPr>
          <w:rFonts w:hint="eastAsia" w:hAnsi="宋体"/>
          <w:sz w:val="24"/>
          <w:szCs w:val="24"/>
        </w:rPr>
        <w:t>17.3 若甲乙双方任何一方都没有选择解除合同的，为避免扩大损失，在诉讼或仲裁期间，双方应继续履行。</w:t>
      </w:r>
    </w:p>
    <w:p>
      <w:pPr>
        <w:pStyle w:val="28"/>
        <w:snapToGrid w:val="0"/>
        <w:spacing w:before="120" w:after="120" w:line="400" w:lineRule="exact"/>
        <w:ind w:left="315" w:leftChars="150" w:firstLine="120" w:firstLineChars="50"/>
        <w:rPr>
          <w:rFonts w:hAnsi="宋体"/>
          <w:b/>
          <w:bCs/>
          <w:sz w:val="24"/>
          <w:szCs w:val="24"/>
        </w:rPr>
      </w:pPr>
      <w:r>
        <w:rPr>
          <w:rFonts w:hint="eastAsia" w:hAnsi="宋体"/>
          <w:b/>
          <w:bCs/>
          <w:sz w:val="24"/>
          <w:szCs w:val="24"/>
        </w:rPr>
        <w:t>18、合同其它</w:t>
      </w:r>
    </w:p>
    <w:p>
      <w:pPr>
        <w:pStyle w:val="28"/>
        <w:snapToGrid w:val="0"/>
        <w:spacing w:line="400" w:lineRule="exact"/>
        <w:ind w:firstLine="480" w:firstLineChars="200"/>
        <w:rPr>
          <w:rFonts w:hAnsi="宋体"/>
          <w:sz w:val="24"/>
          <w:szCs w:val="24"/>
        </w:rPr>
      </w:pPr>
      <w:r>
        <w:rPr>
          <w:rFonts w:hint="eastAsia" w:hAnsi="宋体"/>
          <w:sz w:val="24"/>
          <w:szCs w:val="24"/>
        </w:rPr>
        <w:t>18.1 乙方应诚实信用，严格按照招标文件要求和投标承诺履行合同，不向甲方进行商业贿赂或者提供不正当利益。</w:t>
      </w:r>
    </w:p>
    <w:p>
      <w:pPr>
        <w:pStyle w:val="28"/>
        <w:snapToGrid w:val="0"/>
        <w:spacing w:line="400" w:lineRule="exact"/>
        <w:ind w:firstLine="480" w:firstLineChars="200"/>
        <w:rPr>
          <w:rFonts w:hAnsi="宋体"/>
          <w:sz w:val="24"/>
          <w:szCs w:val="24"/>
        </w:rPr>
      </w:pPr>
      <w:r>
        <w:rPr>
          <w:rFonts w:hint="eastAsia" w:hAnsi="宋体"/>
          <w:sz w:val="24"/>
          <w:szCs w:val="24"/>
        </w:rPr>
        <w:t>18.2 合同经双方法定代表人或授权代表签字并加盖单位公章后生效。</w:t>
      </w:r>
    </w:p>
    <w:p>
      <w:pPr>
        <w:pStyle w:val="28"/>
        <w:snapToGrid w:val="0"/>
        <w:spacing w:line="400" w:lineRule="exact"/>
        <w:ind w:firstLine="480" w:firstLineChars="200"/>
        <w:rPr>
          <w:rFonts w:hAnsi="宋体"/>
          <w:sz w:val="24"/>
          <w:szCs w:val="24"/>
        </w:rPr>
      </w:pPr>
      <w:r>
        <w:rPr>
          <w:rFonts w:hint="eastAsia" w:hAnsi="宋体"/>
          <w:sz w:val="24"/>
          <w:szCs w:val="24"/>
        </w:rPr>
        <w:t>18.2本合同未尽事宜，遵照《中华人民共和国民法典》有关条文执行。</w:t>
      </w:r>
    </w:p>
    <w:p>
      <w:pPr>
        <w:pStyle w:val="28"/>
        <w:snapToGrid w:val="0"/>
        <w:spacing w:line="400" w:lineRule="exact"/>
        <w:ind w:firstLine="480" w:firstLineChars="200"/>
        <w:rPr>
          <w:rFonts w:hAnsi="宋体"/>
          <w:sz w:val="24"/>
          <w:szCs w:val="24"/>
        </w:rPr>
      </w:pPr>
      <w:r>
        <w:rPr>
          <w:rFonts w:hint="eastAsia" w:hAnsi="宋体"/>
          <w:sz w:val="24"/>
          <w:szCs w:val="24"/>
        </w:rPr>
        <w:t>18.3本合同正本一式六份，具有同等法律效力，甲方执叁份、乙方执叁份。</w:t>
      </w:r>
    </w:p>
    <w:p>
      <w:pPr>
        <w:pStyle w:val="28"/>
        <w:snapToGrid w:val="0"/>
        <w:spacing w:line="400" w:lineRule="exact"/>
        <w:ind w:firstLine="480" w:firstLineChars="200"/>
        <w:rPr>
          <w:rFonts w:hAnsi="宋体"/>
          <w:sz w:val="24"/>
          <w:szCs w:val="24"/>
        </w:rPr>
      </w:pPr>
    </w:p>
    <w:p>
      <w:pPr>
        <w:pStyle w:val="28"/>
        <w:snapToGrid w:val="0"/>
        <w:spacing w:line="400" w:lineRule="exact"/>
        <w:ind w:firstLine="480" w:firstLineChars="200"/>
        <w:rPr>
          <w:rFonts w:hAnsi="宋体"/>
          <w:sz w:val="24"/>
          <w:szCs w:val="24"/>
        </w:rPr>
      </w:pPr>
    </w:p>
    <w:p>
      <w:pPr>
        <w:pStyle w:val="28"/>
        <w:snapToGrid w:val="0"/>
        <w:spacing w:line="400" w:lineRule="exact"/>
        <w:ind w:firstLine="480" w:firstLineChars="200"/>
        <w:rPr>
          <w:rFonts w:hAnsi="宋体"/>
          <w:sz w:val="24"/>
          <w:szCs w:val="24"/>
        </w:rPr>
      </w:pPr>
    </w:p>
    <w:tbl>
      <w:tblPr>
        <w:tblStyle w:val="54"/>
        <w:tblpPr w:leftFromText="180" w:rightFromText="180" w:vertAnchor="text" w:horzAnchor="page" w:tblpX="2018" w:tblpY="466"/>
        <w:tblOverlap w:val="never"/>
        <w:tblW w:w="0" w:type="auto"/>
        <w:tblInd w:w="0"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Pr>
          <w:p>
            <w:pPr>
              <w:pStyle w:val="28"/>
              <w:snapToGrid w:val="0"/>
              <w:spacing w:before="120" w:after="120" w:line="360" w:lineRule="auto"/>
              <w:rPr>
                <w:rFonts w:hAnsi="宋体"/>
                <w:sz w:val="24"/>
                <w:szCs w:val="24"/>
              </w:rPr>
            </w:pPr>
            <w:r>
              <w:rPr>
                <w:rFonts w:hint="eastAsia" w:hAnsi="宋体"/>
                <w:sz w:val="24"/>
                <w:szCs w:val="24"/>
              </w:rPr>
              <w:t>甲方：</w:t>
            </w:r>
          </w:p>
        </w:tc>
        <w:tc>
          <w:tcPr>
            <w:tcW w:w="4238" w:type="dxa"/>
          </w:tcPr>
          <w:p>
            <w:pPr>
              <w:pStyle w:val="28"/>
              <w:snapToGrid w:val="0"/>
              <w:spacing w:before="120" w:after="120" w:line="360" w:lineRule="auto"/>
              <w:rPr>
                <w:rFonts w:hAnsi="宋体"/>
                <w:sz w:val="24"/>
                <w:szCs w:val="24"/>
              </w:rPr>
            </w:pPr>
            <w:r>
              <w:rPr>
                <w:rFonts w:hint="eastAsia" w:hAnsi="宋体"/>
                <w:sz w:val="24"/>
                <w:szCs w:val="24"/>
              </w:rPr>
              <w:t xml:space="preserve">乙方： </w:t>
            </w:r>
          </w:p>
        </w:tc>
      </w:tr>
      <w:tr>
        <w:tblPrEx>
          <w:tblCellMar>
            <w:top w:w="0" w:type="dxa"/>
            <w:left w:w="108" w:type="dxa"/>
            <w:bottom w:w="0" w:type="dxa"/>
            <w:right w:w="108" w:type="dxa"/>
          </w:tblCellMar>
        </w:tblPrEx>
        <w:tc>
          <w:tcPr>
            <w:tcW w:w="4284" w:type="dxa"/>
          </w:tcPr>
          <w:p>
            <w:pPr>
              <w:pStyle w:val="28"/>
              <w:snapToGrid w:val="0"/>
              <w:spacing w:before="120" w:after="120" w:line="360" w:lineRule="auto"/>
              <w:rPr>
                <w:rFonts w:hAnsi="宋体"/>
                <w:sz w:val="24"/>
                <w:szCs w:val="24"/>
              </w:rPr>
            </w:pPr>
            <w:r>
              <w:rPr>
                <w:rFonts w:hint="eastAsia" w:hAnsi="宋体"/>
                <w:sz w:val="24"/>
                <w:szCs w:val="24"/>
              </w:rPr>
              <w:t>地址：</w:t>
            </w:r>
          </w:p>
        </w:tc>
        <w:tc>
          <w:tcPr>
            <w:tcW w:w="4238" w:type="dxa"/>
          </w:tcPr>
          <w:p>
            <w:pPr>
              <w:pStyle w:val="28"/>
              <w:snapToGrid w:val="0"/>
              <w:spacing w:before="120" w:after="120" w:line="360" w:lineRule="auto"/>
              <w:rPr>
                <w:rFonts w:hAnsi="宋体"/>
                <w:sz w:val="24"/>
                <w:szCs w:val="24"/>
              </w:rPr>
            </w:pPr>
            <w:r>
              <w:rPr>
                <w:rFonts w:hint="eastAsia" w:hAnsi="宋体"/>
                <w:sz w:val="24"/>
                <w:szCs w:val="24"/>
              </w:rPr>
              <w:t xml:space="preserve">地址： </w:t>
            </w:r>
          </w:p>
        </w:tc>
      </w:tr>
      <w:tr>
        <w:tblPrEx>
          <w:tblCellMar>
            <w:top w:w="0" w:type="dxa"/>
            <w:left w:w="108" w:type="dxa"/>
            <w:bottom w:w="0" w:type="dxa"/>
            <w:right w:w="108" w:type="dxa"/>
          </w:tblCellMar>
        </w:tblPrEx>
        <w:tc>
          <w:tcPr>
            <w:tcW w:w="4284" w:type="dxa"/>
          </w:tcPr>
          <w:p>
            <w:pPr>
              <w:pStyle w:val="28"/>
              <w:snapToGrid w:val="0"/>
              <w:spacing w:before="120" w:after="120" w:line="360" w:lineRule="auto"/>
              <w:rPr>
                <w:rFonts w:hAnsi="宋体"/>
                <w:sz w:val="24"/>
                <w:szCs w:val="24"/>
              </w:rPr>
            </w:pPr>
            <w:r>
              <w:rPr>
                <w:rFonts w:hint="eastAsia" w:hAnsi="宋体"/>
                <w:sz w:val="24"/>
                <w:szCs w:val="24"/>
              </w:rPr>
              <w:t>法定代表人或授权代表：</w:t>
            </w:r>
          </w:p>
        </w:tc>
        <w:tc>
          <w:tcPr>
            <w:tcW w:w="4238" w:type="dxa"/>
          </w:tcPr>
          <w:p>
            <w:pPr>
              <w:pStyle w:val="28"/>
              <w:snapToGrid w:val="0"/>
              <w:spacing w:before="120" w:after="120" w:line="360" w:lineRule="auto"/>
              <w:rPr>
                <w:rFonts w:hAnsi="宋体"/>
                <w:sz w:val="24"/>
                <w:szCs w:val="24"/>
              </w:rPr>
            </w:pPr>
            <w:r>
              <w:rPr>
                <w:rFonts w:hint="eastAsia" w:hAnsi="宋体"/>
                <w:sz w:val="24"/>
                <w:szCs w:val="24"/>
              </w:rPr>
              <w:t>法定代表人或授权代表：</w:t>
            </w:r>
          </w:p>
        </w:tc>
      </w:tr>
      <w:tr>
        <w:tc>
          <w:tcPr>
            <w:tcW w:w="4284" w:type="dxa"/>
          </w:tcPr>
          <w:p>
            <w:pPr>
              <w:pStyle w:val="28"/>
              <w:snapToGrid w:val="0"/>
              <w:spacing w:before="120" w:after="120" w:line="360" w:lineRule="auto"/>
              <w:rPr>
                <w:rFonts w:hAnsi="宋体"/>
                <w:sz w:val="24"/>
                <w:szCs w:val="24"/>
              </w:rPr>
            </w:pPr>
            <w:r>
              <w:rPr>
                <w:rFonts w:hint="eastAsia" w:hAnsi="宋体"/>
                <w:sz w:val="24"/>
                <w:szCs w:val="24"/>
              </w:rPr>
              <w:t>联系电话：</w:t>
            </w:r>
          </w:p>
        </w:tc>
        <w:tc>
          <w:tcPr>
            <w:tcW w:w="4238" w:type="dxa"/>
          </w:tcPr>
          <w:p>
            <w:pPr>
              <w:pStyle w:val="28"/>
              <w:snapToGrid w:val="0"/>
              <w:spacing w:before="120" w:after="120" w:line="360" w:lineRule="auto"/>
              <w:rPr>
                <w:rFonts w:hAnsi="宋体"/>
                <w:sz w:val="24"/>
                <w:szCs w:val="24"/>
              </w:rPr>
            </w:pPr>
            <w:r>
              <w:rPr>
                <w:rFonts w:hint="eastAsia" w:hAnsi="宋体"/>
                <w:sz w:val="24"/>
                <w:szCs w:val="24"/>
              </w:rPr>
              <w:t>联系电话：</w:t>
            </w:r>
          </w:p>
        </w:tc>
      </w:tr>
      <w:tr>
        <w:tblPrEx>
          <w:tblCellMar>
            <w:top w:w="0" w:type="dxa"/>
            <w:left w:w="108" w:type="dxa"/>
            <w:bottom w:w="0" w:type="dxa"/>
            <w:right w:w="108" w:type="dxa"/>
          </w:tblCellMar>
        </w:tblPrEx>
        <w:tc>
          <w:tcPr>
            <w:tcW w:w="4284" w:type="dxa"/>
          </w:tcPr>
          <w:p>
            <w:pPr>
              <w:pStyle w:val="28"/>
              <w:snapToGrid w:val="0"/>
              <w:spacing w:before="120" w:after="120" w:line="360" w:lineRule="auto"/>
              <w:rPr>
                <w:rFonts w:hAnsi="宋体"/>
                <w:sz w:val="24"/>
                <w:szCs w:val="24"/>
              </w:rPr>
            </w:pPr>
            <w:r>
              <w:rPr>
                <w:rFonts w:hint="eastAsia" w:hAnsi="宋体"/>
                <w:sz w:val="24"/>
                <w:szCs w:val="24"/>
              </w:rPr>
              <w:t xml:space="preserve">日期：      年    月    日  </w:t>
            </w:r>
          </w:p>
        </w:tc>
        <w:tc>
          <w:tcPr>
            <w:tcW w:w="4238" w:type="dxa"/>
          </w:tcPr>
          <w:p>
            <w:pPr>
              <w:pStyle w:val="28"/>
              <w:snapToGrid w:val="0"/>
              <w:spacing w:before="120" w:after="120" w:line="360" w:lineRule="auto"/>
              <w:rPr>
                <w:rFonts w:hAnsi="宋体"/>
                <w:sz w:val="24"/>
                <w:szCs w:val="24"/>
              </w:rPr>
            </w:pPr>
            <w:r>
              <w:rPr>
                <w:rFonts w:hint="eastAsia" w:hAnsi="宋体"/>
                <w:sz w:val="24"/>
                <w:szCs w:val="24"/>
              </w:rPr>
              <w:t>日期：      年    月    日</w:t>
            </w:r>
          </w:p>
        </w:tc>
      </w:tr>
    </w:tbl>
    <w:p>
      <w:pPr>
        <w:pStyle w:val="3"/>
        <w:rPr>
          <w:rFonts w:ascii="宋体" w:hAnsi="宋体"/>
          <w:color w:val="000000"/>
          <w:sz w:val="36"/>
        </w:rPr>
      </w:pPr>
    </w:p>
    <w:p>
      <w:pPr>
        <w:pStyle w:val="70"/>
        <w:ind w:firstLine="0"/>
        <w:rPr>
          <w:color w:val="000000"/>
          <w:sz w:val="36"/>
        </w:rPr>
      </w:pPr>
    </w:p>
    <w:p>
      <w:pPr>
        <w:pStyle w:val="70"/>
        <w:ind w:firstLine="0"/>
        <w:rPr>
          <w:color w:val="000000"/>
          <w:sz w:val="36"/>
        </w:rPr>
      </w:pPr>
    </w:p>
    <w:p>
      <w:pPr>
        <w:adjustRightInd w:val="0"/>
        <w:snapToGrid w:val="0"/>
        <w:spacing w:line="360" w:lineRule="auto"/>
        <w:rPr>
          <w:rFonts w:hint="eastAsia" w:ascii="宋体" w:hAnsi="宋体" w:eastAsia="宋体" w:cs="宋体"/>
          <w:b/>
          <w:color w:val="000000"/>
          <w:sz w:val="28"/>
          <w:szCs w:val="28"/>
        </w:rPr>
      </w:pPr>
      <w:r>
        <w:rPr>
          <w:rFonts w:hint="eastAsia" w:ascii="宋体" w:hAnsi="宋体" w:eastAsia="宋体" w:cs="宋体"/>
          <w:color w:val="000000"/>
          <w:sz w:val="28"/>
          <w:szCs w:val="28"/>
        </w:rPr>
        <w:t>附件一：</w:t>
      </w:r>
    </w:p>
    <w:p>
      <w:pPr>
        <w:spacing w:after="624" w:afterLines="200" w:line="360" w:lineRule="auto"/>
        <w:jc w:val="center"/>
        <w:rPr>
          <w:rFonts w:hint="eastAsia" w:ascii="宋体" w:hAnsi="宋体" w:eastAsia="宋体" w:cs="宋体"/>
          <w:sz w:val="28"/>
          <w:szCs w:val="28"/>
        </w:rPr>
      </w:pPr>
      <w:r>
        <w:rPr>
          <w:rFonts w:hint="eastAsia" w:ascii="宋体" w:hAnsi="宋体" w:eastAsia="宋体" w:cs="宋体"/>
          <w:b/>
          <w:sz w:val="28"/>
          <w:szCs w:val="28"/>
        </w:rPr>
        <w:t>合同（协议）廉政通用条款</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协议双方均不得向对方或对方经办部门或其他与协议有直接或间接利益关系的人员索要、收受、提供、给予协议约定外的任何利益，包括但不限于明扣、暗扣、现金、购物卡、实物、有价证券、旅游、招待或其他非物质性利益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2、协议双方均严格禁止经办部门员工的任何商业贿赂行为，严禁在对方报销费用以及向对方提出个人利益要求或参加任何可能对履约有影响的宴请或娱乐活动。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3、严禁私自与对方就商务或项目合作进行私下商谈或达成默契，透露有关招投标内控信息及企业商业秘密。或采用任何方式在商务或项目合作中为自己、家属和亲友谋利益。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4、任何一方违反廉洁从业条款给对方造成损失的，违约方应赔偿因此给守约方造成的全部损失。</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5、协议双方均应支持对方的廉洁诚信建设工作，如发现对方人员有违反上述约定的，应向对方纪检监察部门举报，被举报的一方不得以任何借口进行打击报复。</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市民卡公司廉政举报邮箱：smklianzheng@foxmail.com。</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协议方廉政举报邮箱：</w:t>
      </w:r>
    </w:p>
    <w:p>
      <w:pPr>
        <w:spacing w:line="360" w:lineRule="auto"/>
        <w:rPr>
          <w:rFonts w:ascii="宋体" w:hAnsi="宋体" w:cs="宋体"/>
          <w:color w:val="000000"/>
          <w:sz w:val="24"/>
          <w:szCs w:val="24"/>
        </w:rPr>
      </w:pPr>
    </w:p>
    <w:p>
      <w:pPr>
        <w:pStyle w:val="50"/>
        <w:numPr>
          <w:ilvl w:val="0"/>
          <w:numId w:val="17"/>
        </w:numPr>
        <w:spacing w:before="0" w:after="0" w:line="360" w:lineRule="auto"/>
        <w:rPr>
          <w:rFonts w:ascii="宋体" w:hAnsi="宋体" w:eastAsia="宋体" w:cs="Times New Roman"/>
          <w:snapToGrid w:val="0"/>
          <w:kern w:val="0"/>
          <w:sz w:val="44"/>
          <w:szCs w:val="20"/>
          <w:lang w:val="zh-CN"/>
        </w:rPr>
      </w:pPr>
      <w:bookmarkStart w:id="209" w:name="_Toc363573860"/>
      <w:r>
        <w:rPr>
          <w:rFonts w:hint="eastAsia" w:ascii="宋体" w:hAnsi="宋体" w:eastAsia="宋体" w:cs="宋体"/>
          <w:sz w:val="24"/>
        </w:rPr>
        <w:br w:type="page"/>
      </w:r>
      <w:bookmarkStart w:id="210" w:name="_Toc32657"/>
      <w:bookmarkStart w:id="211" w:name="_Toc523208573"/>
      <w:r>
        <w:rPr>
          <w:rFonts w:hint="eastAsia" w:ascii="宋体" w:hAnsi="宋体" w:eastAsia="宋体" w:cs="Times New Roman"/>
          <w:snapToGrid w:val="0"/>
          <w:kern w:val="0"/>
          <w:sz w:val="44"/>
          <w:szCs w:val="20"/>
          <w:lang w:val="zh-CN"/>
        </w:rPr>
        <w:t>投标文件组成</w:t>
      </w:r>
      <w:bookmarkEnd w:id="210"/>
      <w:bookmarkEnd w:id="211"/>
    </w:p>
    <w:p>
      <w:pPr>
        <w:pStyle w:val="50"/>
        <w:spacing w:before="0" w:after="0" w:line="360" w:lineRule="auto"/>
        <w:jc w:val="both"/>
        <w:rPr>
          <w:rFonts w:ascii="宋体" w:hAnsi="宋体" w:eastAsia="宋体" w:cs="Times New Roman"/>
          <w:snapToGrid w:val="0"/>
          <w:kern w:val="0"/>
          <w:sz w:val="44"/>
          <w:szCs w:val="20"/>
          <w:lang w:val="zh-CN"/>
        </w:rPr>
      </w:pPr>
    </w:p>
    <w:p>
      <w:pPr>
        <w:snapToGrid w:val="0"/>
        <w:spacing w:line="360" w:lineRule="auto"/>
        <w:ind w:firstLine="555"/>
        <w:jc w:val="left"/>
        <w:rPr>
          <w:rFonts w:ascii="宋体" w:hAnsi="宋体" w:cs="宋体"/>
          <w:b/>
          <w:sz w:val="24"/>
          <w:szCs w:val="24"/>
        </w:rPr>
      </w:pPr>
      <w:r>
        <w:rPr>
          <w:rFonts w:hint="eastAsia" w:ascii="宋体" w:hAnsi="宋体" w:cs="宋体"/>
          <w:b/>
          <w:sz w:val="24"/>
          <w:szCs w:val="24"/>
        </w:rPr>
        <w:t>响应文件由资格审查证明材料、价格响应文件、商务技术响应文件三部分组成。</w:t>
      </w:r>
    </w:p>
    <w:p>
      <w:pPr>
        <w:pStyle w:val="432"/>
        <w:snapToGrid w:val="0"/>
        <w:spacing w:before="0" w:beforeAutospacing="0" w:after="0" w:afterAutospacing="0" w:line="360" w:lineRule="auto"/>
        <w:ind w:left="549"/>
        <w:contextualSpacing/>
        <w:rPr>
          <w:b/>
          <w:color w:val="000000"/>
          <w:szCs w:val="24"/>
        </w:rPr>
      </w:pPr>
      <w:r>
        <w:rPr>
          <w:rFonts w:hint="eastAsia"/>
          <w:b/>
          <w:color w:val="000000"/>
          <w:szCs w:val="24"/>
        </w:rPr>
        <w:t>一、资格审查证明材料（一正两副；单独密封并牢固装订）：</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1、关于资格的声明函；</w:t>
      </w:r>
    </w:p>
    <w:p>
      <w:pPr>
        <w:pStyle w:val="294"/>
        <w:snapToGrid w:val="0"/>
        <w:spacing w:line="360" w:lineRule="auto"/>
        <w:ind w:firstLine="480" w:firstLineChars="200"/>
        <w:rPr>
          <w:rFonts w:ascii="宋体" w:eastAsia="宋体" w:cs="宋体"/>
          <w:color w:val="000000"/>
          <w:sz w:val="24"/>
          <w:szCs w:val="24"/>
        </w:rPr>
      </w:pPr>
      <w:r>
        <w:rPr>
          <w:rFonts w:hint="eastAsia" w:ascii="宋体" w:eastAsia="宋体" w:cs="宋体"/>
          <w:color w:val="000000"/>
          <w:sz w:val="24"/>
          <w:szCs w:val="24"/>
        </w:rPr>
        <w:t>2、法定代表人身份证明书（提供复印件并加盖公章）；</w:t>
      </w:r>
    </w:p>
    <w:p>
      <w:pPr>
        <w:tabs>
          <w:tab w:val="left" w:pos="3375"/>
        </w:tabs>
        <w:autoSpaceDE w:val="0"/>
        <w:autoSpaceDN w:val="0"/>
        <w:adjustRightInd w:val="0"/>
        <w:snapToGrid w:val="0"/>
        <w:spacing w:line="360" w:lineRule="auto"/>
        <w:ind w:left="1" w:firstLine="538"/>
        <w:rPr>
          <w:rFonts w:ascii="宋体" w:hAnsi="宋体" w:cs="宋体"/>
          <w:color w:val="000000"/>
          <w:sz w:val="24"/>
          <w:szCs w:val="24"/>
          <w:lang w:val="zh-CN"/>
        </w:rPr>
      </w:pPr>
      <w:r>
        <w:rPr>
          <w:rFonts w:hint="eastAsia" w:ascii="宋体" w:hAnsi="宋体" w:cs="宋体"/>
          <w:color w:val="000000"/>
          <w:sz w:val="24"/>
          <w:szCs w:val="24"/>
          <w:lang w:val="zh-CN"/>
        </w:rPr>
        <w:t>3、法定代表人授权委托书原件，投标代表本人身份证复印件；</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4、请按公开招标公告资格要求中的（5）至（8）提供相应的佐证材料（提供复印件并加盖公章）；</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5、其它在投标文件中需要提交的材料。</w:t>
      </w:r>
    </w:p>
    <w:p>
      <w:pPr>
        <w:pStyle w:val="294"/>
        <w:snapToGrid w:val="0"/>
        <w:spacing w:line="360" w:lineRule="auto"/>
        <w:ind w:firstLine="496"/>
        <w:rPr>
          <w:rFonts w:ascii="宋体" w:eastAsia="宋体" w:cs="宋体"/>
          <w:b/>
          <w:color w:val="000000"/>
          <w:sz w:val="24"/>
          <w:szCs w:val="24"/>
        </w:rPr>
      </w:pPr>
      <w:r>
        <w:rPr>
          <w:rFonts w:hint="eastAsia" w:ascii="宋体" w:eastAsia="宋体" w:cs="宋体"/>
          <w:b/>
          <w:color w:val="000000"/>
          <w:sz w:val="24"/>
          <w:szCs w:val="24"/>
        </w:rPr>
        <w:t>二、价格响应文件，一式二份（单独密封并牢固装订），不得出现在商务技术响应文件部分：</w:t>
      </w:r>
    </w:p>
    <w:p>
      <w:pPr>
        <w:pStyle w:val="294"/>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1、报价总表；</w:t>
      </w:r>
    </w:p>
    <w:p>
      <w:pPr>
        <w:pStyle w:val="294"/>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2、报价明细表。</w:t>
      </w:r>
    </w:p>
    <w:p>
      <w:pPr>
        <w:pStyle w:val="294"/>
        <w:snapToGrid w:val="0"/>
        <w:spacing w:line="360" w:lineRule="auto"/>
        <w:ind w:firstLine="496"/>
        <w:rPr>
          <w:rFonts w:ascii="宋体" w:eastAsia="宋体" w:cs="宋体"/>
          <w:color w:val="000000"/>
          <w:sz w:val="24"/>
          <w:szCs w:val="24"/>
        </w:rPr>
      </w:pPr>
      <w:r>
        <w:rPr>
          <w:rFonts w:hint="eastAsia" w:ascii="宋体" w:eastAsia="宋体" w:cs="宋体"/>
          <w:b/>
          <w:color w:val="000000"/>
          <w:sz w:val="24"/>
          <w:szCs w:val="24"/>
        </w:rPr>
        <w:t>三、商务技术响应文件（不能出现报价；一正两副，单独密封并牢固装订）：</w:t>
      </w:r>
    </w:p>
    <w:p>
      <w:pPr>
        <w:tabs>
          <w:tab w:val="left" w:pos="1260"/>
        </w:tabs>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1、供应商情况一览表；</w:t>
      </w:r>
    </w:p>
    <w:p>
      <w:pPr>
        <w:pStyle w:val="294"/>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2、响应方案、货物（服务）清单；</w:t>
      </w:r>
    </w:p>
    <w:p>
      <w:pPr>
        <w:pStyle w:val="294"/>
        <w:snapToGrid w:val="0"/>
        <w:spacing w:line="360" w:lineRule="auto"/>
        <w:ind w:firstLine="494"/>
        <w:rPr>
          <w:rFonts w:ascii="宋体" w:eastAsia="宋体" w:cs="宋体"/>
          <w:color w:val="000000"/>
          <w:sz w:val="24"/>
          <w:szCs w:val="24"/>
        </w:rPr>
      </w:pPr>
      <w:r>
        <w:rPr>
          <w:rFonts w:hint="eastAsia" w:ascii="宋体" w:eastAsia="宋体" w:cs="宋体"/>
          <w:color w:val="000000"/>
          <w:sz w:val="24"/>
          <w:szCs w:val="24"/>
        </w:rPr>
        <w:t>3、为方便评委评审，请供应商按评审办法中所涉及的事项顺序进行编制，可以补充相关材料；</w:t>
      </w:r>
    </w:p>
    <w:p>
      <w:pPr>
        <w:pStyle w:val="294"/>
        <w:snapToGrid w:val="0"/>
        <w:spacing w:line="360" w:lineRule="auto"/>
        <w:ind w:firstLine="494"/>
        <w:rPr>
          <w:rFonts w:ascii="宋体" w:eastAsia="宋体" w:cs="宋体"/>
          <w:sz w:val="24"/>
          <w:szCs w:val="24"/>
        </w:rPr>
      </w:pPr>
      <w:r>
        <w:rPr>
          <w:rFonts w:hint="eastAsia" w:ascii="宋体" w:eastAsia="宋体" w:cs="宋体"/>
          <w:color w:val="000000"/>
          <w:sz w:val="24"/>
          <w:szCs w:val="24"/>
        </w:rPr>
        <w:t>4、评审办法中未涉及的事项，供应商认为需要提交的其他资料。</w:t>
      </w:r>
      <w:bookmarkEnd w:id="1"/>
      <w:bookmarkEnd w:id="209"/>
    </w:p>
    <w:sectPr>
      <w:footerReference r:id="rId7" w:type="first"/>
      <w:headerReference r:id="rId3" w:type="default"/>
      <w:footerReference r:id="rId5" w:type="default"/>
      <w:headerReference r:id="rId4" w:type="even"/>
      <w:footerReference r:id="rId6" w:type="even"/>
      <w:pgSz w:w="11906" w:h="16838"/>
      <w:pgMar w:top="414" w:right="1469" w:bottom="312"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Garamond">
    <w:panose1 w:val="02020404030301010803"/>
    <w:charset w:val="00"/>
    <w:family w:val="roman"/>
    <w:pitch w:val="default"/>
    <w:sig w:usb0="00000287" w:usb1="00000000" w:usb2="00000000" w:usb3="00000000" w:csb0="0000009F" w:csb1="DFD70000"/>
  </w:font>
  <w:font w:name="Georgia">
    <w:panose1 w:val="02040502050405020303"/>
    <w:charset w:val="00"/>
    <w:family w:val="auto"/>
    <w:pitch w:val="default"/>
    <w:sig w:usb0="00000287" w:usb1="00000000" w:usb2="00000000" w:usb3="00000000" w:csb0="2000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rPr>
        <w:rStyle w:val="59"/>
      </w:rPr>
      <w:t>35</w:t>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rPr>
        <w:rStyle w:val="59"/>
      </w:rPr>
      <w:t>19</w: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9F887"/>
    <w:multiLevelType w:val="singleLevel"/>
    <w:tmpl w:val="B459F887"/>
    <w:lvl w:ilvl="0" w:tentative="0">
      <w:start w:val="1"/>
      <w:numFmt w:val="decimal"/>
      <w:suff w:val="nothing"/>
      <w:lvlText w:val="%1、"/>
      <w:lvlJc w:val="left"/>
    </w:lvl>
  </w:abstractNum>
  <w:abstractNum w:abstractNumId="1">
    <w:nsid w:val="B94FCBAA"/>
    <w:multiLevelType w:val="singleLevel"/>
    <w:tmpl w:val="B94FCBAA"/>
    <w:lvl w:ilvl="0" w:tentative="0">
      <w:start w:val="1"/>
      <w:numFmt w:val="decimal"/>
      <w:suff w:val="nothing"/>
      <w:lvlText w:val="（%1）"/>
      <w:lvlJc w:val="left"/>
    </w:lvl>
  </w:abstractNum>
  <w:abstractNum w:abstractNumId="2">
    <w:nsid w:val="DC998623"/>
    <w:multiLevelType w:val="singleLevel"/>
    <w:tmpl w:val="DC998623"/>
    <w:lvl w:ilvl="0" w:tentative="0">
      <w:start w:val="2"/>
      <w:numFmt w:val="decimal"/>
      <w:suff w:val="nothing"/>
      <w:lvlText w:val="%1、"/>
      <w:lvlJc w:val="left"/>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1A"/>
    <w:multiLevelType w:val="multilevel"/>
    <w:tmpl w:val="0000001A"/>
    <w:lvl w:ilvl="0" w:tentative="0">
      <w:start w:val="1"/>
      <w:numFmt w:val="japaneseCounting"/>
      <w:pStyle w:val="102"/>
      <w:lvlText w:val="（%1）"/>
      <w:lvlJc w:val="left"/>
      <w:pPr>
        <w:tabs>
          <w:tab w:val="left" w:pos="1837"/>
        </w:tabs>
        <w:ind w:left="1837" w:hanging="720"/>
      </w:pPr>
    </w:lvl>
    <w:lvl w:ilvl="1" w:tentative="0">
      <w:start w:val="1"/>
      <w:numFmt w:val="lowerLetter"/>
      <w:lvlText w:val="%2)"/>
      <w:lvlJc w:val="left"/>
      <w:pPr>
        <w:tabs>
          <w:tab w:val="left" w:pos="1957"/>
        </w:tabs>
        <w:ind w:left="1957" w:hanging="420"/>
      </w:pPr>
    </w:lvl>
    <w:lvl w:ilvl="2" w:tentative="0">
      <w:start w:val="1"/>
      <w:numFmt w:val="lowerRoman"/>
      <w:lvlText w:val="%3."/>
      <w:lvlJc w:val="right"/>
      <w:pPr>
        <w:tabs>
          <w:tab w:val="left" w:pos="2377"/>
        </w:tabs>
        <w:ind w:left="2377" w:hanging="420"/>
      </w:pPr>
    </w:lvl>
    <w:lvl w:ilvl="3" w:tentative="0">
      <w:start w:val="1"/>
      <w:numFmt w:val="decimal"/>
      <w:lvlText w:val="%4."/>
      <w:lvlJc w:val="left"/>
      <w:pPr>
        <w:tabs>
          <w:tab w:val="left" w:pos="2797"/>
        </w:tabs>
        <w:ind w:left="2797" w:hanging="420"/>
      </w:pPr>
    </w:lvl>
    <w:lvl w:ilvl="4" w:tentative="0">
      <w:start w:val="1"/>
      <w:numFmt w:val="lowerLetter"/>
      <w:lvlText w:val="%5)"/>
      <w:lvlJc w:val="left"/>
      <w:pPr>
        <w:tabs>
          <w:tab w:val="left" w:pos="3217"/>
        </w:tabs>
        <w:ind w:left="3217" w:hanging="420"/>
      </w:pPr>
    </w:lvl>
    <w:lvl w:ilvl="5" w:tentative="0">
      <w:start w:val="1"/>
      <w:numFmt w:val="lowerRoman"/>
      <w:lvlText w:val="%6."/>
      <w:lvlJc w:val="right"/>
      <w:pPr>
        <w:tabs>
          <w:tab w:val="left" w:pos="3637"/>
        </w:tabs>
        <w:ind w:left="3637" w:hanging="420"/>
      </w:pPr>
    </w:lvl>
    <w:lvl w:ilvl="6" w:tentative="0">
      <w:start w:val="1"/>
      <w:numFmt w:val="decimal"/>
      <w:lvlText w:val="%7."/>
      <w:lvlJc w:val="left"/>
      <w:pPr>
        <w:tabs>
          <w:tab w:val="left" w:pos="4057"/>
        </w:tabs>
        <w:ind w:left="4057" w:hanging="420"/>
      </w:pPr>
    </w:lvl>
    <w:lvl w:ilvl="7" w:tentative="0">
      <w:start w:val="1"/>
      <w:numFmt w:val="lowerLetter"/>
      <w:lvlText w:val="%8)"/>
      <w:lvlJc w:val="left"/>
      <w:pPr>
        <w:tabs>
          <w:tab w:val="left" w:pos="4477"/>
        </w:tabs>
        <w:ind w:left="4477" w:hanging="420"/>
      </w:pPr>
    </w:lvl>
    <w:lvl w:ilvl="8" w:tentative="0">
      <w:start w:val="1"/>
      <w:numFmt w:val="lowerRoman"/>
      <w:lvlText w:val="%9."/>
      <w:lvlJc w:val="right"/>
      <w:pPr>
        <w:tabs>
          <w:tab w:val="left" w:pos="4897"/>
        </w:tabs>
        <w:ind w:left="4897" w:hanging="420"/>
      </w:pPr>
    </w:lvl>
  </w:abstractNum>
  <w:abstractNum w:abstractNumId="5">
    <w:nsid w:val="03C93B35"/>
    <w:multiLevelType w:val="singleLevel"/>
    <w:tmpl w:val="03C93B35"/>
    <w:lvl w:ilvl="0" w:tentative="0">
      <w:start w:val="6"/>
      <w:numFmt w:val="chineseCounting"/>
      <w:suff w:val="space"/>
      <w:lvlText w:val="第%1章"/>
      <w:lvlJc w:val="left"/>
      <w:rPr>
        <w:rFonts w:hint="eastAsia"/>
      </w:rPr>
    </w:lvl>
  </w:abstractNum>
  <w:abstractNum w:abstractNumId="6">
    <w:nsid w:val="0A7423B3"/>
    <w:multiLevelType w:val="multilevel"/>
    <w:tmpl w:val="0A7423B3"/>
    <w:lvl w:ilvl="0" w:tentative="0">
      <w:start w:val="5"/>
      <w:numFmt w:val="japaneseCounting"/>
      <w:pStyle w:val="197"/>
      <w:lvlText w:val="第%1章"/>
      <w:lvlJc w:val="left"/>
      <w:pPr>
        <w:ind w:left="3572" w:hanging="1080"/>
      </w:pPr>
      <w:rPr>
        <w:rFonts w:hint="default"/>
      </w:rPr>
    </w:lvl>
    <w:lvl w:ilvl="1" w:tentative="0">
      <w:start w:val="1"/>
      <w:numFmt w:val="lowerLetter"/>
      <w:lvlText w:val="%2)"/>
      <w:lvlJc w:val="left"/>
      <w:pPr>
        <w:ind w:left="3332" w:hanging="420"/>
      </w:pPr>
    </w:lvl>
    <w:lvl w:ilvl="2" w:tentative="0">
      <w:start w:val="1"/>
      <w:numFmt w:val="lowerRoman"/>
      <w:lvlText w:val="%3."/>
      <w:lvlJc w:val="right"/>
      <w:pPr>
        <w:ind w:left="3752" w:hanging="420"/>
      </w:pPr>
    </w:lvl>
    <w:lvl w:ilvl="3" w:tentative="0">
      <w:start w:val="1"/>
      <w:numFmt w:val="decimal"/>
      <w:lvlText w:val="%4."/>
      <w:lvlJc w:val="left"/>
      <w:pPr>
        <w:ind w:left="4172" w:hanging="420"/>
      </w:pPr>
    </w:lvl>
    <w:lvl w:ilvl="4" w:tentative="0">
      <w:start w:val="1"/>
      <w:numFmt w:val="lowerLetter"/>
      <w:lvlText w:val="%5)"/>
      <w:lvlJc w:val="left"/>
      <w:pPr>
        <w:ind w:left="4592" w:hanging="420"/>
      </w:pPr>
    </w:lvl>
    <w:lvl w:ilvl="5" w:tentative="0">
      <w:start w:val="1"/>
      <w:numFmt w:val="lowerRoman"/>
      <w:lvlText w:val="%6."/>
      <w:lvlJc w:val="right"/>
      <w:pPr>
        <w:ind w:left="5012" w:hanging="420"/>
      </w:pPr>
    </w:lvl>
    <w:lvl w:ilvl="6" w:tentative="0">
      <w:start w:val="1"/>
      <w:numFmt w:val="decimal"/>
      <w:lvlText w:val="%7."/>
      <w:lvlJc w:val="left"/>
      <w:pPr>
        <w:ind w:left="5432" w:hanging="420"/>
      </w:pPr>
    </w:lvl>
    <w:lvl w:ilvl="7" w:tentative="0">
      <w:start w:val="1"/>
      <w:numFmt w:val="lowerLetter"/>
      <w:lvlText w:val="%8)"/>
      <w:lvlJc w:val="left"/>
      <w:pPr>
        <w:ind w:left="5852" w:hanging="420"/>
      </w:pPr>
    </w:lvl>
    <w:lvl w:ilvl="8" w:tentative="0">
      <w:start w:val="1"/>
      <w:numFmt w:val="lowerRoman"/>
      <w:lvlText w:val="%9."/>
      <w:lvlJc w:val="right"/>
      <w:pPr>
        <w:ind w:left="6272" w:hanging="420"/>
      </w:pPr>
    </w:lvl>
  </w:abstractNum>
  <w:abstractNum w:abstractNumId="7">
    <w:nsid w:val="16B546ED"/>
    <w:multiLevelType w:val="multilevel"/>
    <w:tmpl w:val="16B546ED"/>
    <w:lvl w:ilvl="0" w:tentative="0">
      <w:start w:val="1"/>
      <w:numFmt w:val="decimal"/>
      <w:pStyle w:val="401"/>
      <w:lvlText w:val="%1"/>
      <w:lvlJc w:val="left"/>
      <w:pPr>
        <w:tabs>
          <w:tab w:val="left" w:pos="425"/>
        </w:tabs>
        <w:ind w:left="425" w:hanging="425"/>
      </w:pPr>
    </w:lvl>
    <w:lvl w:ilvl="1" w:tentative="0">
      <w:start w:val="1"/>
      <w:numFmt w:val="decimal"/>
      <w:pStyle w:val="263"/>
      <w:lvlText w:val="%1.%2"/>
      <w:lvlJc w:val="left"/>
      <w:pPr>
        <w:tabs>
          <w:tab w:val="left" w:pos="992"/>
        </w:tabs>
        <w:ind w:left="992" w:hanging="567"/>
      </w:pPr>
    </w:lvl>
    <w:lvl w:ilvl="2" w:tentative="0">
      <w:start w:val="1"/>
      <w:numFmt w:val="decimal"/>
      <w:pStyle w:val="262"/>
      <w:lvlText w:val="%1.%2.%3"/>
      <w:lvlJc w:val="left"/>
      <w:pPr>
        <w:tabs>
          <w:tab w:val="left" w:pos="1418"/>
        </w:tabs>
        <w:ind w:left="1418" w:hanging="567"/>
      </w:pPr>
    </w:lvl>
    <w:lvl w:ilvl="3" w:tentative="0">
      <w:start w:val="1"/>
      <w:numFmt w:val="decimal"/>
      <w:pStyle w:val="275"/>
      <w:lvlText w:val="%1.%2.%3.%4"/>
      <w:lvlJc w:val="left"/>
      <w:pPr>
        <w:tabs>
          <w:tab w:val="left" w:pos="1984"/>
        </w:tabs>
        <w:ind w:left="1984" w:hanging="708"/>
      </w:pPr>
    </w:lvl>
    <w:lvl w:ilvl="4" w:tentative="0">
      <w:start w:val="1"/>
      <w:numFmt w:val="decimal"/>
      <w:pStyle w:val="350"/>
      <w:lvlText w:val="%1.%2.%3.%4.%5"/>
      <w:lvlJc w:val="left"/>
      <w:pPr>
        <w:tabs>
          <w:tab w:val="left" w:pos="2551"/>
        </w:tabs>
        <w:ind w:left="2551" w:hanging="850"/>
      </w:pPr>
    </w:lvl>
    <w:lvl w:ilvl="5" w:tentative="0">
      <w:start w:val="1"/>
      <w:numFmt w:val="decimal"/>
      <w:pStyle w:val="349"/>
      <w:lvlText w:val="%1.%2.%3.%4.%5.%6"/>
      <w:lvlJc w:val="left"/>
      <w:pPr>
        <w:tabs>
          <w:tab w:val="left" w:pos="3260"/>
        </w:tabs>
        <w:ind w:left="3260" w:hanging="1134"/>
      </w:pPr>
    </w:lvl>
    <w:lvl w:ilvl="6" w:tentative="0">
      <w:start w:val="1"/>
      <w:numFmt w:val="decimal"/>
      <w:pStyle w:val="348"/>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2614472B"/>
    <w:multiLevelType w:val="singleLevel"/>
    <w:tmpl w:val="2614472B"/>
    <w:lvl w:ilvl="0" w:tentative="0">
      <w:start w:val="1"/>
      <w:numFmt w:val="decimal"/>
      <w:suff w:val="nothing"/>
      <w:lvlText w:val="（%1）"/>
      <w:lvlJc w:val="left"/>
    </w:lvl>
  </w:abstractNum>
  <w:abstractNum w:abstractNumId="9">
    <w:nsid w:val="2E06F751"/>
    <w:multiLevelType w:val="singleLevel"/>
    <w:tmpl w:val="2E06F751"/>
    <w:lvl w:ilvl="0" w:tentative="0">
      <w:start w:val="1"/>
      <w:numFmt w:val="decimal"/>
      <w:suff w:val="nothing"/>
      <w:lvlText w:val="（%1）"/>
      <w:lvlJc w:val="left"/>
    </w:lvl>
  </w:abstractNum>
  <w:abstractNum w:abstractNumId="10">
    <w:nsid w:val="32D1E698"/>
    <w:multiLevelType w:val="singleLevel"/>
    <w:tmpl w:val="32D1E698"/>
    <w:lvl w:ilvl="0" w:tentative="0">
      <w:start w:val="6"/>
      <w:numFmt w:val="decimal"/>
      <w:suff w:val="nothing"/>
      <w:lvlText w:val="%1、"/>
      <w:lvlJc w:val="left"/>
    </w:lvl>
  </w:abstractNum>
  <w:abstractNum w:abstractNumId="11">
    <w:nsid w:val="33EB25B6"/>
    <w:multiLevelType w:val="singleLevel"/>
    <w:tmpl w:val="33EB25B6"/>
    <w:lvl w:ilvl="0" w:tentative="0">
      <w:start w:val="2"/>
      <w:numFmt w:val="chineseCounting"/>
      <w:suff w:val="nothing"/>
      <w:lvlText w:val="%1、"/>
      <w:lvlJc w:val="left"/>
      <w:rPr>
        <w:rFonts w:hint="eastAsia"/>
      </w:rPr>
    </w:lvl>
  </w:abstractNum>
  <w:abstractNum w:abstractNumId="12">
    <w:nsid w:val="3BE329CE"/>
    <w:multiLevelType w:val="multilevel"/>
    <w:tmpl w:val="3BE329CE"/>
    <w:lvl w:ilvl="0" w:tentative="0">
      <w:start w:val="1"/>
      <w:numFmt w:val="decimal"/>
      <w:suff w:val="space"/>
      <w:lvlText w:val="%1."/>
      <w:lvlJc w:val="left"/>
      <w:pPr>
        <w:ind w:left="425" w:hanging="425"/>
      </w:pPr>
      <w:rPr>
        <w:rFonts w:hint="eastAsia"/>
      </w:rPr>
    </w:lvl>
    <w:lvl w:ilvl="1" w:tentative="0">
      <w:start w:val="1"/>
      <w:numFmt w:val="decimal"/>
      <w:pStyle w:val="456"/>
      <w:suff w:val="space"/>
      <w:lvlText w:val="%1.%2"/>
      <w:lvlJc w:val="left"/>
      <w:pPr>
        <w:ind w:left="0" w:firstLine="0"/>
      </w:pPr>
      <w:rPr>
        <w:rFonts w:hint="eastAsia"/>
      </w:rPr>
    </w:lvl>
    <w:lvl w:ilvl="2" w:tentative="0">
      <w:start w:val="1"/>
      <w:numFmt w:val="decimal"/>
      <w:suff w:val="space"/>
      <w:lvlText w:val="%1.%2.%3"/>
      <w:lvlJc w:val="left"/>
      <w:pPr>
        <w:ind w:left="0" w:firstLine="425"/>
      </w:pPr>
      <w:rPr>
        <w:rFonts w:hint="eastAsia"/>
      </w:rPr>
    </w:lvl>
    <w:lvl w:ilvl="3" w:tentative="0">
      <w:start w:val="1"/>
      <w:numFmt w:val="decimal"/>
      <w:pStyle w:val="455"/>
      <w:suff w:val="space"/>
      <w:lvlText w:val="%1.%2.%3.%4"/>
      <w:lvlJc w:val="left"/>
      <w:pPr>
        <w:ind w:left="1984" w:hanging="1559"/>
      </w:pPr>
      <w:rPr>
        <w:rFonts w:hint="eastAsia"/>
        <w:sz w:val="28"/>
        <w:szCs w:val="28"/>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5F8F2949"/>
    <w:multiLevelType w:val="multilevel"/>
    <w:tmpl w:val="5F8F2949"/>
    <w:lvl w:ilvl="0" w:tentative="0">
      <w:start w:val="1"/>
      <w:numFmt w:val="bullet"/>
      <w:pStyle w:val="355"/>
      <w:lvlText w:val=""/>
      <w:lvlJc w:val="left"/>
      <w:pPr>
        <w:tabs>
          <w:tab w:val="left" w:pos="1320"/>
        </w:tabs>
        <w:ind w:left="1320" w:hanging="420"/>
      </w:pPr>
      <w:rPr>
        <w:rFonts w:hint="default" w:ascii="Wingdings" w:hAnsi="Wingdings"/>
      </w:rPr>
    </w:lvl>
    <w:lvl w:ilvl="1" w:tentative="0">
      <w:start w:val="0"/>
      <w:numFmt w:val="bullet"/>
      <w:lvlText w:val="◆"/>
      <w:lvlJc w:val="left"/>
      <w:pPr>
        <w:tabs>
          <w:tab w:val="left" w:pos="780"/>
        </w:tabs>
        <w:ind w:left="780" w:hanging="360"/>
      </w:pPr>
      <w:rPr>
        <w:rFonts w:hint="eastAsia" w:ascii="宋体" w:hAnsi="宋体" w:eastAsia="宋体"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6070ED2"/>
    <w:multiLevelType w:val="singleLevel"/>
    <w:tmpl w:val="66070ED2"/>
    <w:lvl w:ilvl="0" w:tentative="0">
      <w:start w:val="4"/>
      <w:numFmt w:val="decimal"/>
      <w:suff w:val="nothing"/>
      <w:lvlText w:val="%1、"/>
      <w:lvlJc w:val="left"/>
    </w:lvl>
  </w:abstractNum>
  <w:abstractNum w:abstractNumId="16">
    <w:nsid w:val="78E787C8"/>
    <w:multiLevelType w:val="singleLevel"/>
    <w:tmpl w:val="78E787C8"/>
    <w:lvl w:ilvl="0" w:tentative="0">
      <w:start w:val="1"/>
      <w:numFmt w:val="decimal"/>
      <w:suff w:val="nothing"/>
      <w:lvlText w:val="（%1）"/>
      <w:lvlJc w:val="left"/>
    </w:lvl>
  </w:abstractNum>
  <w:num w:numId="1">
    <w:abstractNumId w:val="13"/>
  </w:num>
  <w:num w:numId="2">
    <w:abstractNumId w:val="4"/>
  </w:num>
  <w:num w:numId="3">
    <w:abstractNumId w:val="6"/>
  </w:num>
  <w:num w:numId="4">
    <w:abstractNumId w:val="7"/>
  </w:num>
  <w:num w:numId="5">
    <w:abstractNumId w:val="14"/>
  </w:num>
  <w:num w:numId="6">
    <w:abstractNumId w:val="12"/>
  </w:num>
  <w:num w:numId="7">
    <w:abstractNumId w:val="11"/>
  </w:num>
  <w:num w:numId="8">
    <w:abstractNumId w:val="0"/>
  </w:num>
  <w:num w:numId="9">
    <w:abstractNumId w:val="1"/>
  </w:num>
  <w:num w:numId="10">
    <w:abstractNumId w:val="9"/>
  </w:num>
  <w:num w:numId="11">
    <w:abstractNumId w:val="16"/>
  </w:num>
  <w:num w:numId="12">
    <w:abstractNumId w:val="8"/>
  </w:num>
  <w:num w:numId="13">
    <w:abstractNumId w:val="3"/>
  </w:num>
  <w:num w:numId="14">
    <w:abstractNumId w:val="2"/>
  </w:num>
  <w:num w:numId="15">
    <w:abstractNumId w:val="15"/>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20"/>
    <w:rsid w:val="000067DE"/>
    <w:rsid w:val="00014739"/>
    <w:rsid w:val="000357D0"/>
    <w:rsid w:val="00044D0E"/>
    <w:rsid w:val="000547A0"/>
    <w:rsid w:val="00063F38"/>
    <w:rsid w:val="000705B2"/>
    <w:rsid w:val="00074BD7"/>
    <w:rsid w:val="000815B2"/>
    <w:rsid w:val="000862AE"/>
    <w:rsid w:val="0008798B"/>
    <w:rsid w:val="00093138"/>
    <w:rsid w:val="000B5EBE"/>
    <w:rsid w:val="000C2A45"/>
    <w:rsid w:val="000C3954"/>
    <w:rsid w:val="000C4FEF"/>
    <w:rsid w:val="000D5274"/>
    <w:rsid w:val="000E2D27"/>
    <w:rsid w:val="000E2D5E"/>
    <w:rsid w:val="000E6D8D"/>
    <w:rsid w:val="000E6EB6"/>
    <w:rsid w:val="00111CD1"/>
    <w:rsid w:val="00181262"/>
    <w:rsid w:val="00185B6E"/>
    <w:rsid w:val="001A7213"/>
    <w:rsid w:val="001B0771"/>
    <w:rsid w:val="001B29F1"/>
    <w:rsid w:val="001B2D12"/>
    <w:rsid w:val="001B7878"/>
    <w:rsid w:val="001C515E"/>
    <w:rsid w:val="001C63A9"/>
    <w:rsid w:val="001D4FF8"/>
    <w:rsid w:val="00214EA1"/>
    <w:rsid w:val="00215B43"/>
    <w:rsid w:val="00226306"/>
    <w:rsid w:val="0023055B"/>
    <w:rsid w:val="00242160"/>
    <w:rsid w:val="002441EC"/>
    <w:rsid w:val="00251B89"/>
    <w:rsid w:val="00255367"/>
    <w:rsid w:val="00263EE3"/>
    <w:rsid w:val="0028037F"/>
    <w:rsid w:val="00286E20"/>
    <w:rsid w:val="00290AE0"/>
    <w:rsid w:val="00295607"/>
    <w:rsid w:val="00297778"/>
    <w:rsid w:val="002C0176"/>
    <w:rsid w:val="002C6831"/>
    <w:rsid w:val="002D04B6"/>
    <w:rsid w:val="002F7C16"/>
    <w:rsid w:val="00302C1A"/>
    <w:rsid w:val="00310EA0"/>
    <w:rsid w:val="00322A5A"/>
    <w:rsid w:val="00330BD4"/>
    <w:rsid w:val="00332E70"/>
    <w:rsid w:val="003477E6"/>
    <w:rsid w:val="00356166"/>
    <w:rsid w:val="0036547F"/>
    <w:rsid w:val="003824CD"/>
    <w:rsid w:val="00392C0F"/>
    <w:rsid w:val="003A2A91"/>
    <w:rsid w:val="003B2C2A"/>
    <w:rsid w:val="003B3C12"/>
    <w:rsid w:val="003C0D6B"/>
    <w:rsid w:val="003C32E3"/>
    <w:rsid w:val="003D0500"/>
    <w:rsid w:val="003D1004"/>
    <w:rsid w:val="003D7BE3"/>
    <w:rsid w:val="003E1994"/>
    <w:rsid w:val="003E3764"/>
    <w:rsid w:val="004016CC"/>
    <w:rsid w:val="004173D2"/>
    <w:rsid w:val="004261A6"/>
    <w:rsid w:val="0043273D"/>
    <w:rsid w:val="00463FF7"/>
    <w:rsid w:val="00466B20"/>
    <w:rsid w:val="0047165E"/>
    <w:rsid w:val="00483C10"/>
    <w:rsid w:val="00485013"/>
    <w:rsid w:val="00492370"/>
    <w:rsid w:val="004E4132"/>
    <w:rsid w:val="004F1AB9"/>
    <w:rsid w:val="00515017"/>
    <w:rsid w:val="00521B85"/>
    <w:rsid w:val="0052672D"/>
    <w:rsid w:val="0054501B"/>
    <w:rsid w:val="005523AE"/>
    <w:rsid w:val="00552619"/>
    <w:rsid w:val="0055429A"/>
    <w:rsid w:val="00556B33"/>
    <w:rsid w:val="00562B66"/>
    <w:rsid w:val="00575942"/>
    <w:rsid w:val="00575AB7"/>
    <w:rsid w:val="005820BB"/>
    <w:rsid w:val="00584D69"/>
    <w:rsid w:val="0059695E"/>
    <w:rsid w:val="005A21CC"/>
    <w:rsid w:val="005A6DB6"/>
    <w:rsid w:val="005B652B"/>
    <w:rsid w:val="005D2FAA"/>
    <w:rsid w:val="005D5271"/>
    <w:rsid w:val="005F28B8"/>
    <w:rsid w:val="00607212"/>
    <w:rsid w:val="0061119A"/>
    <w:rsid w:val="00613539"/>
    <w:rsid w:val="00615248"/>
    <w:rsid w:val="006259B4"/>
    <w:rsid w:val="006419B3"/>
    <w:rsid w:val="00651073"/>
    <w:rsid w:val="00653179"/>
    <w:rsid w:val="006535A3"/>
    <w:rsid w:val="00676BA9"/>
    <w:rsid w:val="00683113"/>
    <w:rsid w:val="00692C55"/>
    <w:rsid w:val="00697589"/>
    <w:rsid w:val="006A2085"/>
    <w:rsid w:val="006A3EDC"/>
    <w:rsid w:val="006A65D4"/>
    <w:rsid w:val="006A6956"/>
    <w:rsid w:val="006B5D6E"/>
    <w:rsid w:val="006C3244"/>
    <w:rsid w:val="006F1306"/>
    <w:rsid w:val="00717EC7"/>
    <w:rsid w:val="007272F5"/>
    <w:rsid w:val="00735076"/>
    <w:rsid w:val="007553DF"/>
    <w:rsid w:val="007573B7"/>
    <w:rsid w:val="00772BBD"/>
    <w:rsid w:val="0077309C"/>
    <w:rsid w:val="0078142C"/>
    <w:rsid w:val="00797C50"/>
    <w:rsid w:val="007D77DA"/>
    <w:rsid w:val="007F03DD"/>
    <w:rsid w:val="00807668"/>
    <w:rsid w:val="00810B0E"/>
    <w:rsid w:val="00811788"/>
    <w:rsid w:val="00813F64"/>
    <w:rsid w:val="0085497F"/>
    <w:rsid w:val="00855092"/>
    <w:rsid w:val="008557AD"/>
    <w:rsid w:val="00857789"/>
    <w:rsid w:val="00860D82"/>
    <w:rsid w:val="0089006B"/>
    <w:rsid w:val="008B18E0"/>
    <w:rsid w:val="008B54EA"/>
    <w:rsid w:val="008C7444"/>
    <w:rsid w:val="008E5D0F"/>
    <w:rsid w:val="008E70C7"/>
    <w:rsid w:val="008E7492"/>
    <w:rsid w:val="008F079A"/>
    <w:rsid w:val="00901BA3"/>
    <w:rsid w:val="00904011"/>
    <w:rsid w:val="00914182"/>
    <w:rsid w:val="00926A67"/>
    <w:rsid w:val="00927F52"/>
    <w:rsid w:val="00944617"/>
    <w:rsid w:val="009465D7"/>
    <w:rsid w:val="00955B24"/>
    <w:rsid w:val="00962B40"/>
    <w:rsid w:val="00964A41"/>
    <w:rsid w:val="00973E92"/>
    <w:rsid w:val="00974C52"/>
    <w:rsid w:val="0098230E"/>
    <w:rsid w:val="009A1A08"/>
    <w:rsid w:val="009A2948"/>
    <w:rsid w:val="009B58C5"/>
    <w:rsid w:val="009C4780"/>
    <w:rsid w:val="009E47CD"/>
    <w:rsid w:val="00A03FBB"/>
    <w:rsid w:val="00A05B44"/>
    <w:rsid w:val="00A20CD3"/>
    <w:rsid w:val="00A21787"/>
    <w:rsid w:val="00A25E1D"/>
    <w:rsid w:val="00A31AC5"/>
    <w:rsid w:val="00A417CA"/>
    <w:rsid w:val="00A60102"/>
    <w:rsid w:val="00A63293"/>
    <w:rsid w:val="00A65F06"/>
    <w:rsid w:val="00A9421D"/>
    <w:rsid w:val="00AA6169"/>
    <w:rsid w:val="00AB108E"/>
    <w:rsid w:val="00AD2C6C"/>
    <w:rsid w:val="00AD3D41"/>
    <w:rsid w:val="00AE06BC"/>
    <w:rsid w:val="00AE3D58"/>
    <w:rsid w:val="00AF0BAF"/>
    <w:rsid w:val="00AF1DA5"/>
    <w:rsid w:val="00B00B07"/>
    <w:rsid w:val="00B038C1"/>
    <w:rsid w:val="00B1558D"/>
    <w:rsid w:val="00B166B3"/>
    <w:rsid w:val="00B32A27"/>
    <w:rsid w:val="00B36827"/>
    <w:rsid w:val="00B43359"/>
    <w:rsid w:val="00B55D72"/>
    <w:rsid w:val="00B76452"/>
    <w:rsid w:val="00B801A8"/>
    <w:rsid w:val="00B95864"/>
    <w:rsid w:val="00BA131A"/>
    <w:rsid w:val="00BA35EE"/>
    <w:rsid w:val="00BA4215"/>
    <w:rsid w:val="00BA5171"/>
    <w:rsid w:val="00BB2281"/>
    <w:rsid w:val="00BB7C92"/>
    <w:rsid w:val="00BC2F41"/>
    <w:rsid w:val="00BD6154"/>
    <w:rsid w:val="00BD75EE"/>
    <w:rsid w:val="00BE29CC"/>
    <w:rsid w:val="00BE2B40"/>
    <w:rsid w:val="00BE5423"/>
    <w:rsid w:val="00BE5BA7"/>
    <w:rsid w:val="00C047BA"/>
    <w:rsid w:val="00C05B5B"/>
    <w:rsid w:val="00C20D23"/>
    <w:rsid w:val="00C33E12"/>
    <w:rsid w:val="00C57B49"/>
    <w:rsid w:val="00C60D64"/>
    <w:rsid w:val="00C61579"/>
    <w:rsid w:val="00C77D00"/>
    <w:rsid w:val="00C91D19"/>
    <w:rsid w:val="00C9672A"/>
    <w:rsid w:val="00CB15B8"/>
    <w:rsid w:val="00CB1AB4"/>
    <w:rsid w:val="00CD79E6"/>
    <w:rsid w:val="00CE52F9"/>
    <w:rsid w:val="00CF3A05"/>
    <w:rsid w:val="00CF4E22"/>
    <w:rsid w:val="00D02FA0"/>
    <w:rsid w:val="00D04648"/>
    <w:rsid w:val="00D04EC1"/>
    <w:rsid w:val="00D31A5D"/>
    <w:rsid w:val="00D34DC8"/>
    <w:rsid w:val="00D36615"/>
    <w:rsid w:val="00D4239B"/>
    <w:rsid w:val="00D5617E"/>
    <w:rsid w:val="00D56F98"/>
    <w:rsid w:val="00D8783C"/>
    <w:rsid w:val="00DB4762"/>
    <w:rsid w:val="00DE77DD"/>
    <w:rsid w:val="00DE79F9"/>
    <w:rsid w:val="00DF172B"/>
    <w:rsid w:val="00DF5259"/>
    <w:rsid w:val="00DF69D8"/>
    <w:rsid w:val="00DF6D8F"/>
    <w:rsid w:val="00E11F62"/>
    <w:rsid w:val="00E16101"/>
    <w:rsid w:val="00E208E5"/>
    <w:rsid w:val="00E50DDE"/>
    <w:rsid w:val="00E52B12"/>
    <w:rsid w:val="00E53221"/>
    <w:rsid w:val="00E55780"/>
    <w:rsid w:val="00E5730C"/>
    <w:rsid w:val="00E71DCE"/>
    <w:rsid w:val="00E75099"/>
    <w:rsid w:val="00E7695A"/>
    <w:rsid w:val="00E866F8"/>
    <w:rsid w:val="00EB1E75"/>
    <w:rsid w:val="00EB3220"/>
    <w:rsid w:val="00EB7003"/>
    <w:rsid w:val="00ED396D"/>
    <w:rsid w:val="00EF1628"/>
    <w:rsid w:val="00F02D21"/>
    <w:rsid w:val="00F100B0"/>
    <w:rsid w:val="00F20222"/>
    <w:rsid w:val="00F33A0D"/>
    <w:rsid w:val="00F42E9B"/>
    <w:rsid w:val="00F475D0"/>
    <w:rsid w:val="00F53583"/>
    <w:rsid w:val="00F60208"/>
    <w:rsid w:val="00F619D5"/>
    <w:rsid w:val="00FB5F93"/>
    <w:rsid w:val="00FC0765"/>
    <w:rsid w:val="00FC096D"/>
    <w:rsid w:val="00FC77D5"/>
    <w:rsid w:val="00FD691D"/>
    <w:rsid w:val="00FE0FB0"/>
    <w:rsid w:val="00FE1510"/>
    <w:rsid w:val="044F49EE"/>
    <w:rsid w:val="0A1F69F7"/>
    <w:rsid w:val="0AB0265F"/>
    <w:rsid w:val="0B625E39"/>
    <w:rsid w:val="0BEF23E2"/>
    <w:rsid w:val="0C8A248B"/>
    <w:rsid w:val="0D203981"/>
    <w:rsid w:val="0EA50796"/>
    <w:rsid w:val="0F6752E4"/>
    <w:rsid w:val="11030DBD"/>
    <w:rsid w:val="1231005E"/>
    <w:rsid w:val="15B40A6B"/>
    <w:rsid w:val="16B0685A"/>
    <w:rsid w:val="17A05C63"/>
    <w:rsid w:val="19C00839"/>
    <w:rsid w:val="1A054B3F"/>
    <w:rsid w:val="1C1005C5"/>
    <w:rsid w:val="1CF13DA3"/>
    <w:rsid w:val="1D232E50"/>
    <w:rsid w:val="1EA178FC"/>
    <w:rsid w:val="210500DE"/>
    <w:rsid w:val="216C13A8"/>
    <w:rsid w:val="24B60B4D"/>
    <w:rsid w:val="270B3124"/>
    <w:rsid w:val="289D622A"/>
    <w:rsid w:val="2AF80431"/>
    <w:rsid w:val="2D7A66E8"/>
    <w:rsid w:val="2F866E22"/>
    <w:rsid w:val="322F45F9"/>
    <w:rsid w:val="325F4B23"/>
    <w:rsid w:val="32963E1D"/>
    <w:rsid w:val="329F7E09"/>
    <w:rsid w:val="334B70FB"/>
    <w:rsid w:val="341B53D8"/>
    <w:rsid w:val="341C1760"/>
    <w:rsid w:val="34F411E4"/>
    <w:rsid w:val="34FC225A"/>
    <w:rsid w:val="357416F0"/>
    <w:rsid w:val="365407B2"/>
    <w:rsid w:val="3674665B"/>
    <w:rsid w:val="3815490D"/>
    <w:rsid w:val="39B81D84"/>
    <w:rsid w:val="3A484EFD"/>
    <w:rsid w:val="3C9427FB"/>
    <w:rsid w:val="3CCB7EB0"/>
    <w:rsid w:val="3D0B4286"/>
    <w:rsid w:val="3E2D3BB9"/>
    <w:rsid w:val="408A1AD2"/>
    <w:rsid w:val="423072E0"/>
    <w:rsid w:val="42FB4B4B"/>
    <w:rsid w:val="44C167B8"/>
    <w:rsid w:val="44ED245B"/>
    <w:rsid w:val="46431E9B"/>
    <w:rsid w:val="46527E57"/>
    <w:rsid w:val="47DC6BDD"/>
    <w:rsid w:val="4A0534E4"/>
    <w:rsid w:val="4B02190E"/>
    <w:rsid w:val="52233F9E"/>
    <w:rsid w:val="52CE4568"/>
    <w:rsid w:val="536D0645"/>
    <w:rsid w:val="53C444D5"/>
    <w:rsid w:val="55972629"/>
    <w:rsid w:val="55E15C6D"/>
    <w:rsid w:val="579C6453"/>
    <w:rsid w:val="59F954AD"/>
    <w:rsid w:val="5C450498"/>
    <w:rsid w:val="5CAE04F8"/>
    <w:rsid w:val="5E1F08D6"/>
    <w:rsid w:val="61CF72AE"/>
    <w:rsid w:val="6394511C"/>
    <w:rsid w:val="64BC2546"/>
    <w:rsid w:val="654D750A"/>
    <w:rsid w:val="66E86F9C"/>
    <w:rsid w:val="68AB281E"/>
    <w:rsid w:val="690A279D"/>
    <w:rsid w:val="6AC92EA0"/>
    <w:rsid w:val="6D161E2D"/>
    <w:rsid w:val="6D954EAB"/>
    <w:rsid w:val="6DD37FED"/>
    <w:rsid w:val="70410C8F"/>
    <w:rsid w:val="70CC2132"/>
    <w:rsid w:val="73B33715"/>
    <w:rsid w:val="754A00C5"/>
    <w:rsid w:val="78CF96CC"/>
    <w:rsid w:val="79AB0EC3"/>
    <w:rsid w:val="79AD5428"/>
    <w:rsid w:val="79D46000"/>
    <w:rsid w:val="7AB6798E"/>
    <w:rsid w:val="7DE56F78"/>
    <w:rsid w:val="7E082781"/>
    <w:rsid w:val="7E836322"/>
    <w:rsid w:val="7FAC4BA4"/>
    <w:rsid w:val="97CDC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1"/>
    <w:qFormat/>
    <w:uiPriority w:val="0"/>
    <w:pPr>
      <w:keepNext/>
      <w:keepLines/>
      <w:spacing w:before="340" w:after="330" w:line="578" w:lineRule="auto"/>
      <w:ind w:left="420"/>
      <w:jc w:val="center"/>
      <w:outlineLvl w:val="0"/>
    </w:pPr>
    <w:rPr>
      <w:b/>
      <w:bCs/>
      <w:kern w:val="44"/>
      <w:sz w:val="44"/>
      <w:szCs w:val="44"/>
      <w:lang w:val="zh-CN"/>
    </w:rPr>
  </w:style>
  <w:style w:type="paragraph" w:styleId="4">
    <w:name w:val="heading 2"/>
    <w:basedOn w:val="1"/>
    <w:next w:val="1"/>
    <w:link w:val="93"/>
    <w:qFormat/>
    <w:uiPriority w:val="0"/>
    <w:pPr>
      <w:keepNext/>
      <w:keepLines/>
      <w:tabs>
        <w:tab w:val="left" w:pos="2410"/>
      </w:tabs>
      <w:spacing w:before="120" w:after="120" w:line="416" w:lineRule="auto"/>
      <w:outlineLvl w:val="1"/>
    </w:pPr>
    <w:rPr>
      <w:rFonts w:ascii="Arial" w:hAnsi="Arial" w:eastAsia="黑体"/>
      <w:bCs/>
      <w:sz w:val="32"/>
      <w:szCs w:val="32"/>
      <w:lang w:val="zh-CN"/>
    </w:rPr>
  </w:style>
  <w:style w:type="paragraph" w:styleId="5">
    <w:name w:val="heading 3"/>
    <w:basedOn w:val="1"/>
    <w:next w:val="1"/>
    <w:link w:val="200"/>
    <w:qFormat/>
    <w:uiPriority w:val="0"/>
    <w:pPr>
      <w:keepNext/>
      <w:keepLines/>
      <w:spacing w:before="260" w:after="260" w:line="416" w:lineRule="auto"/>
      <w:outlineLvl w:val="2"/>
    </w:pPr>
    <w:rPr>
      <w:b/>
      <w:bCs/>
      <w:sz w:val="32"/>
      <w:szCs w:val="32"/>
      <w:lang w:val="zh-CN"/>
    </w:rPr>
  </w:style>
  <w:style w:type="paragraph" w:styleId="6">
    <w:name w:val="heading 4"/>
    <w:basedOn w:val="1"/>
    <w:next w:val="7"/>
    <w:link w:val="220"/>
    <w:qFormat/>
    <w:uiPriority w:val="0"/>
    <w:pPr>
      <w:keepNext/>
      <w:keepLines/>
      <w:spacing w:before="280" w:after="290" w:line="376" w:lineRule="auto"/>
      <w:outlineLvl w:val="3"/>
    </w:pPr>
    <w:rPr>
      <w:rFonts w:ascii="Arial" w:hAnsi="Arial" w:eastAsia="黑体"/>
      <w:b/>
      <w:bCs/>
      <w:sz w:val="28"/>
      <w:szCs w:val="28"/>
      <w:lang w:val="zh-CN"/>
    </w:rPr>
  </w:style>
  <w:style w:type="paragraph" w:styleId="8">
    <w:name w:val="heading 5"/>
    <w:basedOn w:val="1"/>
    <w:next w:val="1"/>
    <w:link w:val="117"/>
    <w:qFormat/>
    <w:uiPriority w:val="0"/>
    <w:pPr>
      <w:keepNext/>
      <w:keepLines/>
      <w:spacing w:before="280" w:after="290" w:line="372" w:lineRule="auto"/>
      <w:outlineLvl w:val="4"/>
    </w:pPr>
    <w:rPr>
      <w:rFonts w:ascii="Calibri" w:hAnsi="Calibri"/>
      <w:b/>
      <w:bCs/>
      <w:sz w:val="28"/>
      <w:szCs w:val="28"/>
      <w:lang w:val="zh-CN"/>
    </w:rPr>
  </w:style>
  <w:style w:type="paragraph" w:styleId="9">
    <w:name w:val="heading 6"/>
    <w:basedOn w:val="1"/>
    <w:next w:val="1"/>
    <w:link w:val="15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lang w:val="zh-CN"/>
    </w:rPr>
  </w:style>
  <w:style w:type="paragraph" w:styleId="10">
    <w:name w:val="heading 7"/>
    <w:basedOn w:val="1"/>
    <w:next w:val="1"/>
    <w:link w:val="119"/>
    <w:qFormat/>
    <w:uiPriority w:val="0"/>
    <w:pPr>
      <w:keepNext/>
      <w:keepLines/>
      <w:widowControl/>
      <w:tabs>
        <w:tab w:val="left" w:pos="2520"/>
      </w:tabs>
      <w:spacing w:before="240" w:after="64" w:line="320" w:lineRule="auto"/>
      <w:ind w:left="1296" w:hanging="1296"/>
      <w:jc w:val="left"/>
      <w:outlineLvl w:val="6"/>
    </w:pPr>
    <w:rPr>
      <w:b/>
      <w:bCs/>
      <w:kern w:val="0"/>
      <w:sz w:val="24"/>
      <w:szCs w:val="24"/>
      <w:lang w:val="zh-CN"/>
    </w:rPr>
  </w:style>
  <w:style w:type="paragraph" w:styleId="11">
    <w:name w:val="heading 8"/>
    <w:basedOn w:val="1"/>
    <w:next w:val="1"/>
    <w:link w:val="177"/>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lang w:val="zh-CN"/>
    </w:rPr>
  </w:style>
  <w:style w:type="paragraph" w:styleId="12">
    <w:name w:val="heading 9"/>
    <w:basedOn w:val="1"/>
    <w:next w:val="1"/>
    <w:link w:val="13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lang w:val="zh-CN"/>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7">
    <w:name w:val="Normal Indent"/>
    <w:basedOn w:val="1"/>
    <w:link w:val="188"/>
    <w:qFormat/>
    <w:uiPriority w:val="0"/>
    <w:pPr>
      <w:adjustRightInd w:val="0"/>
      <w:spacing w:line="360" w:lineRule="atLeast"/>
      <w:ind w:firstLine="482"/>
    </w:pPr>
    <w:rPr>
      <w:rFonts w:asciiTheme="minorHAnsi" w:hAnsiTheme="minorHAnsi" w:cstheme="minorBidi"/>
      <w:sz w:val="24"/>
      <w:szCs w:val="24"/>
    </w:rPr>
  </w:style>
  <w:style w:type="paragraph" w:styleId="13">
    <w:name w:val="List 3"/>
    <w:basedOn w:val="1"/>
    <w:qFormat/>
    <w:uiPriority w:val="0"/>
    <w:pPr>
      <w:ind w:left="100" w:leftChars="400" w:hanging="200" w:hangingChars="200"/>
    </w:pPr>
    <w:rPr>
      <w:szCs w:val="24"/>
    </w:rPr>
  </w:style>
  <w:style w:type="paragraph" w:styleId="14">
    <w:name w:val="toc 7"/>
    <w:basedOn w:val="1"/>
    <w:next w:val="1"/>
    <w:qFormat/>
    <w:uiPriority w:val="0"/>
    <w:pPr>
      <w:ind w:left="2520" w:leftChars="1200"/>
    </w:pPr>
    <w:rPr>
      <w:rFonts w:ascii="Calibri" w:hAnsi="Calibri"/>
      <w:szCs w:val="22"/>
    </w:rPr>
  </w:style>
  <w:style w:type="paragraph" w:styleId="15">
    <w:name w:val="caption"/>
    <w:basedOn w:val="1"/>
    <w:next w:val="1"/>
    <w:qFormat/>
    <w:uiPriority w:val="0"/>
    <w:rPr>
      <w:rFonts w:ascii="Cambria" w:hAnsi="Cambria" w:eastAsia="黑体"/>
      <w:sz w:val="20"/>
    </w:rPr>
  </w:style>
  <w:style w:type="paragraph" w:styleId="16">
    <w:name w:val="List Bullet"/>
    <w:basedOn w:val="1"/>
    <w:qFormat/>
    <w:uiPriority w:val="0"/>
    <w:pPr>
      <w:tabs>
        <w:tab w:val="left" w:pos="1418"/>
      </w:tabs>
      <w:spacing w:line="360" w:lineRule="auto"/>
      <w:ind w:left="1418" w:hanging="397"/>
    </w:pPr>
    <w:rPr>
      <w:sz w:val="24"/>
      <w:szCs w:val="24"/>
    </w:rPr>
  </w:style>
  <w:style w:type="paragraph" w:styleId="17">
    <w:name w:val="Document Map"/>
    <w:basedOn w:val="1"/>
    <w:link w:val="204"/>
    <w:qFormat/>
    <w:uiPriority w:val="0"/>
    <w:pPr>
      <w:shd w:val="clear" w:color="auto" w:fill="000080"/>
    </w:pPr>
    <w:rPr>
      <w:rFonts w:asciiTheme="minorHAnsi" w:hAnsiTheme="minorHAnsi" w:eastAsiaTheme="minorEastAsia" w:cstheme="minorBidi"/>
      <w:szCs w:val="22"/>
    </w:rPr>
  </w:style>
  <w:style w:type="paragraph" w:styleId="18">
    <w:name w:val="annotation text"/>
    <w:basedOn w:val="1"/>
    <w:link w:val="169"/>
    <w:qFormat/>
    <w:uiPriority w:val="0"/>
    <w:pPr>
      <w:jc w:val="left"/>
    </w:pPr>
    <w:rPr>
      <w:rFonts w:asciiTheme="minorHAnsi" w:hAnsiTheme="minorHAnsi" w:eastAsiaTheme="minorEastAsia" w:cstheme="minorBidi"/>
      <w:szCs w:val="24"/>
    </w:rPr>
  </w:style>
  <w:style w:type="paragraph" w:styleId="19">
    <w:name w:val="Body Text 3"/>
    <w:basedOn w:val="1"/>
    <w:link w:val="114"/>
    <w:qFormat/>
    <w:uiPriority w:val="0"/>
    <w:rPr>
      <w:rFonts w:ascii="宋体" w:hAnsiTheme="minorHAnsi" w:eastAsiaTheme="minorEastAsia" w:cstheme="minorBidi"/>
      <w:sz w:val="24"/>
      <w:szCs w:val="24"/>
    </w:rPr>
  </w:style>
  <w:style w:type="paragraph" w:styleId="20">
    <w:name w:val="Body Text"/>
    <w:basedOn w:val="1"/>
    <w:link w:val="109"/>
    <w:qFormat/>
    <w:uiPriority w:val="0"/>
    <w:rPr>
      <w:rFonts w:asciiTheme="minorHAnsi" w:hAnsiTheme="minorHAnsi" w:eastAsiaTheme="minorEastAsia" w:cstheme="minorBidi"/>
      <w:sz w:val="28"/>
      <w:szCs w:val="24"/>
    </w:rPr>
  </w:style>
  <w:style w:type="paragraph" w:styleId="21">
    <w:name w:val="Body Text Indent"/>
    <w:basedOn w:val="1"/>
    <w:link w:val="240"/>
    <w:unhideWhenUsed/>
    <w:qFormat/>
    <w:uiPriority w:val="0"/>
    <w:pPr>
      <w:spacing w:after="120"/>
      <w:ind w:left="420" w:leftChars="200"/>
    </w:pPr>
  </w:style>
  <w:style w:type="paragraph" w:styleId="22">
    <w:name w:val="List 2"/>
    <w:basedOn w:val="1"/>
    <w:qFormat/>
    <w:uiPriority w:val="0"/>
    <w:pPr>
      <w:ind w:left="100" w:leftChars="200" w:hanging="200" w:hangingChars="200"/>
    </w:pPr>
    <w:rPr>
      <w:szCs w:val="24"/>
    </w:rPr>
  </w:style>
  <w:style w:type="paragraph" w:styleId="23">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4">
    <w:name w:val="List Bullet 2"/>
    <w:basedOn w:val="1"/>
    <w:qFormat/>
    <w:uiPriority w:val="0"/>
    <w:pPr>
      <w:widowControl/>
      <w:tabs>
        <w:tab w:val="left" w:pos="1550"/>
      </w:tabs>
      <w:adjustRightInd w:val="0"/>
      <w:snapToGrid w:val="0"/>
      <w:spacing w:before="120" w:line="360" w:lineRule="auto"/>
      <w:ind w:left="1550" w:hanging="990"/>
      <w:jc w:val="left"/>
    </w:pPr>
    <w:rPr>
      <w:rFonts w:ascii="宋体" w:hAnsi="宋体"/>
      <w:spacing w:val="-5"/>
      <w:kern w:val="0"/>
    </w:rPr>
  </w:style>
  <w:style w:type="paragraph" w:styleId="25">
    <w:name w:val="index 4"/>
    <w:basedOn w:val="1"/>
    <w:next w:val="1"/>
    <w:qFormat/>
    <w:uiPriority w:val="0"/>
    <w:pPr>
      <w:ind w:left="600" w:leftChars="600"/>
    </w:pPr>
    <w:rPr>
      <w:szCs w:val="24"/>
    </w:rPr>
  </w:style>
  <w:style w:type="paragraph" w:styleId="26">
    <w:name w:val="toc 5"/>
    <w:basedOn w:val="1"/>
    <w:next w:val="1"/>
    <w:qFormat/>
    <w:uiPriority w:val="0"/>
    <w:pPr>
      <w:ind w:left="1680" w:leftChars="800"/>
    </w:pPr>
    <w:rPr>
      <w:szCs w:val="24"/>
    </w:rPr>
  </w:style>
  <w:style w:type="paragraph" w:styleId="27">
    <w:name w:val="toc 3"/>
    <w:basedOn w:val="1"/>
    <w:next w:val="1"/>
    <w:qFormat/>
    <w:uiPriority w:val="0"/>
    <w:pPr>
      <w:ind w:left="840" w:leftChars="400"/>
    </w:pPr>
    <w:rPr>
      <w:szCs w:val="24"/>
    </w:rPr>
  </w:style>
  <w:style w:type="paragraph" w:styleId="28">
    <w:name w:val="Plain Text"/>
    <w:basedOn w:val="1"/>
    <w:link w:val="181"/>
    <w:qFormat/>
    <w:uiPriority w:val="0"/>
    <w:rPr>
      <w:rFonts w:ascii="宋体" w:hAnsi="Courier New" w:cs="Courier New" w:eastAsiaTheme="minorEastAsia"/>
      <w:szCs w:val="21"/>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224"/>
    <w:qFormat/>
    <w:uiPriority w:val="0"/>
    <w:pPr>
      <w:ind w:left="100" w:leftChars="2500"/>
    </w:pPr>
    <w:rPr>
      <w:rFonts w:asciiTheme="minorHAnsi" w:hAnsiTheme="minorHAnsi" w:eastAsiaTheme="minorEastAsia" w:cstheme="minorBidi"/>
      <w:szCs w:val="24"/>
    </w:rPr>
  </w:style>
  <w:style w:type="paragraph" w:styleId="31">
    <w:name w:val="Body Text Indent 2"/>
    <w:basedOn w:val="1"/>
    <w:link w:val="91"/>
    <w:qFormat/>
    <w:uiPriority w:val="0"/>
    <w:pPr>
      <w:spacing w:after="120" w:line="480" w:lineRule="auto"/>
      <w:ind w:left="420" w:leftChars="200"/>
    </w:pPr>
    <w:rPr>
      <w:rFonts w:asciiTheme="minorHAnsi" w:hAnsiTheme="minorHAnsi" w:eastAsiaTheme="minorEastAsia" w:cstheme="minorBidi"/>
      <w:szCs w:val="24"/>
    </w:rPr>
  </w:style>
  <w:style w:type="paragraph" w:styleId="32">
    <w:name w:val="endnote text"/>
    <w:basedOn w:val="1"/>
    <w:link w:val="254"/>
    <w:qFormat/>
    <w:uiPriority w:val="0"/>
    <w:pPr>
      <w:snapToGrid w:val="0"/>
      <w:spacing w:line="360" w:lineRule="auto"/>
      <w:jc w:val="left"/>
    </w:pPr>
    <w:rPr>
      <w:sz w:val="24"/>
      <w:szCs w:val="24"/>
    </w:rPr>
  </w:style>
  <w:style w:type="paragraph" w:styleId="33">
    <w:name w:val="Balloon Text"/>
    <w:basedOn w:val="1"/>
    <w:link w:val="187"/>
    <w:qFormat/>
    <w:uiPriority w:val="0"/>
    <w:rPr>
      <w:rFonts w:asciiTheme="minorHAnsi" w:hAnsiTheme="minorHAnsi" w:eastAsiaTheme="minorEastAsia" w:cstheme="minorBidi"/>
      <w:sz w:val="18"/>
      <w:szCs w:val="18"/>
    </w:rPr>
  </w:style>
  <w:style w:type="paragraph" w:styleId="34">
    <w:name w:val="footer"/>
    <w:basedOn w:val="1"/>
    <w:link w:val="74"/>
    <w:unhideWhenUsed/>
    <w:qFormat/>
    <w:uiPriority w:val="0"/>
    <w:pPr>
      <w:tabs>
        <w:tab w:val="center" w:pos="4153"/>
        <w:tab w:val="right" w:pos="8306"/>
      </w:tabs>
      <w:snapToGrid w:val="0"/>
      <w:jc w:val="left"/>
    </w:pPr>
    <w:rPr>
      <w:sz w:val="18"/>
      <w:szCs w:val="18"/>
    </w:rPr>
  </w:style>
  <w:style w:type="paragraph" w:styleId="35">
    <w:name w:val="header"/>
    <w:basedOn w:val="1"/>
    <w:link w:val="73"/>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rPr>
      <w:szCs w:val="24"/>
    </w:rPr>
  </w:style>
  <w:style w:type="paragraph" w:styleId="37">
    <w:name w:val="toc 4"/>
    <w:basedOn w:val="1"/>
    <w:next w:val="1"/>
    <w:qFormat/>
    <w:uiPriority w:val="0"/>
    <w:pPr>
      <w:ind w:left="1260" w:leftChars="600"/>
    </w:pPr>
    <w:rPr>
      <w:szCs w:val="24"/>
    </w:rPr>
  </w:style>
  <w:style w:type="paragraph" w:styleId="38">
    <w:name w:val="Subtitle"/>
    <w:basedOn w:val="1"/>
    <w:next w:val="1"/>
    <w:link w:val="207"/>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9">
    <w:name w:val="List"/>
    <w:basedOn w:val="1"/>
    <w:qFormat/>
    <w:uiPriority w:val="0"/>
    <w:pPr>
      <w:tabs>
        <w:tab w:val="left" w:pos="964"/>
      </w:tabs>
      <w:spacing w:line="360" w:lineRule="auto"/>
      <w:ind w:left="964" w:hanging="284"/>
    </w:pPr>
    <w:rPr>
      <w:sz w:val="24"/>
      <w:szCs w:val="24"/>
    </w:rPr>
  </w:style>
  <w:style w:type="paragraph" w:styleId="40">
    <w:name w:val="footnote text"/>
    <w:basedOn w:val="1"/>
    <w:link w:val="203"/>
    <w:unhideWhenUsed/>
    <w:qFormat/>
    <w:uiPriority w:val="0"/>
    <w:pPr>
      <w:widowControl/>
      <w:jc w:val="left"/>
    </w:pPr>
    <w:rPr>
      <w:rFonts w:asciiTheme="minorHAnsi" w:hAnsiTheme="minorHAnsi" w:cstheme="minorBidi"/>
      <w:sz w:val="24"/>
      <w:szCs w:val="24"/>
    </w:rPr>
  </w:style>
  <w:style w:type="paragraph" w:styleId="41">
    <w:name w:val="toc 6"/>
    <w:basedOn w:val="1"/>
    <w:next w:val="1"/>
    <w:qFormat/>
    <w:uiPriority w:val="0"/>
    <w:pPr>
      <w:ind w:left="2100" w:leftChars="1000"/>
    </w:pPr>
    <w:rPr>
      <w:rFonts w:ascii="Calibri" w:hAnsi="Calibri"/>
      <w:szCs w:val="22"/>
    </w:rPr>
  </w:style>
  <w:style w:type="paragraph" w:styleId="42">
    <w:name w:val="Body Text Indent 3"/>
    <w:basedOn w:val="1"/>
    <w:link w:val="108"/>
    <w:qFormat/>
    <w:uiPriority w:val="0"/>
    <w:pPr>
      <w:spacing w:after="120"/>
      <w:ind w:left="420" w:leftChars="200"/>
    </w:pPr>
    <w:rPr>
      <w:rFonts w:asciiTheme="minorHAnsi" w:hAnsiTheme="minorHAnsi" w:eastAsiaTheme="minorEastAsia" w:cstheme="minorBidi"/>
      <w:sz w:val="16"/>
      <w:szCs w:val="16"/>
    </w:rPr>
  </w:style>
  <w:style w:type="paragraph" w:styleId="43">
    <w:name w:val="table of figures"/>
    <w:basedOn w:val="1"/>
    <w:next w:val="1"/>
    <w:qFormat/>
    <w:uiPriority w:val="0"/>
    <w:pPr>
      <w:spacing w:line="360" w:lineRule="auto"/>
      <w:ind w:left="200" w:leftChars="200" w:hanging="200" w:hangingChars="200"/>
    </w:pPr>
    <w:rPr>
      <w:sz w:val="24"/>
      <w:szCs w:val="24"/>
    </w:rPr>
  </w:style>
  <w:style w:type="paragraph" w:styleId="44">
    <w:name w:val="toc 2"/>
    <w:basedOn w:val="1"/>
    <w:next w:val="1"/>
    <w:qFormat/>
    <w:uiPriority w:val="0"/>
    <w:pPr>
      <w:ind w:left="420" w:leftChars="200"/>
    </w:pPr>
    <w:rPr>
      <w:szCs w:val="24"/>
    </w:rPr>
  </w:style>
  <w:style w:type="paragraph" w:styleId="45">
    <w:name w:val="toc 9"/>
    <w:basedOn w:val="1"/>
    <w:next w:val="1"/>
    <w:qFormat/>
    <w:uiPriority w:val="0"/>
    <w:pPr>
      <w:ind w:left="3360" w:leftChars="1600"/>
    </w:pPr>
    <w:rPr>
      <w:rFonts w:ascii="Calibri" w:hAnsi="Calibri"/>
      <w:szCs w:val="22"/>
    </w:rPr>
  </w:style>
  <w:style w:type="paragraph" w:styleId="46">
    <w:name w:val="Body Text 2"/>
    <w:basedOn w:val="1"/>
    <w:link w:val="243"/>
    <w:qFormat/>
    <w:uiPriority w:val="0"/>
    <w:pPr>
      <w:spacing w:after="120" w:line="480" w:lineRule="auto"/>
    </w:pPr>
    <w:rPr>
      <w:rFonts w:eastAsia="Times New Roman"/>
      <w:sz w:val="28"/>
    </w:rPr>
  </w:style>
  <w:style w:type="paragraph" w:styleId="47">
    <w:name w:val="HTML Preformatted"/>
    <w:basedOn w:val="1"/>
    <w:link w:val="2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cstheme="minorBidi"/>
      <w:sz w:val="24"/>
      <w:szCs w:val="24"/>
    </w:rPr>
  </w:style>
  <w:style w:type="paragraph" w:styleId="4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qFormat/>
    <w:uiPriority w:val="0"/>
  </w:style>
  <w:style w:type="paragraph" w:styleId="50">
    <w:name w:val="Title"/>
    <w:basedOn w:val="1"/>
    <w:link w:val="96"/>
    <w:qFormat/>
    <w:uiPriority w:val="0"/>
    <w:pPr>
      <w:adjustRightInd w:val="0"/>
      <w:spacing w:before="240" w:after="60" w:line="420" w:lineRule="atLeast"/>
      <w:jc w:val="center"/>
      <w:textAlignment w:val="baseline"/>
      <w:outlineLvl w:val="0"/>
    </w:pPr>
    <w:rPr>
      <w:rFonts w:ascii="Arial" w:hAnsi="Arial" w:eastAsiaTheme="minorEastAsia" w:cstheme="minorBidi"/>
      <w:b/>
      <w:sz w:val="32"/>
      <w:szCs w:val="24"/>
    </w:rPr>
  </w:style>
  <w:style w:type="paragraph" w:styleId="51">
    <w:name w:val="annotation subject"/>
    <w:basedOn w:val="18"/>
    <w:next w:val="18"/>
    <w:link w:val="87"/>
    <w:qFormat/>
    <w:uiPriority w:val="0"/>
    <w:rPr>
      <w:b/>
      <w:bCs/>
    </w:rPr>
  </w:style>
  <w:style w:type="paragraph" w:styleId="52">
    <w:name w:val="Body Text First Indent"/>
    <w:basedOn w:val="20"/>
    <w:link w:val="253"/>
    <w:qFormat/>
    <w:uiPriority w:val="0"/>
    <w:pPr>
      <w:spacing w:line="300" w:lineRule="auto"/>
      <w:ind w:firstLine="602"/>
      <w:jc w:val="left"/>
    </w:pPr>
    <w:rPr>
      <w:rFonts w:eastAsia="Times New Roman"/>
    </w:rPr>
  </w:style>
  <w:style w:type="paragraph" w:styleId="53">
    <w:name w:val="Body Text First Indent 2"/>
    <w:basedOn w:val="21"/>
    <w:link w:val="241"/>
    <w:qFormat/>
    <w:uiPriority w:val="0"/>
    <w:pPr>
      <w:ind w:firstLine="420" w:firstLineChars="200"/>
    </w:pPr>
    <w:rPr>
      <w:rFonts w:eastAsia="仿宋_GB2312"/>
      <w:sz w:val="25"/>
      <w:szCs w:val="24"/>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bCs/>
    </w:rPr>
  </w:style>
  <w:style w:type="character" w:styleId="58">
    <w:name w:val="endnote reference"/>
    <w:qFormat/>
    <w:uiPriority w:val="0"/>
    <w:rPr>
      <w:vertAlign w:val="superscript"/>
    </w:rPr>
  </w:style>
  <w:style w:type="character" w:styleId="59">
    <w:name w:val="page number"/>
    <w:basedOn w:val="56"/>
    <w:qFormat/>
    <w:uiPriority w:val="0"/>
    <w:rPr>
      <w:szCs w:val="24"/>
    </w:rPr>
  </w:style>
  <w:style w:type="character" w:styleId="60">
    <w:name w:val="FollowedHyperlink"/>
    <w:qFormat/>
    <w:uiPriority w:val="0"/>
    <w:rPr>
      <w:color w:val="800080"/>
      <w:u w:val="single"/>
    </w:rPr>
  </w:style>
  <w:style w:type="character" w:styleId="61">
    <w:name w:val="Emphasis"/>
    <w:qFormat/>
    <w:uiPriority w:val="0"/>
    <w:rPr>
      <w:i/>
      <w:iCs/>
    </w:rPr>
  </w:style>
  <w:style w:type="character" w:styleId="62">
    <w:name w:val="HTML Definition"/>
    <w:basedOn w:val="56"/>
    <w:unhideWhenUsed/>
    <w:qFormat/>
    <w:uiPriority w:val="99"/>
  </w:style>
  <w:style w:type="character" w:styleId="63">
    <w:name w:val="HTML Variable"/>
    <w:basedOn w:val="56"/>
    <w:unhideWhenUsed/>
    <w:qFormat/>
    <w:uiPriority w:val="99"/>
  </w:style>
  <w:style w:type="character" w:styleId="64">
    <w:name w:val="Hyperlink"/>
    <w:qFormat/>
    <w:uiPriority w:val="0"/>
    <w:rPr>
      <w:color w:val="0000FF"/>
      <w:szCs w:val="24"/>
      <w:u w:val="single"/>
    </w:rPr>
  </w:style>
  <w:style w:type="character" w:styleId="65">
    <w:name w:val="HTML Code"/>
    <w:basedOn w:val="56"/>
    <w:unhideWhenUsed/>
    <w:qFormat/>
    <w:uiPriority w:val="99"/>
    <w:rPr>
      <w:rFonts w:ascii="Courier New" w:hAnsi="Courier New"/>
      <w:sz w:val="20"/>
    </w:rPr>
  </w:style>
  <w:style w:type="character" w:styleId="66">
    <w:name w:val="annotation reference"/>
    <w:qFormat/>
    <w:uiPriority w:val="0"/>
    <w:rPr>
      <w:sz w:val="21"/>
      <w:szCs w:val="21"/>
    </w:rPr>
  </w:style>
  <w:style w:type="character" w:styleId="67">
    <w:name w:val="HTML Cite"/>
    <w:basedOn w:val="56"/>
    <w:unhideWhenUsed/>
    <w:qFormat/>
    <w:uiPriority w:val="99"/>
  </w:style>
  <w:style w:type="character" w:styleId="68">
    <w:name w:val="HTML Keyboard"/>
    <w:basedOn w:val="56"/>
    <w:unhideWhenUsed/>
    <w:qFormat/>
    <w:uiPriority w:val="99"/>
    <w:rPr>
      <w:rFonts w:ascii="Courier New" w:hAnsi="Courier New"/>
      <w:sz w:val="20"/>
    </w:rPr>
  </w:style>
  <w:style w:type="character" w:styleId="69">
    <w:name w:val="HTML Sample"/>
    <w:basedOn w:val="56"/>
    <w:unhideWhenUsed/>
    <w:qFormat/>
    <w:uiPriority w:val="99"/>
    <w:rPr>
      <w:rFonts w:ascii="Courier New" w:hAnsi="Courier New"/>
    </w:rPr>
  </w:style>
  <w:style w:type="paragraph" w:customStyle="1" w:styleId="70">
    <w:name w:val="首行缩进"/>
    <w:basedOn w:val="1"/>
    <w:qFormat/>
    <w:uiPriority w:val="99"/>
    <w:pPr>
      <w:spacing w:line="360" w:lineRule="auto"/>
      <w:ind w:firstLine="480"/>
      <w:jc w:val="left"/>
    </w:pPr>
    <w:rPr>
      <w:rFonts w:ascii="宋体" w:hAnsi="宋体"/>
      <w:sz w:val="24"/>
    </w:rPr>
  </w:style>
  <w:style w:type="paragraph" w:customStyle="1" w:styleId="71">
    <w:name w:val="标题 5（有编号）（绿盟科技）"/>
    <w:basedOn w:val="1"/>
    <w:next w:val="7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7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73">
    <w:name w:val="页眉 字符1"/>
    <w:basedOn w:val="56"/>
    <w:link w:val="35"/>
    <w:qFormat/>
    <w:uiPriority w:val="0"/>
    <w:rPr>
      <w:sz w:val="18"/>
      <w:szCs w:val="18"/>
    </w:rPr>
  </w:style>
  <w:style w:type="character" w:customStyle="1" w:styleId="74">
    <w:name w:val="页脚 字符1"/>
    <w:basedOn w:val="56"/>
    <w:link w:val="34"/>
    <w:qFormat/>
    <w:uiPriority w:val="0"/>
    <w:rPr>
      <w:sz w:val="18"/>
      <w:szCs w:val="18"/>
    </w:rPr>
  </w:style>
  <w:style w:type="character" w:customStyle="1" w:styleId="75">
    <w:name w:val="标题 1 Char"/>
    <w:basedOn w:val="56"/>
    <w:qFormat/>
    <w:uiPriority w:val="0"/>
    <w:rPr>
      <w:rFonts w:ascii="Times New Roman" w:hAnsi="Times New Roman" w:eastAsia="宋体" w:cs="Times New Roman"/>
      <w:b/>
      <w:bCs/>
      <w:kern w:val="44"/>
      <w:sz w:val="44"/>
      <w:szCs w:val="44"/>
    </w:rPr>
  </w:style>
  <w:style w:type="character" w:customStyle="1" w:styleId="76">
    <w:name w:val="标题 2 Char"/>
    <w:basedOn w:val="56"/>
    <w:qFormat/>
    <w:uiPriority w:val="0"/>
    <w:rPr>
      <w:rFonts w:asciiTheme="majorHAnsi" w:hAnsiTheme="majorHAnsi" w:eastAsiaTheme="majorEastAsia" w:cstheme="majorBidi"/>
      <w:b/>
      <w:bCs/>
      <w:sz w:val="32"/>
      <w:szCs w:val="32"/>
    </w:rPr>
  </w:style>
  <w:style w:type="character" w:customStyle="1" w:styleId="77">
    <w:name w:val="标题 3 Char"/>
    <w:basedOn w:val="56"/>
    <w:semiHidden/>
    <w:qFormat/>
    <w:uiPriority w:val="9"/>
    <w:rPr>
      <w:rFonts w:ascii="Times New Roman" w:hAnsi="Times New Roman" w:eastAsia="宋体" w:cs="Times New Roman"/>
      <w:b/>
      <w:bCs/>
      <w:sz w:val="32"/>
      <w:szCs w:val="32"/>
    </w:rPr>
  </w:style>
  <w:style w:type="character" w:customStyle="1" w:styleId="78">
    <w:name w:val="标题 4 Char"/>
    <w:basedOn w:val="56"/>
    <w:qFormat/>
    <w:uiPriority w:val="0"/>
    <w:rPr>
      <w:rFonts w:asciiTheme="majorHAnsi" w:hAnsiTheme="majorHAnsi" w:eastAsiaTheme="majorEastAsia" w:cstheme="majorBidi"/>
      <w:b/>
      <w:bCs/>
      <w:sz w:val="28"/>
      <w:szCs w:val="28"/>
    </w:rPr>
  </w:style>
  <w:style w:type="character" w:customStyle="1" w:styleId="79">
    <w:name w:val="标题 5 Char"/>
    <w:basedOn w:val="56"/>
    <w:qFormat/>
    <w:uiPriority w:val="0"/>
    <w:rPr>
      <w:rFonts w:ascii="Times New Roman" w:hAnsi="Times New Roman" w:eastAsia="宋体" w:cs="Times New Roman"/>
      <w:b/>
      <w:bCs/>
      <w:sz w:val="28"/>
      <w:szCs w:val="28"/>
    </w:rPr>
  </w:style>
  <w:style w:type="character" w:customStyle="1" w:styleId="80">
    <w:name w:val="标题 6 Char"/>
    <w:basedOn w:val="56"/>
    <w:qFormat/>
    <w:uiPriority w:val="0"/>
    <w:rPr>
      <w:rFonts w:asciiTheme="majorHAnsi" w:hAnsiTheme="majorHAnsi" w:eastAsiaTheme="majorEastAsia" w:cstheme="majorBidi"/>
      <w:b/>
      <w:bCs/>
      <w:sz w:val="24"/>
      <w:szCs w:val="24"/>
    </w:rPr>
  </w:style>
  <w:style w:type="character" w:customStyle="1" w:styleId="81">
    <w:name w:val="标题 7 Char"/>
    <w:basedOn w:val="56"/>
    <w:qFormat/>
    <w:uiPriority w:val="0"/>
    <w:rPr>
      <w:rFonts w:ascii="Times New Roman" w:hAnsi="Times New Roman" w:eastAsia="宋体" w:cs="Times New Roman"/>
      <w:b/>
      <w:bCs/>
      <w:sz w:val="24"/>
      <w:szCs w:val="24"/>
    </w:rPr>
  </w:style>
  <w:style w:type="character" w:customStyle="1" w:styleId="82">
    <w:name w:val="标题 8 Char"/>
    <w:basedOn w:val="56"/>
    <w:qFormat/>
    <w:uiPriority w:val="0"/>
    <w:rPr>
      <w:rFonts w:asciiTheme="majorHAnsi" w:hAnsiTheme="majorHAnsi" w:eastAsiaTheme="majorEastAsia" w:cstheme="majorBidi"/>
      <w:sz w:val="24"/>
      <w:szCs w:val="24"/>
    </w:rPr>
  </w:style>
  <w:style w:type="character" w:customStyle="1" w:styleId="83">
    <w:name w:val="标题 9 Char"/>
    <w:basedOn w:val="56"/>
    <w:qFormat/>
    <w:uiPriority w:val="0"/>
    <w:rPr>
      <w:rFonts w:asciiTheme="majorHAnsi" w:hAnsiTheme="majorHAnsi" w:eastAsiaTheme="majorEastAsia" w:cstheme="majorBidi"/>
      <w:szCs w:val="21"/>
    </w:rPr>
  </w:style>
  <w:style w:type="character" w:customStyle="1" w:styleId="84">
    <w:name w:val="a9"/>
    <w:basedOn w:val="56"/>
    <w:qFormat/>
    <w:uiPriority w:val="0"/>
    <w:rPr>
      <w:szCs w:val="24"/>
    </w:rPr>
  </w:style>
  <w:style w:type="character" w:customStyle="1" w:styleId="85">
    <w:name w:val="正文缩进[1] Char Char"/>
    <w:link w:val="86"/>
    <w:qFormat/>
    <w:uiPriority w:val="0"/>
  </w:style>
  <w:style w:type="paragraph" w:customStyle="1" w:styleId="86">
    <w:name w:val="正文缩进[1] Char"/>
    <w:basedOn w:val="1"/>
    <w:link w:val="85"/>
    <w:qFormat/>
    <w:uiPriority w:val="0"/>
    <w:pPr>
      <w:spacing w:before="62" w:beforeLines="20" w:after="62" w:afterLines="20" w:line="300" w:lineRule="auto"/>
      <w:ind w:firstLine="420"/>
    </w:pPr>
    <w:rPr>
      <w:rFonts w:asciiTheme="minorHAnsi" w:hAnsiTheme="minorHAnsi" w:eastAsiaTheme="minorEastAsia" w:cstheme="minorBidi"/>
      <w:szCs w:val="22"/>
    </w:rPr>
  </w:style>
  <w:style w:type="character" w:customStyle="1" w:styleId="87">
    <w:name w:val="批注主题 字符"/>
    <w:link w:val="51"/>
    <w:qFormat/>
    <w:uiPriority w:val="0"/>
    <w:rPr>
      <w:b/>
      <w:bCs/>
      <w:szCs w:val="24"/>
    </w:rPr>
  </w:style>
  <w:style w:type="character" w:customStyle="1" w:styleId="88">
    <w:name w:val="font161"/>
    <w:qFormat/>
    <w:uiPriority w:val="0"/>
    <w:rPr>
      <w:b/>
      <w:bCs/>
      <w:sz w:val="32"/>
      <w:szCs w:val="32"/>
    </w:rPr>
  </w:style>
  <w:style w:type="character" w:customStyle="1" w:styleId="89">
    <w:name w:val="Char Char30"/>
    <w:qFormat/>
    <w:uiPriority w:val="0"/>
    <w:rPr>
      <w:rFonts w:eastAsia="宋体"/>
      <w:b/>
      <w:kern w:val="2"/>
      <w:sz w:val="28"/>
      <w:lang w:bidi="ar-SA"/>
    </w:rPr>
  </w:style>
  <w:style w:type="character" w:customStyle="1" w:styleId="90">
    <w:name w:val="标题3 Char2"/>
    <w:qFormat/>
    <w:uiPriority w:val="0"/>
    <w:rPr>
      <w:rFonts w:eastAsia="仿宋_GB2312"/>
      <w:bCs/>
      <w:kern w:val="2"/>
      <w:sz w:val="28"/>
      <w:szCs w:val="32"/>
      <w:lang w:val="en-US" w:eastAsia="zh-CN" w:bidi="ar-SA"/>
    </w:rPr>
  </w:style>
  <w:style w:type="character" w:customStyle="1" w:styleId="91">
    <w:name w:val="正文文本缩进 2 字符"/>
    <w:link w:val="31"/>
    <w:qFormat/>
    <w:uiPriority w:val="0"/>
    <w:rPr>
      <w:szCs w:val="24"/>
    </w:rPr>
  </w:style>
  <w:style w:type="character" w:customStyle="1" w:styleId="92">
    <w:name w:val="正文文本 Char2"/>
    <w:qFormat/>
    <w:uiPriority w:val="0"/>
    <w:rPr>
      <w:rFonts w:eastAsia="宋体"/>
      <w:kern w:val="2"/>
      <w:sz w:val="21"/>
      <w:szCs w:val="24"/>
      <w:lang w:val="en-US" w:eastAsia="zh-CN" w:bidi="ar-SA"/>
    </w:rPr>
  </w:style>
  <w:style w:type="character" w:customStyle="1" w:styleId="93">
    <w:name w:val="标题 2 字符"/>
    <w:link w:val="4"/>
    <w:qFormat/>
    <w:uiPriority w:val="0"/>
    <w:rPr>
      <w:rFonts w:ascii="Arial" w:hAnsi="Arial" w:eastAsia="黑体" w:cs="Times New Roman"/>
      <w:bCs/>
      <w:sz w:val="32"/>
      <w:szCs w:val="32"/>
      <w:lang w:val="zh-CN" w:eastAsia="zh-CN"/>
    </w:rPr>
  </w:style>
  <w:style w:type="character" w:customStyle="1" w:styleId="94">
    <w:name w:val="正文文本 (3)5"/>
    <w:qFormat/>
    <w:uiPriority w:val="0"/>
    <w:rPr>
      <w:rFonts w:ascii="宋体" w:cs="宋体"/>
      <w:szCs w:val="24"/>
      <w:shd w:val="clear" w:color="auto" w:fill="FFFFFF"/>
    </w:rPr>
  </w:style>
  <w:style w:type="character" w:customStyle="1" w:styleId="95">
    <w:name w:val="font61"/>
    <w:qFormat/>
    <w:uiPriority w:val="0"/>
    <w:rPr>
      <w:rFonts w:hint="eastAsia" w:ascii="宋体" w:hAnsi="宋体" w:eastAsia="宋体" w:cs="宋体"/>
      <w:b/>
      <w:color w:val="000000"/>
      <w:sz w:val="20"/>
      <w:szCs w:val="20"/>
      <w:u w:val="none"/>
    </w:rPr>
  </w:style>
  <w:style w:type="character" w:customStyle="1" w:styleId="96">
    <w:name w:val="标题 字符"/>
    <w:link w:val="50"/>
    <w:qFormat/>
    <w:uiPriority w:val="0"/>
    <w:rPr>
      <w:rFonts w:ascii="Arial" w:hAnsi="Arial"/>
      <w:b/>
      <w:sz w:val="32"/>
      <w:szCs w:val="24"/>
    </w:rPr>
  </w:style>
  <w:style w:type="character" w:customStyle="1" w:styleId="97">
    <w:name w:val="text-4"/>
    <w:basedOn w:val="56"/>
    <w:qFormat/>
    <w:uiPriority w:val="0"/>
    <w:rPr>
      <w:szCs w:val="24"/>
    </w:rPr>
  </w:style>
  <w:style w:type="character" w:customStyle="1" w:styleId="98">
    <w:name w:val="批注文字 Char"/>
    <w:qFormat/>
    <w:uiPriority w:val="0"/>
    <w:rPr>
      <w:rFonts w:eastAsia="宋体"/>
      <w:kern w:val="2"/>
      <w:sz w:val="21"/>
      <w:szCs w:val="24"/>
      <w:lang w:val="en-US" w:eastAsia="zh-CN" w:bidi="ar-SA"/>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skip_21"/>
    <w:qFormat/>
    <w:uiPriority w:val="0"/>
    <w:rPr>
      <w:color w:val="333333"/>
      <w:sz w:val="18"/>
      <w:szCs w:val="18"/>
      <w:u w:val="none"/>
    </w:rPr>
  </w:style>
  <w:style w:type="character" w:customStyle="1" w:styleId="101">
    <w:name w:val="样式3 Char1"/>
    <w:link w:val="102"/>
    <w:qFormat/>
    <w:locked/>
    <w:uiPriority w:val="0"/>
    <w:rPr>
      <w:kern w:val="2"/>
      <w:sz w:val="28"/>
      <w:szCs w:val="22"/>
    </w:rPr>
  </w:style>
  <w:style w:type="paragraph" w:customStyle="1" w:styleId="102">
    <w:name w:val="样式3"/>
    <w:basedOn w:val="1"/>
    <w:link w:val="101"/>
    <w:qFormat/>
    <w:uiPriority w:val="0"/>
    <w:pPr>
      <w:widowControl/>
      <w:numPr>
        <w:ilvl w:val="0"/>
        <w:numId w:val="2"/>
      </w:numPr>
      <w:tabs>
        <w:tab w:val="left" w:pos="840"/>
      </w:tabs>
      <w:spacing w:line="288" w:lineRule="auto"/>
      <w:outlineLvl w:val="1"/>
    </w:pPr>
    <w:rPr>
      <w:rFonts w:asciiTheme="minorHAnsi" w:hAnsiTheme="minorHAnsi" w:eastAsiaTheme="minorEastAsia" w:cstheme="minorBidi"/>
      <w:sz w:val="28"/>
      <w:szCs w:val="22"/>
    </w:rPr>
  </w:style>
  <w:style w:type="character" w:customStyle="1" w:styleId="103">
    <w:name w:val="明显参考1"/>
    <w:qFormat/>
    <w:uiPriority w:val="0"/>
    <w:rPr>
      <w:b/>
      <w:bCs/>
      <w:smallCaps/>
      <w:color w:val="C0504D"/>
      <w:spacing w:val="5"/>
      <w:u w:val="single"/>
    </w:rPr>
  </w:style>
  <w:style w:type="character" w:customStyle="1" w:styleId="104">
    <w:name w:val="verdana14ptboldblack1"/>
    <w:qFormat/>
    <w:uiPriority w:val="0"/>
    <w:rPr>
      <w:rFonts w:hint="default" w:ascii="Verdana" w:hAnsi="Verdana"/>
      <w:b/>
      <w:bCs/>
      <w:color w:val="000000"/>
      <w:sz w:val="22"/>
      <w:szCs w:val="22"/>
    </w:rPr>
  </w:style>
  <w:style w:type="character" w:customStyle="1" w:styleId="105">
    <w:name w:val="font11"/>
    <w:qFormat/>
    <w:uiPriority w:val="0"/>
    <w:rPr>
      <w:rFonts w:hint="eastAsia" w:ascii="宋体" w:hAnsi="宋体" w:eastAsia="宋体" w:cs="宋体"/>
      <w:color w:val="000000"/>
      <w:sz w:val="24"/>
      <w:szCs w:val="24"/>
      <w:u w:val="none"/>
    </w:rPr>
  </w:style>
  <w:style w:type="character" w:customStyle="1" w:styleId="106">
    <w:name w:val="表格文字 Char"/>
    <w:qFormat/>
    <w:uiPriority w:val="0"/>
    <w:rPr>
      <w:rFonts w:ascii="宋体" w:hAnsi="宋体" w:eastAsia="宋体"/>
      <w:kern w:val="2"/>
      <w:sz w:val="21"/>
      <w:szCs w:val="24"/>
      <w:lang w:val="en-US" w:eastAsia="zh-CN" w:bidi="ar-SA"/>
    </w:rPr>
  </w:style>
  <w:style w:type="character" w:customStyle="1" w:styleId="107">
    <w:name w:val="标题4 Char2"/>
    <w:qFormat/>
    <w:uiPriority w:val="0"/>
    <w:rPr>
      <w:rFonts w:eastAsia="宋体"/>
      <w:sz w:val="24"/>
      <w:szCs w:val="24"/>
      <w:lang w:val="en-US" w:eastAsia="zh-CN" w:bidi="ar-SA"/>
    </w:rPr>
  </w:style>
  <w:style w:type="character" w:customStyle="1" w:styleId="108">
    <w:name w:val="正文文本缩进 3 字符"/>
    <w:link w:val="42"/>
    <w:qFormat/>
    <w:uiPriority w:val="0"/>
    <w:rPr>
      <w:sz w:val="16"/>
      <w:szCs w:val="16"/>
    </w:rPr>
  </w:style>
  <w:style w:type="character" w:customStyle="1" w:styleId="109">
    <w:name w:val="正文文本 字符"/>
    <w:link w:val="20"/>
    <w:qFormat/>
    <w:uiPriority w:val="0"/>
    <w:rPr>
      <w:sz w:val="28"/>
      <w:szCs w:val="24"/>
    </w:rPr>
  </w:style>
  <w:style w:type="character" w:customStyle="1" w:styleId="110">
    <w:name w:val="font"/>
    <w:basedOn w:val="56"/>
    <w:qFormat/>
    <w:uiPriority w:val="0"/>
    <w:rPr>
      <w:szCs w:val="24"/>
    </w:rPr>
  </w:style>
  <w:style w:type="character" w:customStyle="1" w:styleId="111">
    <w:name w:val="font21"/>
    <w:qFormat/>
    <w:uiPriority w:val="0"/>
    <w:rPr>
      <w:rFonts w:hint="eastAsia" w:ascii="仿宋" w:hAnsi="仿宋" w:eastAsia="仿宋" w:cs="仿宋"/>
      <w:color w:val="000000"/>
      <w:sz w:val="24"/>
      <w:szCs w:val="24"/>
      <w:u w:val="none"/>
    </w:rPr>
  </w:style>
  <w:style w:type="character" w:customStyle="1" w:styleId="112">
    <w:name w:val="文字 Char"/>
    <w:link w:val="113"/>
    <w:qFormat/>
    <w:uiPriority w:val="0"/>
    <w:rPr>
      <w:rFonts w:ascii="宋体"/>
      <w:sz w:val="28"/>
    </w:rPr>
  </w:style>
  <w:style w:type="paragraph" w:customStyle="1" w:styleId="113">
    <w:name w:val="文字"/>
    <w:basedOn w:val="1"/>
    <w:link w:val="112"/>
    <w:qFormat/>
    <w:uiPriority w:val="0"/>
    <w:pPr>
      <w:tabs>
        <w:tab w:val="left" w:pos="8520"/>
      </w:tabs>
      <w:spacing w:line="312" w:lineRule="auto"/>
      <w:ind w:right="-210" w:firstLine="556"/>
    </w:pPr>
    <w:rPr>
      <w:rFonts w:ascii="宋体" w:hAnsiTheme="minorHAnsi" w:eastAsiaTheme="minorEastAsia" w:cstheme="minorBidi"/>
      <w:sz w:val="28"/>
      <w:szCs w:val="22"/>
    </w:rPr>
  </w:style>
  <w:style w:type="character" w:customStyle="1" w:styleId="114">
    <w:name w:val="正文文本 3 字符"/>
    <w:link w:val="19"/>
    <w:qFormat/>
    <w:uiPriority w:val="0"/>
    <w:rPr>
      <w:rFonts w:ascii="宋体"/>
      <w:sz w:val="24"/>
      <w:szCs w:val="24"/>
    </w:rPr>
  </w:style>
  <w:style w:type="character" w:customStyle="1" w:styleId="115">
    <w:name w:val="副标题 Char"/>
    <w:qFormat/>
    <w:uiPriority w:val="0"/>
    <w:rPr>
      <w:rFonts w:ascii="Cambria" w:hAnsi="Cambria"/>
      <w:b/>
      <w:bCs/>
      <w:kern w:val="28"/>
      <w:sz w:val="32"/>
      <w:szCs w:val="32"/>
      <w:lang w:bidi="ar-SA"/>
    </w:rPr>
  </w:style>
  <w:style w:type="character" w:customStyle="1" w:styleId="116">
    <w:name w:val="标题 3 Char1"/>
    <w:qFormat/>
    <w:uiPriority w:val="0"/>
    <w:rPr>
      <w:rFonts w:ascii="Times New Roman" w:hAnsi="Times New Roman" w:eastAsia="黑体"/>
      <w:bCs/>
      <w:sz w:val="24"/>
      <w:szCs w:val="32"/>
    </w:rPr>
  </w:style>
  <w:style w:type="character" w:customStyle="1" w:styleId="117">
    <w:name w:val="标题 5 字符"/>
    <w:link w:val="8"/>
    <w:qFormat/>
    <w:uiPriority w:val="0"/>
    <w:rPr>
      <w:rFonts w:ascii="Calibri" w:hAnsi="Calibri" w:eastAsia="宋体" w:cs="Times New Roman"/>
      <w:b/>
      <w:bCs/>
      <w:sz w:val="28"/>
      <w:szCs w:val="28"/>
      <w:lang w:val="zh-CN" w:eastAsia="zh-CN"/>
    </w:rPr>
  </w:style>
  <w:style w:type="character" w:customStyle="1" w:styleId="118">
    <w:name w:val="正文文本 Char1"/>
    <w:qFormat/>
    <w:uiPriority w:val="0"/>
    <w:rPr>
      <w:kern w:val="2"/>
      <w:sz w:val="21"/>
      <w:szCs w:val="22"/>
    </w:rPr>
  </w:style>
  <w:style w:type="character" w:customStyle="1" w:styleId="119">
    <w:name w:val="标题 7 字符"/>
    <w:link w:val="10"/>
    <w:qFormat/>
    <w:uiPriority w:val="0"/>
    <w:rPr>
      <w:rFonts w:ascii="Times New Roman" w:hAnsi="Times New Roman" w:eastAsia="宋体" w:cs="Times New Roman"/>
      <w:b/>
      <w:bCs/>
      <w:kern w:val="0"/>
      <w:sz w:val="24"/>
      <w:szCs w:val="24"/>
      <w:lang w:val="zh-CN" w:eastAsia="zh-CN"/>
    </w:rPr>
  </w:style>
  <w:style w:type="character" w:customStyle="1" w:styleId="120">
    <w:name w:val="标题 4 Char Char"/>
    <w:qFormat/>
    <w:uiPriority w:val="0"/>
    <w:rPr>
      <w:rFonts w:ascii="Arial" w:hAnsi="Arial" w:eastAsia="黑体"/>
      <w:b/>
      <w:bCs/>
      <w:kern w:val="2"/>
      <w:sz w:val="28"/>
      <w:szCs w:val="28"/>
      <w:lang w:val="en-US" w:eastAsia="zh-CN" w:bidi="ar-SA"/>
    </w:rPr>
  </w:style>
  <w:style w:type="character" w:customStyle="1" w:styleId="121">
    <w:name w:val="表格文字 Char Char"/>
    <w:qFormat/>
    <w:uiPriority w:val="0"/>
    <w:rPr>
      <w:rFonts w:ascii="宋体" w:hAnsi="宋体" w:eastAsia="宋体"/>
      <w:kern w:val="2"/>
      <w:sz w:val="21"/>
      <w:szCs w:val="24"/>
      <w:lang w:val="en-US" w:eastAsia="zh-CN" w:bidi="ar-SA"/>
    </w:rPr>
  </w:style>
  <w:style w:type="character" w:customStyle="1" w:styleId="122">
    <w:name w:val="正文new Char"/>
    <w:link w:val="123"/>
    <w:qFormat/>
    <w:uiPriority w:val="0"/>
    <w:rPr>
      <w:rFonts w:ascii="宋体" w:hAnsi="宋体"/>
      <w:color w:val="000000"/>
      <w:sz w:val="24"/>
      <w:szCs w:val="24"/>
    </w:rPr>
  </w:style>
  <w:style w:type="paragraph" w:customStyle="1" w:styleId="123">
    <w:name w:val="正文new"/>
    <w:basedOn w:val="1"/>
    <w:link w:val="122"/>
    <w:qFormat/>
    <w:uiPriority w:val="0"/>
    <w:pPr>
      <w:spacing w:line="360" w:lineRule="auto"/>
      <w:ind w:firstLine="480" w:firstLineChars="200"/>
    </w:pPr>
    <w:rPr>
      <w:rFonts w:ascii="宋体" w:hAnsi="宋体" w:eastAsiaTheme="minorEastAsia" w:cstheme="minorBidi"/>
      <w:color w:val="000000"/>
      <w:sz w:val="24"/>
      <w:szCs w:val="24"/>
    </w:rPr>
  </w:style>
  <w:style w:type="character" w:customStyle="1" w:styleId="124">
    <w:name w:val="文档结构图 Char"/>
    <w:qFormat/>
    <w:uiPriority w:val="0"/>
    <w:rPr>
      <w:rFonts w:eastAsia="宋体"/>
      <w:kern w:val="2"/>
      <w:sz w:val="21"/>
      <w:szCs w:val="24"/>
      <w:lang w:val="en-US" w:eastAsia="zh-CN" w:bidi="ar-SA"/>
    </w:rPr>
  </w:style>
  <w:style w:type="character" w:customStyle="1" w:styleId="125">
    <w:name w:val="CD正文 Char"/>
    <w:link w:val="126"/>
    <w:qFormat/>
    <w:uiPriority w:val="0"/>
    <w:rPr>
      <w:rFonts w:eastAsia="宋体"/>
      <w:sz w:val="30"/>
      <w:szCs w:val="28"/>
    </w:rPr>
  </w:style>
  <w:style w:type="paragraph" w:customStyle="1" w:styleId="126">
    <w:name w:val="CD正文"/>
    <w:basedOn w:val="1"/>
    <w:link w:val="125"/>
    <w:qFormat/>
    <w:uiPriority w:val="0"/>
    <w:pPr>
      <w:spacing w:line="360" w:lineRule="auto"/>
      <w:ind w:firstLine="493"/>
    </w:pPr>
    <w:rPr>
      <w:rFonts w:asciiTheme="minorHAnsi" w:hAnsiTheme="minorHAnsi" w:cstheme="minorBidi"/>
      <w:sz w:val="30"/>
      <w:szCs w:val="28"/>
    </w:rPr>
  </w:style>
  <w:style w:type="character" w:customStyle="1" w:styleId="127">
    <w:name w:val="pt101"/>
    <w:qFormat/>
    <w:uiPriority w:val="0"/>
    <w:rPr>
      <w:sz w:val="14"/>
      <w:szCs w:val="14"/>
    </w:rPr>
  </w:style>
  <w:style w:type="character" w:customStyle="1" w:styleId="128">
    <w:name w:val="页脚 字符"/>
    <w:qFormat/>
    <w:uiPriority w:val="0"/>
    <w:rPr>
      <w:kern w:val="2"/>
      <w:sz w:val="18"/>
      <w:szCs w:val="18"/>
    </w:rPr>
  </w:style>
  <w:style w:type="character" w:customStyle="1" w:styleId="129">
    <w:name w:val="标题4 Char1"/>
    <w:qFormat/>
    <w:uiPriority w:val="0"/>
    <w:rPr>
      <w:rFonts w:eastAsia="宋体"/>
      <w:sz w:val="24"/>
      <w:szCs w:val="24"/>
      <w:lang w:val="en-US" w:eastAsia="zh-CN" w:bidi="ar-SA"/>
    </w:rPr>
  </w:style>
  <w:style w:type="character" w:customStyle="1" w:styleId="130">
    <w:name w:val="引用 字符"/>
    <w:link w:val="131"/>
    <w:qFormat/>
    <w:uiPriority w:val="0"/>
    <w:rPr>
      <w:i/>
      <w:iCs/>
      <w:color w:val="000000"/>
    </w:rPr>
  </w:style>
  <w:style w:type="paragraph" w:customStyle="1" w:styleId="131">
    <w:name w:val="引用1"/>
    <w:basedOn w:val="1"/>
    <w:next w:val="1"/>
    <w:link w:val="130"/>
    <w:qFormat/>
    <w:uiPriority w:val="0"/>
    <w:rPr>
      <w:rFonts w:asciiTheme="minorHAnsi" w:hAnsiTheme="minorHAnsi" w:eastAsiaTheme="minorEastAsia" w:cstheme="minorBidi"/>
      <w:i/>
      <w:iCs/>
      <w:color w:val="000000"/>
      <w:szCs w:val="22"/>
    </w:rPr>
  </w:style>
  <w:style w:type="character" w:customStyle="1" w:styleId="132">
    <w:name w:val="正文文字 Char Char"/>
    <w:link w:val="133"/>
    <w:qFormat/>
    <w:uiPriority w:val="0"/>
    <w:rPr>
      <w:rFonts w:eastAsia="宋体"/>
      <w:color w:val="000000"/>
      <w:sz w:val="28"/>
      <w:szCs w:val="28"/>
    </w:rPr>
  </w:style>
  <w:style w:type="paragraph" w:customStyle="1" w:styleId="133">
    <w:name w:val="正文文字"/>
    <w:basedOn w:val="1"/>
    <w:link w:val="132"/>
    <w:qFormat/>
    <w:uiPriority w:val="0"/>
    <w:pPr>
      <w:ind w:firstLine="482"/>
    </w:pPr>
    <w:rPr>
      <w:rFonts w:asciiTheme="minorHAnsi" w:hAnsiTheme="minorHAnsi" w:cstheme="minorBidi"/>
      <w:color w:val="000000"/>
      <w:sz w:val="28"/>
      <w:szCs w:val="28"/>
    </w:rPr>
  </w:style>
  <w:style w:type="character" w:customStyle="1" w:styleId="134">
    <w:name w:val="Char Char17"/>
    <w:qFormat/>
    <w:uiPriority w:val="0"/>
    <w:rPr>
      <w:rFonts w:ascii="Cambria" w:hAnsi="Cambria" w:eastAsia="宋体" w:cs="Times New Roman"/>
      <w:b/>
      <w:bCs/>
      <w:kern w:val="2"/>
      <w:sz w:val="32"/>
      <w:szCs w:val="32"/>
    </w:rPr>
  </w:style>
  <w:style w:type="character" w:customStyle="1" w:styleId="135">
    <w:name w:val="正文文本 (3)_"/>
    <w:link w:val="136"/>
    <w:qFormat/>
    <w:uiPriority w:val="0"/>
    <w:rPr>
      <w:rFonts w:ascii="宋体"/>
      <w:szCs w:val="24"/>
      <w:shd w:val="clear" w:color="auto" w:fill="FFFFFF"/>
    </w:rPr>
  </w:style>
  <w:style w:type="paragraph" w:customStyle="1" w:styleId="136">
    <w:name w:val="正文文本 (3)1"/>
    <w:basedOn w:val="1"/>
    <w:link w:val="135"/>
    <w:qFormat/>
    <w:uiPriority w:val="0"/>
    <w:pPr>
      <w:shd w:val="clear" w:color="auto" w:fill="FFFFFF"/>
      <w:spacing w:line="240" w:lineRule="atLeast"/>
      <w:jc w:val="left"/>
    </w:pPr>
    <w:rPr>
      <w:rFonts w:ascii="宋体" w:hAnsiTheme="minorHAnsi" w:eastAsiaTheme="minorEastAsia" w:cstheme="minorBidi"/>
      <w:szCs w:val="24"/>
      <w:shd w:val="clear" w:color="auto" w:fill="FFFFFF"/>
    </w:rPr>
  </w:style>
  <w:style w:type="character" w:customStyle="1" w:styleId="137">
    <w:name w:val="标题 9 字符"/>
    <w:link w:val="12"/>
    <w:qFormat/>
    <w:uiPriority w:val="0"/>
    <w:rPr>
      <w:rFonts w:ascii="Arial" w:hAnsi="Arial" w:eastAsia="黑体" w:cs="Times New Roman"/>
      <w:kern w:val="0"/>
      <w:szCs w:val="21"/>
      <w:lang w:val="zh-CN" w:eastAsia="zh-CN"/>
    </w:rPr>
  </w:style>
  <w:style w:type="character" w:customStyle="1" w:styleId="138">
    <w:name w:val="txt1"/>
    <w:qFormat/>
    <w:uiPriority w:val="0"/>
    <w:rPr>
      <w:rFonts w:hint="default" w:ascii="ˎ̥" w:hAnsi="ˎ̥"/>
      <w:sz w:val="18"/>
      <w:szCs w:val="18"/>
    </w:rPr>
  </w:style>
  <w:style w:type="character" w:customStyle="1" w:styleId="139">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40">
    <w:name w:val="列表段落 字符"/>
    <w:link w:val="141"/>
    <w:qFormat/>
    <w:uiPriority w:val="0"/>
    <w:rPr>
      <w:rFonts w:ascii="Calibri" w:hAnsi="Calibri" w:eastAsia="宋体"/>
    </w:rPr>
  </w:style>
  <w:style w:type="paragraph" w:customStyle="1" w:styleId="141">
    <w:name w:val="列表段落1"/>
    <w:basedOn w:val="1"/>
    <w:link w:val="140"/>
    <w:qFormat/>
    <w:uiPriority w:val="34"/>
    <w:pPr>
      <w:ind w:firstLine="420" w:firstLineChars="200"/>
    </w:pPr>
    <w:rPr>
      <w:rFonts w:ascii="Calibri" w:hAnsi="Calibri" w:cstheme="minorBidi"/>
      <w:szCs w:val="22"/>
    </w:rPr>
  </w:style>
  <w:style w:type="character" w:customStyle="1" w:styleId="142">
    <w:name w:val="表格 Char"/>
    <w:link w:val="143"/>
    <w:qFormat/>
    <w:uiPriority w:val="0"/>
    <w:rPr>
      <w:rFonts w:ascii="华文细黑" w:hAnsi="华文细黑" w:eastAsia="宋体"/>
    </w:rPr>
  </w:style>
  <w:style w:type="paragraph" w:customStyle="1" w:styleId="143">
    <w:name w:val="表格"/>
    <w:basedOn w:val="1"/>
    <w:link w:val="142"/>
    <w:qFormat/>
    <w:uiPriority w:val="0"/>
    <w:pPr>
      <w:jc w:val="center"/>
      <w:textAlignment w:val="center"/>
    </w:pPr>
    <w:rPr>
      <w:rFonts w:ascii="华文细黑" w:hAnsi="华文细黑" w:cstheme="minorBidi"/>
      <w:szCs w:val="22"/>
    </w:rPr>
  </w:style>
  <w:style w:type="character" w:customStyle="1" w:styleId="144">
    <w:name w:val="批注框文本 Char"/>
    <w:qFormat/>
    <w:uiPriority w:val="0"/>
    <w:rPr>
      <w:rFonts w:eastAsia="宋体"/>
      <w:kern w:val="2"/>
      <w:sz w:val="18"/>
      <w:szCs w:val="18"/>
      <w:lang w:val="en-US" w:eastAsia="zh-CN" w:bidi="ar-SA"/>
    </w:rPr>
  </w:style>
  <w:style w:type="character" w:customStyle="1" w:styleId="145">
    <w:name w:val="H2 Char"/>
    <w:qFormat/>
    <w:uiPriority w:val="0"/>
    <w:rPr>
      <w:rFonts w:ascii="Arial" w:hAnsi="Arial" w:eastAsia="仿宋_GB2312"/>
      <w:b/>
      <w:kern w:val="2"/>
      <w:sz w:val="28"/>
      <w:lang w:val="en-US" w:eastAsia="zh-CN" w:bidi="ar-SA"/>
    </w:rPr>
  </w:style>
  <w:style w:type="character" w:customStyle="1" w:styleId="146">
    <w:name w:val="不明显强调1"/>
    <w:qFormat/>
    <w:uiPriority w:val="0"/>
    <w:rPr>
      <w:i/>
      <w:iCs/>
      <w:color w:val="808080"/>
    </w:rPr>
  </w:style>
  <w:style w:type="character" w:customStyle="1" w:styleId="147">
    <w:name w:val="常用正文 Char"/>
    <w:link w:val="148"/>
    <w:qFormat/>
    <w:uiPriority w:val="0"/>
    <w:rPr>
      <w:rFonts w:ascii="Arial" w:hAnsi="Arial" w:eastAsia="楷体_GB2312"/>
      <w:sz w:val="24"/>
    </w:rPr>
  </w:style>
  <w:style w:type="paragraph" w:customStyle="1" w:styleId="148">
    <w:name w:val="常用正文"/>
    <w:link w:val="147"/>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149">
    <w:name w:val="文档结构图 Char1"/>
    <w:qFormat/>
    <w:uiPriority w:val="0"/>
    <w:rPr>
      <w:rFonts w:ascii="宋体"/>
      <w:kern w:val="2"/>
      <w:sz w:val="18"/>
      <w:szCs w:val="18"/>
    </w:rPr>
  </w:style>
  <w:style w:type="character" w:customStyle="1" w:styleId="150">
    <w:name w:val="正文文本缩进 字符"/>
    <w:qFormat/>
    <w:uiPriority w:val="0"/>
    <w:rPr>
      <w:kern w:val="2"/>
      <w:sz w:val="21"/>
      <w:szCs w:val="24"/>
    </w:rPr>
  </w:style>
  <w:style w:type="character" w:customStyle="1" w:styleId="151">
    <w:name w:val="标题 1 字符"/>
    <w:link w:val="3"/>
    <w:qFormat/>
    <w:uiPriority w:val="0"/>
    <w:rPr>
      <w:rFonts w:ascii="Times New Roman" w:hAnsi="Times New Roman" w:eastAsia="宋体" w:cs="Times New Roman"/>
      <w:b/>
      <w:bCs/>
      <w:kern w:val="44"/>
      <w:sz w:val="44"/>
      <w:szCs w:val="44"/>
      <w:lang w:val="zh-CN" w:eastAsia="zh-CN"/>
    </w:rPr>
  </w:style>
  <w:style w:type="character" w:customStyle="1" w:styleId="152">
    <w:name w:val="标题4 Char3"/>
    <w:qFormat/>
    <w:uiPriority w:val="0"/>
    <w:rPr>
      <w:rFonts w:eastAsia="宋体"/>
      <w:sz w:val="24"/>
      <w:szCs w:val="24"/>
      <w:lang w:val="en-US" w:eastAsia="zh-CN" w:bidi="ar-SA"/>
    </w:rPr>
  </w:style>
  <w:style w:type="character" w:customStyle="1" w:styleId="153">
    <w:name w:val="明显引用 Char1"/>
    <w:qFormat/>
    <w:uiPriority w:val="30"/>
    <w:rPr>
      <w:b/>
      <w:bCs/>
      <w:i/>
      <w:iCs/>
      <w:color w:val="4F81BD"/>
      <w:kern w:val="2"/>
      <w:sz w:val="21"/>
      <w:szCs w:val="24"/>
    </w:rPr>
  </w:style>
  <w:style w:type="character" w:customStyle="1" w:styleId="154">
    <w:name w:val="标题 6 字符"/>
    <w:link w:val="9"/>
    <w:qFormat/>
    <w:uiPriority w:val="0"/>
    <w:rPr>
      <w:rFonts w:ascii="Arial" w:hAnsi="Arial" w:eastAsia="黑体" w:cs="Times New Roman"/>
      <w:b/>
      <w:bCs/>
      <w:kern w:val="0"/>
      <w:sz w:val="24"/>
      <w:szCs w:val="24"/>
      <w:lang w:val="zh-CN" w:eastAsia="zh-CN"/>
    </w:rPr>
  </w:style>
  <w:style w:type="character" w:customStyle="1" w:styleId="155">
    <w:name w:val="h3 Char1"/>
    <w:qFormat/>
    <w:uiPriority w:val="0"/>
    <w:rPr>
      <w:rFonts w:eastAsia="仿宋_GB2312"/>
      <w:bCs/>
      <w:kern w:val="2"/>
      <w:sz w:val="28"/>
      <w:szCs w:val="32"/>
      <w:lang w:val="en-US" w:eastAsia="zh-CN" w:bidi="ar-SA"/>
    </w:rPr>
  </w:style>
  <w:style w:type="character" w:customStyle="1" w:styleId="156">
    <w:name w:val="副标题 Char1"/>
    <w:qFormat/>
    <w:uiPriority w:val="0"/>
    <w:rPr>
      <w:rFonts w:ascii="Cambria" w:hAnsi="Cambria" w:cs="Times New Roman"/>
      <w:b/>
      <w:bCs/>
      <w:kern w:val="28"/>
      <w:sz w:val="32"/>
      <w:szCs w:val="32"/>
    </w:rPr>
  </w:style>
  <w:style w:type="character" w:customStyle="1" w:styleId="157">
    <w:name w:val="标题5 Char Char"/>
    <w:link w:val="158"/>
    <w:qFormat/>
    <w:uiPriority w:val="0"/>
    <w:rPr>
      <w:rFonts w:ascii="Arial" w:hAnsi="Arial"/>
      <w:b/>
      <w:bCs/>
      <w:sz w:val="24"/>
      <w:szCs w:val="32"/>
    </w:rPr>
  </w:style>
  <w:style w:type="paragraph" w:customStyle="1" w:styleId="158">
    <w:name w:val="标题5"/>
    <w:basedOn w:val="5"/>
    <w:link w:val="157"/>
    <w:qFormat/>
    <w:uiPriority w:val="0"/>
    <w:pPr>
      <w:spacing w:line="413" w:lineRule="auto"/>
    </w:pPr>
    <w:rPr>
      <w:rFonts w:ascii="Arial" w:hAnsi="Arial" w:eastAsiaTheme="minorEastAsia" w:cstheme="minorBidi"/>
      <w:sz w:val="24"/>
      <w:lang w:val="en-US"/>
    </w:rPr>
  </w:style>
  <w:style w:type="character" w:customStyle="1" w:styleId="159">
    <w:name w:val="spantitle"/>
    <w:basedOn w:val="56"/>
    <w:qFormat/>
    <w:uiPriority w:val="0"/>
    <w:rPr>
      <w:szCs w:val="24"/>
    </w:rPr>
  </w:style>
  <w:style w:type="character" w:customStyle="1" w:styleId="160">
    <w:name w:val="msonormal"/>
    <w:basedOn w:val="56"/>
    <w:qFormat/>
    <w:uiPriority w:val="0"/>
    <w:rPr>
      <w:szCs w:val="24"/>
    </w:rPr>
  </w:style>
  <w:style w:type="character" w:customStyle="1" w:styleId="161">
    <w:name w:val="无间隔 字符"/>
    <w:link w:val="162"/>
    <w:qFormat/>
    <w:uiPriority w:val="0"/>
    <w:rPr>
      <w:rFonts w:ascii="Calibri" w:hAnsi="Calibri"/>
    </w:rPr>
  </w:style>
  <w:style w:type="paragraph" w:customStyle="1" w:styleId="162">
    <w:name w:val="无间隔1"/>
    <w:link w:val="161"/>
    <w:qFormat/>
    <w:uiPriority w:val="0"/>
    <w:pPr>
      <w:widowControl w:val="0"/>
      <w:jc w:val="both"/>
    </w:pPr>
    <w:rPr>
      <w:rFonts w:ascii="Calibri" w:hAnsi="Calibri" w:eastAsiaTheme="minorEastAsia" w:cstheme="minorBidi"/>
      <w:kern w:val="2"/>
      <w:sz w:val="21"/>
      <w:szCs w:val="22"/>
      <w:lang w:val="en-US" w:eastAsia="zh-CN" w:bidi="ar-SA"/>
    </w:rPr>
  </w:style>
  <w:style w:type="character" w:customStyle="1" w:styleId="163">
    <w:name w:val="批注框文本 Char1"/>
    <w:qFormat/>
    <w:uiPriority w:val="0"/>
    <w:rPr>
      <w:kern w:val="2"/>
      <w:sz w:val="18"/>
      <w:szCs w:val="18"/>
    </w:rPr>
  </w:style>
  <w:style w:type="character" w:customStyle="1" w:styleId="164">
    <w:name w:val="样式 正文缩进 + 首行缩进:  2 字符 Char"/>
    <w:link w:val="165"/>
    <w:qFormat/>
    <w:uiPriority w:val="0"/>
    <w:rPr>
      <w:rFonts w:eastAsia="宋体" w:cs="宋体"/>
      <w:sz w:val="24"/>
    </w:rPr>
  </w:style>
  <w:style w:type="paragraph" w:customStyle="1" w:styleId="165">
    <w:name w:val="样式 正文缩进 + 首行缩进:  2 字符"/>
    <w:basedOn w:val="7"/>
    <w:link w:val="164"/>
    <w:qFormat/>
    <w:uiPriority w:val="0"/>
    <w:pPr>
      <w:adjustRightInd/>
      <w:spacing w:line="360" w:lineRule="auto"/>
      <w:ind w:firstLine="200" w:firstLineChars="200"/>
    </w:pPr>
    <w:rPr>
      <w:rFonts w:cs="宋体"/>
      <w:szCs w:val="22"/>
    </w:rPr>
  </w:style>
  <w:style w:type="character" w:customStyle="1" w:styleId="166">
    <w:name w:val="正文缩进 Char Char Char"/>
    <w:qFormat/>
    <w:uiPriority w:val="0"/>
    <w:rPr>
      <w:rFonts w:eastAsia="宋体"/>
      <w:sz w:val="24"/>
      <w:szCs w:val="24"/>
      <w:lang w:val="en-US" w:eastAsia="zh-CN" w:bidi="ar-SA"/>
    </w:rPr>
  </w:style>
  <w:style w:type="character" w:customStyle="1" w:styleId="167">
    <w:name w:val="正文缩进2字符 Char"/>
    <w:link w:val="168"/>
    <w:qFormat/>
    <w:uiPriority w:val="0"/>
    <w:rPr>
      <w:rFonts w:eastAsia="宋体"/>
      <w:sz w:val="24"/>
    </w:rPr>
  </w:style>
  <w:style w:type="paragraph" w:customStyle="1" w:styleId="168">
    <w:name w:val="正文缩进2字符"/>
    <w:basedOn w:val="1"/>
    <w:link w:val="167"/>
    <w:qFormat/>
    <w:uiPriority w:val="0"/>
    <w:pPr>
      <w:spacing w:line="360" w:lineRule="auto"/>
      <w:ind w:firstLine="480" w:firstLineChars="200"/>
    </w:pPr>
    <w:rPr>
      <w:rFonts w:asciiTheme="minorHAnsi" w:hAnsiTheme="minorHAnsi" w:cstheme="minorBidi"/>
      <w:sz w:val="24"/>
      <w:szCs w:val="22"/>
    </w:rPr>
  </w:style>
  <w:style w:type="character" w:customStyle="1" w:styleId="169">
    <w:name w:val="批注文字 字符"/>
    <w:link w:val="18"/>
    <w:qFormat/>
    <w:uiPriority w:val="0"/>
    <w:rPr>
      <w:szCs w:val="24"/>
    </w:rPr>
  </w:style>
  <w:style w:type="character" w:customStyle="1" w:styleId="170">
    <w:name w:val="正文缩进 Char Char1"/>
    <w:qFormat/>
    <w:uiPriority w:val="0"/>
    <w:rPr>
      <w:rFonts w:eastAsia="宋体"/>
      <w:kern w:val="2"/>
      <w:sz w:val="24"/>
      <w:szCs w:val="24"/>
      <w:lang w:val="en-US" w:eastAsia="zh-CN" w:bidi="ar-SA"/>
    </w:rPr>
  </w:style>
  <w:style w:type="character" w:customStyle="1" w:styleId="171">
    <w:name w:val="标题3 Char1"/>
    <w:qFormat/>
    <w:uiPriority w:val="0"/>
    <w:rPr>
      <w:rFonts w:eastAsia="仿宋_GB2312"/>
      <w:bCs/>
      <w:kern w:val="2"/>
      <w:sz w:val="28"/>
      <w:szCs w:val="32"/>
      <w:lang w:val="en-US" w:eastAsia="zh-CN" w:bidi="ar-SA"/>
    </w:rPr>
  </w:style>
  <w:style w:type="character" w:customStyle="1" w:styleId="172">
    <w:name w:val="Body Char"/>
    <w:link w:val="173"/>
    <w:qFormat/>
    <w:uiPriority w:val="0"/>
    <w:rPr>
      <w:rFonts w:ascii="宋体" w:hAnsi="宋体"/>
      <w:sz w:val="24"/>
    </w:rPr>
  </w:style>
  <w:style w:type="paragraph" w:customStyle="1" w:styleId="173">
    <w:name w:val="Body"/>
    <w:basedOn w:val="1"/>
    <w:link w:val="172"/>
    <w:qFormat/>
    <w:uiPriority w:val="0"/>
    <w:pPr>
      <w:widowControl/>
      <w:tabs>
        <w:tab w:val="left" w:pos="9255"/>
      </w:tabs>
      <w:spacing w:before="156" w:beforeLines="50" w:after="156" w:afterLines="50" w:line="360" w:lineRule="auto"/>
    </w:pPr>
    <w:rPr>
      <w:rFonts w:ascii="宋体" w:hAnsi="宋体" w:eastAsiaTheme="minorEastAsia" w:cstheme="minorBidi"/>
      <w:sz w:val="24"/>
      <w:szCs w:val="22"/>
    </w:rPr>
  </w:style>
  <w:style w:type="character" w:customStyle="1" w:styleId="174">
    <w:name w:val="纯文本 Char"/>
    <w:qFormat/>
    <w:uiPriority w:val="0"/>
    <w:rPr>
      <w:rFonts w:ascii="宋体" w:hAnsi="宋体" w:eastAsia="宋体"/>
      <w:kern w:val="2"/>
      <w:sz w:val="21"/>
      <w:szCs w:val="24"/>
      <w:lang w:val="en-US" w:eastAsia="zh-CN" w:bidi="ar-SA"/>
    </w:rPr>
  </w:style>
  <w:style w:type="character" w:customStyle="1" w:styleId="175">
    <w:name w:val="h3 Char"/>
    <w:qFormat/>
    <w:uiPriority w:val="0"/>
    <w:rPr>
      <w:kern w:val="2"/>
      <w:sz w:val="24"/>
    </w:rPr>
  </w:style>
  <w:style w:type="character" w:customStyle="1" w:styleId="176">
    <w:name w:val="case31"/>
    <w:qFormat/>
    <w:uiPriority w:val="0"/>
    <w:rPr>
      <w:rFonts w:hint="default" w:eastAsia="宋体"/>
      <w:kern w:val="2"/>
      <w:sz w:val="21"/>
      <w:lang w:val="en-US" w:eastAsia="zh-CN"/>
    </w:rPr>
  </w:style>
  <w:style w:type="character" w:customStyle="1" w:styleId="177">
    <w:name w:val="标题 8 字符"/>
    <w:link w:val="11"/>
    <w:qFormat/>
    <w:uiPriority w:val="0"/>
    <w:rPr>
      <w:rFonts w:ascii="Arial" w:hAnsi="Arial" w:eastAsia="黑体" w:cs="Times New Roman"/>
      <w:kern w:val="0"/>
      <w:sz w:val="24"/>
      <w:szCs w:val="24"/>
      <w:lang w:val="zh-CN" w:eastAsia="zh-CN"/>
    </w:rPr>
  </w:style>
  <w:style w:type="character" w:customStyle="1" w:styleId="178">
    <w:name w:val="Variable"/>
    <w:qFormat/>
    <w:uiPriority w:val="0"/>
    <w:rPr>
      <w:i/>
    </w:rPr>
  </w:style>
  <w:style w:type="character" w:customStyle="1" w:styleId="179">
    <w:name w:val="标题 2 Char Char"/>
    <w:qFormat/>
    <w:uiPriority w:val="0"/>
    <w:rPr>
      <w:rFonts w:ascii="Arial" w:hAnsi="Arial" w:eastAsia="黑体"/>
      <w:b/>
      <w:bCs/>
      <w:kern w:val="2"/>
      <w:sz w:val="32"/>
      <w:szCs w:val="32"/>
      <w:lang w:val="en-US" w:eastAsia="zh-CN" w:bidi="ar-SA"/>
    </w:rPr>
  </w:style>
  <w:style w:type="character" w:customStyle="1" w:styleId="180">
    <w:name w:val="Char Char16"/>
    <w:qFormat/>
    <w:uiPriority w:val="0"/>
    <w:rPr>
      <w:b/>
      <w:bCs/>
      <w:kern w:val="2"/>
      <w:sz w:val="32"/>
      <w:szCs w:val="32"/>
    </w:rPr>
  </w:style>
  <w:style w:type="character" w:customStyle="1" w:styleId="181">
    <w:name w:val="纯文本 字符"/>
    <w:link w:val="28"/>
    <w:qFormat/>
    <w:uiPriority w:val="0"/>
    <w:rPr>
      <w:rFonts w:ascii="宋体" w:hAnsi="Courier New" w:cs="Courier New"/>
      <w:szCs w:val="21"/>
    </w:rPr>
  </w:style>
  <w:style w:type="character" w:customStyle="1" w:styleId="182">
    <w:name w:val="正文2 Char Char"/>
    <w:link w:val="183"/>
    <w:qFormat/>
    <w:uiPriority w:val="0"/>
    <w:rPr>
      <w:rFonts w:eastAsia="仿宋_GB2312"/>
      <w:sz w:val="28"/>
    </w:rPr>
  </w:style>
  <w:style w:type="paragraph" w:customStyle="1" w:styleId="183">
    <w:name w:val="正文2 Char"/>
    <w:basedOn w:val="1"/>
    <w:link w:val="182"/>
    <w:qFormat/>
    <w:uiPriority w:val="0"/>
    <w:pPr>
      <w:spacing w:before="62" w:beforeLines="20" w:after="62" w:afterLines="20" w:line="360" w:lineRule="auto"/>
      <w:ind w:firstLine="200" w:firstLineChars="200"/>
    </w:pPr>
    <w:rPr>
      <w:rFonts w:eastAsia="仿宋_GB2312" w:asciiTheme="minorHAnsi" w:hAnsiTheme="minorHAnsi" w:cstheme="minorBidi"/>
      <w:sz w:val="28"/>
      <w:szCs w:val="22"/>
    </w:rPr>
  </w:style>
  <w:style w:type="character" w:customStyle="1" w:styleId="184">
    <w:name w:val="unnamed11"/>
    <w:qFormat/>
    <w:uiPriority w:val="0"/>
    <w:rPr>
      <w:color w:val="000000"/>
      <w:sz w:val="18"/>
      <w:szCs w:val="18"/>
      <w:u w:val="none"/>
    </w:rPr>
  </w:style>
  <w:style w:type="character" w:customStyle="1" w:styleId="185">
    <w:name w:val="H2 Char1"/>
    <w:qFormat/>
    <w:uiPriority w:val="0"/>
    <w:rPr>
      <w:rFonts w:ascii="宋体" w:hAnsi="宋体" w:eastAsia="宋体"/>
      <w:b/>
      <w:bCs/>
      <w:kern w:val="2"/>
      <w:sz w:val="22"/>
      <w:szCs w:val="24"/>
      <w:lang w:val="en-US" w:eastAsia="zh-CN" w:bidi="ar-SA"/>
    </w:rPr>
  </w:style>
  <w:style w:type="character" w:customStyle="1" w:styleId="186">
    <w:name w:val="wenben1"/>
    <w:qFormat/>
    <w:uiPriority w:val="0"/>
    <w:rPr>
      <w:u w:val="none"/>
    </w:rPr>
  </w:style>
  <w:style w:type="character" w:customStyle="1" w:styleId="187">
    <w:name w:val="批注框文本 字符"/>
    <w:link w:val="33"/>
    <w:qFormat/>
    <w:uiPriority w:val="0"/>
    <w:rPr>
      <w:sz w:val="18"/>
      <w:szCs w:val="18"/>
    </w:rPr>
  </w:style>
  <w:style w:type="character" w:customStyle="1" w:styleId="188">
    <w:name w:val="正文缩进 字符"/>
    <w:link w:val="7"/>
    <w:qFormat/>
    <w:uiPriority w:val="0"/>
    <w:rPr>
      <w:rFonts w:eastAsia="宋体"/>
      <w:sz w:val="24"/>
      <w:szCs w:val="24"/>
    </w:rPr>
  </w:style>
  <w:style w:type="character" w:customStyle="1" w:styleId="189">
    <w:name w:val="标题3 Char Char"/>
    <w:qFormat/>
    <w:uiPriority w:val="0"/>
    <w:rPr>
      <w:rFonts w:eastAsia="仿宋_GB2312"/>
      <w:bCs/>
      <w:kern w:val="2"/>
      <w:sz w:val="28"/>
      <w:szCs w:val="32"/>
      <w:lang w:val="en-US" w:eastAsia="zh-CN" w:bidi="ar-SA"/>
    </w:rPr>
  </w:style>
  <w:style w:type="character" w:customStyle="1" w:styleId="190">
    <w:name w:val="标书正文 Char"/>
    <w:link w:val="191"/>
    <w:qFormat/>
    <w:uiPriority w:val="0"/>
    <w:rPr>
      <w:rFonts w:eastAsia="仿宋_GB2312"/>
      <w:sz w:val="28"/>
      <w:szCs w:val="24"/>
    </w:rPr>
  </w:style>
  <w:style w:type="paragraph" w:customStyle="1" w:styleId="191">
    <w:name w:val="标书正文"/>
    <w:basedOn w:val="1"/>
    <w:link w:val="190"/>
    <w:qFormat/>
    <w:uiPriority w:val="0"/>
    <w:pPr>
      <w:ind w:firstLine="200" w:firstLineChars="200"/>
    </w:pPr>
    <w:rPr>
      <w:rFonts w:eastAsia="仿宋_GB2312" w:asciiTheme="minorHAnsi" w:hAnsiTheme="minorHAnsi" w:cstheme="minorBidi"/>
      <w:sz w:val="28"/>
      <w:szCs w:val="24"/>
    </w:rPr>
  </w:style>
  <w:style w:type="character" w:customStyle="1" w:styleId="192">
    <w:name w:val="明显强调1"/>
    <w:qFormat/>
    <w:uiPriority w:val="0"/>
    <w:rPr>
      <w:b/>
      <w:bCs/>
      <w:i/>
      <w:iCs/>
      <w:color w:val="4F81BD"/>
    </w:rPr>
  </w:style>
  <w:style w:type="character" w:customStyle="1" w:styleId="193">
    <w:name w:val="不明显参考1"/>
    <w:qFormat/>
    <w:uiPriority w:val="0"/>
    <w:rPr>
      <w:smallCaps/>
      <w:color w:val="C0504D"/>
      <w:u w:val="single"/>
    </w:rPr>
  </w:style>
  <w:style w:type="character" w:customStyle="1" w:styleId="194">
    <w:name w:val="标题 Char"/>
    <w:qFormat/>
    <w:uiPriority w:val="0"/>
    <w:rPr>
      <w:rFonts w:ascii="Arial" w:hAnsi="Arial" w:eastAsia="宋体"/>
      <w:b/>
      <w:sz w:val="32"/>
      <w:lang w:val="en-US" w:eastAsia="zh-CN" w:bidi="ar-SA"/>
    </w:rPr>
  </w:style>
  <w:style w:type="character" w:customStyle="1" w:styleId="195">
    <w:name w:val="标题4 Char4"/>
    <w:qFormat/>
    <w:uiPriority w:val="0"/>
    <w:rPr>
      <w:rFonts w:eastAsia="宋体"/>
      <w:sz w:val="24"/>
      <w:szCs w:val="24"/>
      <w:lang w:val="en-US" w:eastAsia="zh-CN" w:bidi="ar-SA"/>
    </w:rPr>
  </w:style>
  <w:style w:type="character" w:customStyle="1" w:styleId="196">
    <w:name w:val="正文首行缩进两字 Char"/>
    <w:link w:val="197"/>
    <w:qFormat/>
    <w:uiPriority w:val="0"/>
    <w:rPr>
      <w:rFonts w:ascii="宋体" w:hAnsi="宋体" w:eastAsia="Times New Roman"/>
      <w:kern w:val="2"/>
      <w:sz w:val="28"/>
      <w:szCs w:val="28"/>
    </w:rPr>
  </w:style>
  <w:style w:type="paragraph" w:customStyle="1" w:styleId="197">
    <w:name w:val="正文首行缩进两字"/>
    <w:link w:val="196"/>
    <w:qFormat/>
    <w:uiPriority w:val="0"/>
    <w:pPr>
      <w:numPr>
        <w:ilvl w:val="0"/>
        <w:numId w:val="3"/>
      </w:numPr>
      <w:tabs>
        <w:tab w:val="left" w:pos="420"/>
      </w:tabs>
      <w:spacing w:after="156" w:afterLines="50" w:line="360" w:lineRule="auto"/>
      <w:ind w:right="240"/>
    </w:pPr>
    <w:rPr>
      <w:rFonts w:ascii="宋体" w:hAnsi="宋体" w:eastAsia="Times New Roman" w:cstheme="minorBidi"/>
      <w:kern w:val="2"/>
      <w:sz w:val="28"/>
      <w:szCs w:val="28"/>
      <w:lang w:val="en-US" w:eastAsia="zh-CN" w:bidi="ar-SA"/>
    </w:rPr>
  </w:style>
  <w:style w:type="character" w:customStyle="1" w:styleId="198">
    <w:name w:val="标题2 Char Char"/>
    <w:link w:val="199"/>
    <w:qFormat/>
    <w:uiPriority w:val="0"/>
    <w:rPr>
      <w:rFonts w:eastAsia="仿宋_GB2312"/>
      <w:b/>
      <w:bCs/>
      <w:color w:val="000000"/>
      <w:kern w:val="44"/>
      <w:sz w:val="32"/>
      <w:szCs w:val="44"/>
    </w:rPr>
  </w:style>
  <w:style w:type="paragraph" w:customStyle="1" w:styleId="199">
    <w:name w:val="标题2 Char"/>
    <w:basedOn w:val="3"/>
    <w:link w:val="198"/>
    <w:qFormat/>
    <w:uiPriority w:val="0"/>
    <w:pPr>
      <w:spacing w:before="0" w:after="0"/>
    </w:pPr>
    <w:rPr>
      <w:rFonts w:eastAsia="仿宋_GB2312" w:asciiTheme="minorHAnsi" w:hAnsiTheme="minorHAnsi" w:cstheme="minorBidi"/>
      <w:color w:val="000000"/>
      <w:sz w:val="32"/>
      <w:lang w:val="en-US"/>
    </w:rPr>
  </w:style>
  <w:style w:type="character" w:customStyle="1" w:styleId="200">
    <w:name w:val="标题 3 字符"/>
    <w:link w:val="5"/>
    <w:qFormat/>
    <w:uiPriority w:val="0"/>
    <w:rPr>
      <w:rFonts w:ascii="Times New Roman" w:hAnsi="Times New Roman" w:eastAsia="宋体" w:cs="Times New Roman"/>
      <w:b/>
      <w:bCs/>
      <w:sz w:val="32"/>
      <w:szCs w:val="32"/>
      <w:lang w:val="zh-CN" w:eastAsia="zh-CN"/>
    </w:rPr>
  </w:style>
  <w:style w:type="character" w:customStyle="1" w:styleId="201">
    <w:name w:val="页眉 字符"/>
    <w:qFormat/>
    <w:uiPriority w:val="0"/>
    <w:rPr>
      <w:kern w:val="2"/>
      <w:sz w:val="18"/>
      <w:szCs w:val="18"/>
    </w:rPr>
  </w:style>
  <w:style w:type="character" w:customStyle="1" w:styleId="202">
    <w:name w:val="HTML 预设格式 字符"/>
    <w:link w:val="47"/>
    <w:qFormat/>
    <w:uiPriority w:val="0"/>
    <w:rPr>
      <w:rFonts w:ascii="宋体" w:hAnsi="Courier New" w:eastAsia="宋体"/>
      <w:sz w:val="24"/>
      <w:szCs w:val="24"/>
    </w:rPr>
  </w:style>
  <w:style w:type="character" w:customStyle="1" w:styleId="203">
    <w:name w:val="脚注文本 字符"/>
    <w:link w:val="40"/>
    <w:qFormat/>
    <w:uiPriority w:val="0"/>
    <w:rPr>
      <w:rFonts w:eastAsia="宋体"/>
      <w:sz w:val="24"/>
      <w:szCs w:val="24"/>
    </w:rPr>
  </w:style>
  <w:style w:type="character" w:customStyle="1" w:styleId="204">
    <w:name w:val="文档结构图 字符"/>
    <w:link w:val="17"/>
    <w:qFormat/>
    <w:uiPriority w:val="0"/>
    <w:rPr>
      <w:shd w:val="clear" w:color="auto" w:fill="000080"/>
    </w:rPr>
  </w:style>
  <w:style w:type="character" w:customStyle="1" w:styleId="205">
    <w:name w:val="H1 Char"/>
    <w:qFormat/>
    <w:uiPriority w:val="0"/>
    <w:rPr>
      <w:rFonts w:eastAsia="仿宋_GB2312"/>
      <w:b/>
      <w:bCs/>
      <w:kern w:val="44"/>
      <w:sz w:val="36"/>
      <w:szCs w:val="44"/>
      <w:lang w:val="en-US" w:eastAsia="zh-CN" w:bidi="ar-SA"/>
    </w:rPr>
  </w:style>
  <w:style w:type="character" w:customStyle="1" w:styleId="206">
    <w:name w:val="批注主题 Char"/>
    <w:qFormat/>
    <w:uiPriority w:val="0"/>
    <w:rPr>
      <w:rFonts w:eastAsia="宋体"/>
      <w:b/>
      <w:bCs/>
      <w:kern w:val="2"/>
      <w:sz w:val="21"/>
      <w:szCs w:val="24"/>
      <w:lang w:val="en-US" w:eastAsia="zh-CN" w:bidi="ar-SA"/>
    </w:rPr>
  </w:style>
  <w:style w:type="character" w:customStyle="1" w:styleId="207">
    <w:name w:val="副标题 字符"/>
    <w:link w:val="38"/>
    <w:qFormat/>
    <w:uiPriority w:val="0"/>
    <w:rPr>
      <w:rFonts w:ascii="Cambria" w:hAnsi="Cambria"/>
      <w:b/>
      <w:bCs/>
      <w:kern w:val="28"/>
      <w:sz w:val="32"/>
      <w:szCs w:val="32"/>
    </w:rPr>
  </w:style>
  <w:style w:type="character" w:customStyle="1" w:styleId="208">
    <w:name w:val="明显引用 字符"/>
    <w:link w:val="209"/>
    <w:qFormat/>
    <w:uiPriority w:val="0"/>
    <w:rPr>
      <w:b/>
      <w:bCs/>
      <w:i/>
      <w:iCs/>
      <w:color w:val="4F81BD"/>
    </w:rPr>
  </w:style>
  <w:style w:type="paragraph" w:customStyle="1" w:styleId="209">
    <w:name w:val="明显引用1"/>
    <w:basedOn w:val="1"/>
    <w:next w:val="1"/>
    <w:link w:val="208"/>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210">
    <w:name w:val="style011"/>
    <w:qFormat/>
    <w:uiPriority w:val="0"/>
    <w:rPr>
      <w:sz w:val="24"/>
      <w:szCs w:val="24"/>
      <w:u w:val="single"/>
    </w:rPr>
  </w:style>
  <w:style w:type="character" w:customStyle="1" w:styleId="211">
    <w:name w:val="日期 Char1"/>
    <w:qFormat/>
    <w:uiPriority w:val="0"/>
    <w:rPr>
      <w:kern w:val="2"/>
      <w:sz w:val="21"/>
      <w:szCs w:val="22"/>
    </w:rPr>
  </w:style>
  <w:style w:type="character" w:customStyle="1" w:styleId="212">
    <w:name w:val="文档正文 Char"/>
    <w:link w:val="213"/>
    <w:qFormat/>
    <w:uiPriority w:val="0"/>
    <w:rPr>
      <w:rFonts w:ascii="长城仿宋"/>
      <w:sz w:val="24"/>
    </w:rPr>
  </w:style>
  <w:style w:type="paragraph" w:customStyle="1" w:styleId="213">
    <w:name w:val="文档正文"/>
    <w:basedOn w:val="1"/>
    <w:link w:val="212"/>
    <w:qFormat/>
    <w:uiPriority w:val="0"/>
    <w:pPr>
      <w:adjustRightInd w:val="0"/>
      <w:spacing w:line="480" w:lineRule="atLeast"/>
      <w:ind w:firstLine="567"/>
      <w:textAlignment w:val="baseline"/>
    </w:pPr>
    <w:rPr>
      <w:rFonts w:ascii="长城仿宋" w:hAnsiTheme="minorHAnsi" w:eastAsiaTheme="minorEastAsia" w:cstheme="minorBidi"/>
      <w:sz w:val="24"/>
      <w:szCs w:val="22"/>
    </w:rPr>
  </w:style>
  <w:style w:type="character" w:customStyle="1" w:styleId="214">
    <w:name w:val="批注文字 Char Char"/>
    <w:qFormat/>
    <w:uiPriority w:val="0"/>
    <w:rPr>
      <w:rFonts w:ascii="宋体" w:hAnsi="Times New Roman" w:eastAsia="宋体" w:cs="Times New Roman"/>
      <w:sz w:val="28"/>
      <w:szCs w:val="20"/>
    </w:rPr>
  </w:style>
  <w:style w:type="character" w:customStyle="1" w:styleId="215">
    <w:name w:val="Char Char161"/>
    <w:qFormat/>
    <w:uiPriority w:val="0"/>
    <w:rPr>
      <w:b/>
      <w:bCs/>
      <w:kern w:val="2"/>
      <w:sz w:val="32"/>
      <w:szCs w:val="32"/>
    </w:rPr>
  </w:style>
  <w:style w:type="character" w:customStyle="1" w:styleId="216">
    <w:name w:val="mytext Char"/>
    <w:link w:val="217"/>
    <w:qFormat/>
    <w:uiPriority w:val="0"/>
    <w:rPr>
      <w:rFonts w:eastAsia="宋体"/>
      <w:sz w:val="24"/>
    </w:rPr>
  </w:style>
  <w:style w:type="paragraph" w:customStyle="1" w:styleId="217">
    <w:name w:val="mytext"/>
    <w:basedOn w:val="1"/>
    <w:link w:val="216"/>
    <w:qFormat/>
    <w:uiPriority w:val="0"/>
    <w:pPr>
      <w:spacing w:line="300" w:lineRule="auto"/>
      <w:ind w:firstLine="480" w:firstLineChars="200"/>
    </w:pPr>
    <w:rPr>
      <w:rFonts w:asciiTheme="minorHAnsi" w:hAnsiTheme="minorHAnsi" w:cstheme="minorBidi"/>
      <w:sz w:val="24"/>
      <w:szCs w:val="22"/>
    </w:rPr>
  </w:style>
  <w:style w:type="character" w:customStyle="1" w:styleId="218">
    <w:name w:val="textcontents"/>
    <w:basedOn w:val="56"/>
    <w:qFormat/>
    <w:uiPriority w:val="0"/>
    <w:rPr>
      <w:szCs w:val="24"/>
    </w:rPr>
  </w:style>
  <w:style w:type="character" w:customStyle="1" w:styleId="219">
    <w:name w:val="bullet Char"/>
    <w:qFormat/>
    <w:uiPriority w:val="0"/>
    <w:rPr>
      <w:rFonts w:ascii="Arial" w:hAnsi="Arial" w:eastAsia="宋体"/>
      <w:kern w:val="2"/>
      <w:sz w:val="24"/>
      <w:lang w:bidi="ar-SA"/>
    </w:rPr>
  </w:style>
  <w:style w:type="character" w:customStyle="1" w:styleId="220">
    <w:name w:val="标题 4 字符"/>
    <w:link w:val="6"/>
    <w:qFormat/>
    <w:uiPriority w:val="0"/>
    <w:rPr>
      <w:rFonts w:ascii="Arial" w:hAnsi="Arial" w:eastAsia="黑体" w:cs="Times New Roman"/>
      <w:b/>
      <w:bCs/>
      <w:sz w:val="28"/>
      <w:szCs w:val="28"/>
      <w:lang w:val="zh-CN" w:eastAsia="zh-CN"/>
    </w:rPr>
  </w:style>
  <w:style w:type="character" w:customStyle="1" w:styleId="221">
    <w:name w:val="blacktext"/>
    <w:basedOn w:val="56"/>
    <w:qFormat/>
    <w:uiPriority w:val="0"/>
    <w:rPr>
      <w:szCs w:val="24"/>
    </w:rPr>
  </w:style>
  <w:style w:type="character" w:customStyle="1" w:styleId="222">
    <w:name w:val="nbsp"/>
    <w:basedOn w:val="56"/>
    <w:qFormat/>
    <w:uiPriority w:val="0"/>
    <w:rPr>
      <w:szCs w:val="24"/>
    </w:rPr>
  </w:style>
  <w:style w:type="character" w:customStyle="1" w:styleId="223">
    <w:name w:val="正文文本 (3)6"/>
    <w:qFormat/>
    <w:uiPriority w:val="0"/>
    <w:rPr>
      <w:rFonts w:ascii="宋体" w:cs="宋体"/>
      <w:szCs w:val="24"/>
      <w:u w:val="single"/>
      <w:shd w:val="clear" w:color="auto" w:fill="FFFFFF"/>
    </w:rPr>
  </w:style>
  <w:style w:type="character" w:customStyle="1" w:styleId="224">
    <w:name w:val="日期 字符"/>
    <w:link w:val="30"/>
    <w:qFormat/>
    <w:uiPriority w:val="0"/>
    <w:rPr>
      <w:szCs w:val="24"/>
    </w:rPr>
  </w:style>
  <w:style w:type="character" w:customStyle="1" w:styleId="225">
    <w:name w:val="书籍标题1"/>
    <w:qFormat/>
    <w:uiPriority w:val="0"/>
    <w:rPr>
      <w:b/>
      <w:bCs/>
      <w:smallCaps/>
      <w:spacing w:val="5"/>
    </w:rPr>
  </w:style>
  <w:style w:type="character" w:customStyle="1" w:styleId="226">
    <w:name w:val="Char Char29"/>
    <w:qFormat/>
    <w:uiPriority w:val="0"/>
    <w:rPr>
      <w:rFonts w:ascii="Arial" w:hAnsi="Arial" w:eastAsia="黑体"/>
      <w:b/>
      <w:kern w:val="2"/>
      <w:sz w:val="24"/>
      <w:lang w:bidi="ar-SA"/>
    </w:rPr>
  </w:style>
  <w:style w:type="character" w:customStyle="1" w:styleId="227">
    <w:name w:val="boldtitle1"/>
    <w:qFormat/>
    <w:uiPriority w:val="0"/>
    <w:rPr>
      <w:rFonts w:hint="default" w:ascii="Arial Black" w:hAnsi="Arial Black"/>
      <w:sz w:val="36"/>
    </w:rPr>
  </w:style>
  <w:style w:type="character" w:customStyle="1" w:styleId="228">
    <w:name w:val="引用 Char1"/>
    <w:qFormat/>
    <w:uiPriority w:val="29"/>
    <w:rPr>
      <w:i/>
      <w:iCs/>
      <w:color w:val="000000"/>
      <w:kern w:val="2"/>
      <w:sz w:val="21"/>
      <w:szCs w:val="24"/>
    </w:rPr>
  </w:style>
  <w:style w:type="character" w:customStyle="1" w:styleId="229">
    <w:name w:val="标题二 Char Char"/>
    <w:qFormat/>
    <w:uiPriority w:val="0"/>
    <w:rPr>
      <w:rFonts w:ascii="Cambria" w:hAnsi="Cambria" w:eastAsia="宋体"/>
      <w:kern w:val="28"/>
      <w:sz w:val="32"/>
      <w:szCs w:val="32"/>
      <w:lang w:bidi="ar-SA"/>
    </w:rPr>
  </w:style>
  <w:style w:type="character" w:customStyle="1" w:styleId="230">
    <w:name w:val="apple-converted-space"/>
    <w:unhideWhenUsed/>
    <w:qFormat/>
    <w:uiPriority w:val="0"/>
    <w:rPr>
      <w:rFonts w:hint="default" w:ascii="Times New Roman" w:hAnsi="Times New Roman" w:eastAsia="宋体"/>
    </w:rPr>
  </w:style>
  <w:style w:type="character" w:customStyle="1" w:styleId="231">
    <w:name w:val="Char Char18"/>
    <w:qFormat/>
    <w:uiPriority w:val="0"/>
    <w:rPr>
      <w:b/>
      <w:bCs/>
      <w:kern w:val="44"/>
      <w:sz w:val="44"/>
      <w:szCs w:val="44"/>
    </w:rPr>
  </w:style>
  <w:style w:type="character" w:customStyle="1" w:styleId="232">
    <w:name w:val="Char Char8"/>
    <w:qFormat/>
    <w:uiPriority w:val="0"/>
    <w:rPr>
      <w:rFonts w:eastAsia="宋体"/>
      <w:kern w:val="2"/>
      <w:sz w:val="18"/>
      <w:szCs w:val="18"/>
      <w:lang w:val="en-US" w:eastAsia="zh-CN" w:bidi="ar-SA"/>
    </w:rPr>
  </w:style>
  <w:style w:type="character" w:customStyle="1" w:styleId="233">
    <w:name w:val="highlight1"/>
    <w:qFormat/>
    <w:uiPriority w:val="0"/>
    <w:rPr>
      <w:sz w:val="21"/>
      <w:szCs w:val="21"/>
    </w:rPr>
  </w:style>
  <w:style w:type="character" w:customStyle="1" w:styleId="234">
    <w:name w:val="body1"/>
    <w:qFormat/>
    <w:uiPriority w:val="0"/>
    <w:rPr>
      <w:rFonts w:hint="default"/>
      <w:sz w:val="18"/>
      <w:szCs w:val="18"/>
    </w:rPr>
  </w:style>
  <w:style w:type="character" w:customStyle="1" w:styleId="235">
    <w:name w:val="批注主题 Char1"/>
    <w:qFormat/>
    <w:uiPriority w:val="0"/>
    <w:rPr>
      <w:b/>
      <w:bCs/>
      <w:kern w:val="2"/>
      <w:sz w:val="21"/>
      <w:szCs w:val="22"/>
    </w:rPr>
  </w:style>
  <w:style w:type="character" w:customStyle="1" w:styleId="236">
    <w:name w:val="纯文本 Char2"/>
    <w:basedOn w:val="56"/>
    <w:semiHidden/>
    <w:qFormat/>
    <w:uiPriority w:val="99"/>
    <w:rPr>
      <w:rFonts w:ascii="宋体" w:hAnsi="Courier New" w:eastAsia="宋体" w:cs="Courier New"/>
      <w:szCs w:val="21"/>
    </w:rPr>
  </w:style>
  <w:style w:type="character" w:customStyle="1" w:styleId="237">
    <w:name w:val="HTML 预设格式 Char"/>
    <w:basedOn w:val="56"/>
    <w:semiHidden/>
    <w:qFormat/>
    <w:uiPriority w:val="99"/>
    <w:rPr>
      <w:rFonts w:ascii="Courier New" w:hAnsi="Courier New" w:eastAsia="宋体" w:cs="Courier New"/>
      <w:sz w:val="20"/>
      <w:szCs w:val="20"/>
    </w:rPr>
  </w:style>
  <w:style w:type="character" w:customStyle="1" w:styleId="238">
    <w:name w:val="日期 Char"/>
    <w:basedOn w:val="56"/>
    <w:semiHidden/>
    <w:qFormat/>
    <w:uiPriority w:val="99"/>
    <w:rPr>
      <w:rFonts w:ascii="Times New Roman" w:hAnsi="Times New Roman" w:eastAsia="宋体" w:cs="Times New Roman"/>
      <w:szCs w:val="20"/>
    </w:rPr>
  </w:style>
  <w:style w:type="character" w:customStyle="1" w:styleId="239">
    <w:name w:val="文档结构图 Char2"/>
    <w:basedOn w:val="56"/>
    <w:semiHidden/>
    <w:qFormat/>
    <w:uiPriority w:val="99"/>
    <w:rPr>
      <w:rFonts w:ascii="Microsoft YaHei UI" w:hAnsi="Times New Roman" w:eastAsia="Microsoft YaHei UI" w:cs="Times New Roman"/>
      <w:sz w:val="18"/>
      <w:szCs w:val="18"/>
    </w:rPr>
  </w:style>
  <w:style w:type="character" w:customStyle="1" w:styleId="240">
    <w:name w:val="正文文本缩进 字符1"/>
    <w:basedOn w:val="56"/>
    <w:link w:val="21"/>
    <w:semiHidden/>
    <w:qFormat/>
    <w:uiPriority w:val="99"/>
    <w:rPr>
      <w:rFonts w:ascii="Times New Roman" w:hAnsi="Times New Roman" w:eastAsia="宋体" w:cs="Times New Roman"/>
      <w:szCs w:val="20"/>
    </w:rPr>
  </w:style>
  <w:style w:type="character" w:customStyle="1" w:styleId="241">
    <w:name w:val="正文文本首行缩进 2 字符"/>
    <w:basedOn w:val="240"/>
    <w:link w:val="53"/>
    <w:qFormat/>
    <w:uiPriority w:val="0"/>
    <w:rPr>
      <w:rFonts w:ascii="Times New Roman" w:hAnsi="Times New Roman" w:eastAsia="仿宋_GB2312" w:cs="Times New Roman"/>
      <w:sz w:val="25"/>
      <w:szCs w:val="24"/>
    </w:rPr>
  </w:style>
  <w:style w:type="character" w:customStyle="1" w:styleId="242">
    <w:name w:val="标题 Char1"/>
    <w:basedOn w:val="56"/>
    <w:qFormat/>
    <w:uiPriority w:val="10"/>
    <w:rPr>
      <w:rFonts w:eastAsia="宋体" w:asciiTheme="majorHAnsi" w:hAnsiTheme="majorHAnsi" w:cstheme="majorBidi"/>
      <w:b/>
      <w:bCs/>
      <w:sz w:val="32"/>
      <w:szCs w:val="32"/>
    </w:rPr>
  </w:style>
  <w:style w:type="character" w:customStyle="1" w:styleId="243">
    <w:name w:val="正文文本 2 字符"/>
    <w:basedOn w:val="56"/>
    <w:link w:val="46"/>
    <w:qFormat/>
    <w:uiPriority w:val="0"/>
    <w:rPr>
      <w:rFonts w:ascii="Times New Roman" w:hAnsi="Times New Roman" w:eastAsia="Times New Roman" w:cs="Times New Roman"/>
      <w:sz w:val="28"/>
      <w:szCs w:val="20"/>
      <w:lang w:val="en-US" w:eastAsia="zh-CN"/>
    </w:rPr>
  </w:style>
  <w:style w:type="character" w:customStyle="1" w:styleId="244">
    <w:name w:val="脚注文本 Char"/>
    <w:basedOn w:val="56"/>
    <w:semiHidden/>
    <w:qFormat/>
    <w:uiPriority w:val="99"/>
    <w:rPr>
      <w:rFonts w:ascii="Times New Roman" w:hAnsi="Times New Roman" w:eastAsia="宋体" w:cs="Times New Roman"/>
      <w:sz w:val="18"/>
      <w:szCs w:val="18"/>
    </w:rPr>
  </w:style>
  <w:style w:type="character" w:customStyle="1" w:styleId="245">
    <w:name w:val="副标题 Char2"/>
    <w:basedOn w:val="56"/>
    <w:qFormat/>
    <w:uiPriority w:val="11"/>
    <w:rPr>
      <w:rFonts w:eastAsia="宋体" w:asciiTheme="majorHAnsi" w:hAnsiTheme="majorHAnsi" w:cstheme="majorBidi"/>
      <w:b/>
      <w:bCs/>
      <w:kern w:val="28"/>
      <w:sz w:val="32"/>
      <w:szCs w:val="32"/>
    </w:rPr>
  </w:style>
  <w:style w:type="character" w:customStyle="1" w:styleId="246">
    <w:name w:val="批注文字 Char1"/>
    <w:basedOn w:val="56"/>
    <w:semiHidden/>
    <w:qFormat/>
    <w:uiPriority w:val="99"/>
    <w:rPr>
      <w:rFonts w:ascii="Times New Roman" w:hAnsi="Times New Roman" w:eastAsia="宋体" w:cs="Times New Roman"/>
      <w:szCs w:val="20"/>
    </w:rPr>
  </w:style>
  <w:style w:type="character" w:customStyle="1" w:styleId="247">
    <w:name w:val="正文文本 Char"/>
    <w:basedOn w:val="56"/>
    <w:semiHidden/>
    <w:qFormat/>
    <w:uiPriority w:val="99"/>
    <w:rPr>
      <w:rFonts w:ascii="Times New Roman" w:hAnsi="Times New Roman" w:eastAsia="宋体" w:cs="Times New Roman"/>
      <w:szCs w:val="20"/>
    </w:rPr>
  </w:style>
  <w:style w:type="character" w:customStyle="1" w:styleId="248">
    <w:name w:val="批注主题 Char2"/>
    <w:basedOn w:val="246"/>
    <w:semiHidden/>
    <w:qFormat/>
    <w:uiPriority w:val="99"/>
    <w:rPr>
      <w:rFonts w:ascii="Times New Roman" w:hAnsi="Times New Roman" w:eastAsia="宋体" w:cs="Times New Roman"/>
      <w:b/>
      <w:bCs/>
      <w:szCs w:val="20"/>
    </w:rPr>
  </w:style>
  <w:style w:type="character" w:customStyle="1" w:styleId="249">
    <w:name w:val="批注框文本 Char2"/>
    <w:basedOn w:val="56"/>
    <w:semiHidden/>
    <w:qFormat/>
    <w:uiPriority w:val="99"/>
    <w:rPr>
      <w:rFonts w:ascii="Times New Roman" w:hAnsi="Times New Roman" w:eastAsia="宋体" w:cs="Times New Roman"/>
      <w:sz w:val="18"/>
      <w:szCs w:val="18"/>
    </w:rPr>
  </w:style>
  <w:style w:type="character" w:customStyle="1" w:styleId="250">
    <w:name w:val="正文文本缩进 2 Char"/>
    <w:basedOn w:val="56"/>
    <w:semiHidden/>
    <w:qFormat/>
    <w:uiPriority w:val="99"/>
    <w:rPr>
      <w:rFonts w:ascii="Times New Roman" w:hAnsi="Times New Roman" w:eastAsia="宋体" w:cs="Times New Roman"/>
      <w:szCs w:val="20"/>
    </w:rPr>
  </w:style>
  <w:style w:type="character" w:customStyle="1" w:styleId="251">
    <w:name w:val="正文文本缩进 3 Char"/>
    <w:basedOn w:val="56"/>
    <w:semiHidden/>
    <w:qFormat/>
    <w:uiPriority w:val="99"/>
    <w:rPr>
      <w:rFonts w:ascii="Times New Roman" w:hAnsi="Times New Roman" w:eastAsia="宋体" w:cs="Times New Roman"/>
      <w:sz w:val="16"/>
      <w:szCs w:val="16"/>
    </w:rPr>
  </w:style>
  <w:style w:type="character" w:customStyle="1" w:styleId="252">
    <w:name w:val="正文文本 3 Char"/>
    <w:basedOn w:val="56"/>
    <w:semiHidden/>
    <w:qFormat/>
    <w:uiPriority w:val="99"/>
    <w:rPr>
      <w:rFonts w:ascii="Times New Roman" w:hAnsi="Times New Roman" w:eastAsia="宋体" w:cs="Times New Roman"/>
      <w:sz w:val="16"/>
      <w:szCs w:val="16"/>
    </w:rPr>
  </w:style>
  <w:style w:type="character" w:customStyle="1" w:styleId="253">
    <w:name w:val="正文文本首行缩进 字符"/>
    <w:basedOn w:val="247"/>
    <w:link w:val="52"/>
    <w:qFormat/>
    <w:uiPriority w:val="0"/>
    <w:rPr>
      <w:rFonts w:ascii="Times New Roman" w:hAnsi="Times New Roman" w:eastAsia="Times New Roman" w:cs="Times New Roman"/>
      <w:sz w:val="28"/>
      <w:szCs w:val="24"/>
      <w:lang w:val="en-US" w:eastAsia="zh-CN"/>
    </w:rPr>
  </w:style>
  <w:style w:type="character" w:customStyle="1" w:styleId="254">
    <w:name w:val="尾注文本 字符"/>
    <w:basedOn w:val="56"/>
    <w:link w:val="32"/>
    <w:qFormat/>
    <w:uiPriority w:val="0"/>
    <w:rPr>
      <w:rFonts w:ascii="Times New Roman" w:hAnsi="Times New Roman" w:eastAsia="宋体" w:cs="Times New Roman"/>
      <w:sz w:val="24"/>
      <w:szCs w:val="24"/>
    </w:rPr>
  </w:style>
  <w:style w:type="paragraph" w:customStyle="1" w:styleId="255">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256">
    <w:name w:val="font1"/>
    <w:basedOn w:val="1"/>
    <w:qFormat/>
    <w:uiPriority w:val="0"/>
    <w:pPr>
      <w:widowControl/>
      <w:spacing w:before="100" w:beforeAutospacing="1" w:after="100" w:afterAutospacing="1" w:line="300" w:lineRule="atLeast"/>
      <w:jc w:val="left"/>
    </w:pPr>
    <w:rPr>
      <w:rFonts w:ascii="宋体" w:hAnsi="宋体"/>
      <w:kern w:val="0"/>
      <w:sz w:val="18"/>
    </w:rPr>
  </w:style>
  <w:style w:type="paragraph" w:customStyle="1" w:styleId="257">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rPr>
  </w:style>
  <w:style w:type="paragraph" w:customStyle="1" w:styleId="258">
    <w:name w:val="4-ST-点"/>
    <w:basedOn w:val="8"/>
    <w:qFormat/>
    <w:uiPriority w:val="0"/>
    <w:pPr>
      <w:adjustRightInd w:val="0"/>
      <w:snapToGrid w:val="0"/>
      <w:spacing w:beforeLines="30" w:afterLines="30" w:line="312" w:lineRule="auto"/>
    </w:pPr>
    <w:rPr>
      <w:rFonts w:ascii="楷体_GB2312" w:hAnsi="Times New Roman" w:eastAsia="楷体_GB2312"/>
    </w:rPr>
  </w:style>
  <w:style w:type="paragraph" w:customStyle="1" w:styleId="25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0">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b/>
      <w:kern w:val="0"/>
      <w:sz w:val="20"/>
    </w:rPr>
  </w:style>
  <w:style w:type="paragraph" w:customStyle="1" w:styleId="261">
    <w:name w:val="标书正文11"/>
    <w:basedOn w:val="1"/>
    <w:qFormat/>
    <w:uiPriority w:val="0"/>
    <w:pPr>
      <w:spacing w:line="360" w:lineRule="auto"/>
      <w:ind w:firstLine="200" w:firstLineChars="200"/>
    </w:pPr>
    <w:rPr>
      <w:rFonts w:ascii="宋体" w:hAnsi="宋体"/>
      <w:kern w:val="44"/>
      <w:sz w:val="24"/>
      <w:szCs w:val="24"/>
    </w:rPr>
  </w:style>
  <w:style w:type="paragraph" w:customStyle="1" w:styleId="262">
    <w:name w:val="一级条标题"/>
    <w:basedOn w:val="263"/>
    <w:next w:val="1"/>
    <w:qFormat/>
    <w:uiPriority w:val="0"/>
    <w:pPr>
      <w:numPr>
        <w:ilvl w:val="2"/>
      </w:numPr>
      <w:tabs>
        <w:tab w:val="left" w:pos="992"/>
      </w:tabs>
      <w:spacing w:before="0" w:beforeLines="0" w:after="0" w:afterLines="0"/>
      <w:outlineLvl w:val="2"/>
    </w:pPr>
  </w:style>
  <w:style w:type="paragraph" w:customStyle="1" w:styleId="263">
    <w:name w:val="章标题"/>
    <w:next w:val="1"/>
    <w:qFormat/>
    <w:uiPriority w:val="0"/>
    <w:pPr>
      <w:numPr>
        <w:ilvl w:val="1"/>
        <w:numId w:val="4"/>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64">
    <w:name w:val="2册标题2"/>
    <w:basedOn w:val="1"/>
    <w:next w:val="1"/>
    <w:qFormat/>
    <w:uiPriority w:val="0"/>
    <w:pPr>
      <w:spacing w:before="156" w:beforeLines="50" w:after="156" w:afterLines="50" w:line="300" w:lineRule="auto"/>
      <w:outlineLvl w:val="1"/>
    </w:pPr>
    <w:rPr>
      <w:rFonts w:ascii="Arial" w:hAnsi="Arial" w:eastAsia="黑体"/>
      <w:sz w:val="30"/>
    </w:rPr>
  </w:style>
  <w:style w:type="paragraph" w:customStyle="1" w:styleId="265">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266">
    <w:name w:val="Char1 Char Char Char"/>
    <w:basedOn w:val="1"/>
    <w:qFormat/>
    <w:uiPriority w:val="0"/>
    <w:rPr>
      <w:szCs w:val="24"/>
    </w:rPr>
  </w:style>
  <w:style w:type="paragraph" w:customStyle="1" w:styleId="267">
    <w:name w:val="样式2"/>
    <w:basedOn w:val="4"/>
    <w:qFormat/>
    <w:uiPriority w:val="0"/>
    <w:pPr>
      <w:spacing w:before="260" w:after="260"/>
    </w:pPr>
    <w:rPr>
      <w:rFonts w:ascii="黑体" w:hAnsi="Times New Roman"/>
      <w:b/>
    </w:rPr>
  </w:style>
  <w:style w:type="paragraph" w:customStyle="1" w:styleId="268">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paragraph" w:customStyle="1" w:styleId="269">
    <w:name w:val="Char Char Char Char Char Char1 Char Char Char Char Char Char Char Char Char Char Char Char Char"/>
    <w:basedOn w:val="1"/>
    <w:qFormat/>
    <w:uiPriority w:val="0"/>
    <w:rPr>
      <w:szCs w:val="24"/>
    </w:rPr>
  </w:style>
  <w:style w:type="paragraph" w:customStyle="1" w:styleId="270">
    <w:name w:val="3-ST-小节"/>
    <w:basedOn w:val="6"/>
    <w:next w:val="271"/>
    <w:qFormat/>
    <w:uiPriority w:val="0"/>
    <w:pPr>
      <w:spacing w:beforeLines="50" w:after="120" w:line="240" w:lineRule="auto"/>
    </w:pPr>
    <w:rPr>
      <w:rFonts w:eastAsia="楷体_GB2312"/>
    </w:rPr>
  </w:style>
  <w:style w:type="paragraph" w:customStyle="1" w:styleId="271">
    <w:name w:val="10-ST-正文"/>
    <w:basedOn w:val="1"/>
    <w:qFormat/>
    <w:uiPriority w:val="0"/>
    <w:pPr>
      <w:adjustRightInd w:val="0"/>
      <w:snapToGrid w:val="0"/>
      <w:spacing w:line="360" w:lineRule="auto"/>
      <w:ind w:firstLine="200" w:firstLineChars="200"/>
    </w:pPr>
    <w:rPr>
      <w:sz w:val="24"/>
      <w:szCs w:val="28"/>
    </w:rPr>
  </w:style>
  <w:style w:type="paragraph" w:customStyle="1" w:styleId="272">
    <w:name w:val="Char1 Char Char Char Char Char Char"/>
    <w:basedOn w:val="1"/>
    <w:qFormat/>
    <w:uiPriority w:val="0"/>
    <w:rPr>
      <w:rFonts w:ascii="Tahoma" w:hAnsi="Tahoma"/>
      <w:sz w:val="24"/>
    </w:rPr>
  </w:style>
  <w:style w:type="paragraph" w:customStyle="1" w:styleId="273">
    <w:name w:val="正文文字缩进 2"/>
    <w:basedOn w:val="1"/>
    <w:qFormat/>
    <w:uiPriority w:val="0"/>
    <w:pPr>
      <w:spacing w:line="719" w:lineRule="atLeast"/>
      <w:ind w:left="1" w:firstLine="562"/>
      <w:textAlignment w:val="bottom"/>
    </w:pPr>
    <w:rPr>
      <w:color w:val="000000"/>
      <w:kern w:val="0"/>
      <w:sz w:val="28"/>
    </w:rPr>
  </w:style>
  <w:style w:type="paragraph" w:customStyle="1" w:styleId="27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75">
    <w:name w:val="二级条标题"/>
    <w:basedOn w:val="262"/>
    <w:next w:val="1"/>
    <w:qFormat/>
    <w:uiPriority w:val="0"/>
    <w:pPr>
      <w:numPr>
        <w:ilvl w:val="3"/>
      </w:numPr>
      <w:outlineLvl w:val="3"/>
    </w:pPr>
  </w:style>
  <w:style w:type="paragraph" w:customStyle="1" w:styleId="276">
    <w:name w:val="表格文字"/>
    <w:basedOn w:val="1"/>
    <w:qFormat/>
    <w:uiPriority w:val="0"/>
    <w:pPr>
      <w:adjustRightInd w:val="0"/>
      <w:spacing w:line="420" w:lineRule="atLeast"/>
      <w:jc w:val="left"/>
      <w:textAlignment w:val="baseline"/>
    </w:pPr>
    <w:rPr>
      <w:kern w:val="0"/>
    </w:rPr>
  </w:style>
  <w:style w:type="paragraph" w:customStyle="1" w:styleId="277">
    <w:name w:val="Char Char Char1 Char"/>
    <w:basedOn w:val="1"/>
    <w:qFormat/>
    <w:uiPriority w:val="0"/>
    <w:rPr>
      <w:szCs w:val="24"/>
    </w:rPr>
  </w:style>
  <w:style w:type="paragraph" w:customStyle="1" w:styleId="278">
    <w:name w:val="修订1"/>
    <w:qFormat/>
    <w:uiPriority w:val="0"/>
    <w:rPr>
      <w:rFonts w:ascii="Times New Roman" w:hAnsi="Times New Roman" w:eastAsia="宋体" w:cs="Times New Roman"/>
      <w:kern w:val="2"/>
      <w:sz w:val="21"/>
      <w:szCs w:val="24"/>
      <w:lang w:val="en-US" w:eastAsia="zh-CN" w:bidi="ar-SA"/>
    </w:rPr>
  </w:style>
  <w:style w:type="paragraph" w:customStyle="1" w:styleId="279">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280">
    <w:name w:val="Char Char Char Char Char Char1 Char Char Char Char Char Char Char"/>
    <w:basedOn w:val="1"/>
    <w:qFormat/>
    <w:uiPriority w:val="0"/>
    <w:rPr>
      <w:szCs w:val="24"/>
    </w:rPr>
  </w:style>
  <w:style w:type="paragraph" w:customStyle="1" w:styleId="281">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282">
    <w:name w:val="Char"/>
    <w:basedOn w:val="1"/>
    <w:qFormat/>
    <w:uiPriority w:val="0"/>
    <w:rPr>
      <w:rFonts w:ascii="Tahoma" w:hAnsi="Tahoma"/>
      <w:sz w:val="24"/>
    </w:rPr>
  </w:style>
  <w:style w:type="paragraph" w:customStyle="1" w:styleId="283">
    <w:name w:val="Char Char Char Char Char Char Char Char Char"/>
    <w:basedOn w:val="1"/>
    <w:qFormat/>
    <w:uiPriority w:val="0"/>
    <w:rPr>
      <w:szCs w:val="24"/>
    </w:rPr>
  </w:style>
  <w:style w:type="paragraph" w:customStyle="1" w:styleId="28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5">
    <w:name w:val="È±Ê¡ÎÄ±¾"/>
    <w:basedOn w:val="1"/>
    <w:qFormat/>
    <w:uiPriority w:val="0"/>
    <w:pPr>
      <w:widowControl/>
      <w:overflowPunct w:val="0"/>
      <w:autoSpaceDE w:val="0"/>
      <w:autoSpaceDN w:val="0"/>
      <w:adjustRightInd w:val="0"/>
      <w:jc w:val="left"/>
    </w:pPr>
    <w:rPr>
      <w:kern w:val="0"/>
      <w:sz w:val="24"/>
    </w:rPr>
  </w:style>
  <w:style w:type="paragraph" w:customStyle="1" w:styleId="286">
    <w:name w:val="Char Char Char Char Char Char1 Char Char Char1"/>
    <w:basedOn w:val="1"/>
    <w:qFormat/>
    <w:uiPriority w:val="0"/>
    <w:rPr>
      <w:szCs w:val="24"/>
    </w:rPr>
  </w:style>
  <w:style w:type="paragraph" w:customStyle="1" w:styleId="287">
    <w:name w:val="Char Char Char Char Char Char1 Char Char Char Char Char Char Char Char Char Char Char Char Char Char Char Char Char Char Char Char Char Char"/>
    <w:basedOn w:val="1"/>
    <w:qFormat/>
    <w:uiPriority w:val="0"/>
    <w:rPr>
      <w:szCs w:val="24"/>
    </w:rPr>
  </w:style>
  <w:style w:type="paragraph" w:customStyle="1" w:styleId="288">
    <w:name w:val="Char Char2"/>
    <w:basedOn w:val="17"/>
    <w:qFormat/>
    <w:uiPriority w:val="0"/>
    <w:rPr>
      <w:rFonts w:ascii="Tahoma" w:hAnsi="Tahoma"/>
      <w:sz w:val="24"/>
      <w:szCs w:val="24"/>
    </w:rPr>
  </w:style>
  <w:style w:type="paragraph" w:customStyle="1" w:styleId="289">
    <w:name w:val="正文3"/>
    <w:basedOn w:val="1"/>
    <w:qFormat/>
    <w:uiPriority w:val="0"/>
    <w:pPr>
      <w:widowControl/>
      <w:spacing w:line="360" w:lineRule="auto"/>
      <w:ind w:firstLine="280" w:firstLineChars="100"/>
      <w:jc w:val="left"/>
    </w:pPr>
    <w:rPr>
      <w:rFonts w:ascii="宋体" w:hAnsi="宋体"/>
      <w:sz w:val="28"/>
    </w:rPr>
  </w:style>
  <w:style w:type="paragraph" w:customStyle="1" w:styleId="290">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kern w:val="0"/>
      <w:sz w:val="20"/>
    </w:rPr>
  </w:style>
  <w:style w:type="paragraph" w:customStyle="1" w:styleId="291">
    <w:name w:val="样式5"/>
    <w:basedOn w:val="1"/>
    <w:qFormat/>
    <w:uiPriority w:val="0"/>
    <w:pPr>
      <w:adjustRightInd w:val="0"/>
      <w:snapToGrid w:val="0"/>
      <w:spacing w:line="520" w:lineRule="exact"/>
      <w:ind w:firstLine="480" w:firstLineChars="200"/>
    </w:pPr>
    <w:rPr>
      <w:rFonts w:ascii="仿宋_GB2312" w:eastAsia="仿宋_GB2312"/>
      <w:sz w:val="24"/>
    </w:rPr>
  </w:style>
  <w:style w:type="paragraph" w:customStyle="1" w:styleId="292">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93">
    <w:name w:val="最终正文"/>
    <w:basedOn w:val="1"/>
    <w:qFormat/>
    <w:uiPriority w:val="0"/>
    <w:pPr>
      <w:spacing w:line="360" w:lineRule="auto"/>
      <w:ind w:firstLine="420"/>
    </w:pPr>
    <w:rPr>
      <w:rFonts w:ascii="仿宋_GB2312" w:hAnsi="宋体"/>
      <w:bCs/>
      <w:caps/>
      <w:sz w:val="24"/>
      <w:szCs w:val="24"/>
    </w:rPr>
  </w:style>
  <w:style w:type="paragraph" w:customStyle="1" w:styleId="2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95">
    <w:name w:val="Char Char Char Char Char Char1 Char Char Char Char Char Char Char Char Char Char Char Char1 Char Char Char Char"/>
    <w:basedOn w:val="1"/>
    <w:qFormat/>
    <w:uiPriority w:val="0"/>
  </w:style>
  <w:style w:type="paragraph" w:customStyle="1" w:styleId="296">
    <w:name w:val="+正文"/>
    <w:basedOn w:val="1"/>
    <w:qFormat/>
    <w:uiPriority w:val="0"/>
    <w:pPr>
      <w:spacing w:line="360" w:lineRule="auto"/>
      <w:ind w:firstLine="200" w:firstLineChars="200"/>
    </w:pPr>
    <w:rPr>
      <w:sz w:val="24"/>
      <w:szCs w:val="28"/>
    </w:rPr>
  </w:style>
  <w:style w:type="paragraph" w:customStyle="1" w:styleId="297">
    <w:name w:val="样式 行距: 固定值 25 磅 首行缩进:  2 字符"/>
    <w:basedOn w:val="1"/>
    <w:qFormat/>
    <w:uiPriority w:val="0"/>
    <w:pPr>
      <w:adjustRightInd w:val="0"/>
      <w:spacing w:line="500" w:lineRule="exact"/>
      <w:ind w:firstLine="560" w:firstLineChars="200"/>
      <w:textAlignment w:val="baseline"/>
    </w:pPr>
    <w:rPr>
      <w:kern w:val="0"/>
      <w:sz w:val="28"/>
      <w:szCs w:val="28"/>
    </w:rPr>
  </w:style>
  <w:style w:type="paragraph" w:customStyle="1" w:styleId="298">
    <w:name w:val="缺省文本:1"/>
    <w:basedOn w:val="1"/>
    <w:qFormat/>
    <w:uiPriority w:val="0"/>
    <w:pPr>
      <w:autoSpaceDE w:val="0"/>
      <w:autoSpaceDN w:val="0"/>
      <w:adjustRightInd w:val="0"/>
      <w:jc w:val="left"/>
    </w:pPr>
    <w:rPr>
      <w:rFonts w:ascii="宋体"/>
      <w:kern w:val="0"/>
      <w:sz w:val="24"/>
    </w:rPr>
  </w:style>
  <w:style w:type="paragraph" w:customStyle="1" w:styleId="299">
    <w:name w:val="正文段"/>
    <w:basedOn w:val="1"/>
    <w:qFormat/>
    <w:uiPriority w:val="0"/>
    <w:pPr>
      <w:widowControl/>
      <w:adjustRightInd w:val="0"/>
      <w:spacing w:after="240" w:line="360" w:lineRule="atLeast"/>
      <w:ind w:firstLine="454"/>
      <w:textAlignment w:val="bottom"/>
    </w:pPr>
    <w:rPr>
      <w:rFonts w:ascii="宋体"/>
      <w:kern w:val="0"/>
      <w:sz w:val="24"/>
    </w:rPr>
  </w:style>
  <w:style w:type="paragraph" w:customStyle="1" w:styleId="300">
    <w:name w:val="图注"/>
    <w:qFormat/>
    <w:uiPriority w:val="0"/>
    <w:pPr>
      <w:spacing w:after="156" w:afterLines="50"/>
      <w:jc w:val="center"/>
    </w:pPr>
    <w:rPr>
      <w:rFonts w:ascii="Times New Roman" w:hAnsi="Times New Roman" w:eastAsia="宋体" w:cs="Times New Roman"/>
      <w:kern w:val="2"/>
      <w:sz w:val="24"/>
      <w:szCs w:val="24"/>
      <w:lang w:val="en-US" w:eastAsia="zh-CN" w:bidi="ar-SA"/>
    </w:rPr>
  </w:style>
  <w:style w:type="paragraph" w:customStyle="1" w:styleId="301">
    <w:name w:val="Char Char Char Char Char Char Char Char Char Char Char Char Char Char Char Char"/>
    <w:basedOn w:val="1"/>
    <w:qFormat/>
    <w:uiPriority w:val="0"/>
    <w:pPr>
      <w:tabs>
        <w:tab w:val="left" w:pos="360"/>
      </w:tabs>
    </w:pPr>
    <w:rPr>
      <w:sz w:val="24"/>
      <w:szCs w:val="24"/>
    </w:rPr>
  </w:style>
  <w:style w:type="paragraph" w:customStyle="1" w:styleId="302">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303">
    <w:name w:val="Char Char Char Char Char Char Char"/>
    <w:basedOn w:val="1"/>
    <w:qFormat/>
    <w:uiPriority w:val="0"/>
    <w:rPr>
      <w:szCs w:val="24"/>
    </w:rPr>
  </w:style>
  <w:style w:type="paragraph" w:customStyle="1" w:styleId="304">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kern w:val="0"/>
      <w:sz w:val="24"/>
    </w:rPr>
  </w:style>
  <w:style w:type="paragraph" w:customStyle="1" w:styleId="305">
    <w:name w:val="并列正文"/>
    <w:basedOn w:val="1"/>
    <w:qFormat/>
    <w:uiPriority w:val="0"/>
    <w:pPr>
      <w:spacing w:before="156" w:beforeLines="50" w:after="156" w:afterLines="50" w:line="360" w:lineRule="auto"/>
    </w:pPr>
    <w:rPr>
      <w:rFonts w:ascii="仿宋_GB2312" w:hAnsi="宋体" w:eastAsia="仿宋_GB2312"/>
      <w:b/>
      <w:bCs/>
      <w:color w:val="000000"/>
      <w:sz w:val="24"/>
      <w:szCs w:val="24"/>
    </w:rPr>
  </w:style>
  <w:style w:type="paragraph" w:customStyle="1" w:styleId="306">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307">
    <w:name w:val="Char Char Char Char Char Char Char Char Char Char"/>
    <w:basedOn w:val="1"/>
    <w:qFormat/>
    <w:uiPriority w:val="0"/>
  </w:style>
  <w:style w:type="paragraph" w:customStyle="1" w:styleId="308">
    <w:name w:val="2-ST-节"/>
    <w:basedOn w:val="5"/>
    <w:next w:val="271"/>
    <w:qFormat/>
    <w:uiPriority w:val="0"/>
    <w:pPr>
      <w:spacing w:before="160" w:after="160" w:line="240" w:lineRule="auto"/>
    </w:pPr>
    <w:rPr>
      <w:rFonts w:ascii="Arial" w:hAnsi="Arial" w:eastAsia="楷体_GB2312"/>
      <w:shadow/>
      <w:sz w:val="30"/>
    </w:rPr>
  </w:style>
  <w:style w:type="paragraph" w:customStyle="1" w:styleId="309">
    <w:name w:val="百姓X"/>
    <w:basedOn w:val="1"/>
    <w:qFormat/>
    <w:uiPriority w:val="0"/>
    <w:pPr>
      <w:spacing w:before="120" w:after="120" w:line="360" w:lineRule="auto"/>
      <w:ind w:firstLine="539"/>
    </w:pPr>
    <w:rPr>
      <w:sz w:val="24"/>
    </w:rPr>
  </w:style>
  <w:style w:type="paragraph" w:customStyle="1" w:styleId="310">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311">
    <w:name w:val="z-窗体顶端1"/>
    <w:basedOn w:val="1"/>
    <w:next w:val="1"/>
    <w:link w:val="312"/>
    <w:qFormat/>
    <w:uiPriority w:val="0"/>
    <w:pPr>
      <w:widowControl/>
      <w:pBdr>
        <w:bottom w:val="single" w:color="auto" w:sz="6" w:space="1"/>
      </w:pBdr>
      <w:jc w:val="center"/>
    </w:pPr>
    <w:rPr>
      <w:rFonts w:ascii="Arial" w:hAnsi="Arial" w:cs="Arial"/>
      <w:vanish/>
      <w:kern w:val="0"/>
      <w:sz w:val="16"/>
      <w:szCs w:val="16"/>
    </w:rPr>
  </w:style>
  <w:style w:type="character" w:customStyle="1" w:styleId="312">
    <w:name w:val="z-窗体顶端 Char"/>
    <w:basedOn w:val="56"/>
    <w:link w:val="311"/>
    <w:qFormat/>
    <w:uiPriority w:val="0"/>
    <w:rPr>
      <w:rFonts w:ascii="Arial" w:hAnsi="Arial" w:eastAsia="宋体" w:cs="Arial"/>
      <w:vanish/>
      <w:kern w:val="0"/>
      <w:sz w:val="16"/>
      <w:szCs w:val="16"/>
    </w:rPr>
  </w:style>
  <w:style w:type="paragraph" w:customStyle="1" w:styleId="3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4">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15">
    <w:name w:val="引用 Char"/>
    <w:basedOn w:val="56"/>
    <w:qFormat/>
    <w:uiPriority w:val="29"/>
    <w:rPr>
      <w:rFonts w:ascii="Times New Roman" w:hAnsi="Times New Roman" w:eastAsia="宋体" w:cs="Times New Roman"/>
      <w:i/>
      <w:iCs/>
      <w:color w:val="404040" w:themeColor="text1" w:themeTint="BF"/>
      <w:szCs w:val="20"/>
      <w14:textFill>
        <w14:solidFill>
          <w14:schemeClr w14:val="tx1">
            <w14:lumMod w14:val="75000"/>
            <w14:lumOff w14:val="25000"/>
          </w14:schemeClr>
        </w14:solidFill>
      </w14:textFill>
    </w:rPr>
  </w:style>
  <w:style w:type="paragraph" w:customStyle="1" w:styleId="316">
    <w:name w:val="Bullet with text 1"/>
    <w:basedOn w:val="1"/>
    <w:qFormat/>
    <w:uiPriority w:val="0"/>
    <w:pPr>
      <w:widowControl/>
      <w:tabs>
        <w:tab w:val="left" w:pos="425"/>
      </w:tabs>
      <w:spacing w:line="360" w:lineRule="auto"/>
      <w:ind w:left="425" w:hanging="425"/>
      <w:jc w:val="left"/>
    </w:pPr>
    <w:rPr>
      <w:rFonts w:ascii="Futura Bk" w:hAnsi="Futura Bk"/>
      <w:kern w:val="0"/>
      <w:sz w:val="20"/>
      <w:lang w:val="en-GB"/>
    </w:rPr>
  </w:style>
  <w:style w:type="paragraph" w:customStyle="1" w:styleId="317">
    <w:name w:val="Address"/>
    <w:basedOn w:val="1"/>
    <w:next w:val="1"/>
    <w:qFormat/>
    <w:uiPriority w:val="0"/>
    <w:pPr>
      <w:autoSpaceDE w:val="0"/>
      <w:autoSpaceDN w:val="0"/>
      <w:adjustRightInd w:val="0"/>
      <w:jc w:val="left"/>
    </w:pPr>
    <w:rPr>
      <w:i/>
      <w:kern w:val="0"/>
      <w:sz w:val="24"/>
    </w:rPr>
  </w:style>
  <w:style w:type="paragraph" w:customStyle="1" w:styleId="3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319">
    <w:name w:val="正文内"/>
    <w:basedOn w:val="3"/>
    <w:qFormat/>
    <w:uiPriority w:val="0"/>
    <w:pPr>
      <w:spacing w:line="576" w:lineRule="auto"/>
    </w:pPr>
    <w:rPr>
      <w:sz w:val="21"/>
      <w:szCs w:val="21"/>
    </w:rPr>
  </w:style>
  <w:style w:type="paragraph" w:customStyle="1" w:styleId="320">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sz w:val="28"/>
    </w:rPr>
  </w:style>
  <w:style w:type="paragraph" w:customStyle="1" w:styleId="321">
    <w:name w:val="Char Char Char Char Char Char Char Char Char Char Char Char Char"/>
    <w:basedOn w:val="1"/>
    <w:qFormat/>
    <w:uiPriority w:val="0"/>
  </w:style>
  <w:style w:type="paragraph" w:customStyle="1" w:styleId="322">
    <w:name w:val="Char Char Char Char"/>
    <w:basedOn w:val="1"/>
    <w:qFormat/>
    <w:uiPriority w:val="0"/>
  </w:style>
  <w:style w:type="paragraph" w:customStyle="1" w:styleId="32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324">
    <w:name w:val="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325">
    <w:name w:val="5"/>
    <w:basedOn w:val="1"/>
    <w:qFormat/>
    <w:uiPriority w:val="0"/>
    <w:pPr>
      <w:spacing w:before="156" w:beforeLines="50" w:after="156" w:afterLines="50"/>
      <w:ind w:left="200" w:leftChars="200"/>
    </w:pPr>
    <w:rPr>
      <w:sz w:val="28"/>
      <w:szCs w:val="24"/>
    </w:rPr>
  </w:style>
  <w:style w:type="paragraph" w:customStyle="1" w:styleId="326">
    <w:name w:val="Char Char Char Char Char Char Char Char"/>
    <w:basedOn w:val="1"/>
    <w:qFormat/>
    <w:uiPriority w:val="0"/>
    <w:pPr>
      <w:tabs>
        <w:tab w:val="left" w:pos="360"/>
      </w:tabs>
    </w:pPr>
    <w:rPr>
      <w:sz w:val="24"/>
      <w:szCs w:val="24"/>
    </w:rPr>
  </w:style>
  <w:style w:type="paragraph" w:customStyle="1" w:styleId="32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b/>
      <w:kern w:val="0"/>
      <w:sz w:val="20"/>
    </w:rPr>
  </w:style>
  <w:style w:type="paragraph" w:customStyle="1" w:styleId="328">
    <w:name w:val="正文0"/>
    <w:basedOn w:val="1"/>
    <w:qFormat/>
    <w:uiPriority w:val="0"/>
    <w:pPr>
      <w:spacing w:line="360" w:lineRule="auto"/>
      <w:ind w:firstLine="482"/>
      <w:jc w:val="center"/>
    </w:pPr>
    <w:rPr>
      <w:color w:val="000000"/>
      <w:sz w:val="24"/>
      <w:szCs w:val="24"/>
    </w:rPr>
  </w:style>
  <w:style w:type="paragraph" w:customStyle="1" w:styleId="329">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0">
    <w:name w:val="Char Char5 Char Char"/>
    <w:basedOn w:val="17"/>
    <w:qFormat/>
    <w:uiPriority w:val="0"/>
    <w:rPr>
      <w:rFonts w:ascii="Tahoma" w:hAnsi="Tahoma" w:eastAsia="Times New Roman"/>
      <w:sz w:val="24"/>
      <w:szCs w:val="24"/>
    </w:rPr>
  </w:style>
  <w:style w:type="paragraph" w:customStyle="1" w:styleId="331">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32">
    <w:name w:val="Item List"/>
    <w:qFormat/>
    <w:uiPriority w:val="0"/>
    <w:pPr>
      <w:spacing w:line="300" w:lineRule="auto"/>
      <w:ind w:firstLine="425"/>
      <w:jc w:val="both"/>
    </w:pPr>
    <w:rPr>
      <w:rFonts w:ascii="Arial" w:hAnsi="Arial" w:eastAsia="宋体" w:cs="Times New Roman"/>
      <w:color w:val="000000"/>
      <w:sz w:val="24"/>
      <w:lang w:val="en-US" w:eastAsia="zh-CN" w:bidi="ar-SA"/>
    </w:rPr>
  </w:style>
  <w:style w:type="paragraph" w:customStyle="1" w:styleId="333">
    <w:name w:val="Char Char Char Char Char Char Char Char Char Char1"/>
    <w:basedOn w:val="1"/>
    <w:qFormat/>
    <w:uiPriority w:val="0"/>
  </w:style>
  <w:style w:type="paragraph" w:customStyle="1" w:styleId="33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35">
    <w:name w:val="表格内容"/>
    <w:basedOn w:val="1"/>
    <w:qFormat/>
    <w:uiPriority w:val="0"/>
    <w:pPr>
      <w:widowControl/>
      <w:autoSpaceDE w:val="0"/>
      <w:autoSpaceDN w:val="0"/>
      <w:adjustRightInd w:val="0"/>
      <w:spacing w:before="60"/>
      <w:jc w:val="center"/>
      <w:textAlignment w:val="bottom"/>
    </w:pPr>
    <w:rPr>
      <w:rFonts w:eastAsia="仿宋_GB2312"/>
      <w:kern w:val="0"/>
      <w:sz w:val="24"/>
    </w:rPr>
  </w:style>
  <w:style w:type="paragraph" w:customStyle="1" w:styleId="336">
    <w:name w:val="默认段落字体 Para Char Char Char Char Char Char Char Char Char Char Char Char Char"/>
    <w:basedOn w:val="1"/>
    <w:qFormat/>
    <w:uiPriority w:val="0"/>
  </w:style>
  <w:style w:type="paragraph" w:customStyle="1" w:styleId="337">
    <w:name w:val="默认段落字体 Para Char"/>
    <w:basedOn w:val="1"/>
    <w:qFormat/>
    <w:uiPriority w:val="0"/>
    <w:rPr>
      <w:rFonts w:ascii="Tahoma" w:hAnsi="Tahoma"/>
      <w:sz w:val="24"/>
    </w:rPr>
  </w:style>
  <w:style w:type="paragraph" w:customStyle="1" w:styleId="338">
    <w:name w:val="Char Char Char Char Char Char Char Char Char Char Char Char Char1"/>
    <w:basedOn w:val="1"/>
    <w:qFormat/>
    <w:uiPriority w:val="0"/>
  </w:style>
  <w:style w:type="paragraph" w:customStyle="1" w:styleId="339">
    <w:name w:val="正文 + 宋体"/>
    <w:basedOn w:val="46"/>
    <w:qFormat/>
    <w:uiPriority w:val="0"/>
    <w:rPr>
      <w:rFonts w:ascii="宋体" w:hAnsi="宋体"/>
      <w:kern w:val="0"/>
      <w:sz w:val="24"/>
      <w:szCs w:val="24"/>
    </w:rPr>
  </w:style>
  <w:style w:type="paragraph" w:customStyle="1" w:styleId="340">
    <w:name w:val="Char Char Char Char Char Char1 Char Char Char Char Char Char Char Char Char Char Char Char Char Char Char Char Char Char Char Char Char Char1"/>
    <w:basedOn w:val="1"/>
    <w:qFormat/>
    <w:uiPriority w:val="0"/>
    <w:rPr>
      <w:szCs w:val="24"/>
    </w:rPr>
  </w:style>
  <w:style w:type="paragraph" w:customStyle="1" w:styleId="341">
    <w:name w:val="表注"/>
    <w:qFormat/>
    <w:uiPriority w:val="0"/>
    <w:pPr>
      <w:spacing w:before="156" w:beforeLines="50" w:after="156" w:afterLines="50"/>
      <w:jc w:val="center"/>
    </w:pPr>
    <w:rPr>
      <w:rFonts w:ascii="Times New Roman" w:hAnsi="Times New Roman" w:eastAsia="宋体" w:cs="Times New Roman"/>
      <w:kern w:val="2"/>
      <w:sz w:val="24"/>
      <w:szCs w:val="24"/>
      <w:lang w:val="en-US" w:eastAsia="zh-CN" w:bidi="ar-SA"/>
    </w:rPr>
  </w:style>
  <w:style w:type="paragraph" w:customStyle="1" w:styleId="342">
    <w:name w:val="Char Char Char Char Char Char1 Char Char Char Char Char Char Char Char Char Char Char Char Char1"/>
    <w:basedOn w:val="1"/>
    <w:qFormat/>
    <w:uiPriority w:val="0"/>
    <w:rPr>
      <w:szCs w:val="24"/>
    </w:rPr>
  </w:style>
  <w:style w:type="paragraph" w:customStyle="1" w:styleId="3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rPr>
  </w:style>
  <w:style w:type="paragraph" w:customStyle="1" w:styleId="344">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0"/>
    </w:rPr>
  </w:style>
  <w:style w:type="paragraph" w:customStyle="1" w:styleId="345">
    <w:name w:val="浅色网格 - 强调文字颜色 31"/>
    <w:basedOn w:val="1"/>
    <w:qFormat/>
    <w:uiPriority w:val="0"/>
    <w:pPr>
      <w:ind w:firstLine="420" w:firstLineChars="200"/>
    </w:pPr>
    <w:rPr>
      <w:rFonts w:ascii="Calibri" w:hAnsi="Calibri"/>
      <w:sz w:val="24"/>
      <w:szCs w:val="22"/>
    </w:rPr>
  </w:style>
  <w:style w:type="paragraph" w:customStyle="1" w:styleId="346">
    <w:name w:val="规范正文"/>
    <w:basedOn w:val="1"/>
    <w:qFormat/>
    <w:uiPriority w:val="0"/>
    <w:pPr>
      <w:snapToGrid w:val="0"/>
      <w:spacing w:line="360" w:lineRule="auto"/>
      <w:ind w:firstLine="200" w:firstLineChars="200"/>
      <w:textAlignment w:val="baseline"/>
    </w:pPr>
    <w:rPr>
      <w:kern w:val="0"/>
      <w:sz w:val="24"/>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rPr>
  </w:style>
  <w:style w:type="paragraph" w:customStyle="1" w:styleId="348">
    <w:name w:val="五级条标题"/>
    <w:basedOn w:val="349"/>
    <w:next w:val="1"/>
    <w:qFormat/>
    <w:uiPriority w:val="0"/>
    <w:pPr>
      <w:numPr>
        <w:ilvl w:val="6"/>
      </w:numPr>
      <w:tabs>
        <w:tab w:val="left" w:pos="992"/>
      </w:tabs>
      <w:outlineLvl w:val="6"/>
    </w:pPr>
  </w:style>
  <w:style w:type="paragraph" w:customStyle="1" w:styleId="349">
    <w:name w:val="四级条标题"/>
    <w:basedOn w:val="350"/>
    <w:next w:val="1"/>
    <w:qFormat/>
    <w:uiPriority w:val="0"/>
    <w:pPr>
      <w:numPr>
        <w:ilvl w:val="5"/>
      </w:numPr>
      <w:tabs>
        <w:tab w:val="left" w:pos="992"/>
      </w:tabs>
      <w:outlineLvl w:val="5"/>
    </w:pPr>
  </w:style>
  <w:style w:type="paragraph" w:customStyle="1" w:styleId="350">
    <w:name w:val="三级条标题"/>
    <w:basedOn w:val="275"/>
    <w:next w:val="1"/>
    <w:qFormat/>
    <w:uiPriority w:val="0"/>
    <w:pPr>
      <w:numPr>
        <w:ilvl w:val="4"/>
      </w:numPr>
      <w:outlineLvl w:val="4"/>
    </w:pPr>
  </w:style>
  <w:style w:type="paragraph" w:customStyle="1" w:styleId="351">
    <w:name w:val="Char Char1 Char Char Char Char Char Char Char Char"/>
    <w:basedOn w:val="1"/>
    <w:qFormat/>
    <w:uiPriority w:val="0"/>
    <w:pPr>
      <w:adjustRightInd w:val="0"/>
      <w:spacing w:after="160" w:line="240" w:lineRule="exact"/>
    </w:pPr>
    <w:rPr>
      <w:rFonts w:ascii="Verdana" w:hAnsi="Verdana"/>
      <w:kern w:val="0"/>
      <w:sz w:val="20"/>
      <w:lang w:eastAsia="en-US"/>
    </w:rPr>
  </w:style>
  <w:style w:type="paragraph" w:customStyle="1" w:styleId="352">
    <w:name w:val="2 Char Char Char Char Char Char Char Char Char Char"/>
    <w:basedOn w:val="1"/>
    <w:qFormat/>
    <w:uiPriority w:val="0"/>
    <w:pPr>
      <w:pageBreakBefore/>
      <w:ind w:left="1259"/>
    </w:pPr>
    <w:rPr>
      <w:kern w:val="44"/>
      <w:sz w:val="24"/>
      <w:szCs w:val="24"/>
    </w:rPr>
  </w:style>
  <w:style w:type="paragraph" w:customStyle="1" w:styleId="353">
    <w:name w:val="Char Char Char Char Char Char1 Char"/>
    <w:basedOn w:val="1"/>
    <w:qFormat/>
    <w:uiPriority w:val="0"/>
    <w:rPr>
      <w:szCs w:val="24"/>
    </w:rPr>
  </w:style>
  <w:style w:type="paragraph" w:customStyle="1" w:styleId="354">
    <w:name w:val="_Style 23"/>
    <w:basedOn w:val="1"/>
    <w:next w:val="20"/>
    <w:qFormat/>
    <w:uiPriority w:val="0"/>
    <w:pPr>
      <w:spacing w:after="120"/>
    </w:pPr>
  </w:style>
  <w:style w:type="paragraph" w:customStyle="1" w:styleId="355">
    <w:name w:val="文字列表"/>
    <w:basedOn w:val="52"/>
    <w:qFormat/>
    <w:uiPriority w:val="0"/>
    <w:pPr>
      <w:numPr>
        <w:ilvl w:val="0"/>
        <w:numId w:val="5"/>
      </w:numPr>
      <w:tabs>
        <w:tab w:val="left" w:pos="360"/>
        <w:tab w:val="left" w:pos="540"/>
        <w:tab w:val="left" w:pos="840"/>
        <w:tab w:val="clear" w:pos="1320"/>
      </w:tabs>
      <w:spacing w:line="360" w:lineRule="auto"/>
      <w:ind w:left="540" w:hanging="540"/>
      <w:jc w:val="both"/>
    </w:pPr>
    <w:rPr>
      <w:rFonts w:ascii="仿宋_GB2312" w:hAnsi="宋体" w:eastAsia="仿宋_GB2312"/>
      <w:sz w:val="24"/>
    </w:rPr>
  </w:style>
  <w:style w:type="paragraph" w:customStyle="1" w:styleId="356">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sz w:val="24"/>
      <w:szCs w:val="24"/>
    </w:rPr>
  </w:style>
  <w:style w:type="paragraph" w:customStyle="1" w:styleId="357">
    <w:name w:val="Char Char Char Char Char Char1 Char Char Char Char Char Char Char Char Char Char Char Char Char Char Char Char Char Char Char Char Char Char Char Char"/>
    <w:basedOn w:val="1"/>
    <w:qFormat/>
    <w:uiPriority w:val="0"/>
    <w:rPr>
      <w:szCs w:val="24"/>
    </w:rPr>
  </w:style>
  <w:style w:type="paragraph" w:customStyle="1" w:styleId="358">
    <w:name w:val="Char Char"/>
    <w:basedOn w:val="1"/>
    <w:qFormat/>
    <w:uiPriority w:val="0"/>
    <w:rPr>
      <w:rFonts w:ascii="Tahoma" w:hAnsi="Tahoma"/>
      <w:sz w:val="24"/>
    </w:rPr>
  </w:style>
  <w:style w:type="paragraph" w:customStyle="1" w:styleId="359">
    <w:name w:val="样式 标题 3 + (中文) 黑体 小四 非加粗 段前: 7.8 磅 段后: 0 磅 行距: 固定值 20 磅"/>
    <w:basedOn w:val="5"/>
    <w:qFormat/>
    <w:uiPriority w:val="0"/>
    <w:pPr>
      <w:spacing w:before="0" w:after="0" w:line="400" w:lineRule="exact"/>
    </w:pPr>
    <w:rPr>
      <w:rFonts w:eastAsia="黑体" w:cs="宋体"/>
      <w:bCs w:val="0"/>
      <w:kern w:val="0"/>
      <w:sz w:val="24"/>
      <w:szCs w:val="20"/>
    </w:rPr>
  </w:style>
  <w:style w:type="paragraph" w:customStyle="1" w:styleId="360">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sz w:val="28"/>
    </w:rPr>
  </w:style>
  <w:style w:type="paragraph" w:customStyle="1" w:styleId="361">
    <w:name w:val="标号"/>
    <w:basedOn w:val="1"/>
    <w:qFormat/>
    <w:uiPriority w:val="0"/>
    <w:pPr>
      <w:spacing w:line="360" w:lineRule="auto"/>
    </w:pPr>
    <w:rPr>
      <w:rFonts w:ascii="宋体" w:hAnsi="宋体"/>
      <w:sz w:val="24"/>
    </w:rPr>
  </w:style>
  <w:style w:type="paragraph" w:customStyle="1" w:styleId="362">
    <w:name w:val="Char Char Char"/>
    <w:basedOn w:val="1"/>
    <w:qFormat/>
    <w:uiPriority w:val="0"/>
    <w:rPr>
      <w:szCs w:val="24"/>
    </w:rPr>
  </w:style>
  <w:style w:type="paragraph" w:customStyle="1" w:styleId="363">
    <w:name w:val="列出段落1"/>
    <w:basedOn w:val="1"/>
    <w:qFormat/>
    <w:uiPriority w:val="0"/>
    <w:pPr>
      <w:ind w:firstLine="420" w:firstLineChars="200"/>
    </w:pPr>
    <w:rPr>
      <w:rFonts w:ascii="Calibri" w:hAnsi="Calibri" w:cs="Calibri"/>
      <w:szCs w:val="21"/>
    </w:rPr>
  </w:style>
  <w:style w:type="paragraph" w:customStyle="1" w:styleId="364">
    <w:name w:val="图片居中"/>
    <w:basedOn w:val="1"/>
    <w:qFormat/>
    <w:uiPriority w:val="0"/>
    <w:pPr>
      <w:jc w:val="center"/>
    </w:pPr>
    <w:rPr>
      <w:rFonts w:cs="宋体"/>
    </w:rPr>
  </w:style>
  <w:style w:type="paragraph" w:customStyle="1" w:styleId="365">
    <w:name w:val="表头"/>
    <w:qFormat/>
    <w:uiPriority w:val="0"/>
    <w:pPr>
      <w:jc w:val="center"/>
    </w:pPr>
    <w:rPr>
      <w:rFonts w:ascii="宋体" w:hAnsi="Times New Roman" w:eastAsia="宋体" w:cs="Times New Roman"/>
      <w:b/>
      <w:kern w:val="2"/>
      <w:lang w:val="en-US" w:eastAsia="zh-CN" w:bidi="ar-SA"/>
    </w:rPr>
  </w:style>
  <w:style w:type="paragraph" w:customStyle="1" w:styleId="366">
    <w:name w:val="Char Char2 Char Char"/>
    <w:basedOn w:val="17"/>
    <w:qFormat/>
    <w:uiPriority w:val="0"/>
    <w:rPr>
      <w:rFonts w:ascii="Tahoma" w:hAnsi="Tahoma"/>
      <w:sz w:val="24"/>
      <w:szCs w:val="24"/>
    </w:rPr>
  </w:style>
  <w:style w:type="paragraph" w:customStyle="1" w:styleId="367">
    <w:name w:val="TOC 标题1"/>
    <w:basedOn w:val="3"/>
    <w:next w:val="1"/>
    <w:qFormat/>
    <w:uiPriority w:val="0"/>
    <w:pPr>
      <w:spacing w:line="576" w:lineRule="auto"/>
      <w:outlineLvl w:val="9"/>
    </w:pPr>
    <w:rPr>
      <w:rFonts w:ascii="Calibri" w:hAnsi="Calibri"/>
    </w:rPr>
  </w:style>
  <w:style w:type="paragraph" w:customStyle="1" w:styleId="368">
    <w:name w:val="批注文字1"/>
    <w:basedOn w:val="1"/>
    <w:unhideWhenUsed/>
    <w:qFormat/>
    <w:uiPriority w:val="0"/>
    <w:rPr>
      <w:sz w:val="20"/>
    </w:rPr>
  </w:style>
  <w:style w:type="paragraph" w:customStyle="1" w:styleId="369">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70">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71">
    <w:name w:val="默认段落字体 Para Char Char Char Char Char Char Char Char Char1 Char Char Char Char Char Char Char"/>
    <w:basedOn w:val="17"/>
    <w:qFormat/>
    <w:uiPriority w:val="0"/>
    <w:rPr>
      <w:rFonts w:ascii="Tahoma" w:hAnsi="Tahoma"/>
      <w:sz w:val="24"/>
      <w:szCs w:val="24"/>
    </w:rPr>
  </w:style>
  <w:style w:type="paragraph" w:customStyle="1" w:styleId="372">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73">
    <w:name w:val="Char Char1"/>
    <w:basedOn w:val="1"/>
    <w:qFormat/>
    <w:uiPriority w:val="0"/>
    <w:rPr>
      <w:szCs w:val="24"/>
    </w:rPr>
  </w:style>
  <w:style w:type="paragraph" w:customStyle="1" w:styleId="374">
    <w:name w:val="wenjianming"/>
    <w:basedOn w:val="1"/>
    <w:qFormat/>
    <w:uiPriority w:val="0"/>
    <w:pPr>
      <w:widowControl/>
      <w:spacing w:before="100" w:beforeAutospacing="1" w:after="100" w:afterAutospacing="1" w:line="300" w:lineRule="atLeast"/>
      <w:jc w:val="left"/>
    </w:pPr>
    <w:rPr>
      <w:rFonts w:eastAsia="Arial Unicode MS"/>
      <w:color w:val="000000"/>
      <w:kern w:val="0"/>
    </w:rPr>
  </w:style>
  <w:style w:type="paragraph" w:customStyle="1" w:styleId="375">
    <w:name w:val="Char Char Char1"/>
    <w:basedOn w:val="1"/>
    <w:qFormat/>
    <w:uiPriority w:val="0"/>
    <w:rPr>
      <w:rFonts w:ascii="Tahoma" w:hAnsi="Tahoma"/>
      <w:sz w:val="24"/>
    </w:rPr>
  </w:style>
  <w:style w:type="paragraph" w:customStyle="1" w:styleId="376">
    <w:name w:val="Char2"/>
    <w:basedOn w:val="1"/>
    <w:qFormat/>
    <w:uiPriority w:val="0"/>
    <w:rPr>
      <w:rFonts w:ascii="Tahoma" w:hAnsi="Tahoma"/>
      <w:sz w:val="24"/>
    </w:rPr>
  </w:style>
  <w:style w:type="paragraph" w:customStyle="1" w:styleId="377">
    <w:name w:val="列表编号1"/>
    <w:basedOn w:val="1"/>
    <w:qFormat/>
    <w:uiPriority w:val="0"/>
    <w:pPr>
      <w:tabs>
        <w:tab w:val="left" w:pos="780"/>
      </w:tabs>
      <w:spacing w:after="120" w:line="288" w:lineRule="auto"/>
      <w:ind w:left="780" w:hanging="420"/>
    </w:pPr>
    <w:rPr>
      <w:rFonts w:eastAsia="幼圆"/>
      <w:sz w:val="24"/>
    </w:rPr>
  </w:style>
  <w:style w:type="paragraph" w:customStyle="1" w:styleId="378">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 w:val="24"/>
    </w:rPr>
  </w:style>
  <w:style w:type="paragraph" w:customStyle="1" w:styleId="37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b/>
      <w:kern w:val="0"/>
      <w:sz w:val="20"/>
    </w:rPr>
  </w:style>
  <w:style w:type="paragraph" w:customStyle="1" w:styleId="380">
    <w:name w:val="Char1 Char Char Char Char Char Char Char Char Char"/>
    <w:basedOn w:val="1"/>
    <w:qFormat/>
    <w:uiPriority w:val="0"/>
    <w:pPr>
      <w:jc w:val="left"/>
    </w:pPr>
    <w:rPr>
      <w:rFonts w:ascii="Tahoma" w:hAnsi="Tahoma"/>
      <w:sz w:val="24"/>
    </w:rPr>
  </w:style>
  <w:style w:type="paragraph" w:customStyle="1" w:styleId="381">
    <w:name w:val="一级目录"/>
    <w:next w:val="1"/>
    <w:qFormat/>
    <w:uiPriority w:val="0"/>
    <w:pPr>
      <w:spacing w:after="312" w:afterLines="100"/>
      <w:jc w:val="center"/>
      <w:outlineLvl w:val="0"/>
    </w:pPr>
    <w:rPr>
      <w:rFonts w:ascii="黑体" w:hAnsi="Calibri" w:eastAsia="黑体" w:cs="Times New Roman"/>
      <w:b/>
      <w:kern w:val="2"/>
      <w:sz w:val="44"/>
      <w:szCs w:val="44"/>
      <w:lang w:val="en-US" w:eastAsia="zh-CN" w:bidi="ar-SA"/>
    </w:rPr>
  </w:style>
  <w:style w:type="paragraph" w:customStyle="1" w:styleId="382">
    <w:name w:val="wen_2"/>
    <w:basedOn w:val="1"/>
    <w:qFormat/>
    <w:uiPriority w:val="0"/>
    <w:pPr>
      <w:widowControl/>
      <w:spacing w:before="100" w:beforeAutospacing="1" w:after="100" w:afterAutospacing="1" w:line="324" w:lineRule="auto"/>
      <w:jc w:val="left"/>
    </w:pPr>
    <w:rPr>
      <w:color w:val="000000"/>
      <w:kern w:val="0"/>
      <w:sz w:val="18"/>
      <w:szCs w:val="18"/>
    </w:rPr>
  </w:style>
  <w:style w:type="paragraph" w:customStyle="1" w:styleId="383">
    <w:name w:val="Table Text"/>
    <w:basedOn w:val="1"/>
    <w:qFormat/>
    <w:uiPriority w:val="0"/>
    <w:rPr>
      <w:sz w:val="18"/>
      <w:szCs w:val="24"/>
    </w:rPr>
  </w:style>
  <w:style w:type="paragraph" w:customStyle="1" w:styleId="384">
    <w:name w:val="公文正文"/>
    <w:basedOn w:val="1"/>
    <w:qFormat/>
    <w:uiPriority w:val="0"/>
    <w:pPr>
      <w:spacing w:line="360" w:lineRule="auto"/>
      <w:jc w:val="center"/>
    </w:pPr>
    <w:rPr>
      <w:rFonts w:eastAsia="华文仿宋"/>
      <w:b/>
      <w:sz w:val="32"/>
    </w:rPr>
  </w:style>
  <w:style w:type="paragraph" w:customStyle="1" w:styleId="385">
    <w:name w:val="Char Char Char Char1"/>
    <w:basedOn w:val="17"/>
    <w:qFormat/>
    <w:uiPriority w:val="0"/>
    <w:rPr>
      <w:sz w:val="28"/>
    </w:rPr>
  </w:style>
  <w:style w:type="paragraph" w:customStyle="1" w:styleId="386">
    <w:name w:val="样式 首行缩进:  0.85 厘米"/>
    <w:basedOn w:val="1"/>
    <w:qFormat/>
    <w:uiPriority w:val="0"/>
    <w:pPr>
      <w:spacing w:line="360" w:lineRule="auto"/>
      <w:ind w:firstLine="480" w:firstLineChars="200"/>
    </w:pPr>
    <w:rPr>
      <w:szCs w:val="24"/>
    </w:rPr>
  </w:style>
  <w:style w:type="paragraph" w:customStyle="1" w:styleId="387">
    <w:name w:val="正文，首行缩进"/>
    <w:basedOn w:val="20"/>
    <w:next w:val="7"/>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482"/>
    </w:pPr>
    <w:rPr>
      <w:rFonts w:ascii="楷体" w:hAnsi="Arial" w:eastAsia="楷体"/>
      <w:kern w:val="0"/>
      <w:sz w:val="24"/>
      <w:szCs w:val="20"/>
      <w:lang w:val="de-DE"/>
    </w:rPr>
  </w:style>
  <w:style w:type="paragraph" w:customStyle="1" w:styleId="388">
    <w:name w:val="表格正文"/>
    <w:basedOn w:val="1"/>
    <w:qFormat/>
    <w:uiPriority w:val="0"/>
    <w:pPr>
      <w:spacing w:before="156" w:beforeLines="50"/>
    </w:pPr>
    <w:rPr>
      <w:rFonts w:cs="宋体"/>
      <w:kern w:val="0"/>
    </w:rPr>
  </w:style>
  <w:style w:type="paragraph" w:customStyle="1" w:styleId="389">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正文文字缩进--WRY"/>
    <w:basedOn w:val="1"/>
    <w:qFormat/>
    <w:uiPriority w:val="0"/>
    <w:pPr>
      <w:spacing w:before="240" w:after="64" w:line="360" w:lineRule="auto"/>
      <w:ind w:firstLine="480" w:firstLineChars="200"/>
    </w:pPr>
    <w:rPr>
      <w:sz w:val="24"/>
    </w:rPr>
  </w:style>
  <w:style w:type="paragraph" w:customStyle="1" w:styleId="391">
    <w:name w:val="_Style 165"/>
    <w:basedOn w:val="1"/>
    <w:qFormat/>
    <w:uiPriority w:val="0"/>
    <w:pPr>
      <w:spacing w:before="156" w:beforeLines="50" w:after="156" w:afterLines="50"/>
      <w:ind w:left="200" w:leftChars="200"/>
    </w:pPr>
    <w:rPr>
      <w:rFonts w:eastAsia="Times New Roman"/>
      <w:kern w:val="0"/>
      <w:sz w:val="20"/>
      <w:szCs w:val="24"/>
    </w:rPr>
  </w:style>
  <w:style w:type="paragraph" w:customStyle="1" w:styleId="392">
    <w:name w:val="正文2"/>
    <w:basedOn w:val="1"/>
    <w:qFormat/>
    <w:uiPriority w:val="0"/>
    <w:pPr>
      <w:spacing w:line="300" w:lineRule="auto"/>
      <w:ind w:left="500" w:leftChars="500"/>
    </w:pPr>
  </w:style>
  <w:style w:type="paragraph" w:customStyle="1" w:styleId="393">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kern w:val="0"/>
      <w:sz w:val="24"/>
      <w:szCs w:val="24"/>
    </w:rPr>
  </w:style>
  <w:style w:type="paragraph" w:customStyle="1" w:styleId="3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rPr>
  </w:style>
  <w:style w:type="paragraph" w:customStyle="1" w:styleId="395">
    <w:name w:val="text"/>
    <w:basedOn w:val="1"/>
    <w:qFormat/>
    <w:uiPriority w:val="0"/>
    <w:pPr>
      <w:widowControl/>
      <w:spacing w:before="100" w:beforeAutospacing="1" w:after="100" w:afterAutospacing="1" w:line="300" w:lineRule="auto"/>
      <w:jc w:val="left"/>
    </w:pPr>
    <w:rPr>
      <w:rFonts w:ascii="仿宋_GB2312" w:hAnsi="宋体" w:eastAsia="仿宋_GB2312" w:cs="宋体"/>
      <w:kern w:val="0"/>
      <w:sz w:val="32"/>
      <w:szCs w:val="32"/>
    </w:rPr>
  </w:style>
  <w:style w:type="paragraph" w:customStyle="1" w:styleId="396">
    <w:name w:val="2册标题3"/>
    <w:basedOn w:val="1"/>
    <w:next w:val="1"/>
    <w:qFormat/>
    <w:uiPriority w:val="0"/>
    <w:pPr>
      <w:spacing w:before="156" w:beforeLines="50" w:after="156" w:afterLines="50" w:line="300" w:lineRule="auto"/>
      <w:ind w:left="210" w:leftChars="100"/>
      <w:jc w:val="center"/>
      <w:outlineLvl w:val="2"/>
    </w:pPr>
    <w:rPr>
      <w:rFonts w:ascii="宋体" w:hAnsi="宋体"/>
      <w:b/>
      <w:sz w:val="30"/>
    </w:rPr>
  </w:style>
  <w:style w:type="paragraph" w:customStyle="1" w:styleId="397">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398">
    <w:name w:val="无编号标题4"/>
    <w:next w:val="1"/>
    <w:qFormat/>
    <w:uiPriority w:val="0"/>
    <w:pPr>
      <w:jc w:val="center"/>
    </w:pPr>
    <w:rPr>
      <w:rFonts w:ascii="Arial" w:hAnsi="Arial" w:eastAsia="黑体" w:cs="Times New Roman"/>
      <w:kern w:val="2"/>
      <w:sz w:val="28"/>
      <w:szCs w:val="28"/>
      <w:lang w:val="en-US" w:eastAsia="zh-CN" w:bidi="ar-SA"/>
    </w:rPr>
  </w:style>
  <w:style w:type="paragraph" w:customStyle="1" w:styleId="399">
    <w:name w:val="样式3-A商务部分"/>
    <w:basedOn w:val="5"/>
    <w:qFormat/>
    <w:uiPriority w:val="0"/>
    <w:pPr>
      <w:tabs>
        <w:tab w:val="left" w:pos="1260"/>
      </w:tabs>
      <w:spacing w:line="360" w:lineRule="exact"/>
      <w:ind w:left="1260" w:hanging="420"/>
    </w:pPr>
    <w:rPr>
      <w:sz w:val="28"/>
    </w:rPr>
  </w:style>
  <w:style w:type="paragraph" w:customStyle="1" w:styleId="400">
    <w:name w:val="Char1"/>
    <w:basedOn w:val="1"/>
    <w:qFormat/>
    <w:uiPriority w:val="0"/>
    <w:pPr>
      <w:widowControl/>
      <w:spacing w:after="160" w:line="240" w:lineRule="exact"/>
      <w:jc w:val="left"/>
    </w:pPr>
    <w:rPr>
      <w:rFonts w:ascii="Verdana" w:hAnsi="Verdana"/>
      <w:kern w:val="0"/>
      <w:sz w:val="20"/>
      <w:lang w:eastAsia="en-US"/>
    </w:rPr>
  </w:style>
  <w:style w:type="paragraph" w:customStyle="1" w:styleId="401">
    <w:name w:val="正文-带编号1)"/>
    <w:basedOn w:val="1"/>
    <w:qFormat/>
    <w:uiPriority w:val="0"/>
    <w:pPr>
      <w:numPr>
        <w:ilvl w:val="0"/>
        <w:numId w:val="4"/>
      </w:numPr>
      <w:spacing w:line="400" w:lineRule="exact"/>
    </w:pPr>
    <w:rPr>
      <w:rFonts w:ascii="Arial" w:hAnsi="Arial"/>
      <w:szCs w:val="24"/>
    </w:rPr>
  </w:style>
  <w:style w:type="paragraph" w:customStyle="1" w:styleId="402">
    <w:name w:val="Char Char Char Char Char Char1 Char Char Char11"/>
    <w:basedOn w:val="1"/>
    <w:qFormat/>
    <w:uiPriority w:val="0"/>
    <w:rPr>
      <w:szCs w:val="24"/>
    </w:rPr>
  </w:style>
  <w:style w:type="paragraph" w:customStyle="1" w:styleId="403">
    <w:name w:val="p0"/>
    <w:basedOn w:val="1"/>
    <w:qFormat/>
    <w:uiPriority w:val="0"/>
    <w:pPr>
      <w:widowControl/>
    </w:pPr>
    <w:rPr>
      <w:kern w:val="0"/>
      <w:szCs w:val="21"/>
    </w:rPr>
  </w:style>
  <w:style w:type="paragraph" w:customStyle="1" w:styleId="404">
    <w:name w:val="Char Char Char Char Char Char Char Char Char Char Char Char Char Char Char Char1"/>
    <w:basedOn w:val="1"/>
    <w:qFormat/>
    <w:uiPriority w:val="0"/>
    <w:pPr>
      <w:widowControl/>
      <w:spacing w:after="160" w:line="240" w:lineRule="exact"/>
      <w:jc w:val="left"/>
    </w:pPr>
    <w:rPr>
      <w:szCs w:val="24"/>
    </w:rPr>
  </w:style>
  <w:style w:type="paragraph" w:customStyle="1" w:styleId="405">
    <w:name w:val="标题2级"/>
    <w:qFormat/>
    <w:uiPriority w:val="0"/>
    <w:pPr>
      <w:tabs>
        <w:tab w:val="left" w:pos="0"/>
      </w:tabs>
      <w:spacing w:line="240" w:lineRule="atLeast"/>
      <w:outlineLvl w:val="1"/>
    </w:pPr>
    <w:rPr>
      <w:rFonts w:ascii="宋体" w:hAnsi="宋体" w:eastAsia="宋体" w:cs="Times New Roman"/>
      <w:b/>
      <w:bCs/>
      <w:sz w:val="28"/>
      <w:szCs w:val="28"/>
      <w:lang w:val="en-US" w:eastAsia="zh-CN" w:bidi="ar-SA"/>
    </w:rPr>
  </w:style>
  <w:style w:type="paragraph" w:customStyle="1" w:styleId="406">
    <w:name w:val="Char Char Char Char Char Char"/>
    <w:basedOn w:val="1"/>
    <w:qFormat/>
    <w:uiPriority w:val="0"/>
    <w:rPr>
      <w:rFonts w:ascii="Tahoma" w:hAnsi="Tahoma"/>
      <w:sz w:val="24"/>
    </w:rPr>
  </w:style>
  <w:style w:type="paragraph" w:customStyle="1" w:styleId="407">
    <w:name w:val="±íÏî"/>
    <w:basedOn w:val="1"/>
    <w:qFormat/>
    <w:uiPriority w:val="0"/>
    <w:pPr>
      <w:widowControl/>
      <w:overflowPunct w:val="0"/>
      <w:autoSpaceDE w:val="0"/>
      <w:autoSpaceDN w:val="0"/>
      <w:adjustRightInd w:val="0"/>
      <w:spacing w:line="300" w:lineRule="auto"/>
      <w:jc w:val="center"/>
      <w:textAlignment w:val="baseline"/>
    </w:pPr>
    <w:rPr>
      <w:kern w:val="0"/>
      <w:sz w:val="18"/>
    </w:rPr>
  </w:style>
  <w:style w:type="character" w:customStyle="1" w:styleId="408">
    <w:name w:val="明显引用 Char"/>
    <w:basedOn w:val="56"/>
    <w:qFormat/>
    <w:uiPriority w:val="30"/>
    <w:rPr>
      <w:rFonts w:ascii="Times New Roman" w:hAnsi="Times New Roman" w:eastAsia="宋体" w:cs="Times New Roman"/>
      <w:i/>
      <w:iCs/>
      <w:color w:val="5B9BD5" w:themeColor="accent1"/>
      <w:szCs w:val="20"/>
      <w14:textFill>
        <w14:solidFill>
          <w14:schemeClr w14:val="accent1"/>
        </w14:solidFill>
      </w14:textFill>
    </w:rPr>
  </w:style>
  <w:style w:type="paragraph" w:customStyle="1" w:styleId="409">
    <w:name w:val="一般正文"/>
    <w:basedOn w:val="1"/>
    <w:qFormat/>
    <w:uiPriority w:val="0"/>
    <w:pPr>
      <w:spacing w:line="360" w:lineRule="auto"/>
      <w:ind w:firstLine="480" w:firstLineChars="200"/>
    </w:pPr>
    <w:rPr>
      <w:rFonts w:cs="宋体"/>
      <w:sz w:val="24"/>
    </w:rPr>
  </w:style>
  <w:style w:type="paragraph" w:customStyle="1" w:styleId="410">
    <w:name w:val="排版"/>
    <w:basedOn w:val="1"/>
    <w:next w:val="20"/>
    <w:qFormat/>
    <w:uiPriority w:val="0"/>
    <w:pPr>
      <w:spacing w:line="600" w:lineRule="exact"/>
    </w:pPr>
    <w:rPr>
      <w:rFonts w:eastAsia="华文仿宋"/>
      <w:spacing w:val="6"/>
      <w:sz w:val="32"/>
      <w:szCs w:val="24"/>
    </w:rPr>
  </w:style>
  <w:style w:type="paragraph" w:customStyle="1" w:styleId="411">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412">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sz w:val="24"/>
    </w:rPr>
  </w:style>
  <w:style w:type="paragraph" w:customStyle="1" w:styleId="413">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414">
    <w:name w:val="flType"/>
    <w:basedOn w:val="1"/>
    <w:qFormat/>
    <w:uiPriority w:val="0"/>
    <w:pPr>
      <w:adjustRightInd w:val="0"/>
      <w:spacing w:after="284" w:line="113" w:lineRule="atLeast"/>
      <w:jc w:val="center"/>
    </w:pPr>
    <w:rPr>
      <w:kern w:val="0"/>
      <w:sz w:val="24"/>
    </w:rPr>
  </w:style>
  <w:style w:type="paragraph" w:customStyle="1" w:styleId="415">
    <w:name w:val="无编号标题1"/>
    <w:next w:val="1"/>
    <w:qFormat/>
    <w:uiPriority w:val="0"/>
    <w:pPr>
      <w:spacing w:before="624" w:beforeLines="200" w:after="312" w:afterLines="100"/>
      <w:jc w:val="center"/>
    </w:pPr>
    <w:rPr>
      <w:rFonts w:ascii="Times New Roman" w:hAnsi="Times New Roman" w:eastAsia="黑体" w:cs="Times New Roman"/>
      <w:b/>
      <w:kern w:val="2"/>
      <w:sz w:val="44"/>
      <w:szCs w:val="24"/>
      <w:lang w:val="en-US" w:eastAsia="zh-CN" w:bidi="ar-SA"/>
    </w:rPr>
  </w:style>
  <w:style w:type="paragraph" w:customStyle="1" w:styleId="416">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417">
    <w:name w:val="样式1"/>
    <w:basedOn w:val="1"/>
    <w:qFormat/>
    <w:uiPriority w:val="0"/>
    <w:pPr>
      <w:tabs>
        <w:tab w:val="left" w:pos="1620"/>
      </w:tabs>
      <w:adjustRightInd w:val="0"/>
      <w:ind w:left="1620" w:hanging="1620"/>
      <w:textAlignment w:val="baseline"/>
    </w:pPr>
    <w:rPr>
      <w:rFonts w:ascii="宋体" w:hAnsi="宋体"/>
      <w:kern w:val="0"/>
    </w:rPr>
  </w:style>
  <w:style w:type="paragraph" w:customStyle="1" w:styleId="418">
    <w:name w:val="纯文本1"/>
    <w:basedOn w:val="1"/>
    <w:qFormat/>
    <w:uiPriority w:val="0"/>
    <w:pPr>
      <w:widowControl/>
      <w:spacing w:before="120" w:after="120"/>
      <w:jc w:val="left"/>
    </w:pPr>
    <w:rPr>
      <w:rFonts w:ascii="Courier New" w:hAnsi="Courier New"/>
      <w:kern w:val="0"/>
      <w:sz w:val="22"/>
      <w:lang w:val="en-GB" w:eastAsia="en-US"/>
    </w:rPr>
  </w:style>
  <w:style w:type="paragraph" w:customStyle="1" w:styleId="419">
    <w:name w:val="样式 宋体 三号 加粗 居中 行距: 最小值 12 磅"/>
    <w:basedOn w:val="1"/>
    <w:qFormat/>
    <w:uiPriority w:val="0"/>
    <w:pPr>
      <w:spacing w:line="240" w:lineRule="atLeast"/>
      <w:jc w:val="center"/>
    </w:pPr>
    <w:rPr>
      <w:rFonts w:ascii="宋体" w:hAnsi="宋体"/>
      <w:b/>
    </w:rPr>
  </w:style>
  <w:style w:type="paragraph" w:customStyle="1" w:styleId="420">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kern w:val="0"/>
      <w:sz w:val="24"/>
    </w:rPr>
  </w:style>
  <w:style w:type="paragraph" w:customStyle="1" w:styleId="421">
    <w:name w:val="标题  1"/>
    <w:basedOn w:val="1"/>
    <w:qFormat/>
    <w:uiPriority w:val="0"/>
    <w:pPr>
      <w:tabs>
        <w:tab w:val="left" w:pos="840"/>
      </w:tabs>
      <w:spacing w:line="360" w:lineRule="auto"/>
      <w:ind w:left="840" w:hanging="420"/>
    </w:pPr>
    <w:rPr>
      <w:sz w:val="24"/>
      <w:szCs w:val="24"/>
    </w:rPr>
  </w:style>
  <w:style w:type="paragraph" w:customStyle="1" w:styleId="422">
    <w:name w:val="font7"/>
    <w:basedOn w:val="1"/>
    <w:qFormat/>
    <w:uiPriority w:val="0"/>
    <w:pPr>
      <w:widowControl/>
      <w:spacing w:before="100" w:beforeAutospacing="1" w:after="100" w:afterAutospacing="1"/>
      <w:jc w:val="left"/>
    </w:pPr>
    <w:rPr>
      <w:kern w:val="0"/>
      <w:sz w:val="20"/>
    </w:rPr>
  </w:style>
  <w:style w:type="paragraph" w:customStyle="1" w:styleId="423">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szCs w:val="21"/>
    </w:rPr>
  </w:style>
  <w:style w:type="paragraph" w:customStyle="1" w:styleId="424">
    <w:name w:val="表文字"/>
    <w:qFormat/>
    <w:uiPriority w:val="0"/>
    <w:rPr>
      <w:rFonts w:ascii="宋体" w:hAnsi="Times New Roman" w:eastAsia="宋体" w:cs="Times New Roman"/>
      <w:kern w:val="2"/>
      <w:lang w:val="en-US" w:eastAsia="zh-CN" w:bidi="ar-SA"/>
    </w:rPr>
  </w:style>
  <w:style w:type="paragraph" w:customStyle="1" w:styleId="425">
    <w:name w:val="正文 3"/>
    <w:basedOn w:val="331"/>
    <w:next w:val="331"/>
    <w:qFormat/>
    <w:uiPriority w:val="0"/>
    <w:pPr>
      <w:spacing w:before="120"/>
    </w:pPr>
    <w:rPr>
      <w:rFonts w:ascii="Garamond" w:hAnsi="Garamond"/>
      <w:color w:val="auto"/>
    </w:rPr>
  </w:style>
  <w:style w:type="paragraph" w:customStyle="1" w:styleId="426">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427">
    <w:name w:val="Char11"/>
    <w:basedOn w:val="1"/>
    <w:qFormat/>
    <w:uiPriority w:val="0"/>
    <w:pPr>
      <w:tabs>
        <w:tab w:val="left" w:pos="840"/>
      </w:tabs>
      <w:ind w:left="840" w:hanging="420"/>
    </w:pPr>
    <w:rPr>
      <w:sz w:val="24"/>
      <w:szCs w:val="24"/>
    </w:rPr>
  </w:style>
  <w:style w:type="paragraph" w:customStyle="1" w:styleId="428">
    <w:name w:val="样式4"/>
    <w:basedOn w:val="5"/>
    <w:qFormat/>
    <w:uiPriority w:val="0"/>
    <w:pPr>
      <w:spacing w:before="120" w:after="0" w:line="360" w:lineRule="auto"/>
    </w:pPr>
    <w:rPr>
      <w:rFonts w:ascii="黑体" w:hAnsi="黑体" w:eastAsia="黑体"/>
      <w:b w:val="0"/>
      <w:sz w:val="30"/>
      <w:szCs w:val="30"/>
    </w:rPr>
  </w:style>
  <w:style w:type="paragraph" w:customStyle="1" w:styleId="429">
    <w:name w:val="样式 首行缩进:  0 字符"/>
    <w:basedOn w:val="1"/>
    <w:qFormat/>
    <w:uiPriority w:val="0"/>
    <w:rPr>
      <w:rFonts w:cs="宋体"/>
    </w:rPr>
  </w:style>
  <w:style w:type="paragraph" w:customStyle="1" w:styleId="430">
    <w:name w:val="Char Char Char Char Char Char Char Char Char Char Char Char Char Char Char1 Char"/>
    <w:basedOn w:val="1"/>
    <w:qFormat/>
    <w:uiPriority w:val="0"/>
    <w:pPr>
      <w:widowControl/>
      <w:spacing w:after="160" w:line="240" w:lineRule="exact"/>
      <w:jc w:val="left"/>
    </w:pPr>
    <w:rPr>
      <w:rFonts w:ascii="Verdana" w:hAnsi="Verdana"/>
      <w:kern w:val="0"/>
      <w:sz w:val="20"/>
      <w:lang w:eastAsia="en-US"/>
    </w:rPr>
  </w:style>
  <w:style w:type="paragraph" w:customStyle="1" w:styleId="431">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rPr>
  </w:style>
  <w:style w:type="paragraph" w:customStyle="1" w:styleId="43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33">
    <w:name w:val="0-ST-篇"/>
    <w:basedOn w:val="1"/>
    <w:next w:val="1"/>
    <w:qFormat/>
    <w:uiPriority w:val="0"/>
    <w:pPr>
      <w:jc w:val="center"/>
    </w:pPr>
    <w:rPr>
      <w:rFonts w:ascii="Calibri" w:hAnsi="Calibri" w:eastAsia="黑体"/>
      <w:sz w:val="32"/>
      <w:szCs w:val="21"/>
    </w:rPr>
  </w:style>
  <w:style w:type="paragraph" w:customStyle="1" w:styleId="434">
    <w:name w:val="Char Char Char Char Char Char1 Char Char Char Char Char Char Char1"/>
    <w:basedOn w:val="1"/>
    <w:qFormat/>
    <w:uiPriority w:val="0"/>
    <w:rPr>
      <w:szCs w:val="24"/>
    </w:rPr>
  </w:style>
  <w:style w:type="paragraph" w:customStyle="1" w:styleId="435">
    <w:name w:val="2册标题4"/>
    <w:basedOn w:val="1"/>
    <w:next w:val="1"/>
    <w:qFormat/>
    <w:uiPriority w:val="0"/>
    <w:pPr>
      <w:spacing w:before="156" w:beforeLines="50" w:after="156" w:afterLines="50" w:line="300" w:lineRule="auto"/>
      <w:ind w:left="420" w:leftChars="200"/>
      <w:outlineLvl w:val="3"/>
    </w:pPr>
    <w:rPr>
      <w:rFonts w:ascii="Arial" w:hAnsi="Arial" w:eastAsia="幼圆"/>
      <w:b/>
      <w:sz w:val="24"/>
    </w:rPr>
  </w:style>
  <w:style w:type="paragraph" w:customStyle="1" w:styleId="436">
    <w:name w:val="b2"/>
    <w:basedOn w:val="1"/>
    <w:qFormat/>
    <w:uiPriority w:val="0"/>
    <w:pPr>
      <w:tabs>
        <w:tab w:val="left" w:pos="720"/>
      </w:tabs>
      <w:spacing w:line="360" w:lineRule="auto"/>
      <w:ind w:left="420" w:hanging="420"/>
    </w:pPr>
    <w:rPr>
      <w:rFonts w:ascii="宋体" w:hAnsi="宋体"/>
      <w:sz w:val="24"/>
    </w:rPr>
  </w:style>
  <w:style w:type="paragraph" w:customStyle="1" w:styleId="437">
    <w:name w:val="标题2"/>
    <w:basedOn w:val="3"/>
    <w:qFormat/>
    <w:uiPriority w:val="0"/>
    <w:pPr>
      <w:spacing w:before="0" w:after="0" w:line="576" w:lineRule="auto"/>
    </w:pPr>
    <w:rPr>
      <w:rFonts w:eastAsia="仿宋_GB2312"/>
      <w:color w:val="000000"/>
      <w:sz w:val="32"/>
    </w:rPr>
  </w:style>
  <w:style w:type="paragraph" w:customStyle="1" w:styleId="438">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kern w:val="0"/>
      <w:sz w:val="20"/>
    </w:rPr>
  </w:style>
  <w:style w:type="paragraph" w:customStyle="1" w:styleId="439">
    <w:name w:val="1"/>
    <w:basedOn w:val="1"/>
    <w:next w:val="1"/>
    <w:qFormat/>
    <w:uiPriority w:val="0"/>
    <w:rPr>
      <w:szCs w:val="24"/>
    </w:rPr>
  </w:style>
  <w:style w:type="paragraph" w:customStyle="1" w:styleId="440">
    <w:name w:val="方案正文"/>
    <w:basedOn w:val="1"/>
    <w:qFormat/>
    <w:uiPriority w:val="0"/>
    <w:pPr>
      <w:spacing w:before="156" w:line="360" w:lineRule="auto"/>
      <w:ind w:firstLine="359" w:firstLineChars="171"/>
      <w:jc w:val="left"/>
    </w:pPr>
    <w:rPr>
      <w:rFonts w:ascii="Arial" w:hAnsi="Arial"/>
      <w:sz w:val="24"/>
    </w:rPr>
  </w:style>
  <w:style w:type="paragraph" w:customStyle="1" w:styleId="441">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kern w:val="0"/>
      <w:sz w:val="24"/>
    </w:rPr>
  </w:style>
  <w:style w:type="paragraph" w:customStyle="1" w:styleId="44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bCs w:val="0"/>
      <w:sz w:val="28"/>
      <w:szCs w:val="20"/>
    </w:rPr>
  </w:style>
  <w:style w:type="paragraph" w:customStyle="1" w:styleId="443">
    <w:name w:val="Table Contents"/>
    <w:basedOn w:val="20"/>
    <w:qFormat/>
    <w:uiPriority w:val="0"/>
    <w:pPr>
      <w:suppressAutoHyphens/>
      <w:jc w:val="left"/>
    </w:pPr>
    <w:rPr>
      <w:rFonts w:eastAsia="Times New Roman"/>
      <w:kern w:val="0"/>
      <w:sz w:val="24"/>
      <w:szCs w:val="20"/>
    </w:rPr>
  </w:style>
  <w:style w:type="paragraph" w:customStyle="1" w:styleId="444">
    <w:name w:val="默认段落字体 Para Char Char Char Char"/>
    <w:basedOn w:val="1"/>
    <w:qFormat/>
    <w:uiPriority w:val="0"/>
    <w:rPr>
      <w:szCs w:val="24"/>
    </w:rPr>
  </w:style>
  <w:style w:type="paragraph" w:customStyle="1" w:styleId="445">
    <w:name w:val="样式 小四正文 + 首行缩进:  2 字符 段前: 0.5 行"/>
    <w:basedOn w:val="1"/>
    <w:qFormat/>
    <w:uiPriority w:val="0"/>
    <w:pPr>
      <w:spacing w:before="50" w:beforeLines="50" w:line="360" w:lineRule="auto"/>
      <w:ind w:firstLine="200" w:firstLineChars="200"/>
    </w:pPr>
    <w:rPr>
      <w:rFonts w:ascii="宋体" w:hAnsi="宋体"/>
      <w:bCs/>
      <w:sz w:val="24"/>
    </w:rPr>
  </w:style>
  <w:style w:type="paragraph" w:customStyle="1" w:styleId="446">
    <w:name w:val="标题 2 + Times New Roman 加粗 黑色 首行缩进:  2 字符 行距: 2 倍行距 + 段前..."/>
    <w:basedOn w:val="1"/>
    <w:next w:val="1"/>
    <w:qFormat/>
    <w:uiPriority w:val="0"/>
    <w:pPr>
      <w:adjustRightInd w:val="0"/>
      <w:snapToGrid w:val="0"/>
      <w:spacing w:before="468" w:beforeLines="150" w:after="156" w:afterLines="50" w:line="360" w:lineRule="auto"/>
      <w:outlineLvl w:val="0"/>
    </w:pPr>
    <w:rPr>
      <w:rFonts w:eastAsia="黑体"/>
      <w:b/>
      <w:color w:val="000000"/>
      <w:kern w:val="0"/>
      <w:sz w:val="32"/>
      <w:szCs w:val="32"/>
    </w:rPr>
  </w:style>
  <w:style w:type="paragraph" w:customStyle="1" w:styleId="447">
    <w:name w:val="Char Char5 Char Char Char Char"/>
    <w:basedOn w:val="17"/>
    <w:qFormat/>
    <w:uiPriority w:val="0"/>
    <w:rPr>
      <w:rFonts w:ascii="Tahoma" w:hAnsi="Tahoma" w:eastAsia="Times New Roman"/>
      <w:sz w:val="24"/>
      <w:szCs w:val="24"/>
    </w:rPr>
  </w:style>
  <w:style w:type="paragraph" w:customStyle="1" w:styleId="448">
    <w:name w:val="前言、引言标题"/>
    <w:next w:val="1"/>
    <w:qFormat/>
    <w:uiPriority w:val="0"/>
    <w:pPr>
      <w:shd w:val="clear" w:color="FFFFFF" w:fill="FFFFFF"/>
      <w:tabs>
        <w:tab w:val="left" w:pos="425"/>
      </w:tabs>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449">
    <w:name w:val="xl5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50">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 w:val="0"/>
      <w:bCs w:val="0"/>
      <w:sz w:val="32"/>
      <w:szCs w:val="20"/>
    </w:rPr>
  </w:style>
  <w:style w:type="paragraph" w:customStyle="1" w:styleId="451">
    <w:name w:val="new sinograin"/>
    <w:basedOn w:val="1"/>
    <w:qFormat/>
    <w:uiPriority w:val="0"/>
    <w:pPr>
      <w:topLinePunct/>
      <w:ind w:firstLine="200" w:firstLineChars="200"/>
    </w:pPr>
  </w:style>
  <w:style w:type="paragraph" w:customStyle="1" w:styleId="452">
    <w:name w:val="_正文段落"/>
    <w:basedOn w:val="1"/>
    <w:qFormat/>
    <w:uiPriority w:val="0"/>
    <w:pPr>
      <w:spacing w:before="46" w:beforeLines="15" w:after="46" w:afterLines="15"/>
      <w:ind w:firstLine="480" w:firstLineChars="200"/>
    </w:pPr>
    <w:rPr>
      <w:rFonts w:ascii="宋体" w:hAnsi="宋体"/>
      <w:sz w:val="24"/>
    </w:rPr>
  </w:style>
  <w:style w:type="paragraph" w:customStyle="1" w:styleId="453">
    <w:name w:val="MyTest"/>
    <w:basedOn w:val="53"/>
    <w:qFormat/>
    <w:uiPriority w:val="0"/>
    <w:pPr>
      <w:spacing w:after="0" w:line="360" w:lineRule="auto"/>
      <w:ind w:left="0" w:leftChars="0" w:firstLine="200"/>
    </w:pPr>
    <w:rPr>
      <w:rFonts w:eastAsia="宋体"/>
      <w:sz w:val="24"/>
      <w:szCs w:val="20"/>
    </w:rPr>
  </w:style>
  <w:style w:type="paragraph" w:customStyle="1" w:styleId="454">
    <w:name w:val="Fließtext"/>
    <w:basedOn w:val="1"/>
    <w:qFormat/>
    <w:uiPriority w:val="99"/>
    <w:pPr>
      <w:overflowPunct w:val="0"/>
      <w:autoSpaceDE w:val="0"/>
      <w:autoSpaceDN w:val="0"/>
      <w:adjustRightInd w:val="0"/>
      <w:textAlignment w:val="baseline"/>
    </w:pPr>
    <w:rPr>
      <w:rFonts w:hint="eastAsia" w:ascii="Calibri" w:hAnsi="Calibri"/>
      <w:kern w:val="28"/>
    </w:rPr>
  </w:style>
  <w:style w:type="paragraph" w:customStyle="1" w:styleId="455">
    <w:name w:val="四级"/>
    <w:basedOn w:val="6"/>
    <w:qFormat/>
    <w:uiPriority w:val="0"/>
    <w:pPr>
      <w:numPr>
        <w:ilvl w:val="3"/>
        <w:numId w:val="6"/>
      </w:numPr>
      <w:tabs>
        <w:tab w:val="left" w:pos="1620"/>
      </w:tabs>
      <w:spacing w:before="120" w:after="120" w:line="240" w:lineRule="auto"/>
    </w:pPr>
    <w:rPr>
      <w:rFonts w:ascii="Cambria" w:hAnsi="Cambria" w:eastAsia="Cambria"/>
      <w:bCs w:val="0"/>
      <w:color w:val="000000"/>
      <w:lang w:val="en-US"/>
    </w:rPr>
  </w:style>
  <w:style w:type="paragraph" w:customStyle="1" w:styleId="456">
    <w:name w:val="二级"/>
    <w:basedOn w:val="4"/>
    <w:qFormat/>
    <w:uiPriority w:val="0"/>
    <w:pPr>
      <w:numPr>
        <w:ilvl w:val="1"/>
        <w:numId w:val="6"/>
      </w:numPr>
      <w:tabs>
        <w:tab w:val="clear" w:pos="2410"/>
      </w:tabs>
      <w:spacing w:before="240" w:after="240" w:line="240" w:lineRule="auto"/>
      <w:jc w:val="center"/>
    </w:pPr>
    <w:rPr>
      <w:b/>
      <w:bCs w:val="0"/>
      <w:sz w:val="84"/>
      <w:szCs w:val="20"/>
      <w:lang w:val="en-US"/>
    </w:rPr>
  </w:style>
  <w:style w:type="character" w:customStyle="1" w:styleId="457">
    <w:name w:val="img_bg_cover"/>
    <w:basedOn w:val="56"/>
    <w:qFormat/>
    <w:uiPriority w:val="0"/>
  </w:style>
  <w:style w:type="character" w:customStyle="1" w:styleId="458">
    <w:name w:val="pgebreak"/>
    <w:basedOn w:val="56"/>
    <w:qFormat/>
    <w:uiPriority w:val="0"/>
  </w:style>
  <w:style w:type="character" w:customStyle="1" w:styleId="459">
    <w:name w:val="first-child"/>
    <w:basedOn w:val="56"/>
    <w:qFormat/>
    <w:uiPriority w:val="0"/>
  </w:style>
  <w:style w:type="character" w:customStyle="1" w:styleId="460">
    <w:name w:val="now"/>
    <w:basedOn w:val="56"/>
    <w:qFormat/>
    <w:uiPriority w:val="0"/>
    <w:rPr>
      <w:shd w:val="clear" w:color="auto" w:fill="FFFFFF"/>
    </w:rPr>
  </w:style>
  <w:style w:type="character" w:customStyle="1" w:styleId="461">
    <w:name w:val="layui-layer-tabnow"/>
    <w:basedOn w:val="56"/>
    <w:qFormat/>
    <w:uiPriority w:val="0"/>
    <w:rPr>
      <w:bdr w:val="single" w:color="CCCCCC" w:sz="6" w:space="0"/>
      <w:shd w:val="clear" w:color="auto" w:fill="FFFFFF"/>
    </w:rPr>
  </w:style>
  <w:style w:type="paragraph" w:styleId="462">
    <w:name w:val="List Paragraph"/>
    <w:basedOn w:val="1"/>
    <w:qFormat/>
    <w:uiPriority w:val="99"/>
    <w:pPr>
      <w:ind w:firstLine="420" w:firstLineChars="200"/>
    </w:pPr>
  </w:style>
  <w:style w:type="paragraph" w:customStyle="1" w:styleId="46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64">
    <w:name w:val="news_title10"/>
    <w:basedOn w:val="56"/>
    <w:qFormat/>
    <w:uiPriority w:val="0"/>
  </w:style>
  <w:style w:type="character" w:customStyle="1" w:styleId="465">
    <w:name w:val="column-name18"/>
    <w:basedOn w:val="56"/>
    <w:qFormat/>
    <w:uiPriority w:val="0"/>
    <w:rPr>
      <w:color w:val="0F429B"/>
    </w:rPr>
  </w:style>
  <w:style w:type="character" w:customStyle="1" w:styleId="466">
    <w:name w:val="news_meta"/>
    <w:basedOn w:val="56"/>
    <w:qFormat/>
    <w:uiPriority w:val="0"/>
    <w:rPr>
      <w:rFonts w:ascii="Georgia" w:hAnsi="Georgia" w:eastAsia="Georgia" w:cs="Georgia"/>
      <w:color w:val="666666"/>
      <w:sz w:val="21"/>
      <w:szCs w:val="21"/>
    </w:rPr>
  </w:style>
  <w:style w:type="character" w:customStyle="1" w:styleId="467">
    <w:name w:val="item-name"/>
    <w:basedOn w:val="56"/>
    <w:qFormat/>
    <w:uiPriority w:val="0"/>
  </w:style>
  <w:style w:type="character" w:customStyle="1" w:styleId="468">
    <w:name w:val="item-name1"/>
    <w:basedOn w:val="56"/>
    <w:uiPriority w:val="0"/>
  </w:style>
  <w:style w:type="character" w:customStyle="1" w:styleId="469">
    <w:name w:val="news_title"/>
    <w:basedOn w:val="56"/>
    <w:qFormat/>
    <w:uiPriority w:val="0"/>
  </w:style>
  <w:style w:type="character" w:customStyle="1" w:styleId="470">
    <w:name w:val="news_title9"/>
    <w:basedOn w:val="56"/>
    <w:qFormat/>
    <w:uiPriority w:val="0"/>
  </w:style>
  <w:style w:type="character" w:customStyle="1" w:styleId="471">
    <w:name w:val="column-name"/>
    <w:basedOn w:val="56"/>
    <w:qFormat/>
    <w:uiPriority w:val="0"/>
    <w:rPr>
      <w:color w:val="0F429B"/>
    </w:rPr>
  </w:style>
  <w:style w:type="paragraph" w:customStyle="1" w:styleId="472">
    <w:name w:val="正文＋小四＋缩进2字符"/>
    <w:basedOn w:val="1"/>
    <w:qFormat/>
    <w:uiPriority w:val="0"/>
    <w:pPr>
      <w:widowControl/>
      <w:spacing w:line="360" w:lineRule="auto"/>
      <w:ind w:firstLine="200" w:firstLineChars="200"/>
      <w:jc w:val="left"/>
    </w:pPr>
    <w:rPr>
      <w:rFonts w:ascii="宋体" w:hAnsi="宋体" w:eastAsia="宋体" w:cs="Times New Roman"/>
      <w:kern w:val="0"/>
      <w:sz w:val="24"/>
      <w:szCs w:val="20"/>
    </w:rPr>
  </w:style>
  <w:style w:type="paragraph" w:customStyle="1" w:styleId="473">
    <w:name w:val="Plain Text2"/>
    <w:basedOn w:val="1"/>
    <w:qFormat/>
    <w:uiPriority w:val="0"/>
    <w:pPr>
      <w:adjustRightInd w:val="0"/>
    </w:pPr>
    <w:rPr>
      <w:rFonts w:ascii="宋体" w:hAnsi="Courier New" w:eastAsia="楷体_GB2312"/>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4036</Words>
  <Characters>23011</Characters>
  <Lines>191</Lines>
  <Paragraphs>53</Paragraphs>
  <TotalTime>7</TotalTime>
  <ScaleCrop>false</ScaleCrop>
  <LinksUpToDate>false</LinksUpToDate>
  <CharactersWithSpaces>26994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2021-06-17T06:50:00Z</dcterms:created>
  <dc:creator>xh</dc:creator>
  <cp:lastModifiedBy>Administrator</cp:lastModifiedBy>
  <cp:lastPrinted>2021-06-11T02:38:00Z</cp:lastPrinted>
  <dcterms:modified xsi:type="dcterms:W3CDTF">2022-01-27T01:27:34Z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529D7D45A90141C79A192629C8020978</vt:lpwstr>
  </property>
</Properties>
</file>