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12" w:lineRule="auto"/>
        <w:ind w:firstLine="0" w:firstLineChars="0"/>
        <w:jc w:val="center"/>
        <w:rPr>
          <w:rFonts w:asciiTheme="minorEastAsia" w:hAnsiTheme="minorEastAsia" w:cstheme="minorEastAsia"/>
          <w:kern w:val="10"/>
          <w:sz w:val="36"/>
          <w:szCs w:val="36"/>
          <w:u w:val="single"/>
        </w:rPr>
      </w:pPr>
      <w:r>
        <w:rPr>
          <w:rFonts w:hint="eastAsia" w:asciiTheme="minorEastAsia" w:hAnsiTheme="minorEastAsia" w:cstheme="minorEastAsia"/>
          <w:bCs/>
          <w:sz w:val="48"/>
          <w:szCs w:val="48"/>
        </w:rPr>
        <w:t>扬州市民卡有限责任公司“我的扬州APP”安全保障产品及服务采购</w:t>
      </w: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ind w:left="560" w:firstLine="0" w:firstLineChars="0"/>
        <w:jc w:val="center"/>
        <w:rPr>
          <w:rFonts w:asciiTheme="minorEastAsia" w:hAnsiTheme="minorEastAsia" w:cstheme="minorEastAsia"/>
          <w:b/>
          <w:spacing w:val="160"/>
          <w:kern w:val="36"/>
          <w:sz w:val="56"/>
          <w:szCs w:val="56"/>
        </w:rPr>
      </w:pPr>
      <w:r>
        <w:rPr>
          <w:rFonts w:hint="eastAsia" w:asciiTheme="minorEastAsia" w:hAnsiTheme="minorEastAsia" w:cstheme="minorEastAsia"/>
          <w:b/>
          <w:spacing w:val="160"/>
          <w:kern w:val="36"/>
          <w:sz w:val="56"/>
          <w:szCs w:val="56"/>
        </w:rPr>
        <w:t>招标文件</w:t>
      </w:r>
    </w:p>
    <w:p>
      <w:pPr>
        <w:snapToGrid w:val="0"/>
        <w:spacing w:line="312" w:lineRule="auto"/>
        <w:ind w:firstLine="0" w:firstLineChars="0"/>
        <w:jc w:val="center"/>
        <w:rPr>
          <w:rFonts w:asciiTheme="minorEastAsia" w:hAnsiTheme="minorEastAsia" w:cstheme="minorEastAsia"/>
          <w:b/>
          <w:spacing w:val="160"/>
          <w:kern w:val="36"/>
          <w:sz w:val="56"/>
          <w:szCs w:val="56"/>
        </w:rPr>
      </w:pPr>
      <w:r>
        <w:rPr>
          <w:rFonts w:hint="eastAsia" w:asciiTheme="minorEastAsia" w:hAnsiTheme="minorEastAsia" w:cstheme="minorEastAsia"/>
          <w:kern w:val="10"/>
          <w:sz w:val="36"/>
          <w:szCs w:val="36"/>
        </w:rPr>
        <w:t>招标编号：</w:t>
      </w:r>
      <w:r>
        <w:rPr>
          <w:rFonts w:hint="eastAsia" w:asciiTheme="minorEastAsia" w:hAnsiTheme="minorEastAsia" w:cstheme="minorEastAsia"/>
          <w:kern w:val="10"/>
          <w:sz w:val="36"/>
          <w:szCs w:val="36"/>
          <w:lang w:eastAsia="zh-CN"/>
        </w:rPr>
        <w:t>066019531692</w:t>
      </w:r>
      <w:r>
        <w:rPr>
          <w:rFonts w:hint="eastAsia" w:asciiTheme="minorEastAsia" w:hAnsiTheme="minorEastAsia" w:cstheme="minorEastAsia"/>
          <w:kern w:val="10"/>
          <w:sz w:val="36"/>
          <w:szCs w:val="36"/>
        </w:rPr>
        <w:t>/1</w:t>
      </w: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snapToGrid w:val="0"/>
        <w:spacing w:line="312" w:lineRule="auto"/>
        <w:rPr>
          <w:rFonts w:asciiTheme="minorEastAsia" w:hAnsiTheme="minorEastAsia" w:cstheme="minorEastAsia"/>
        </w:rPr>
      </w:pPr>
    </w:p>
    <w:p>
      <w:pPr>
        <w:pStyle w:val="28"/>
        <w:snapToGrid w:val="0"/>
        <w:spacing w:line="312" w:lineRule="auto"/>
        <w:rPr>
          <w:rFonts w:asciiTheme="minorEastAsia" w:hAnsiTheme="minorEastAsia" w:eastAsiaTheme="minorEastAsia" w:cstheme="minorEastAsia"/>
          <w:lang w:eastAsia="zh-CN"/>
        </w:rPr>
      </w:pPr>
    </w:p>
    <w:p>
      <w:pPr>
        <w:pStyle w:val="28"/>
        <w:snapToGrid w:val="0"/>
        <w:spacing w:line="312" w:lineRule="auto"/>
        <w:rPr>
          <w:rFonts w:asciiTheme="minorEastAsia" w:hAnsiTheme="minorEastAsia" w:eastAsiaTheme="minorEastAsia" w:cstheme="minorEastAsia"/>
          <w:lang w:eastAsia="zh-CN"/>
        </w:rPr>
      </w:pPr>
    </w:p>
    <w:p>
      <w:pPr>
        <w:pStyle w:val="28"/>
        <w:snapToGrid w:val="0"/>
        <w:spacing w:line="312" w:lineRule="auto"/>
        <w:rPr>
          <w:rFonts w:asciiTheme="minorEastAsia" w:hAnsiTheme="minorEastAsia" w:eastAsiaTheme="minorEastAsia" w:cstheme="minorEastAsia"/>
          <w:lang w:eastAsia="zh-CN"/>
        </w:rPr>
      </w:pPr>
    </w:p>
    <w:p>
      <w:pPr>
        <w:pStyle w:val="28"/>
        <w:snapToGrid w:val="0"/>
        <w:spacing w:line="312" w:lineRule="auto"/>
        <w:rPr>
          <w:rFonts w:asciiTheme="minorEastAsia" w:hAnsiTheme="minorEastAsia" w:eastAsiaTheme="minorEastAsia" w:cstheme="minorEastAsia"/>
          <w:lang w:eastAsia="zh-CN"/>
        </w:rPr>
      </w:pPr>
    </w:p>
    <w:p>
      <w:pPr>
        <w:pStyle w:val="28"/>
        <w:snapToGrid w:val="0"/>
        <w:spacing w:line="312" w:lineRule="auto"/>
        <w:rPr>
          <w:rFonts w:asciiTheme="minorEastAsia" w:hAnsiTheme="minorEastAsia" w:eastAsiaTheme="minorEastAsia" w:cstheme="minorEastAsia"/>
          <w:lang w:eastAsia="zh-CN"/>
        </w:rPr>
      </w:pPr>
    </w:p>
    <w:p>
      <w:pPr>
        <w:pStyle w:val="28"/>
        <w:snapToGrid w:val="0"/>
        <w:spacing w:line="312" w:lineRule="auto"/>
        <w:rPr>
          <w:rFonts w:asciiTheme="minorEastAsia" w:hAnsiTheme="minorEastAsia" w:eastAsiaTheme="minorEastAsia" w:cstheme="minorEastAsia"/>
          <w:lang w:eastAsia="zh-CN"/>
        </w:rPr>
      </w:pPr>
    </w:p>
    <w:p>
      <w:pPr>
        <w:pStyle w:val="28"/>
        <w:snapToGrid w:val="0"/>
        <w:spacing w:line="312" w:lineRule="auto"/>
        <w:rPr>
          <w:rFonts w:asciiTheme="minorEastAsia" w:hAnsiTheme="minorEastAsia" w:eastAsiaTheme="minorEastAsia" w:cstheme="minorEastAsia"/>
          <w:lang w:eastAsia="zh-CN"/>
        </w:rPr>
      </w:pPr>
    </w:p>
    <w:p>
      <w:pPr>
        <w:pStyle w:val="28"/>
        <w:snapToGrid w:val="0"/>
        <w:spacing w:line="312" w:lineRule="auto"/>
        <w:rPr>
          <w:rFonts w:asciiTheme="minorEastAsia" w:hAnsiTheme="minorEastAsia" w:eastAsiaTheme="minorEastAsia" w:cstheme="minorEastAsia"/>
          <w:lang w:eastAsia="zh-CN"/>
        </w:rPr>
      </w:pPr>
    </w:p>
    <w:p>
      <w:pPr>
        <w:snapToGrid w:val="0"/>
        <w:spacing w:line="312" w:lineRule="auto"/>
        <w:rPr>
          <w:rFonts w:asciiTheme="minorEastAsia" w:hAnsiTheme="minorEastAsia" w:cstheme="minorEastAsia"/>
        </w:rPr>
      </w:pPr>
    </w:p>
    <w:p>
      <w:pPr>
        <w:snapToGrid w:val="0"/>
        <w:spacing w:line="312" w:lineRule="auto"/>
        <w:ind w:firstLine="640"/>
        <w:rPr>
          <w:rFonts w:asciiTheme="minorEastAsia" w:hAnsiTheme="minorEastAsia" w:cstheme="minorEastAsia"/>
          <w:sz w:val="32"/>
          <w:szCs w:val="32"/>
        </w:rPr>
      </w:pPr>
    </w:p>
    <w:p>
      <w:pPr>
        <w:snapToGrid w:val="0"/>
        <w:ind w:firstLine="0" w:firstLineChars="0"/>
        <w:jc w:val="center"/>
        <w:rPr>
          <w:rFonts w:asciiTheme="minorEastAsia" w:hAnsiTheme="minorEastAsia" w:cstheme="minorEastAsia"/>
          <w:color w:val="000000"/>
          <w:sz w:val="32"/>
          <w:szCs w:val="32"/>
        </w:rPr>
      </w:pPr>
      <w:r>
        <w:rPr>
          <w:rFonts w:hint="eastAsia" w:asciiTheme="minorEastAsia" w:hAnsiTheme="minorEastAsia" w:cstheme="minorEastAsia"/>
          <w:kern w:val="10"/>
          <w:sz w:val="32"/>
          <w:szCs w:val="32"/>
        </w:rPr>
        <w:t>招标人：</w:t>
      </w:r>
      <w:r>
        <w:rPr>
          <w:rFonts w:hint="eastAsia" w:asciiTheme="minorEastAsia" w:hAnsiTheme="minorEastAsia" w:cstheme="minorEastAsia"/>
          <w:color w:val="000000"/>
          <w:sz w:val="32"/>
          <w:szCs w:val="32"/>
        </w:rPr>
        <w:t>扬州市民卡有限责任公司</w:t>
      </w:r>
    </w:p>
    <w:p>
      <w:pPr>
        <w:pStyle w:val="28"/>
        <w:snapToGrid w:val="0"/>
        <w:rPr>
          <w:rFonts w:asciiTheme="minorEastAsia" w:hAnsiTheme="minorEastAsia" w:eastAsiaTheme="minorEastAsia" w:cstheme="minorEastAsia"/>
          <w:lang w:eastAsia="zh-CN"/>
        </w:rPr>
      </w:pPr>
    </w:p>
    <w:p>
      <w:pPr>
        <w:snapToGrid w:val="0"/>
        <w:ind w:firstLine="0" w:firstLineChars="0"/>
        <w:jc w:val="center"/>
        <w:rPr>
          <w:rFonts w:asciiTheme="minorEastAsia" w:hAnsiTheme="minorEastAsia" w:cstheme="minorEastAsia"/>
          <w:kern w:val="10"/>
          <w:sz w:val="32"/>
          <w:szCs w:val="32"/>
        </w:rPr>
      </w:pPr>
      <w:r>
        <w:rPr>
          <w:rFonts w:hint="eastAsia" w:asciiTheme="minorEastAsia" w:hAnsiTheme="minorEastAsia" w:cstheme="minorEastAsia"/>
          <w:kern w:val="10"/>
          <w:sz w:val="32"/>
          <w:szCs w:val="32"/>
        </w:rPr>
        <w:t>招标代理机构：江苏省设备成套有限公司（盖单位章）</w:t>
      </w:r>
    </w:p>
    <w:p>
      <w:pPr>
        <w:pStyle w:val="28"/>
        <w:snapToGrid w:val="0"/>
        <w:rPr>
          <w:rFonts w:asciiTheme="minorEastAsia" w:hAnsiTheme="minorEastAsia" w:eastAsiaTheme="minorEastAsia" w:cstheme="minorEastAsia"/>
          <w:lang w:eastAsia="zh-CN"/>
        </w:rPr>
      </w:pPr>
    </w:p>
    <w:p>
      <w:pPr>
        <w:snapToGrid w:val="0"/>
        <w:ind w:firstLine="0" w:firstLineChars="0"/>
        <w:jc w:val="center"/>
        <w:rPr>
          <w:rFonts w:hint="eastAsia" w:asciiTheme="minorEastAsia" w:hAnsiTheme="minorEastAsia" w:eastAsiaTheme="minorEastAsia" w:cstheme="minorEastAsia"/>
          <w:kern w:val="10"/>
          <w:sz w:val="32"/>
          <w:szCs w:val="32"/>
          <w:lang w:eastAsia="zh-CN"/>
        </w:rPr>
      </w:pPr>
      <w:r>
        <w:rPr>
          <w:rFonts w:hint="eastAsia" w:asciiTheme="minorEastAsia" w:hAnsiTheme="minorEastAsia" w:cstheme="minorEastAsia"/>
          <w:kern w:val="10"/>
          <w:sz w:val="32"/>
          <w:szCs w:val="32"/>
        </w:rPr>
        <w:t>2019年</w:t>
      </w:r>
      <w:r>
        <w:rPr>
          <w:rFonts w:hint="eastAsia" w:asciiTheme="minorEastAsia" w:hAnsiTheme="minorEastAsia" w:cstheme="minorEastAsia"/>
          <w:kern w:val="10"/>
          <w:sz w:val="32"/>
          <w:szCs w:val="32"/>
          <w:lang w:eastAsia="zh-CN"/>
        </w:rPr>
        <w:t>5月29日</w:t>
      </w:r>
    </w:p>
    <w:p>
      <w:pPr>
        <w:snapToGrid w:val="0"/>
        <w:spacing w:line="360" w:lineRule="auto"/>
        <w:ind w:firstLine="0" w:firstLineChars="0"/>
        <w:jc w:val="center"/>
        <w:rPr>
          <w:rFonts w:asciiTheme="minorEastAsia" w:hAnsiTheme="minorEastAsia" w:cstheme="minorEastAsia"/>
          <w:sz w:val="44"/>
          <w:szCs w:val="44"/>
        </w:rPr>
      </w:pPr>
    </w:p>
    <w:p>
      <w:pPr>
        <w:snapToGrid w:val="0"/>
        <w:spacing w:line="360" w:lineRule="auto"/>
        <w:ind w:firstLine="0" w:firstLineChars="0"/>
        <w:jc w:val="center"/>
        <w:rPr>
          <w:rFonts w:asciiTheme="minorEastAsia" w:hAnsiTheme="minorEastAsia" w:cstheme="minorEastAsia"/>
          <w:sz w:val="44"/>
          <w:szCs w:val="44"/>
        </w:rPr>
      </w:pPr>
      <w:r>
        <w:rPr>
          <w:rFonts w:hint="eastAsia" w:asciiTheme="minorEastAsia" w:hAnsiTheme="minorEastAsia" w:cstheme="minorEastAsia"/>
          <w:sz w:val="44"/>
          <w:szCs w:val="44"/>
        </w:rPr>
        <w:t>目录</w:t>
      </w:r>
    </w:p>
    <w:p>
      <w:pPr>
        <w:snapToGrid w:val="0"/>
        <w:spacing w:line="360" w:lineRule="auto"/>
        <w:rPr>
          <w:rFonts w:asciiTheme="minorEastAsia" w:hAnsiTheme="minorEastAsia" w:cstheme="minorEastAsia"/>
        </w:rPr>
      </w:pPr>
    </w:p>
    <w:p>
      <w:pPr>
        <w:pStyle w:val="22"/>
        <w:tabs>
          <w:tab w:val="right" w:leader="dot" w:pos="8306"/>
        </w:tabs>
      </w:pPr>
      <w:bookmarkStart w:id="164" w:name="_GoBack"/>
      <w:bookmarkEnd w:id="164"/>
      <w:r>
        <w:rPr>
          <w:rFonts w:hint="eastAsia" w:asciiTheme="minorEastAsia" w:hAnsiTheme="minorEastAsia" w:cstheme="minorEastAsia"/>
        </w:rPr>
        <w:fldChar w:fldCharType="begin"/>
      </w:r>
      <w:r>
        <w:rPr>
          <w:rFonts w:hint="eastAsia" w:asciiTheme="minorEastAsia" w:hAnsiTheme="minorEastAsia" w:cstheme="minorEastAsia"/>
        </w:rPr>
        <w:instrText xml:space="preserve"> TOC \o "1-5" \h \z \u </w:instrText>
      </w:r>
      <w:r>
        <w:rPr>
          <w:rFonts w:hint="eastAsia" w:asciiTheme="minorEastAsia" w:hAnsiTheme="minorEastAsia" w:cstheme="minorEastAsia"/>
        </w:rPr>
        <w:fldChar w:fldCharType="separate"/>
      </w: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_Toc20338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第一章 招标公告</w:t>
      </w:r>
      <w:r>
        <w:tab/>
      </w:r>
      <w:r>
        <w:fldChar w:fldCharType="begin"/>
      </w:r>
      <w:r>
        <w:instrText xml:space="preserve"> PAGEREF _Toc20338 </w:instrText>
      </w:r>
      <w:r>
        <w:fldChar w:fldCharType="separate"/>
      </w:r>
      <w:r>
        <w:t>5</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_Toc17528 </w:instrText>
      </w:r>
      <w:r>
        <w:rPr>
          <w:rFonts w:hint="eastAsia" w:asciiTheme="minorEastAsia" w:hAnsiTheme="minorEastAsia" w:cstheme="minorEastAsia"/>
        </w:rPr>
        <w:fldChar w:fldCharType="separate"/>
      </w:r>
      <w:r>
        <w:rPr>
          <w:rFonts w:hint="eastAsia" w:cstheme="minorEastAsia"/>
        </w:rPr>
        <w:t>一、招标条件</w:t>
      </w:r>
      <w:r>
        <w:tab/>
      </w:r>
      <w:r>
        <w:fldChar w:fldCharType="begin"/>
      </w:r>
      <w:r>
        <w:instrText xml:space="preserve"> PAGEREF _Toc17528 </w:instrText>
      </w:r>
      <w:r>
        <w:fldChar w:fldCharType="separate"/>
      </w:r>
      <w:r>
        <w:t>5</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_Toc5504 </w:instrText>
      </w:r>
      <w:r>
        <w:rPr>
          <w:rFonts w:hint="eastAsia" w:asciiTheme="minorEastAsia" w:hAnsiTheme="minorEastAsia" w:cstheme="minorEastAsia"/>
        </w:rPr>
        <w:fldChar w:fldCharType="separate"/>
      </w:r>
      <w:r>
        <w:rPr>
          <w:rFonts w:hint="eastAsia" w:cstheme="minorEastAsia"/>
        </w:rPr>
        <w:t>二、项目概况和招标范围</w:t>
      </w:r>
      <w:r>
        <w:tab/>
      </w:r>
      <w:r>
        <w:fldChar w:fldCharType="begin"/>
      </w:r>
      <w:r>
        <w:instrText xml:space="preserve"> PAGEREF _Toc5504 </w:instrText>
      </w:r>
      <w:r>
        <w:fldChar w:fldCharType="separate"/>
      </w:r>
      <w:r>
        <w:t>5</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_Toc19212 </w:instrText>
      </w:r>
      <w:r>
        <w:rPr>
          <w:rFonts w:hint="eastAsia" w:asciiTheme="minorEastAsia" w:hAnsiTheme="minorEastAsia" w:cstheme="minorEastAsia"/>
        </w:rPr>
        <w:fldChar w:fldCharType="separate"/>
      </w:r>
      <w:r>
        <w:rPr>
          <w:rFonts w:hint="eastAsia" w:cstheme="minorEastAsia"/>
        </w:rPr>
        <w:t xml:space="preserve">三、 </w:t>
      </w:r>
      <w:r>
        <w:rPr>
          <w:rFonts w:hint="eastAsia" w:cstheme="minorEastAsia"/>
          <w:highlight w:val="none"/>
        </w:rPr>
        <w:t>投标人资格要求</w:t>
      </w:r>
      <w:r>
        <w:tab/>
      </w:r>
      <w:r>
        <w:fldChar w:fldCharType="begin"/>
      </w:r>
      <w:r>
        <w:instrText xml:space="preserve"> PAGEREF _Toc19212 </w:instrText>
      </w:r>
      <w:r>
        <w:fldChar w:fldCharType="separate"/>
      </w:r>
      <w:r>
        <w:t>5</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_Toc17838 </w:instrText>
      </w:r>
      <w:r>
        <w:rPr>
          <w:rFonts w:hint="eastAsia" w:asciiTheme="minorEastAsia" w:hAnsiTheme="minorEastAsia" w:cstheme="minorEastAsia"/>
        </w:rPr>
        <w:fldChar w:fldCharType="separate"/>
      </w:r>
      <w:r>
        <w:rPr>
          <w:rFonts w:hint="eastAsia" w:cstheme="minorEastAsia"/>
          <w:highlight w:val="none"/>
        </w:rPr>
        <w:t>四、招标文件的获取</w:t>
      </w:r>
      <w:r>
        <w:tab/>
      </w:r>
      <w:r>
        <w:fldChar w:fldCharType="begin"/>
      </w:r>
      <w:r>
        <w:instrText xml:space="preserve"> PAGEREF _Toc17838 </w:instrText>
      </w:r>
      <w:r>
        <w:fldChar w:fldCharType="separate"/>
      </w:r>
      <w:r>
        <w:t>6</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_Toc1129 </w:instrText>
      </w:r>
      <w:r>
        <w:rPr>
          <w:rFonts w:hint="eastAsia" w:asciiTheme="minorEastAsia" w:hAnsiTheme="minorEastAsia" w:cstheme="minorEastAsia"/>
        </w:rPr>
        <w:fldChar w:fldCharType="separate"/>
      </w:r>
      <w:r>
        <w:rPr>
          <w:rFonts w:hint="eastAsia" w:cstheme="minorEastAsia"/>
        </w:rPr>
        <w:t>五、投标文件的递交</w:t>
      </w:r>
      <w:r>
        <w:tab/>
      </w:r>
      <w:r>
        <w:fldChar w:fldCharType="begin"/>
      </w:r>
      <w:r>
        <w:instrText xml:space="preserve"> PAGEREF _Toc1129 </w:instrText>
      </w:r>
      <w:r>
        <w:fldChar w:fldCharType="separate"/>
      </w:r>
      <w:r>
        <w:t>7</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_Toc31495 </w:instrText>
      </w:r>
      <w:r>
        <w:rPr>
          <w:rFonts w:hint="eastAsia" w:asciiTheme="minorEastAsia" w:hAnsiTheme="minorEastAsia" w:cstheme="minorEastAsia"/>
        </w:rPr>
        <w:fldChar w:fldCharType="separate"/>
      </w:r>
      <w:r>
        <w:rPr>
          <w:rFonts w:hint="eastAsia" w:cstheme="minorEastAsia"/>
        </w:rPr>
        <w:t>六、开标时间及地点</w:t>
      </w:r>
      <w:r>
        <w:tab/>
      </w:r>
      <w:r>
        <w:fldChar w:fldCharType="begin"/>
      </w:r>
      <w:r>
        <w:instrText xml:space="preserve"> PAGEREF _Toc31495 </w:instrText>
      </w:r>
      <w:r>
        <w:fldChar w:fldCharType="separate"/>
      </w:r>
      <w:r>
        <w:t>7</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_Toc686 </w:instrText>
      </w:r>
      <w:r>
        <w:rPr>
          <w:rFonts w:hint="eastAsia" w:asciiTheme="minorEastAsia" w:hAnsiTheme="minorEastAsia" w:cstheme="minorEastAsia"/>
        </w:rPr>
        <w:fldChar w:fldCharType="separate"/>
      </w:r>
      <w:r>
        <w:rPr>
          <w:rFonts w:hint="eastAsia" w:cstheme="minorEastAsia"/>
          <w:highlight w:val="none"/>
        </w:rPr>
        <w:t>七、其他</w:t>
      </w:r>
      <w:r>
        <w:tab/>
      </w:r>
      <w:r>
        <w:fldChar w:fldCharType="begin"/>
      </w:r>
      <w:r>
        <w:instrText xml:space="preserve"> PAGEREF _Toc686 </w:instrText>
      </w:r>
      <w:r>
        <w:fldChar w:fldCharType="separate"/>
      </w:r>
      <w:r>
        <w:t>7</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_Toc23914 </w:instrText>
      </w:r>
      <w:r>
        <w:rPr>
          <w:rFonts w:hint="eastAsia" w:asciiTheme="minorEastAsia" w:hAnsiTheme="minorEastAsia" w:cstheme="minorEastAsia"/>
        </w:rPr>
        <w:fldChar w:fldCharType="separate"/>
      </w:r>
      <w:r>
        <w:rPr>
          <w:rFonts w:hint="eastAsia" w:cstheme="minorEastAsia"/>
          <w:highlight w:val="none"/>
        </w:rPr>
        <w:t>八、监督部门</w:t>
      </w:r>
      <w:r>
        <w:tab/>
      </w:r>
      <w:r>
        <w:fldChar w:fldCharType="begin"/>
      </w:r>
      <w:r>
        <w:instrText xml:space="preserve"> PAGEREF _Toc23914 </w:instrText>
      </w:r>
      <w:r>
        <w:fldChar w:fldCharType="separate"/>
      </w:r>
      <w:r>
        <w:t>7</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_Toc7054 </w:instrText>
      </w:r>
      <w:r>
        <w:rPr>
          <w:rFonts w:hint="eastAsia" w:asciiTheme="minorEastAsia" w:hAnsiTheme="minorEastAsia" w:cstheme="minorEastAsia"/>
        </w:rPr>
        <w:fldChar w:fldCharType="separate"/>
      </w:r>
      <w:r>
        <w:rPr>
          <w:rFonts w:hint="eastAsia" w:cstheme="minorEastAsia"/>
          <w:highlight w:val="none"/>
        </w:rPr>
        <w:t>九、联系方式</w:t>
      </w:r>
      <w:r>
        <w:tab/>
      </w:r>
      <w:r>
        <w:fldChar w:fldCharType="begin"/>
      </w:r>
      <w:r>
        <w:instrText xml:space="preserve"> PAGEREF _Toc7054 </w:instrText>
      </w:r>
      <w:r>
        <w:fldChar w:fldCharType="separate"/>
      </w:r>
      <w:r>
        <w:t>7</w:t>
      </w:r>
      <w:r>
        <w:fldChar w:fldCharType="end"/>
      </w:r>
      <w:r>
        <w:rPr>
          <w:rFonts w:hint="eastAsia" w:asciiTheme="minorEastAsia" w:hAnsiTheme="minorEastAsia" w:cstheme="minorEastAsia"/>
        </w:rPr>
        <w:fldChar w:fldCharType="end"/>
      </w:r>
    </w:p>
    <w:p>
      <w:pPr>
        <w:pStyle w:val="22"/>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_Toc19397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第二章 投标人须知</w:t>
      </w:r>
      <w:r>
        <w:tab/>
      </w:r>
      <w:r>
        <w:fldChar w:fldCharType="begin"/>
      </w:r>
      <w:r>
        <w:instrText xml:space="preserve"> PAGEREF _Toc19397 </w:instrText>
      </w:r>
      <w:r>
        <w:fldChar w:fldCharType="separate"/>
      </w:r>
      <w:r>
        <w:t>9</w:t>
      </w:r>
      <w:r>
        <w:fldChar w:fldCharType="end"/>
      </w:r>
      <w:r>
        <w:rPr>
          <w:rFonts w:hint="eastAsia" w:asciiTheme="minorEastAsia" w:hAnsiTheme="minorEastAsia" w:cstheme="minorEastAsia"/>
        </w:rPr>
        <w:fldChar w:fldCharType="end"/>
      </w:r>
    </w:p>
    <w:p>
      <w:pPr>
        <w:pStyle w:val="12"/>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_Toc14887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投标人须知前附表</w:t>
      </w:r>
      <w:r>
        <w:tab/>
      </w:r>
      <w:r>
        <w:fldChar w:fldCharType="begin"/>
      </w:r>
      <w:r>
        <w:instrText xml:space="preserve"> PAGEREF _Toc14887 </w:instrText>
      </w:r>
      <w:r>
        <w:fldChar w:fldCharType="separate"/>
      </w:r>
      <w:r>
        <w:t>9</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_Toc29981 </w:instrText>
      </w:r>
      <w:r>
        <w:rPr>
          <w:rFonts w:hint="eastAsia" w:asciiTheme="minorEastAsia" w:hAnsiTheme="minorEastAsia" w:cstheme="minorEastAsia"/>
        </w:rPr>
        <w:fldChar w:fldCharType="separate"/>
      </w:r>
      <w:r>
        <w:rPr>
          <w:rFonts w:hint="eastAsia" w:cstheme="minorEastAsia"/>
        </w:rPr>
        <w:t>1.总则</w:t>
      </w:r>
      <w:r>
        <w:tab/>
      </w:r>
      <w:r>
        <w:fldChar w:fldCharType="begin"/>
      </w:r>
      <w:r>
        <w:instrText xml:space="preserve"> PAGEREF _Toc29981 </w:instrText>
      </w:r>
      <w:r>
        <w:fldChar w:fldCharType="separate"/>
      </w:r>
      <w:r>
        <w:t>12</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_Toc26715 </w:instrText>
      </w:r>
      <w:r>
        <w:rPr>
          <w:rFonts w:hint="eastAsia" w:asciiTheme="minorEastAsia" w:hAnsiTheme="minorEastAsia" w:cstheme="minorEastAsia"/>
        </w:rPr>
        <w:fldChar w:fldCharType="separate"/>
      </w:r>
      <w:r>
        <w:rPr>
          <w:rFonts w:hint="eastAsia" w:cstheme="minorEastAsia"/>
        </w:rPr>
        <w:t>1.1招标项目概况</w:t>
      </w:r>
      <w:r>
        <w:tab/>
      </w:r>
      <w:r>
        <w:fldChar w:fldCharType="begin"/>
      </w:r>
      <w:r>
        <w:instrText xml:space="preserve"> PAGEREF _Toc26715 </w:instrText>
      </w:r>
      <w:r>
        <w:fldChar w:fldCharType="separate"/>
      </w:r>
      <w:r>
        <w:t>12</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_Toc16114 </w:instrText>
      </w:r>
      <w:r>
        <w:rPr>
          <w:rFonts w:hint="eastAsia" w:asciiTheme="minorEastAsia" w:hAnsiTheme="minorEastAsia" w:cstheme="minorEastAsia"/>
        </w:rPr>
        <w:fldChar w:fldCharType="separate"/>
      </w:r>
      <w:r>
        <w:rPr>
          <w:rFonts w:hint="eastAsia" w:cstheme="minorEastAsia"/>
        </w:rPr>
        <w:t>1.2招标项目的资金来源和落实情况</w:t>
      </w:r>
      <w:r>
        <w:tab/>
      </w:r>
      <w:r>
        <w:fldChar w:fldCharType="begin"/>
      </w:r>
      <w:r>
        <w:instrText xml:space="preserve"> PAGEREF _Toc16114 </w:instrText>
      </w:r>
      <w:r>
        <w:fldChar w:fldCharType="separate"/>
      </w:r>
      <w:r>
        <w:t>13</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_Toc5159 </w:instrText>
      </w:r>
      <w:r>
        <w:rPr>
          <w:rFonts w:hint="eastAsia" w:asciiTheme="minorEastAsia" w:hAnsiTheme="minorEastAsia" w:cstheme="minorEastAsia"/>
        </w:rPr>
        <w:fldChar w:fldCharType="separate"/>
      </w:r>
      <w:r>
        <w:rPr>
          <w:rFonts w:hint="eastAsia" w:cstheme="minorEastAsia"/>
        </w:rPr>
        <w:t>1.3招标范围、交货期、交货地点和技术性能指标</w:t>
      </w:r>
      <w:r>
        <w:tab/>
      </w:r>
      <w:r>
        <w:fldChar w:fldCharType="begin"/>
      </w:r>
      <w:r>
        <w:instrText xml:space="preserve"> PAGEREF _Toc5159 </w:instrText>
      </w:r>
      <w:r>
        <w:fldChar w:fldCharType="separate"/>
      </w:r>
      <w:r>
        <w:t>13</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_Toc3018 </w:instrText>
      </w:r>
      <w:r>
        <w:rPr>
          <w:rFonts w:hint="eastAsia" w:asciiTheme="minorEastAsia" w:hAnsiTheme="minorEastAsia" w:cstheme="minorEastAsia"/>
        </w:rPr>
        <w:fldChar w:fldCharType="separate"/>
      </w:r>
      <w:r>
        <w:rPr>
          <w:rFonts w:hint="eastAsia" w:cstheme="minorEastAsia"/>
        </w:rPr>
        <w:t>1.4投标人资格要求</w:t>
      </w:r>
      <w:r>
        <w:tab/>
      </w:r>
      <w:r>
        <w:fldChar w:fldCharType="begin"/>
      </w:r>
      <w:r>
        <w:instrText xml:space="preserve"> PAGEREF _Toc3018 </w:instrText>
      </w:r>
      <w:r>
        <w:fldChar w:fldCharType="separate"/>
      </w:r>
      <w:r>
        <w:t>13</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_Toc30866 </w:instrText>
      </w:r>
      <w:r>
        <w:rPr>
          <w:rFonts w:hint="eastAsia" w:asciiTheme="minorEastAsia" w:hAnsiTheme="minorEastAsia" w:cstheme="minorEastAsia"/>
        </w:rPr>
        <w:fldChar w:fldCharType="separate"/>
      </w:r>
      <w:r>
        <w:rPr>
          <w:rFonts w:hint="eastAsia" w:cstheme="minorEastAsia"/>
        </w:rPr>
        <w:t>1.5费用承担</w:t>
      </w:r>
      <w:r>
        <w:tab/>
      </w:r>
      <w:r>
        <w:fldChar w:fldCharType="begin"/>
      </w:r>
      <w:r>
        <w:instrText xml:space="preserve"> PAGEREF _Toc30866 </w:instrText>
      </w:r>
      <w:r>
        <w:fldChar w:fldCharType="separate"/>
      </w:r>
      <w:r>
        <w:t>14</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_Toc19158 </w:instrText>
      </w:r>
      <w:r>
        <w:rPr>
          <w:rFonts w:hint="eastAsia" w:asciiTheme="minorEastAsia" w:hAnsiTheme="minorEastAsia" w:cstheme="minorEastAsia"/>
        </w:rPr>
        <w:fldChar w:fldCharType="separate"/>
      </w:r>
      <w:r>
        <w:rPr>
          <w:rFonts w:hint="eastAsia" w:cstheme="minorEastAsia"/>
        </w:rPr>
        <w:t>1.6保密</w:t>
      </w:r>
      <w:r>
        <w:tab/>
      </w:r>
      <w:r>
        <w:fldChar w:fldCharType="begin"/>
      </w:r>
      <w:r>
        <w:instrText xml:space="preserve"> PAGEREF _Toc19158 </w:instrText>
      </w:r>
      <w:r>
        <w:fldChar w:fldCharType="separate"/>
      </w:r>
      <w:r>
        <w:t>14</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_Toc3876 </w:instrText>
      </w:r>
      <w:r>
        <w:rPr>
          <w:rFonts w:hint="eastAsia" w:asciiTheme="minorEastAsia" w:hAnsiTheme="minorEastAsia" w:cstheme="minorEastAsia"/>
        </w:rPr>
        <w:fldChar w:fldCharType="separate"/>
      </w:r>
      <w:r>
        <w:rPr>
          <w:rFonts w:hint="eastAsia" w:cstheme="minorEastAsia"/>
        </w:rPr>
        <w:t>1.7语言文字</w:t>
      </w:r>
      <w:r>
        <w:tab/>
      </w:r>
      <w:r>
        <w:fldChar w:fldCharType="begin"/>
      </w:r>
      <w:r>
        <w:instrText xml:space="preserve"> PAGEREF _Toc3876 </w:instrText>
      </w:r>
      <w:r>
        <w:fldChar w:fldCharType="separate"/>
      </w:r>
      <w:r>
        <w:t>14</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_Toc16921 </w:instrText>
      </w:r>
      <w:r>
        <w:rPr>
          <w:rFonts w:hint="eastAsia" w:asciiTheme="minorEastAsia" w:hAnsiTheme="minorEastAsia" w:cstheme="minorEastAsia"/>
        </w:rPr>
        <w:fldChar w:fldCharType="separate"/>
      </w:r>
      <w:r>
        <w:rPr>
          <w:rFonts w:hint="eastAsia" w:cstheme="minorEastAsia"/>
        </w:rPr>
        <w:t>1.8计量单位</w:t>
      </w:r>
      <w:r>
        <w:tab/>
      </w:r>
      <w:r>
        <w:fldChar w:fldCharType="begin"/>
      </w:r>
      <w:r>
        <w:instrText xml:space="preserve"> PAGEREF _Toc16921 </w:instrText>
      </w:r>
      <w:r>
        <w:fldChar w:fldCharType="separate"/>
      </w:r>
      <w:r>
        <w:t>14</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_Toc22025 </w:instrText>
      </w:r>
      <w:r>
        <w:rPr>
          <w:rFonts w:hint="eastAsia" w:asciiTheme="minorEastAsia" w:hAnsiTheme="minorEastAsia" w:cstheme="minorEastAsia"/>
        </w:rPr>
        <w:fldChar w:fldCharType="separate"/>
      </w:r>
      <w:r>
        <w:rPr>
          <w:rFonts w:hint="eastAsia" w:cstheme="minorEastAsia"/>
        </w:rPr>
        <w:t>1.9投标预备会</w:t>
      </w:r>
      <w:r>
        <w:tab/>
      </w:r>
      <w:r>
        <w:fldChar w:fldCharType="begin"/>
      </w:r>
      <w:r>
        <w:instrText xml:space="preserve"> PAGEREF _Toc22025 </w:instrText>
      </w:r>
      <w:r>
        <w:fldChar w:fldCharType="separate"/>
      </w:r>
      <w:r>
        <w:t>14</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_Toc20094 </w:instrText>
      </w:r>
      <w:r>
        <w:rPr>
          <w:rFonts w:hint="eastAsia" w:asciiTheme="minorEastAsia" w:hAnsiTheme="minorEastAsia" w:cstheme="minorEastAsia"/>
        </w:rPr>
        <w:fldChar w:fldCharType="separate"/>
      </w:r>
      <w:r>
        <w:rPr>
          <w:rFonts w:hint="eastAsia" w:cstheme="minorEastAsia"/>
        </w:rPr>
        <w:t>1.10分包</w:t>
      </w:r>
      <w:r>
        <w:tab/>
      </w:r>
      <w:r>
        <w:fldChar w:fldCharType="begin"/>
      </w:r>
      <w:r>
        <w:instrText xml:space="preserve"> PAGEREF _Toc20094 </w:instrText>
      </w:r>
      <w:r>
        <w:fldChar w:fldCharType="separate"/>
      </w:r>
      <w:r>
        <w:t>15</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_Toc22597 </w:instrText>
      </w:r>
      <w:r>
        <w:rPr>
          <w:rFonts w:hint="eastAsia" w:asciiTheme="minorEastAsia" w:hAnsiTheme="minorEastAsia" w:cstheme="minorEastAsia"/>
        </w:rPr>
        <w:fldChar w:fldCharType="separate"/>
      </w:r>
      <w:r>
        <w:rPr>
          <w:rFonts w:hint="eastAsia" w:cstheme="minorEastAsia"/>
        </w:rPr>
        <w:t>1.11响应和偏差</w:t>
      </w:r>
      <w:r>
        <w:tab/>
      </w:r>
      <w:r>
        <w:fldChar w:fldCharType="begin"/>
      </w:r>
      <w:r>
        <w:instrText xml:space="preserve"> PAGEREF _Toc22597 </w:instrText>
      </w:r>
      <w:r>
        <w:fldChar w:fldCharType="separate"/>
      </w:r>
      <w:r>
        <w:t>15</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_Toc29101 </w:instrText>
      </w:r>
      <w:r>
        <w:rPr>
          <w:rFonts w:hint="eastAsia" w:asciiTheme="minorEastAsia" w:hAnsiTheme="minorEastAsia" w:cstheme="minorEastAsia"/>
        </w:rPr>
        <w:fldChar w:fldCharType="separate"/>
      </w:r>
      <w:r>
        <w:rPr>
          <w:rFonts w:hint="eastAsia" w:cstheme="minorEastAsia"/>
        </w:rPr>
        <w:t>2.招标文件</w:t>
      </w:r>
      <w:r>
        <w:tab/>
      </w:r>
      <w:r>
        <w:fldChar w:fldCharType="begin"/>
      </w:r>
      <w:r>
        <w:instrText xml:space="preserve"> PAGEREF _Toc29101 </w:instrText>
      </w:r>
      <w:r>
        <w:fldChar w:fldCharType="separate"/>
      </w:r>
      <w:r>
        <w:t>15</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_Toc4269 </w:instrText>
      </w:r>
      <w:r>
        <w:rPr>
          <w:rFonts w:hint="eastAsia" w:asciiTheme="minorEastAsia" w:hAnsiTheme="minorEastAsia" w:cstheme="minorEastAsia"/>
        </w:rPr>
        <w:fldChar w:fldCharType="separate"/>
      </w:r>
      <w:r>
        <w:rPr>
          <w:rFonts w:hint="eastAsia" w:cstheme="minorEastAsia"/>
        </w:rPr>
        <w:t>2.1招标文件的组成</w:t>
      </w:r>
      <w:r>
        <w:tab/>
      </w:r>
      <w:r>
        <w:fldChar w:fldCharType="begin"/>
      </w:r>
      <w:r>
        <w:instrText xml:space="preserve"> PAGEREF _Toc4269 </w:instrText>
      </w:r>
      <w:r>
        <w:fldChar w:fldCharType="separate"/>
      </w:r>
      <w:r>
        <w:t>15</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_Toc947 </w:instrText>
      </w:r>
      <w:r>
        <w:rPr>
          <w:rFonts w:hint="eastAsia" w:asciiTheme="minorEastAsia" w:hAnsiTheme="minorEastAsia" w:cstheme="minorEastAsia"/>
        </w:rPr>
        <w:fldChar w:fldCharType="separate"/>
      </w:r>
      <w:r>
        <w:rPr>
          <w:rFonts w:hint="eastAsia" w:cstheme="minorEastAsia"/>
        </w:rPr>
        <w:t>2.2招标文件的澄清</w:t>
      </w:r>
      <w:r>
        <w:tab/>
      </w:r>
      <w:r>
        <w:fldChar w:fldCharType="begin"/>
      </w:r>
      <w:r>
        <w:instrText xml:space="preserve"> PAGEREF _Toc947 </w:instrText>
      </w:r>
      <w:r>
        <w:fldChar w:fldCharType="separate"/>
      </w:r>
      <w:r>
        <w:t>15</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_Toc17791 </w:instrText>
      </w:r>
      <w:r>
        <w:rPr>
          <w:rFonts w:hint="eastAsia" w:asciiTheme="minorEastAsia" w:hAnsiTheme="minorEastAsia" w:cstheme="minorEastAsia"/>
        </w:rPr>
        <w:fldChar w:fldCharType="separate"/>
      </w:r>
      <w:r>
        <w:rPr>
          <w:rFonts w:hint="eastAsia" w:cstheme="minorEastAsia"/>
        </w:rPr>
        <w:t>2.3招标文件的修改</w:t>
      </w:r>
      <w:r>
        <w:tab/>
      </w:r>
      <w:r>
        <w:fldChar w:fldCharType="begin"/>
      </w:r>
      <w:r>
        <w:instrText xml:space="preserve"> PAGEREF _Toc17791 </w:instrText>
      </w:r>
      <w:r>
        <w:fldChar w:fldCharType="separate"/>
      </w:r>
      <w:r>
        <w:t>16</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_Toc20146 </w:instrText>
      </w:r>
      <w:r>
        <w:rPr>
          <w:rFonts w:hint="eastAsia" w:asciiTheme="minorEastAsia" w:hAnsiTheme="minorEastAsia" w:cstheme="minorEastAsia"/>
        </w:rPr>
        <w:fldChar w:fldCharType="separate"/>
      </w:r>
      <w:r>
        <w:rPr>
          <w:rFonts w:hint="eastAsia" w:cstheme="minorEastAsia"/>
        </w:rPr>
        <w:t>2.4招标文件的异议</w:t>
      </w:r>
      <w:r>
        <w:tab/>
      </w:r>
      <w:r>
        <w:fldChar w:fldCharType="begin"/>
      </w:r>
      <w:r>
        <w:instrText xml:space="preserve"> PAGEREF _Toc20146 </w:instrText>
      </w:r>
      <w:r>
        <w:fldChar w:fldCharType="separate"/>
      </w:r>
      <w:r>
        <w:t>16</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_Toc10695 </w:instrText>
      </w:r>
      <w:r>
        <w:rPr>
          <w:rFonts w:hint="eastAsia" w:asciiTheme="minorEastAsia" w:hAnsiTheme="minorEastAsia" w:cstheme="minorEastAsia"/>
        </w:rPr>
        <w:fldChar w:fldCharType="separate"/>
      </w:r>
      <w:r>
        <w:rPr>
          <w:rFonts w:hint="eastAsia" w:cstheme="minorEastAsia"/>
        </w:rPr>
        <w:t>3.投标文件</w:t>
      </w:r>
      <w:r>
        <w:tab/>
      </w:r>
      <w:r>
        <w:fldChar w:fldCharType="begin"/>
      </w:r>
      <w:r>
        <w:instrText xml:space="preserve"> PAGEREF _Toc10695 </w:instrText>
      </w:r>
      <w:r>
        <w:fldChar w:fldCharType="separate"/>
      </w:r>
      <w:r>
        <w:t>16</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_Toc19757 </w:instrText>
      </w:r>
      <w:r>
        <w:rPr>
          <w:rFonts w:hint="eastAsia" w:asciiTheme="minorEastAsia" w:hAnsiTheme="minorEastAsia" w:cstheme="minorEastAsia"/>
        </w:rPr>
        <w:fldChar w:fldCharType="separate"/>
      </w:r>
      <w:r>
        <w:rPr>
          <w:rFonts w:hint="eastAsia" w:cstheme="minorEastAsia"/>
        </w:rPr>
        <w:t>3.1投标文件的组成</w:t>
      </w:r>
      <w:r>
        <w:tab/>
      </w:r>
      <w:r>
        <w:fldChar w:fldCharType="begin"/>
      </w:r>
      <w:r>
        <w:instrText xml:space="preserve"> PAGEREF _Toc19757 </w:instrText>
      </w:r>
      <w:r>
        <w:fldChar w:fldCharType="separate"/>
      </w:r>
      <w:r>
        <w:t>16</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_Toc15102 </w:instrText>
      </w:r>
      <w:r>
        <w:rPr>
          <w:rFonts w:hint="eastAsia" w:asciiTheme="minorEastAsia" w:hAnsiTheme="minorEastAsia" w:cstheme="minorEastAsia"/>
        </w:rPr>
        <w:fldChar w:fldCharType="separate"/>
      </w:r>
      <w:r>
        <w:rPr>
          <w:rFonts w:hint="eastAsia" w:cstheme="minorEastAsia"/>
        </w:rPr>
        <w:t>3.2投标报价</w:t>
      </w:r>
      <w:r>
        <w:tab/>
      </w:r>
      <w:r>
        <w:fldChar w:fldCharType="begin"/>
      </w:r>
      <w:r>
        <w:instrText xml:space="preserve"> PAGEREF _Toc15102 </w:instrText>
      </w:r>
      <w:r>
        <w:fldChar w:fldCharType="separate"/>
      </w:r>
      <w:r>
        <w:t>17</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_Toc18357 </w:instrText>
      </w:r>
      <w:r>
        <w:rPr>
          <w:rFonts w:hint="eastAsia" w:asciiTheme="minorEastAsia" w:hAnsiTheme="minorEastAsia" w:cstheme="minorEastAsia"/>
        </w:rPr>
        <w:fldChar w:fldCharType="separate"/>
      </w:r>
      <w:r>
        <w:rPr>
          <w:rFonts w:hint="eastAsia" w:cstheme="minorEastAsia"/>
        </w:rPr>
        <w:t>3.3投标有效期</w:t>
      </w:r>
      <w:r>
        <w:tab/>
      </w:r>
      <w:r>
        <w:fldChar w:fldCharType="begin"/>
      </w:r>
      <w:r>
        <w:instrText xml:space="preserve"> PAGEREF _Toc18357 </w:instrText>
      </w:r>
      <w:r>
        <w:fldChar w:fldCharType="separate"/>
      </w:r>
      <w:r>
        <w:t>17</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_Toc17534 </w:instrText>
      </w:r>
      <w:r>
        <w:rPr>
          <w:rFonts w:hint="eastAsia" w:asciiTheme="minorEastAsia" w:hAnsiTheme="minorEastAsia" w:cstheme="minorEastAsia"/>
        </w:rPr>
        <w:fldChar w:fldCharType="separate"/>
      </w:r>
      <w:r>
        <w:rPr>
          <w:rFonts w:hint="eastAsia" w:cstheme="minorEastAsia"/>
        </w:rPr>
        <w:t>3.4投标保证金</w:t>
      </w:r>
      <w:r>
        <w:tab/>
      </w:r>
      <w:r>
        <w:fldChar w:fldCharType="begin"/>
      </w:r>
      <w:r>
        <w:instrText xml:space="preserve"> PAGEREF _Toc17534 </w:instrText>
      </w:r>
      <w:r>
        <w:fldChar w:fldCharType="separate"/>
      </w:r>
      <w:r>
        <w:t>17</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_Toc13571 </w:instrText>
      </w:r>
      <w:r>
        <w:rPr>
          <w:rFonts w:hint="eastAsia" w:asciiTheme="minorEastAsia" w:hAnsiTheme="minorEastAsia" w:cstheme="minorEastAsia"/>
        </w:rPr>
        <w:fldChar w:fldCharType="separate"/>
      </w:r>
      <w:r>
        <w:rPr>
          <w:rFonts w:hint="eastAsia" w:cstheme="minorEastAsia"/>
        </w:rPr>
        <w:t>3.5资格审查资料</w:t>
      </w:r>
      <w:r>
        <w:tab/>
      </w:r>
      <w:r>
        <w:fldChar w:fldCharType="begin"/>
      </w:r>
      <w:r>
        <w:instrText xml:space="preserve"> PAGEREF _Toc13571 </w:instrText>
      </w:r>
      <w:r>
        <w:fldChar w:fldCharType="separate"/>
      </w:r>
      <w:r>
        <w:t>18</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_Toc32710 </w:instrText>
      </w:r>
      <w:r>
        <w:rPr>
          <w:rFonts w:hint="eastAsia" w:asciiTheme="minorEastAsia" w:hAnsiTheme="minorEastAsia" w:cstheme="minorEastAsia"/>
        </w:rPr>
        <w:fldChar w:fldCharType="separate"/>
      </w:r>
      <w:r>
        <w:rPr>
          <w:rFonts w:hint="eastAsia" w:cstheme="minorEastAsia"/>
        </w:rPr>
        <w:t>3.6备选投标方案</w:t>
      </w:r>
      <w:r>
        <w:tab/>
      </w:r>
      <w:r>
        <w:fldChar w:fldCharType="begin"/>
      </w:r>
      <w:r>
        <w:instrText xml:space="preserve"> PAGEREF _Toc32710 </w:instrText>
      </w:r>
      <w:r>
        <w:fldChar w:fldCharType="separate"/>
      </w:r>
      <w:r>
        <w:t>18</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_Toc6073 </w:instrText>
      </w:r>
      <w:r>
        <w:rPr>
          <w:rFonts w:hint="eastAsia" w:asciiTheme="minorEastAsia" w:hAnsiTheme="minorEastAsia" w:cstheme="minorEastAsia"/>
        </w:rPr>
        <w:fldChar w:fldCharType="separate"/>
      </w:r>
      <w:r>
        <w:rPr>
          <w:rFonts w:hint="eastAsia" w:cstheme="minorEastAsia"/>
        </w:rPr>
        <w:t>3.7投标文件的编制</w:t>
      </w:r>
      <w:r>
        <w:tab/>
      </w:r>
      <w:r>
        <w:fldChar w:fldCharType="begin"/>
      </w:r>
      <w:r>
        <w:instrText xml:space="preserve"> PAGEREF _Toc6073 </w:instrText>
      </w:r>
      <w:r>
        <w:fldChar w:fldCharType="separate"/>
      </w:r>
      <w:r>
        <w:t>18</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_Toc16285 </w:instrText>
      </w:r>
      <w:r>
        <w:rPr>
          <w:rFonts w:hint="eastAsia" w:asciiTheme="minorEastAsia" w:hAnsiTheme="minorEastAsia" w:cstheme="minorEastAsia"/>
        </w:rPr>
        <w:fldChar w:fldCharType="separate"/>
      </w:r>
      <w:r>
        <w:rPr>
          <w:rFonts w:hint="eastAsia" w:cstheme="minorEastAsia"/>
        </w:rPr>
        <w:t>4.投标</w:t>
      </w:r>
      <w:r>
        <w:tab/>
      </w:r>
      <w:r>
        <w:fldChar w:fldCharType="begin"/>
      </w:r>
      <w:r>
        <w:instrText xml:space="preserve"> PAGEREF _Toc16285 </w:instrText>
      </w:r>
      <w:r>
        <w:fldChar w:fldCharType="separate"/>
      </w:r>
      <w:r>
        <w:t>18</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_Toc12134 </w:instrText>
      </w:r>
      <w:r>
        <w:rPr>
          <w:rFonts w:hint="eastAsia" w:asciiTheme="minorEastAsia" w:hAnsiTheme="minorEastAsia" w:cstheme="minorEastAsia"/>
        </w:rPr>
        <w:fldChar w:fldCharType="separate"/>
      </w:r>
      <w:r>
        <w:rPr>
          <w:rFonts w:hint="eastAsia" w:cstheme="minorEastAsia"/>
        </w:rPr>
        <w:t>4.1投标文件的密封和标记</w:t>
      </w:r>
      <w:r>
        <w:tab/>
      </w:r>
      <w:r>
        <w:fldChar w:fldCharType="begin"/>
      </w:r>
      <w:r>
        <w:instrText xml:space="preserve"> PAGEREF _Toc12134 </w:instrText>
      </w:r>
      <w:r>
        <w:fldChar w:fldCharType="separate"/>
      </w:r>
      <w:r>
        <w:t>18</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_Toc17818 </w:instrText>
      </w:r>
      <w:r>
        <w:rPr>
          <w:rFonts w:hint="eastAsia" w:asciiTheme="minorEastAsia" w:hAnsiTheme="minorEastAsia" w:cstheme="minorEastAsia"/>
        </w:rPr>
        <w:fldChar w:fldCharType="separate"/>
      </w:r>
      <w:r>
        <w:rPr>
          <w:rFonts w:hint="eastAsia" w:cstheme="minorEastAsia"/>
        </w:rPr>
        <w:t>4.2投标文件的递交</w:t>
      </w:r>
      <w:r>
        <w:tab/>
      </w:r>
      <w:r>
        <w:fldChar w:fldCharType="begin"/>
      </w:r>
      <w:r>
        <w:instrText xml:space="preserve"> PAGEREF _Toc17818 </w:instrText>
      </w:r>
      <w:r>
        <w:fldChar w:fldCharType="separate"/>
      </w:r>
      <w:r>
        <w:t>19</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_Toc16007 </w:instrText>
      </w:r>
      <w:r>
        <w:rPr>
          <w:rFonts w:hint="eastAsia" w:asciiTheme="minorEastAsia" w:hAnsiTheme="minorEastAsia" w:cstheme="minorEastAsia"/>
        </w:rPr>
        <w:fldChar w:fldCharType="separate"/>
      </w:r>
      <w:r>
        <w:rPr>
          <w:rFonts w:hint="eastAsia" w:cstheme="minorEastAsia"/>
        </w:rPr>
        <w:t>4.3投标文件的修改与撤回</w:t>
      </w:r>
      <w:r>
        <w:tab/>
      </w:r>
      <w:r>
        <w:fldChar w:fldCharType="begin"/>
      </w:r>
      <w:r>
        <w:instrText xml:space="preserve"> PAGEREF _Toc16007 </w:instrText>
      </w:r>
      <w:r>
        <w:fldChar w:fldCharType="separate"/>
      </w:r>
      <w:r>
        <w:t>19</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_Toc7319 </w:instrText>
      </w:r>
      <w:r>
        <w:rPr>
          <w:rFonts w:hint="eastAsia" w:asciiTheme="minorEastAsia" w:hAnsiTheme="minorEastAsia" w:cstheme="minorEastAsia"/>
        </w:rPr>
        <w:fldChar w:fldCharType="separate"/>
      </w:r>
      <w:r>
        <w:rPr>
          <w:rFonts w:hint="eastAsia" w:cstheme="minorEastAsia"/>
        </w:rPr>
        <w:t>5.开标</w:t>
      </w:r>
      <w:r>
        <w:tab/>
      </w:r>
      <w:r>
        <w:fldChar w:fldCharType="begin"/>
      </w:r>
      <w:r>
        <w:instrText xml:space="preserve"> PAGEREF _Toc7319 </w:instrText>
      </w:r>
      <w:r>
        <w:fldChar w:fldCharType="separate"/>
      </w:r>
      <w:r>
        <w:t>19</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_Toc30095 </w:instrText>
      </w:r>
      <w:r>
        <w:rPr>
          <w:rFonts w:hint="eastAsia" w:asciiTheme="minorEastAsia" w:hAnsiTheme="minorEastAsia" w:cstheme="minorEastAsia"/>
        </w:rPr>
        <w:fldChar w:fldCharType="separate"/>
      </w:r>
      <w:r>
        <w:rPr>
          <w:rFonts w:hint="eastAsia" w:cstheme="minorEastAsia"/>
        </w:rPr>
        <w:t>5.1开标时间和地点</w:t>
      </w:r>
      <w:r>
        <w:tab/>
      </w:r>
      <w:r>
        <w:fldChar w:fldCharType="begin"/>
      </w:r>
      <w:r>
        <w:instrText xml:space="preserve"> PAGEREF _Toc30095 </w:instrText>
      </w:r>
      <w:r>
        <w:fldChar w:fldCharType="separate"/>
      </w:r>
      <w:r>
        <w:t>19</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_Toc26652 </w:instrText>
      </w:r>
      <w:r>
        <w:rPr>
          <w:rFonts w:hint="eastAsia" w:asciiTheme="minorEastAsia" w:hAnsiTheme="minorEastAsia" w:cstheme="minorEastAsia"/>
        </w:rPr>
        <w:fldChar w:fldCharType="separate"/>
      </w:r>
      <w:r>
        <w:rPr>
          <w:rFonts w:hint="eastAsia" w:cstheme="minorEastAsia"/>
        </w:rPr>
        <w:t>5.2开标程序</w:t>
      </w:r>
      <w:r>
        <w:tab/>
      </w:r>
      <w:r>
        <w:fldChar w:fldCharType="begin"/>
      </w:r>
      <w:r>
        <w:instrText xml:space="preserve"> PAGEREF _Toc26652 </w:instrText>
      </w:r>
      <w:r>
        <w:fldChar w:fldCharType="separate"/>
      </w:r>
      <w:r>
        <w:t>19</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_Toc21317 </w:instrText>
      </w:r>
      <w:r>
        <w:rPr>
          <w:rFonts w:hint="eastAsia" w:asciiTheme="minorEastAsia" w:hAnsiTheme="minorEastAsia" w:cstheme="minorEastAsia"/>
        </w:rPr>
        <w:fldChar w:fldCharType="separate"/>
      </w:r>
      <w:r>
        <w:rPr>
          <w:rFonts w:hint="eastAsia" w:cstheme="minorEastAsia"/>
        </w:rPr>
        <w:t>5.3开标异议</w:t>
      </w:r>
      <w:r>
        <w:tab/>
      </w:r>
      <w:r>
        <w:fldChar w:fldCharType="begin"/>
      </w:r>
      <w:r>
        <w:instrText xml:space="preserve"> PAGEREF _Toc21317 </w:instrText>
      </w:r>
      <w:r>
        <w:fldChar w:fldCharType="separate"/>
      </w:r>
      <w:r>
        <w:t>19</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_Toc22473 </w:instrText>
      </w:r>
      <w:r>
        <w:rPr>
          <w:rFonts w:hint="eastAsia" w:asciiTheme="minorEastAsia" w:hAnsiTheme="minorEastAsia" w:cstheme="minorEastAsia"/>
        </w:rPr>
        <w:fldChar w:fldCharType="separate"/>
      </w:r>
      <w:r>
        <w:rPr>
          <w:rFonts w:hint="eastAsia" w:cstheme="minorEastAsia"/>
        </w:rPr>
        <w:t>6.评标</w:t>
      </w:r>
      <w:r>
        <w:tab/>
      </w:r>
      <w:r>
        <w:fldChar w:fldCharType="begin"/>
      </w:r>
      <w:r>
        <w:instrText xml:space="preserve"> PAGEREF _Toc22473 </w:instrText>
      </w:r>
      <w:r>
        <w:fldChar w:fldCharType="separate"/>
      </w:r>
      <w:r>
        <w:t>20</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_Toc3318 </w:instrText>
      </w:r>
      <w:r>
        <w:rPr>
          <w:rFonts w:hint="eastAsia" w:asciiTheme="minorEastAsia" w:hAnsiTheme="minorEastAsia" w:cstheme="minorEastAsia"/>
        </w:rPr>
        <w:fldChar w:fldCharType="separate"/>
      </w:r>
      <w:r>
        <w:rPr>
          <w:rFonts w:hint="eastAsia" w:cstheme="minorEastAsia"/>
        </w:rPr>
        <w:t>6.1评标委员会</w:t>
      </w:r>
      <w:r>
        <w:tab/>
      </w:r>
      <w:r>
        <w:fldChar w:fldCharType="begin"/>
      </w:r>
      <w:r>
        <w:instrText xml:space="preserve"> PAGEREF _Toc3318 </w:instrText>
      </w:r>
      <w:r>
        <w:fldChar w:fldCharType="separate"/>
      </w:r>
      <w:r>
        <w:t>20</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_Toc10039 </w:instrText>
      </w:r>
      <w:r>
        <w:rPr>
          <w:rFonts w:hint="eastAsia" w:asciiTheme="minorEastAsia" w:hAnsiTheme="minorEastAsia" w:cstheme="minorEastAsia"/>
        </w:rPr>
        <w:fldChar w:fldCharType="separate"/>
      </w:r>
      <w:r>
        <w:rPr>
          <w:rFonts w:hint="eastAsia" w:cstheme="minorEastAsia"/>
        </w:rPr>
        <w:t>6.2评标原则</w:t>
      </w:r>
      <w:r>
        <w:tab/>
      </w:r>
      <w:r>
        <w:fldChar w:fldCharType="begin"/>
      </w:r>
      <w:r>
        <w:instrText xml:space="preserve"> PAGEREF _Toc10039 </w:instrText>
      </w:r>
      <w:r>
        <w:fldChar w:fldCharType="separate"/>
      </w:r>
      <w:r>
        <w:t>20</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_Toc25930 </w:instrText>
      </w:r>
      <w:r>
        <w:rPr>
          <w:rFonts w:hint="eastAsia" w:asciiTheme="minorEastAsia" w:hAnsiTheme="minorEastAsia" w:cstheme="minorEastAsia"/>
        </w:rPr>
        <w:fldChar w:fldCharType="separate"/>
      </w:r>
      <w:r>
        <w:rPr>
          <w:rFonts w:hint="eastAsia" w:cstheme="minorEastAsia"/>
        </w:rPr>
        <w:t>6.3评标</w:t>
      </w:r>
      <w:r>
        <w:tab/>
      </w:r>
      <w:r>
        <w:fldChar w:fldCharType="begin"/>
      </w:r>
      <w:r>
        <w:instrText xml:space="preserve"> PAGEREF _Toc25930 </w:instrText>
      </w:r>
      <w:r>
        <w:fldChar w:fldCharType="separate"/>
      </w:r>
      <w:r>
        <w:t>20</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_Toc5630 </w:instrText>
      </w:r>
      <w:r>
        <w:rPr>
          <w:rFonts w:hint="eastAsia" w:asciiTheme="minorEastAsia" w:hAnsiTheme="minorEastAsia" w:cstheme="minorEastAsia"/>
        </w:rPr>
        <w:fldChar w:fldCharType="separate"/>
      </w:r>
      <w:r>
        <w:rPr>
          <w:rFonts w:hint="eastAsia" w:cstheme="minorEastAsia"/>
        </w:rPr>
        <w:t>7.合同授予</w:t>
      </w:r>
      <w:r>
        <w:tab/>
      </w:r>
      <w:r>
        <w:fldChar w:fldCharType="begin"/>
      </w:r>
      <w:r>
        <w:instrText xml:space="preserve"> PAGEREF _Toc5630 </w:instrText>
      </w:r>
      <w:r>
        <w:fldChar w:fldCharType="separate"/>
      </w:r>
      <w:r>
        <w:t>20</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_Toc20165 </w:instrText>
      </w:r>
      <w:r>
        <w:rPr>
          <w:rFonts w:hint="eastAsia" w:asciiTheme="minorEastAsia" w:hAnsiTheme="minorEastAsia" w:cstheme="minorEastAsia"/>
        </w:rPr>
        <w:fldChar w:fldCharType="separate"/>
      </w:r>
      <w:r>
        <w:rPr>
          <w:rFonts w:hint="eastAsia" w:cstheme="minorEastAsia"/>
        </w:rPr>
        <w:t>7.1中标候选人公示</w:t>
      </w:r>
      <w:r>
        <w:tab/>
      </w:r>
      <w:r>
        <w:fldChar w:fldCharType="begin"/>
      </w:r>
      <w:r>
        <w:instrText xml:space="preserve"> PAGEREF _Toc20165 </w:instrText>
      </w:r>
      <w:r>
        <w:fldChar w:fldCharType="separate"/>
      </w:r>
      <w:r>
        <w:t>20</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_Toc24762 </w:instrText>
      </w:r>
      <w:r>
        <w:rPr>
          <w:rFonts w:hint="eastAsia" w:asciiTheme="minorEastAsia" w:hAnsiTheme="minorEastAsia" w:cstheme="minorEastAsia"/>
        </w:rPr>
        <w:fldChar w:fldCharType="separate"/>
      </w:r>
      <w:r>
        <w:rPr>
          <w:rFonts w:hint="eastAsia" w:cstheme="minorEastAsia"/>
        </w:rPr>
        <w:t>7.2评标结果异议</w:t>
      </w:r>
      <w:r>
        <w:tab/>
      </w:r>
      <w:r>
        <w:fldChar w:fldCharType="begin"/>
      </w:r>
      <w:r>
        <w:instrText xml:space="preserve"> PAGEREF _Toc24762 </w:instrText>
      </w:r>
      <w:r>
        <w:fldChar w:fldCharType="separate"/>
      </w:r>
      <w:r>
        <w:t>20</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_Toc24369 </w:instrText>
      </w:r>
      <w:r>
        <w:rPr>
          <w:rFonts w:hint="eastAsia" w:asciiTheme="minorEastAsia" w:hAnsiTheme="minorEastAsia" w:cstheme="minorEastAsia"/>
        </w:rPr>
        <w:fldChar w:fldCharType="separate"/>
      </w:r>
      <w:r>
        <w:rPr>
          <w:rFonts w:hint="eastAsia" w:cstheme="minorEastAsia"/>
        </w:rPr>
        <w:t>7.3中标候选人履约能力审查</w:t>
      </w:r>
      <w:r>
        <w:tab/>
      </w:r>
      <w:r>
        <w:fldChar w:fldCharType="begin"/>
      </w:r>
      <w:r>
        <w:instrText xml:space="preserve"> PAGEREF _Toc24369 </w:instrText>
      </w:r>
      <w:r>
        <w:fldChar w:fldCharType="separate"/>
      </w:r>
      <w:r>
        <w:t>20</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_Toc19256 </w:instrText>
      </w:r>
      <w:r>
        <w:rPr>
          <w:rFonts w:hint="eastAsia" w:asciiTheme="minorEastAsia" w:hAnsiTheme="minorEastAsia" w:cstheme="minorEastAsia"/>
        </w:rPr>
        <w:fldChar w:fldCharType="separate"/>
      </w:r>
      <w:r>
        <w:rPr>
          <w:rFonts w:hint="eastAsia" w:cstheme="minorEastAsia"/>
        </w:rPr>
        <w:t>7.4定标</w:t>
      </w:r>
      <w:r>
        <w:tab/>
      </w:r>
      <w:r>
        <w:fldChar w:fldCharType="begin"/>
      </w:r>
      <w:r>
        <w:instrText xml:space="preserve"> PAGEREF _Toc19256 </w:instrText>
      </w:r>
      <w:r>
        <w:fldChar w:fldCharType="separate"/>
      </w:r>
      <w:r>
        <w:t>21</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_Toc908 </w:instrText>
      </w:r>
      <w:r>
        <w:rPr>
          <w:rFonts w:hint="eastAsia" w:asciiTheme="minorEastAsia" w:hAnsiTheme="minorEastAsia" w:cstheme="minorEastAsia"/>
        </w:rPr>
        <w:fldChar w:fldCharType="separate"/>
      </w:r>
      <w:r>
        <w:rPr>
          <w:rFonts w:hint="eastAsia" w:cstheme="minorEastAsia"/>
        </w:rPr>
        <w:t>7.5中标通知</w:t>
      </w:r>
      <w:r>
        <w:tab/>
      </w:r>
      <w:r>
        <w:fldChar w:fldCharType="begin"/>
      </w:r>
      <w:r>
        <w:instrText xml:space="preserve"> PAGEREF _Toc908 </w:instrText>
      </w:r>
      <w:r>
        <w:fldChar w:fldCharType="separate"/>
      </w:r>
      <w:r>
        <w:t>21</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_Toc3397 </w:instrText>
      </w:r>
      <w:r>
        <w:rPr>
          <w:rFonts w:hint="eastAsia" w:asciiTheme="minorEastAsia" w:hAnsiTheme="minorEastAsia" w:cstheme="minorEastAsia"/>
        </w:rPr>
        <w:fldChar w:fldCharType="separate"/>
      </w:r>
      <w:r>
        <w:rPr>
          <w:rFonts w:hint="eastAsia" w:cstheme="minorEastAsia"/>
        </w:rPr>
        <w:t>7.6履约保证金</w:t>
      </w:r>
      <w:r>
        <w:tab/>
      </w:r>
      <w:r>
        <w:fldChar w:fldCharType="begin"/>
      </w:r>
      <w:r>
        <w:instrText xml:space="preserve"> PAGEREF _Toc3397 </w:instrText>
      </w:r>
      <w:r>
        <w:fldChar w:fldCharType="separate"/>
      </w:r>
      <w:r>
        <w:t>21</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_Toc8236 </w:instrText>
      </w:r>
      <w:r>
        <w:rPr>
          <w:rFonts w:hint="eastAsia" w:asciiTheme="minorEastAsia" w:hAnsiTheme="minorEastAsia" w:cstheme="minorEastAsia"/>
        </w:rPr>
        <w:fldChar w:fldCharType="separate"/>
      </w:r>
      <w:r>
        <w:rPr>
          <w:rFonts w:hint="eastAsia" w:cstheme="minorEastAsia"/>
        </w:rPr>
        <w:t>7.7签订合同</w:t>
      </w:r>
      <w:r>
        <w:tab/>
      </w:r>
      <w:r>
        <w:fldChar w:fldCharType="begin"/>
      </w:r>
      <w:r>
        <w:instrText xml:space="preserve"> PAGEREF _Toc8236 </w:instrText>
      </w:r>
      <w:r>
        <w:fldChar w:fldCharType="separate"/>
      </w:r>
      <w:r>
        <w:t>21</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_Toc16046 </w:instrText>
      </w:r>
      <w:r>
        <w:rPr>
          <w:rFonts w:hint="eastAsia" w:asciiTheme="minorEastAsia" w:hAnsiTheme="minorEastAsia" w:cstheme="minorEastAsia"/>
        </w:rPr>
        <w:fldChar w:fldCharType="separate"/>
      </w:r>
      <w:r>
        <w:rPr>
          <w:rFonts w:hint="eastAsia" w:cstheme="minorEastAsia"/>
        </w:rPr>
        <w:t>8.纪律和监督</w:t>
      </w:r>
      <w:r>
        <w:tab/>
      </w:r>
      <w:r>
        <w:fldChar w:fldCharType="begin"/>
      </w:r>
      <w:r>
        <w:instrText xml:space="preserve"> PAGEREF _Toc16046 </w:instrText>
      </w:r>
      <w:r>
        <w:fldChar w:fldCharType="separate"/>
      </w:r>
      <w:r>
        <w:t>21</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_Toc26422 </w:instrText>
      </w:r>
      <w:r>
        <w:rPr>
          <w:rFonts w:hint="eastAsia" w:asciiTheme="minorEastAsia" w:hAnsiTheme="minorEastAsia" w:cstheme="minorEastAsia"/>
        </w:rPr>
        <w:fldChar w:fldCharType="separate"/>
      </w:r>
      <w:r>
        <w:rPr>
          <w:rFonts w:hint="eastAsia" w:cstheme="minorEastAsia"/>
        </w:rPr>
        <w:t>8.1对招标人的纪律要求</w:t>
      </w:r>
      <w:r>
        <w:tab/>
      </w:r>
      <w:r>
        <w:fldChar w:fldCharType="begin"/>
      </w:r>
      <w:r>
        <w:instrText xml:space="preserve"> PAGEREF _Toc26422 </w:instrText>
      </w:r>
      <w:r>
        <w:fldChar w:fldCharType="separate"/>
      </w:r>
      <w:r>
        <w:t>21</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_Toc16283 </w:instrText>
      </w:r>
      <w:r>
        <w:rPr>
          <w:rFonts w:hint="eastAsia" w:asciiTheme="minorEastAsia" w:hAnsiTheme="minorEastAsia" w:cstheme="minorEastAsia"/>
        </w:rPr>
        <w:fldChar w:fldCharType="separate"/>
      </w:r>
      <w:r>
        <w:rPr>
          <w:rFonts w:hint="eastAsia" w:cstheme="minorEastAsia"/>
        </w:rPr>
        <w:t>8.2对投标人的纪律要求</w:t>
      </w:r>
      <w:r>
        <w:tab/>
      </w:r>
      <w:r>
        <w:fldChar w:fldCharType="begin"/>
      </w:r>
      <w:r>
        <w:instrText xml:space="preserve"> PAGEREF _Toc16283 </w:instrText>
      </w:r>
      <w:r>
        <w:fldChar w:fldCharType="separate"/>
      </w:r>
      <w:r>
        <w:t>21</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_Toc4113 </w:instrText>
      </w:r>
      <w:r>
        <w:rPr>
          <w:rFonts w:hint="eastAsia" w:asciiTheme="minorEastAsia" w:hAnsiTheme="minorEastAsia" w:cstheme="minorEastAsia"/>
        </w:rPr>
        <w:fldChar w:fldCharType="separate"/>
      </w:r>
      <w:r>
        <w:rPr>
          <w:rFonts w:hint="eastAsia" w:cstheme="minorEastAsia"/>
        </w:rPr>
        <w:t>8.3对评标委员会成员的纪律要求</w:t>
      </w:r>
      <w:r>
        <w:tab/>
      </w:r>
      <w:r>
        <w:fldChar w:fldCharType="begin"/>
      </w:r>
      <w:r>
        <w:instrText xml:space="preserve"> PAGEREF _Toc4113 </w:instrText>
      </w:r>
      <w:r>
        <w:fldChar w:fldCharType="separate"/>
      </w:r>
      <w:r>
        <w:t>21</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_Toc10556 </w:instrText>
      </w:r>
      <w:r>
        <w:rPr>
          <w:rFonts w:hint="eastAsia" w:asciiTheme="minorEastAsia" w:hAnsiTheme="minorEastAsia" w:cstheme="minorEastAsia"/>
        </w:rPr>
        <w:fldChar w:fldCharType="separate"/>
      </w:r>
      <w:r>
        <w:rPr>
          <w:rFonts w:hint="eastAsia" w:cstheme="minorEastAsia"/>
        </w:rPr>
        <w:t>8.4对与评标活动有关的工作人员的纪律要求</w:t>
      </w:r>
      <w:r>
        <w:tab/>
      </w:r>
      <w:r>
        <w:fldChar w:fldCharType="begin"/>
      </w:r>
      <w:r>
        <w:instrText xml:space="preserve"> PAGEREF _Toc10556 </w:instrText>
      </w:r>
      <w:r>
        <w:fldChar w:fldCharType="separate"/>
      </w:r>
      <w:r>
        <w:t>22</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_Toc19467 </w:instrText>
      </w:r>
      <w:r>
        <w:rPr>
          <w:rFonts w:hint="eastAsia" w:asciiTheme="minorEastAsia" w:hAnsiTheme="minorEastAsia" w:cstheme="minorEastAsia"/>
        </w:rPr>
        <w:fldChar w:fldCharType="separate"/>
      </w:r>
      <w:r>
        <w:rPr>
          <w:rFonts w:hint="eastAsia" w:cstheme="minorEastAsia"/>
        </w:rPr>
        <w:t>8.5投诉</w:t>
      </w:r>
      <w:r>
        <w:tab/>
      </w:r>
      <w:r>
        <w:fldChar w:fldCharType="begin"/>
      </w:r>
      <w:r>
        <w:instrText xml:space="preserve"> PAGEREF _Toc19467 </w:instrText>
      </w:r>
      <w:r>
        <w:fldChar w:fldCharType="separate"/>
      </w:r>
      <w:r>
        <w:t>22</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_Toc11998 </w:instrText>
      </w:r>
      <w:r>
        <w:rPr>
          <w:rFonts w:hint="eastAsia" w:asciiTheme="minorEastAsia" w:hAnsiTheme="minorEastAsia" w:cstheme="minorEastAsia"/>
        </w:rPr>
        <w:fldChar w:fldCharType="separate"/>
      </w:r>
      <w:r>
        <w:rPr>
          <w:rFonts w:hint="eastAsia" w:cstheme="minorEastAsia"/>
        </w:rPr>
        <w:t>9.是否采用电子招标投标</w:t>
      </w:r>
      <w:r>
        <w:tab/>
      </w:r>
      <w:r>
        <w:fldChar w:fldCharType="begin"/>
      </w:r>
      <w:r>
        <w:instrText xml:space="preserve"> PAGEREF _Toc11998 </w:instrText>
      </w:r>
      <w:r>
        <w:fldChar w:fldCharType="separate"/>
      </w:r>
      <w:r>
        <w:t>22</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_Toc8723 </w:instrText>
      </w:r>
      <w:r>
        <w:rPr>
          <w:rFonts w:hint="eastAsia" w:asciiTheme="minorEastAsia" w:hAnsiTheme="minorEastAsia" w:cstheme="minorEastAsia"/>
        </w:rPr>
        <w:fldChar w:fldCharType="separate"/>
      </w:r>
      <w:r>
        <w:rPr>
          <w:rFonts w:hint="eastAsia" w:cstheme="minorEastAsia"/>
        </w:rPr>
        <w:t>10.需要补充的其他内容</w:t>
      </w:r>
      <w:r>
        <w:tab/>
      </w:r>
      <w:r>
        <w:fldChar w:fldCharType="begin"/>
      </w:r>
      <w:r>
        <w:instrText xml:space="preserve"> PAGEREF _Toc8723 </w:instrText>
      </w:r>
      <w:r>
        <w:fldChar w:fldCharType="separate"/>
      </w:r>
      <w:r>
        <w:t>22</w:t>
      </w:r>
      <w:r>
        <w:fldChar w:fldCharType="end"/>
      </w:r>
      <w:r>
        <w:rPr>
          <w:rFonts w:hint="eastAsia" w:asciiTheme="minorEastAsia" w:hAnsiTheme="minorEastAsia" w:cstheme="minorEastAsia"/>
        </w:rPr>
        <w:fldChar w:fldCharType="end"/>
      </w:r>
    </w:p>
    <w:p>
      <w:pPr>
        <w:pStyle w:val="22"/>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_Toc15640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第三章 评标办法（综合评估法）</w:t>
      </w:r>
      <w:r>
        <w:tab/>
      </w:r>
      <w:r>
        <w:fldChar w:fldCharType="begin"/>
      </w:r>
      <w:r>
        <w:instrText xml:space="preserve"> PAGEREF _Toc15640 </w:instrText>
      </w:r>
      <w:r>
        <w:fldChar w:fldCharType="separate"/>
      </w:r>
      <w:r>
        <w:t>23</w:t>
      </w:r>
      <w:r>
        <w:fldChar w:fldCharType="end"/>
      </w:r>
      <w:r>
        <w:rPr>
          <w:rFonts w:hint="eastAsia" w:asciiTheme="minorEastAsia" w:hAnsiTheme="minorEastAsia" w:cstheme="minorEastAsia"/>
        </w:rPr>
        <w:fldChar w:fldCharType="end"/>
      </w:r>
    </w:p>
    <w:p>
      <w:pPr>
        <w:pStyle w:val="12"/>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_Toc30473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评标办法前附表</w:t>
      </w:r>
      <w:r>
        <w:tab/>
      </w:r>
      <w:r>
        <w:fldChar w:fldCharType="begin"/>
      </w:r>
      <w:r>
        <w:instrText xml:space="preserve"> PAGEREF _Toc30473 </w:instrText>
      </w:r>
      <w:r>
        <w:fldChar w:fldCharType="separate"/>
      </w:r>
      <w:r>
        <w:t>23</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_Toc11623 </w:instrText>
      </w:r>
      <w:r>
        <w:rPr>
          <w:rFonts w:hint="eastAsia" w:asciiTheme="minorEastAsia" w:hAnsiTheme="minorEastAsia" w:cstheme="minorEastAsia"/>
        </w:rPr>
        <w:fldChar w:fldCharType="separate"/>
      </w:r>
      <w:r>
        <w:rPr>
          <w:rFonts w:hint="eastAsia" w:cstheme="minorEastAsia"/>
        </w:rPr>
        <w:t>1.评标方法</w:t>
      </w:r>
      <w:r>
        <w:tab/>
      </w:r>
      <w:r>
        <w:fldChar w:fldCharType="begin"/>
      </w:r>
      <w:r>
        <w:instrText xml:space="preserve"> PAGEREF _Toc11623 </w:instrText>
      </w:r>
      <w:r>
        <w:fldChar w:fldCharType="separate"/>
      </w:r>
      <w:r>
        <w:t>25</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_Toc3626 </w:instrText>
      </w:r>
      <w:r>
        <w:rPr>
          <w:rFonts w:hint="eastAsia" w:asciiTheme="minorEastAsia" w:hAnsiTheme="minorEastAsia" w:cstheme="minorEastAsia"/>
        </w:rPr>
        <w:fldChar w:fldCharType="separate"/>
      </w:r>
      <w:r>
        <w:rPr>
          <w:rFonts w:hint="eastAsia" w:cstheme="minorEastAsia"/>
        </w:rPr>
        <w:t>2.评审标准</w:t>
      </w:r>
      <w:r>
        <w:tab/>
      </w:r>
      <w:r>
        <w:fldChar w:fldCharType="begin"/>
      </w:r>
      <w:r>
        <w:instrText xml:space="preserve"> PAGEREF _Toc3626 </w:instrText>
      </w:r>
      <w:r>
        <w:fldChar w:fldCharType="separate"/>
      </w:r>
      <w:r>
        <w:t>26</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_Toc3837 </w:instrText>
      </w:r>
      <w:r>
        <w:rPr>
          <w:rFonts w:hint="eastAsia" w:asciiTheme="minorEastAsia" w:hAnsiTheme="minorEastAsia" w:cstheme="minorEastAsia"/>
        </w:rPr>
        <w:fldChar w:fldCharType="separate"/>
      </w:r>
      <w:r>
        <w:rPr>
          <w:rFonts w:hint="eastAsia" w:cstheme="minorEastAsia"/>
        </w:rPr>
        <w:t>2.1初步评审标准</w:t>
      </w:r>
      <w:r>
        <w:tab/>
      </w:r>
      <w:r>
        <w:fldChar w:fldCharType="begin"/>
      </w:r>
      <w:r>
        <w:instrText xml:space="preserve"> PAGEREF _Toc3837 </w:instrText>
      </w:r>
      <w:r>
        <w:fldChar w:fldCharType="separate"/>
      </w:r>
      <w:r>
        <w:t>26</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_Toc22305 </w:instrText>
      </w:r>
      <w:r>
        <w:rPr>
          <w:rFonts w:hint="eastAsia" w:asciiTheme="minorEastAsia" w:hAnsiTheme="minorEastAsia" w:cstheme="minorEastAsia"/>
        </w:rPr>
        <w:fldChar w:fldCharType="separate"/>
      </w:r>
      <w:r>
        <w:rPr>
          <w:rFonts w:hint="eastAsia" w:cstheme="minorEastAsia"/>
        </w:rPr>
        <w:t>2.2分值构成与评分标准</w:t>
      </w:r>
      <w:r>
        <w:tab/>
      </w:r>
      <w:r>
        <w:fldChar w:fldCharType="begin"/>
      </w:r>
      <w:r>
        <w:instrText xml:space="preserve"> PAGEREF _Toc22305 </w:instrText>
      </w:r>
      <w:r>
        <w:fldChar w:fldCharType="separate"/>
      </w:r>
      <w:r>
        <w:t>26</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_Toc17171 </w:instrText>
      </w:r>
      <w:r>
        <w:rPr>
          <w:rFonts w:hint="eastAsia" w:asciiTheme="minorEastAsia" w:hAnsiTheme="minorEastAsia" w:cstheme="minorEastAsia"/>
        </w:rPr>
        <w:fldChar w:fldCharType="separate"/>
      </w:r>
      <w:r>
        <w:rPr>
          <w:rFonts w:hint="eastAsia" w:cstheme="minorEastAsia"/>
        </w:rPr>
        <w:t>3.评标程序</w:t>
      </w:r>
      <w:r>
        <w:tab/>
      </w:r>
      <w:r>
        <w:fldChar w:fldCharType="begin"/>
      </w:r>
      <w:r>
        <w:instrText xml:space="preserve"> PAGEREF _Toc17171 </w:instrText>
      </w:r>
      <w:r>
        <w:fldChar w:fldCharType="separate"/>
      </w:r>
      <w:r>
        <w:t>26</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_Toc1425 </w:instrText>
      </w:r>
      <w:r>
        <w:rPr>
          <w:rFonts w:hint="eastAsia" w:asciiTheme="minorEastAsia" w:hAnsiTheme="minorEastAsia" w:cstheme="minorEastAsia"/>
        </w:rPr>
        <w:fldChar w:fldCharType="separate"/>
      </w:r>
      <w:r>
        <w:rPr>
          <w:rFonts w:hint="eastAsia" w:cstheme="minorEastAsia"/>
        </w:rPr>
        <w:t>3.1初步评审</w:t>
      </w:r>
      <w:r>
        <w:tab/>
      </w:r>
      <w:r>
        <w:fldChar w:fldCharType="begin"/>
      </w:r>
      <w:r>
        <w:instrText xml:space="preserve"> PAGEREF _Toc1425 </w:instrText>
      </w:r>
      <w:r>
        <w:fldChar w:fldCharType="separate"/>
      </w:r>
      <w:r>
        <w:t>26</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_Toc28869 </w:instrText>
      </w:r>
      <w:r>
        <w:rPr>
          <w:rFonts w:hint="eastAsia" w:asciiTheme="minorEastAsia" w:hAnsiTheme="minorEastAsia" w:cstheme="minorEastAsia"/>
        </w:rPr>
        <w:fldChar w:fldCharType="separate"/>
      </w:r>
      <w:r>
        <w:rPr>
          <w:rFonts w:hint="eastAsia" w:cstheme="minorEastAsia"/>
        </w:rPr>
        <w:t>3.2详细评审</w:t>
      </w:r>
      <w:r>
        <w:tab/>
      </w:r>
      <w:r>
        <w:fldChar w:fldCharType="begin"/>
      </w:r>
      <w:r>
        <w:instrText xml:space="preserve"> PAGEREF _Toc28869 </w:instrText>
      </w:r>
      <w:r>
        <w:fldChar w:fldCharType="separate"/>
      </w:r>
      <w:r>
        <w:t>27</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_Toc1550 </w:instrText>
      </w:r>
      <w:r>
        <w:rPr>
          <w:rFonts w:hint="eastAsia" w:asciiTheme="minorEastAsia" w:hAnsiTheme="minorEastAsia" w:cstheme="minorEastAsia"/>
        </w:rPr>
        <w:fldChar w:fldCharType="separate"/>
      </w:r>
      <w:r>
        <w:rPr>
          <w:rFonts w:hint="eastAsia" w:cstheme="minorEastAsia"/>
        </w:rPr>
        <w:t>3.3投标文件的澄清</w:t>
      </w:r>
      <w:r>
        <w:tab/>
      </w:r>
      <w:r>
        <w:fldChar w:fldCharType="begin"/>
      </w:r>
      <w:r>
        <w:instrText xml:space="preserve"> PAGEREF _Toc1550 </w:instrText>
      </w:r>
      <w:r>
        <w:fldChar w:fldCharType="separate"/>
      </w:r>
      <w:r>
        <w:t>27</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_Toc13498 </w:instrText>
      </w:r>
      <w:r>
        <w:rPr>
          <w:rFonts w:hint="eastAsia" w:asciiTheme="minorEastAsia" w:hAnsiTheme="minorEastAsia" w:cstheme="minorEastAsia"/>
        </w:rPr>
        <w:fldChar w:fldCharType="separate"/>
      </w:r>
      <w:r>
        <w:rPr>
          <w:rFonts w:hint="eastAsia" w:cstheme="minorEastAsia"/>
        </w:rPr>
        <w:t>3.4评标结果</w:t>
      </w:r>
      <w:r>
        <w:tab/>
      </w:r>
      <w:r>
        <w:fldChar w:fldCharType="begin"/>
      </w:r>
      <w:r>
        <w:instrText xml:space="preserve"> PAGEREF _Toc13498 </w:instrText>
      </w:r>
      <w:r>
        <w:fldChar w:fldCharType="separate"/>
      </w:r>
      <w:r>
        <w:t>27</w:t>
      </w:r>
      <w:r>
        <w:fldChar w:fldCharType="end"/>
      </w:r>
      <w:r>
        <w:rPr>
          <w:rFonts w:hint="eastAsia" w:asciiTheme="minorEastAsia" w:hAnsiTheme="minorEastAsia" w:cstheme="minorEastAsia"/>
        </w:rPr>
        <w:fldChar w:fldCharType="end"/>
      </w:r>
    </w:p>
    <w:p>
      <w:pPr>
        <w:pStyle w:val="22"/>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_Toc17297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第四章 合同条款及格式</w:t>
      </w:r>
      <w:r>
        <w:tab/>
      </w:r>
      <w:r>
        <w:fldChar w:fldCharType="begin"/>
      </w:r>
      <w:r>
        <w:instrText xml:space="preserve"> PAGEREF _Toc17297 </w:instrText>
      </w:r>
      <w:r>
        <w:fldChar w:fldCharType="separate"/>
      </w:r>
      <w:r>
        <w:t>28</w:t>
      </w:r>
      <w:r>
        <w:fldChar w:fldCharType="end"/>
      </w:r>
      <w:r>
        <w:rPr>
          <w:rFonts w:hint="eastAsia" w:asciiTheme="minorEastAsia" w:hAnsiTheme="minorEastAsia" w:cstheme="minorEastAsia"/>
        </w:rPr>
        <w:fldChar w:fldCharType="end"/>
      </w:r>
    </w:p>
    <w:p>
      <w:pPr>
        <w:pStyle w:val="22"/>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_Toc21291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第五章 项目需求</w:t>
      </w:r>
      <w:r>
        <w:tab/>
      </w:r>
      <w:r>
        <w:fldChar w:fldCharType="begin"/>
      </w:r>
      <w:r>
        <w:instrText xml:space="preserve"> PAGEREF _Toc21291 </w:instrText>
      </w:r>
      <w:r>
        <w:fldChar w:fldCharType="separate"/>
      </w:r>
      <w:r>
        <w:t>32</w:t>
      </w:r>
      <w:r>
        <w:fldChar w:fldCharType="end"/>
      </w:r>
      <w:r>
        <w:rPr>
          <w:rFonts w:hint="eastAsia" w:asciiTheme="minorEastAsia" w:hAnsiTheme="minorEastAsia" w:cstheme="minorEastAsia"/>
        </w:rPr>
        <w:fldChar w:fldCharType="end"/>
      </w:r>
    </w:p>
    <w:p>
      <w:pPr>
        <w:pStyle w:val="22"/>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_Toc2547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第六章 投标文件格式</w:t>
      </w:r>
      <w:r>
        <w:tab/>
      </w:r>
      <w:r>
        <w:fldChar w:fldCharType="begin"/>
      </w:r>
      <w:r>
        <w:instrText xml:space="preserve"> PAGEREF _Toc2547 </w:instrText>
      </w:r>
      <w:r>
        <w:fldChar w:fldCharType="separate"/>
      </w:r>
      <w:r>
        <w:t>43</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_Toc9989 </w:instrText>
      </w:r>
      <w:r>
        <w:rPr>
          <w:rFonts w:hint="eastAsia" w:asciiTheme="minorEastAsia" w:hAnsiTheme="minorEastAsia" w:cstheme="minorEastAsia"/>
        </w:rPr>
        <w:fldChar w:fldCharType="separate"/>
      </w:r>
      <w:r>
        <w:rPr>
          <w:rFonts w:hint="eastAsia" w:cstheme="minorEastAsia"/>
        </w:rPr>
        <w:t>封面</w:t>
      </w:r>
      <w:r>
        <w:tab/>
      </w:r>
      <w:r>
        <w:fldChar w:fldCharType="begin"/>
      </w:r>
      <w:r>
        <w:instrText xml:space="preserve"> PAGEREF _Toc9989 </w:instrText>
      </w:r>
      <w:r>
        <w:fldChar w:fldCharType="separate"/>
      </w:r>
      <w:r>
        <w:t>43</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_Toc29950 </w:instrText>
      </w:r>
      <w:r>
        <w:rPr>
          <w:rFonts w:hint="eastAsia" w:asciiTheme="minorEastAsia" w:hAnsiTheme="minorEastAsia" w:cstheme="minorEastAsia"/>
        </w:rPr>
        <w:fldChar w:fldCharType="separate"/>
      </w:r>
      <w:r>
        <w:rPr>
          <w:rFonts w:hint="eastAsia" w:cstheme="minorEastAsia"/>
        </w:rPr>
        <w:t>目录</w:t>
      </w:r>
      <w:r>
        <w:tab/>
      </w:r>
      <w:r>
        <w:fldChar w:fldCharType="begin"/>
      </w:r>
      <w:r>
        <w:instrText xml:space="preserve"> PAGEREF _Toc29950 </w:instrText>
      </w:r>
      <w:r>
        <w:fldChar w:fldCharType="separate"/>
      </w:r>
      <w:r>
        <w:t>45</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_Toc7994 </w:instrText>
      </w:r>
      <w:r>
        <w:rPr>
          <w:rFonts w:hint="eastAsia" w:asciiTheme="minorEastAsia" w:hAnsiTheme="minorEastAsia" w:cstheme="minorEastAsia"/>
        </w:rPr>
        <w:fldChar w:fldCharType="separate"/>
      </w:r>
      <w:r>
        <w:rPr>
          <w:rFonts w:hint="eastAsia" w:cstheme="minorEastAsia"/>
        </w:rPr>
        <w:t>一、投标函</w:t>
      </w:r>
      <w:r>
        <w:tab/>
      </w:r>
      <w:r>
        <w:fldChar w:fldCharType="begin"/>
      </w:r>
      <w:r>
        <w:instrText xml:space="preserve"> PAGEREF _Toc7994 </w:instrText>
      </w:r>
      <w:r>
        <w:fldChar w:fldCharType="separate"/>
      </w:r>
      <w:r>
        <w:t>46</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_Toc6397 </w:instrText>
      </w:r>
      <w:r>
        <w:rPr>
          <w:rFonts w:hint="eastAsia" w:asciiTheme="minorEastAsia" w:hAnsiTheme="minorEastAsia" w:cstheme="minorEastAsia"/>
        </w:rPr>
        <w:fldChar w:fldCharType="separate"/>
      </w:r>
      <w:r>
        <w:rPr>
          <w:rFonts w:hint="eastAsia" w:cstheme="minorEastAsia"/>
        </w:rPr>
        <w:t>二、法定代表人（单位负责人）身份证明</w:t>
      </w:r>
      <w:r>
        <w:tab/>
      </w:r>
      <w:r>
        <w:fldChar w:fldCharType="begin"/>
      </w:r>
      <w:r>
        <w:instrText xml:space="preserve"> PAGEREF _Toc6397 </w:instrText>
      </w:r>
      <w:r>
        <w:fldChar w:fldCharType="separate"/>
      </w:r>
      <w:r>
        <w:t>48</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_Toc25471 </w:instrText>
      </w:r>
      <w:r>
        <w:rPr>
          <w:rFonts w:hint="eastAsia" w:asciiTheme="minorEastAsia" w:hAnsiTheme="minorEastAsia" w:cstheme="minorEastAsia"/>
        </w:rPr>
        <w:fldChar w:fldCharType="separate"/>
      </w:r>
      <w:r>
        <w:rPr>
          <w:rFonts w:hint="eastAsia" w:cstheme="minorEastAsia"/>
        </w:rPr>
        <w:t>三、授权委托书</w:t>
      </w:r>
      <w:r>
        <w:tab/>
      </w:r>
      <w:r>
        <w:fldChar w:fldCharType="begin"/>
      </w:r>
      <w:r>
        <w:instrText xml:space="preserve"> PAGEREF _Toc25471 </w:instrText>
      </w:r>
      <w:r>
        <w:fldChar w:fldCharType="separate"/>
      </w:r>
      <w:r>
        <w:t>49</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_Toc14596 </w:instrText>
      </w:r>
      <w:r>
        <w:rPr>
          <w:rFonts w:hint="eastAsia" w:asciiTheme="minorEastAsia" w:hAnsiTheme="minorEastAsia" w:cstheme="minorEastAsia"/>
        </w:rPr>
        <w:fldChar w:fldCharType="separate"/>
      </w:r>
      <w:r>
        <w:rPr>
          <w:rFonts w:hint="eastAsia" w:cstheme="minorEastAsia"/>
        </w:rPr>
        <w:t>四、投标保证金</w:t>
      </w:r>
      <w:r>
        <w:tab/>
      </w:r>
      <w:r>
        <w:fldChar w:fldCharType="begin"/>
      </w:r>
      <w:r>
        <w:instrText xml:space="preserve"> PAGEREF _Toc14596 </w:instrText>
      </w:r>
      <w:r>
        <w:fldChar w:fldCharType="separate"/>
      </w:r>
      <w:r>
        <w:t>50</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_Toc17413 </w:instrText>
      </w:r>
      <w:r>
        <w:rPr>
          <w:rFonts w:hint="eastAsia" w:asciiTheme="minorEastAsia" w:hAnsiTheme="minorEastAsia" w:cstheme="minorEastAsia"/>
        </w:rPr>
        <w:fldChar w:fldCharType="separate"/>
      </w:r>
      <w:r>
        <w:rPr>
          <w:rFonts w:hint="eastAsia" w:cstheme="minorEastAsia"/>
        </w:rPr>
        <w:t>五、商务和技术偏差表</w:t>
      </w:r>
      <w:r>
        <w:tab/>
      </w:r>
      <w:r>
        <w:fldChar w:fldCharType="begin"/>
      </w:r>
      <w:r>
        <w:instrText xml:space="preserve"> PAGEREF _Toc17413 </w:instrText>
      </w:r>
      <w:r>
        <w:fldChar w:fldCharType="separate"/>
      </w:r>
      <w:r>
        <w:t>51</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_Toc16452 </w:instrText>
      </w:r>
      <w:r>
        <w:rPr>
          <w:rFonts w:hint="eastAsia" w:asciiTheme="minorEastAsia" w:hAnsiTheme="minorEastAsia" w:cstheme="minorEastAsia"/>
        </w:rPr>
        <w:fldChar w:fldCharType="separate"/>
      </w:r>
      <w:r>
        <w:rPr>
          <w:rFonts w:hint="eastAsia" w:cstheme="minorEastAsia"/>
        </w:rPr>
        <w:t>六、报价表</w:t>
      </w:r>
      <w:r>
        <w:tab/>
      </w:r>
      <w:r>
        <w:fldChar w:fldCharType="begin"/>
      </w:r>
      <w:r>
        <w:instrText xml:space="preserve"> PAGEREF _Toc16452 </w:instrText>
      </w:r>
      <w:r>
        <w:fldChar w:fldCharType="separate"/>
      </w:r>
      <w:r>
        <w:t>52</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_Toc29679 </w:instrText>
      </w:r>
      <w:r>
        <w:rPr>
          <w:rFonts w:hint="eastAsia" w:asciiTheme="minorEastAsia" w:hAnsiTheme="minorEastAsia" w:cstheme="minorEastAsia"/>
        </w:rPr>
        <w:fldChar w:fldCharType="separate"/>
      </w:r>
      <w:r>
        <w:rPr>
          <w:rFonts w:hint="eastAsia" w:cstheme="minorEastAsia"/>
        </w:rPr>
        <w:t>七、资格审查资料</w:t>
      </w:r>
      <w:r>
        <w:tab/>
      </w:r>
      <w:r>
        <w:fldChar w:fldCharType="begin"/>
      </w:r>
      <w:r>
        <w:instrText xml:space="preserve"> PAGEREF _Toc29679 </w:instrText>
      </w:r>
      <w:r>
        <w:fldChar w:fldCharType="separate"/>
      </w:r>
      <w:r>
        <w:t>53</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_Toc7972 </w:instrText>
      </w:r>
      <w:r>
        <w:rPr>
          <w:rFonts w:hint="eastAsia" w:asciiTheme="minorEastAsia" w:hAnsiTheme="minorEastAsia" w:cstheme="minorEastAsia"/>
        </w:rPr>
        <w:fldChar w:fldCharType="separate"/>
      </w:r>
      <w:r>
        <w:rPr>
          <w:rFonts w:hint="eastAsia" w:cstheme="minorEastAsia"/>
        </w:rPr>
        <w:t>（一）基本情况表</w:t>
      </w:r>
      <w:r>
        <w:tab/>
      </w:r>
      <w:r>
        <w:fldChar w:fldCharType="begin"/>
      </w:r>
      <w:r>
        <w:instrText xml:space="preserve"> PAGEREF _Toc7972 </w:instrText>
      </w:r>
      <w:r>
        <w:fldChar w:fldCharType="separate"/>
      </w:r>
      <w:r>
        <w:t>53</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_Toc19609 </w:instrText>
      </w:r>
      <w:r>
        <w:rPr>
          <w:rFonts w:hint="eastAsia" w:asciiTheme="minorEastAsia" w:hAnsiTheme="minorEastAsia" w:cstheme="minorEastAsia"/>
        </w:rPr>
        <w:fldChar w:fldCharType="separate"/>
      </w:r>
      <w:r>
        <w:rPr>
          <w:rFonts w:hint="eastAsia" w:cstheme="minorEastAsia"/>
        </w:rPr>
        <w:t>（二）法人资格证明</w:t>
      </w:r>
      <w:r>
        <w:tab/>
      </w:r>
      <w:r>
        <w:fldChar w:fldCharType="begin"/>
      </w:r>
      <w:r>
        <w:instrText xml:space="preserve"> PAGEREF _Toc19609 </w:instrText>
      </w:r>
      <w:r>
        <w:fldChar w:fldCharType="separate"/>
      </w:r>
      <w:r>
        <w:t>54</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_Toc29171 </w:instrText>
      </w:r>
      <w:r>
        <w:rPr>
          <w:rFonts w:hint="eastAsia" w:asciiTheme="minorEastAsia" w:hAnsiTheme="minorEastAsia" w:cstheme="minorEastAsia"/>
        </w:rPr>
        <w:fldChar w:fldCharType="separate"/>
      </w:r>
      <w:r>
        <w:rPr>
          <w:rFonts w:hint="eastAsia" w:cstheme="minorEastAsia"/>
        </w:rPr>
        <w:t>（三）近年财务状况表</w:t>
      </w:r>
      <w:r>
        <w:tab/>
      </w:r>
      <w:r>
        <w:fldChar w:fldCharType="begin"/>
      </w:r>
      <w:r>
        <w:instrText xml:space="preserve"> PAGEREF _Toc29171 </w:instrText>
      </w:r>
      <w:r>
        <w:fldChar w:fldCharType="separate"/>
      </w:r>
      <w:r>
        <w:t>55</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_Toc2022 </w:instrText>
      </w:r>
      <w:r>
        <w:rPr>
          <w:rFonts w:hint="eastAsia" w:asciiTheme="minorEastAsia" w:hAnsiTheme="minorEastAsia" w:cstheme="minorEastAsia"/>
        </w:rPr>
        <w:fldChar w:fldCharType="separate"/>
      </w:r>
      <w:r>
        <w:rPr>
          <w:rFonts w:hint="eastAsia" w:cstheme="minorEastAsia"/>
        </w:rPr>
        <w:t>八、近年完成的类似项目情况表</w:t>
      </w:r>
      <w:r>
        <w:tab/>
      </w:r>
      <w:r>
        <w:fldChar w:fldCharType="begin"/>
      </w:r>
      <w:r>
        <w:instrText xml:space="preserve"> PAGEREF _Toc2022 </w:instrText>
      </w:r>
      <w:r>
        <w:fldChar w:fldCharType="separate"/>
      </w:r>
      <w:r>
        <w:t>56</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_Toc18041 </w:instrText>
      </w:r>
      <w:r>
        <w:rPr>
          <w:rFonts w:hint="eastAsia" w:asciiTheme="minorEastAsia" w:hAnsiTheme="minorEastAsia" w:cstheme="minorEastAsia"/>
        </w:rPr>
        <w:fldChar w:fldCharType="separate"/>
      </w:r>
      <w:r>
        <w:rPr>
          <w:rFonts w:hint="eastAsia" w:cstheme="minorEastAsia"/>
        </w:rPr>
        <w:t>九、技术支持资料</w:t>
      </w:r>
      <w:r>
        <w:tab/>
      </w:r>
      <w:r>
        <w:fldChar w:fldCharType="begin"/>
      </w:r>
      <w:r>
        <w:instrText xml:space="preserve"> PAGEREF _Toc18041 </w:instrText>
      </w:r>
      <w:r>
        <w:fldChar w:fldCharType="separate"/>
      </w:r>
      <w:r>
        <w:t>57</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_Toc4656 </w:instrText>
      </w:r>
      <w:r>
        <w:rPr>
          <w:rFonts w:hint="eastAsia" w:asciiTheme="minorEastAsia" w:hAnsiTheme="minorEastAsia" w:cstheme="minorEastAsia"/>
        </w:rPr>
        <w:fldChar w:fldCharType="separate"/>
      </w:r>
      <w:r>
        <w:rPr>
          <w:rFonts w:hint="eastAsia" w:cstheme="minorEastAsia"/>
        </w:rPr>
        <w:t>十、技术服务和质保期服务计划</w:t>
      </w:r>
      <w:r>
        <w:tab/>
      </w:r>
      <w:r>
        <w:fldChar w:fldCharType="begin"/>
      </w:r>
      <w:r>
        <w:instrText xml:space="preserve"> PAGEREF _Toc4656 </w:instrText>
      </w:r>
      <w:r>
        <w:fldChar w:fldCharType="separate"/>
      </w:r>
      <w:r>
        <w:t>58</w:t>
      </w:r>
      <w:r>
        <w:fldChar w:fldCharType="end"/>
      </w:r>
      <w:r>
        <w:rPr>
          <w:rFonts w:hint="eastAsia" w:asciiTheme="minorEastAsia" w:hAnsiTheme="minorEastAsia" w:cstheme="minorEastAsia"/>
        </w:rPr>
        <w:fldChar w:fldCharType="end"/>
      </w:r>
    </w:p>
    <w:p>
      <w:pPr>
        <w:pStyle w:val="20"/>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_Toc16041 </w:instrText>
      </w:r>
      <w:r>
        <w:rPr>
          <w:rFonts w:hint="eastAsia" w:asciiTheme="minorEastAsia" w:hAnsiTheme="minorEastAsia" w:cstheme="minorEastAsia"/>
        </w:rPr>
        <w:fldChar w:fldCharType="separate"/>
      </w:r>
      <w:r>
        <w:rPr>
          <w:rFonts w:hint="eastAsia" w:cstheme="minorEastAsia"/>
        </w:rPr>
        <w:t>十一、其他资料</w:t>
      </w:r>
      <w:r>
        <w:tab/>
      </w:r>
      <w:r>
        <w:fldChar w:fldCharType="begin"/>
      </w:r>
      <w:r>
        <w:instrText xml:space="preserve"> PAGEREF _Toc16041 </w:instrText>
      </w:r>
      <w:r>
        <w:fldChar w:fldCharType="separate"/>
      </w:r>
      <w:r>
        <w:t>59</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_Toc22676 </w:instrText>
      </w:r>
      <w:r>
        <w:rPr>
          <w:rFonts w:hint="eastAsia" w:asciiTheme="minorEastAsia" w:hAnsiTheme="minorEastAsia" w:cstheme="minorEastAsia"/>
        </w:rPr>
        <w:fldChar w:fldCharType="separate"/>
      </w:r>
      <w:r>
        <w:rPr>
          <w:rFonts w:hint="eastAsia" w:cstheme="minorEastAsia"/>
        </w:rPr>
        <w:t>（一）承诺书</w:t>
      </w:r>
      <w:r>
        <w:tab/>
      </w:r>
      <w:r>
        <w:fldChar w:fldCharType="begin"/>
      </w:r>
      <w:r>
        <w:instrText xml:space="preserve"> PAGEREF _Toc22676 </w:instrText>
      </w:r>
      <w:r>
        <w:fldChar w:fldCharType="separate"/>
      </w:r>
      <w:r>
        <w:t>59</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_Toc576 </w:instrText>
      </w:r>
      <w:r>
        <w:rPr>
          <w:rFonts w:hint="eastAsia" w:asciiTheme="minorEastAsia" w:hAnsiTheme="minorEastAsia" w:cstheme="minorEastAsia"/>
        </w:rPr>
        <w:fldChar w:fldCharType="separate"/>
      </w:r>
      <w:r>
        <w:rPr>
          <w:rFonts w:hint="eastAsia" w:cstheme="minorEastAsia"/>
        </w:rPr>
        <w:t>（二）开户许可证（基本账户）</w:t>
      </w:r>
      <w:r>
        <w:tab/>
      </w:r>
      <w:r>
        <w:fldChar w:fldCharType="begin"/>
      </w:r>
      <w:r>
        <w:instrText xml:space="preserve"> PAGEREF _Toc576 </w:instrText>
      </w:r>
      <w:r>
        <w:fldChar w:fldCharType="separate"/>
      </w:r>
      <w:r>
        <w:t>59</w:t>
      </w:r>
      <w:r>
        <w:fldChar w:fldCharType="end"/>
      </w:r>
      <w:r>
        <w:rPr>
          <w:rFonts w:hint="eastAsia" w:asciiTheme="minorEastAsia" w:hAnsiTheme="minorEastAsia" w:cstheme="minorEastAsia"/>
        </w:rPr>
        <w:fldChar w:fldCharType="end"/>
      </w:r>
    </w:p>
    <w:p>
      <w:pPr>
        <w:pStyle w:val="11"/>
        <w:tabs>
          <w:tab w:val="right" w:leader="dot" w:pos="8306"/>
        </w:tabs>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_Toc24231 </w:instrText>
      </w:r>
      <w:r>
        <w:rPr>
          <w:rFonts w:hint="eastAsia" w:asciiTheme="minorEastAsia" w:hAnsiTheme="minorEastAsia" w:cstheme="minorEastAsia"/>
        </w:rPr>
        <w:fldChar w:fldCharType="separate"/>
      </w:r>
      <w:r>
        <w:rPr>
          <w:rFonts w:hint="eastAsia" w:cstheme="minorEastAsia"/>
        </w:rPr>
        <w:t>（三）其他</w:t>
      </w:r>
      <w:r>
        <w:tab/>
      </w:r>
      <w:r>
        <w:fldChar w:fldCharType="begin"/>
      </w:r>
      <w:r>
        <w:instrText xml:space="preserve"> PAGEREF _Toc24231 </w:instrText>
      </w:r>
      <w:r>
        <w:fldChar w:fldCharType="separate"/>
      </w:r>
      <w:r>
        <w:t>60</w:t>
      </w:r>
      <w:r>
        <w:fldChar w:fldCharType="end"/>
      </w:r>
      <w:r>
        <w:rPr>
          <w:rFonts w:hint="eastAsia" w:asciiTheme="minorEastAsia" w:hAnsiTheme="minorEastAsia" w:cstheme="minorEastAsia"/>
        </w:rPr>
        <w:fldChar w:fldCharType="end"/>
      </w:r>
    </w:p>
    <w:p>
      <w:pPr>
        <w:snapToGrid w:val="0"/>
        <w:rPr>
          <w:rFonts w:asciiTheme="minorEastAsia" w:hAnsiTheme="minorEastAsia" w:cstheme="minorEastAsia"/>
        </w:rPr>
      </w:pPr>
      <w:r>
        <w:rPr>
          <w:rFonts w:hint="eastAsia" w:asciiTheme="minorEastAsia" w:hAnsiTheme="minorEastAsia" w:cstheme="minorEastAsia"/>
        </w:rPr>
        <w:fldChar w:fldCharType="end"/>
      </w:r>
    </w:p>
    <w:p>
      <w:pPr>
        <w:snapToGrid w:val="0"/>
        <w:rPr>
          <w:rFonts w:asciiTheme="minorEastAsia" w:hAnsiTheme="minorEastAsia" w:cstheme="minorEastAsia"/>
        </w:rPr>
      </w:pPr>
    </w:p>
    <w:p>
      <w:pPr>
        <w:snapToGrid w:val="0"/>
        <w:rPr>
          <w:rFonts w:asciiTheme="minorEastAsia" w:hAnsiTheme="minorEastAsia" w:cstheme="minor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lowerRoman" w:start="1"/>
          <w:cols w:space="425" w:num="1"/>
          <w:docGrid w:type="lines" w:linePitch="312" w:charSpace="0"/>
        </w:sectPr>
      </w:pPr>
    </w:p>
    <w:p>
      <w:pPr>
        <w:pStyle w:val="4"/>
        <w:snapToGrid w:val="0"/>
        <w:spacing w:before="0" w:after="0" w:line="360" w:lineRule="auto"/>
        <w:rPr>
          <w:rFonts w:asciiTheme="minorEastAsia" w:hAnsiTheme="minorEastAsia" w:eastAsiaTheme="minorEastAsia" w:cstheme="minorEastAsia"/>
        </w:rPr>
      </w:pPr>
      <w:bookmarkStart w:id="0" w:name="_Toc20338"/>
      <w:r>
        <w:rPr>
          <w:rFonts w:hint="eastAsia" w:asciiTheme="minorEastAsia" w:hAnsiTheme="minorEastAsia" w:eastAsiaTheme="minorEastAsia" w:cstheme="minorEastAsia"/>
        </w:rPr>
        <w:t>第一章 招标公告</w:t>
      </w:r>
      <w:bookmarkEnd w:id="0"/>
    </w:p>
    <w:p>
      <w:pPr>
        <w:snapToGrid w:val="0"/>
        <w:spacing w:line="360" w:lineRule="auto"/>
        <w:ind w:firstLine="0" w:firstLineChars="0"/>
        <w:jc w:val="center"/>
        <w:rPr>
          <w:rFonts w:asciiTheme="minorEastAsia" w:hAnsiTheme="minorEastAsia" w:cstheme="minorEastAsia"/>
          <w:szCs w:val="21"/>
        </w:rPr>
      </w:pPr>
      <w:bookmarkStart w:id="1" w:name="_Toc30029"/>
      <w:r>
        <w:rPr>
          <w:rFonts w:hint="eastAsia" w:asciiTheme="minorEastAsia" w:hAnsiTheme="minorEastAsia" w:cstheme="minorEastAsia"/>
          <w:bCs/>
          <w:szCs w:val="21"/>
        </w:rPr>
        <w:t>扬州市民卡有限责任公司“我的扬州APP”安全保障产品及服务采购</w:t>
      </w:r>
      <w:r>
        <w:rPr>
          <w:rFonts w:hint="eastAsia" w:asciiTheme="minorEastAsia" w:hAnsiTheme="minorEastAsia" w:cstheme="minorEastAsia"/>
          <w:szCs w:val="21"/>
        </w:rPr>
        <w:t>招标公告</w:t>
      </w:r>
    </w:p>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（招标编号：</w:t>
      </w:r>
      <w:r>
        <w:rPr>
          <w:rFonts w:hint="eastAsia" w:asciiTheme="minorEastAsia" w:hAnsiTheme="minorEastAsia" w:cstheme="minorEastAsia"/>
          <w:lang w:eastAsia="zh-CN"/>
        </w:rPr>
        <w:t>066019531692</w:t>
      </w:r>
      <w:r>
        <w:rPr>
          <w:rFonts w:hint="eastAsia" w:asciiTheme="minorEastAsia" w:hAnsiTheme="minorEastAsia" w:cstheme="minorEastAsia"/>
        </w:rPr>
        <w:t>）</w:t>
      </w:r>
    </w:p>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公告发布时间：2019年</w:t>
      </w:r>
      <w:r>
        <w:rPr>
          <w:rFonts w:hint="eastAsia" w:asciiTheme="minorEastAsia" w:hAnsiTheme="minorEastAsia" w:cstheme="minorEastAsia"/>
          <w:lang w:eastAsia="zh-CN"/>
        </w:rPr>
        <w:t>5月22日</w:t>
      </w:r>
      <w:r>
        <w:rPr>
          <w:rFonts w:hint="eastAsia" w:asciiTheme="minorEastAsia" w:hAnsiTheme="minorEastAsia" w:cstheme="minorEastAsia"/>
        </w:rPr>
        <w:t xml:space="preserve">          项目所在地区：江苏省，扬州市</w:t>
      </w:r>
    </w:p>
    <w:p>
      <w:pPr>
        <w:pStyle w:val="6"/>
        <w:snapToGrid w:val="0"/>
        <w:spacing w:before="0" w:after="0" w:line="360" w:lineRule="auto"/>
        <w:rPr>
          <w:rFonts w:cstheme="minorEastAsia"/>
        </w:rPr>
      </w:pPr>
      <w:bookmarkStart w:id="2" w:name="_Toc2217"/>
      <w:bookmarkStart w:id="3" w:name="_Toc17528"/>
      <w:r>
        <w:rPr>
          <w:rFonts w:hint="eastAsia" w:cstheme="minorEastAsia"/>
        </w:rPr>
        <w:t>一、招标条件</w:t>
      </w:r>
      <w:bookmarkEnd w:id="2"/>
      <w:bookmarkEnd w:id="3"/>
    </w:p>
    <w:p>
      <w:pPr>
        <w:snapToGrid w:val="0"/>
        <w:spacing w:line="360" w:lineRule="auto"/>
        <w:rPr>
          <w:rFonts w:asciiTheme="minorEastAsia" w:hAnsiTheme="minorEastAsia" w:cstheme="minorEastAsia"/>
        </w:rPr>
      </w:pPr>
      <w:r>
        <w:rPr>
          <w:rFonts w:hint="eastAsia" w:asciiTheme="minorEastAsia" w:hAnsiTheme="minorEastAsia" w:cstheme="minorEastAsia"/>
          <w:bCs/>
          <w:szCs w:val="21"/>
        </w:rPr>
        <w:t>扬州市民卡有限责任公司“我的扬州APP”安全保障产品及服务采购</w:t>
      </w:r>
      <w:r>
        <w:rPr>
          <w:rFonts w:hint="eastAsia" w:asciiTheme="minorEastAsia" w:hAnsiTheme="minorEastAsia" w:cstheme="minorEastAsia"/>
        </w:rPr>
        <w:t>已由项目审批/核准/备案机关批准，项目资金来源为自筹，招标人为</w:t>
      </w:r>
      <w:r>
        <w:rPr>
          <w:rFonts w:hint="eastAsia" w:asciiTheme="minorEastAsia" w:hAnsiTheme="minorEastAsia" w:cstheme="minorEastAsia"/>
          <w:bCs/>
          <w:szCs w:val="21"/>
        </w:rPr>
        <w:t>扬州市民卡有限责任公司</w:t>
      </w:r>
      <w:r>
        <w:rPr>
          <w:rFonts w:hint="eastAsia" w:asciiTheme="minorEastAsia" w:hAnsiTheme="minorEastAsia" w:cstheme="minorEastAsia"/>
        </w:rPr>
        <w:t>。本项目已具备招标条件，现招标方式为公开招标。</w:t>
      </w:r>
    </w:p>
    <w:p>
      <w:pPr>
        <w:pStyle w:val="6"/>
        <w:snapToGrid w:val="0"/>
        <w:spacing w:before="0" w:after="0" w:line="360" w:lineRule="auto"/>
        <w:rPr>
          <w:rFonts w:cstheme="minorEastAsia"/>
        </w:rPr>
      </w:pPr>
      <w:bookmarkStart w:id="4" w:name="_Toc19285"/>
      <w:bookmarkStart w:id="5" w:name="_Toc15556"/>
      <w:bookmarkStart w:id="6" w:name="_Toc5504"/>
      <w:r>
        <w:rPr>
          <w:rFonts w:hint="eastAsia" w:cstheme="minorEastAsia"/>
        </w:rPr>
        <w:t>二、项目概况和招标范围</w:t>
      </w:r>
      <w:bookmarkEnd w:id="4"/>
      <w:bookmarkEnd w:id="5"/>
      <w:bookmarkEnd w:id="6"/>
    </w:p>
    <w:p>
      <w:pPr>
        <w:snapToGrid w:val="0"/>
        <w:spacing w:line="360" w:lineRule="auto"/>
        <w:rPr>
          <w:rFonts w:asciiTheme="minorEastAsia" w:hAnsiTheme="minorEastAsia" w:cstheme="minorEastAsia"/>
        </w:rPr>
      </w:pPr>
      <w:r>
        <w:rPr>
          <w:rFonts w:hint="eastAsia" w:asciiTheme="minorEastAsia" w:hAnsiTheme="minorEastAsia" w:cstheme="minorEastAsia"/>
          <w:szCs w:val="21"/>
        </w:rPr>
        <w:t>扬州市民卡有限责任公司为了保障“我的扬州”应用系统的安全，决定采购一批安全产品和服务，分为如下两个包：</w:t>
      </w:r>
    </w:p>
    <w:p>
      <w:pPr>
        <w:snapToGrid w:val="0"/>
        <w:spacing w:line="360" w:lineRule="auto"/>
        <w:rPr>
          <w:rFonts w:asciiTheme="minorEastAsia" w:hAnsiTheme="minorEastAsia" w:cstheme="minorEastAsia"/>
          <w:color w:val="000000"/>
          <w:szCs w:val="21"/>
          <w:highlight w:val="none"/>
        </w:rPr>
      </w:pPr>
      <w:r>
        <w:rPr>
          <w:rFonts w:hint="eastAsia" w:asciiTheme="minorEastAsia" w:hAnsiTheme="minorEastAsia" w:cstheme="minorEastAsia"/>
          <w:szCs w:val="21"/>
        </w:rPr>
        <w:t>包一：</w:t>
      </w:r>
      <w:r>
        <w:rPr>
          <w:rFonts w:hint="eastAsia" w:asciiTheme="minorEastAsia" w:hAnsiTheme="minorEastAsia" w:cstheme="minorEastAsia"/>
          <w:bCs/>
          <w:szCs w:val="21"/>
        </w:rPr>
        <w:t>“我的扬州APP”安全服务，</w:t>
      </w:r>
      <w:r>
        <w:rPr>
          <w:rFonts w:hint="eastAsia" w:asciiTheme="minorEastAsia" w:hAnsiTheme="minorEastAsia" w:cstheme="minorEastAsia"/>
        </w:rPr>
        <w:t>项目编号：</w:t>
      </w:r>
      <w:r>
        <w:rPr>
          <w:rFonts w:hint="eastAsia" w:asciiTheme="minorEastAsia" w:hAnsiTheme="minorEastAsia" w:cstheme="minorEastAsia"/>
          <w:szCs w:val="21"/>
          <w:lang w:eastAsia="zh-CN"/>
        </w:rPr>
        <w:t>066019531692</w:t>
      </w:r>
      <w:r>
        <w:rPr>
          <w:rFonts w:hint="eastAsia" w:asciiTheme="minorEastAsia" w:hAnsiTheme="minorEastAsia" w:cstheme="minorEastAsia"/>
          <w:szCs w:val="21"/>
        </w:rPr>
        <w:t>/1，</w:t>
      </w:r>
      <w:r>
        <w:rPr>
          <w:rFonts w:hint="eastAsia" w:asciiTheme="minorEastAsia" w:hAnsiTheme="minorEastAsia" w:cstheme="minorEastAsia"/>
          <w:color w:val="000000"/>
          <w:szCs w:val="21"/>
        </w:rPr>
        <w:t>以购买服务的方式采购两年的安全服务。投标人在服务期内完成包括安全架构设计、安全管理体系咨询服务、安全开发规范、基</w:t>
      </w:r>
      <w:r>
        <w:rPr>
          <w:rFonts w:hint="eastAsia" w:asciiTheme="minorEastAsia" w:hAnsiTheme="minorEastAsia" w:cstheme="minorEastAsia"/>
          <w:color w:val="000000"/>
          <w:szCs w:val="21"/>
          <w:highlight w:val="none"/>
        </w:rPr>
        <w:t>线评估、策略优化、漏扫及渗透评估、安全运维、新系统上线安全检查、互联网资产发现、安全事件应急处置、重要时期安全保障、安全事件预警通报、应急演练服务、培训服务、全流量风险分析、APP应用加固服务等安全服务项目，接受招标人的考核。</w:t>
      </w:r>
    </w:p>
    <w:p>
      <w:pPr>
        <w:pStyle w:val="2"/>
        <w:snapToGrid w:val="0"/>
        <w:ind w:firstLine="420"/>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招标控制价：分包一招标控制价</w:t>
      </w:r>
      <w:r>
        <w:rPr>
          <w:rFonts w:hint="eastAsia" w:asciiTheme="minorEastAsia" w:hAnsiTheme="minorEastAsia" w:cstheme="minorEastAsia"/>
          <w:kern w:val="0"/>
          <w:sz w:val="21"/>
          <w:szCs w:val="21"/>
          <w:highlight w:val="none"/>
          <w:lang w:val="en-US" w:eastAsia="zh-CN"/>
        </w:rPr>
        <w:t>162</w:t>
      </w:r>
      <w:r>
        <w:rPr>
          <w:rFonts w:hint="eastAsia" w:asciiTheme="minorEastAsia" w:hAnsiTheme="minorEastAsia" w:cstheme="minorEastAsia"/>
          <w:kern w:val="0"/>
          <w:sz w:val="21"/>
          <w:szCs w:val="21"/>
          <w:highlight w:val="none"/>
        </w:rPr>
        <w:t>万元，投标报价超过者按否决投标处理。</w:t>
      </w:r>
    </w:p>
    <w:p>
      <w:pPr>
        <w:pStyle w:val="2"/>
        <w:snapToGrid w:val="0"/>
        <w:spacing w:after="96" w:afterLines="40"/>
        <w:ind w:firstLine="420"/>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服务地点：</w:t>
      </w:r>
      <w:r>
        <w:rPr>
          <w:rFonts w:hint="eastAsia" w:asciiTheme="minorEastAsia" w:hAnsiTheme="minorEastAsia" w:cstheme="minorEastAsia"/>
          <w:kern w:val="0"/>
          <w:sz w:val="21"/>
          <w:szCs w:val="21"/>
          <w:highlight w:val="none"/>
          <w:lang w:val="en-US" w:eastAsia="zh-CN"/>
        </w:rPr>
        <w:t>扬州信息产业园2期15号楼二楼</w:t>
      </w:r>
      <w:r>
        <w:rPr>
          <w:rFonts w:hint="eastAsia" w:asciiTheme="minorEastAsia" w:hAnsiTheme="minorEastAsia" w:cstheme="minorEastAsia"/>
          <w:kern w:val="0"/>
          <w:sz w:val="21"/>
          <w:szCs w:val="21"/>
          <w:highlight w:val="none"/>
        </w:rPr>
        <w:t>。</w:t>
      </w:r>
    </w:p>
    <w:p>
      <w:pPr>
        <w:snapToGrid w:val="0"/>
        <w:spacing w:line="360" w:lineRule="auto"/>
        <w:rPr>
          <w:rFonts w:asciiTheme="minorEastAsia" w:hAnsiTheme="minorEastAsia" w:cstheme="minorEastAsia"/>
          <w:color w:val="000000"/>
          <w:szCs w:val="21"/>
          <w:highlight w:val="none"/>
        </w:rPr>
      </w:pPr>
      <w:r>
        <w:rPr>
          <w:rFonts w:hint="eastAsia" w:asciiTheme="minorEastAsia" w:hAnsiTheme="minorEastAsia" w:cstheme="minorEastAsia"/>
          <w:color w:val="000000"/>
          <w:szCs w:val="21"/>
          <w:highlight w:val="none"/>
        </w:rPr>
        <w:t>包二：</w:t>
      </w:r>
      <w:r>
        <w:rPr>
          <w:rFonts w:hint="eastAsia" w:asciiTheme="minorEastAsia" w:hAnsiTheme="minorEastAsia" w:cstheme="minorEastAsia"/>
          <w:bCs/>
          <w:szCs w:val="21"/>
          <w:highlight w:val="none"/>
        </w:rPr>
        <w:t>“我的扬州APP”安全产品及相关服务，</w:t>
      </w:r>
      <w:r>
        <w:rPr>
          <w:rFonts w:hint="eastAsia" w:asciiTheme="minorEastAsia" w:hAnsiTheme="minorEastAsia" w:cstheme="minorEastAsia"/>
          <w:highlight w:val="none"/>
        </w:rPr>
        <w:t>项目编号：</w:t>
      </w:r>
      <w:r>
        <w:rPr>
          <w:rFonts w:hint="eastAsia" w:asciiTheme="minorEastAsia" w:hAnsiTheme="minorEastAsia" w:cstheme="minorEastAsia"/>
          <w:szCs w:val="21"/>
          <w:highlight w:val="none"/>
          <w:lang w:eastAsia="zh-CN"/>
        </w:rPr>
        <w:t>066019531692</w:t>
      </w:r>
      <w:r>
        <w:rPr>
          <w:rFonts w:hint="eastAsia" w:asciiTheme="minorEastAsia" w:hAnsiTheme="minorEastAsia" w:cstheme="minorEastAsia"/>
          <w:szCs w:val="21"/>
          <w:highlight w:val="none"/>
        </w:rPr>
        <w:t>/2，</w:t>
      </w:r>
      <w:r>
        <w:rPr>
          <w:rFonts w:hint="eastAsia" w:asciiTheme="minorEastAsia" w:hAnsiTheme="minorEastAsia" w:cstheme="minorEastAsia"/>
          <w:color w:val="000000"/>
          <w:szCs w:val="21"/>
          <w:highlight w:val="none"/>
        </w:rPr>
        <w:t>以购买产品的方式进行安全加固，产品需包含三年的维保服务。本次采购的为2台安全数据交换网闸产品和1套虚拟化安全产品。</w:t>
      </w:r>
    </w:p>
    <w:p>
      <w:pPr>
        <w:pStyle w:val="2"/>
        <w:snapToGrid w:val="0"/>
        <w:ind w:firstLine="420"/>
        <w:rPr>
          <w:rFonts w:asciiTheme="minorEastAsia" w:hAnsiTheme="minorEastAsia" w:cstheme="minorEastAsia"/>
          <w:highlight w:val="none"/>
        </w:rPr>
      </w:pPr>
      <w:r>
        <w:rPr>
          <w:rFonts w:hint="eastAsia" w:asciiTheme="minorEastAsia" w:hAnsiTheme="minorEastAsia" w:cstheme="minorEastAsia"/>
          <w:kern w:val="0"/>
          <w:sz w:val="21"/>
          <w:szCs w:val="21"/>
          <w:highlight w:val="none"/>
        </w:rPr>
        <w:t>招标控制价：分包二招标控制价</w:t>
      </w:r>
      <w:r>
        <w:rPr>
          <w:rFonts w:hint="eastAsia" w:asciiTheme="minorEastAsia" w:hAnsiTheme="minorEastAsia" w:cstheme="minorEastAsia"/>
          <w:kern w:val="0"/>
          <w:sz w:val="21"/>
          <w:szCs w:val="21"/>
          <w:highlight w:val="none"/>
          <w:lang w:val="en-US" w:eastAsia="zh-CN"/>
        </w:rPr>
        <w:t>38</w:t>
      </w:r>
      <w:r>
        <w:rPr>
          <w:rFonts w:hint="eastAsia" w:asciiTheme="minorEastAsia" w:hAnsiTheme="minorEastAsia" w:cstheme="minorEastAsia"/>
          <w:kern w:val="0"/>
          <w:sz w:val="21"/>
          <w:szCs w:val="21"/>
          <w:highlight w:val="none"/>
        </w:rPr>
        <w:t>万元，投标报价超过者按否决投标处理。</w:t>
      </w:r>
    </w:p>
    <w:p>
      <w:pPr>
        <w:pStyle w:val="2"/>
        <w:snapToGrid w:val="0"/>
        <w:ind w:firstLine="420"/>
        <w:rPr>
          <w:rFonts w:asciiTheme="minorEastAsia" w:hAnsiTheme="minorEastAsia" w:cstheme="minorEastAsia"/>
          <w:kern w:val="0"/>
          <w:sz w:val="21"/>
          <w:szCs w:val="21"/>
          <w:highlight w:val="none"/>
        </w:rPr>
      </w:pPr>
      <w:r>
        <w:rPr>
          <w:rFonts w:hint="eastAsia" w:asciiTheme="minorEastAsia" w:hAnsiTheme="minorEastAsia" w:cstheme="minorEastAsia"/>
          <w:color w:val="000000"/>
          <w:sz w:val="21"/>
          <w:szCs w:val="21"/>
          <w:highlight w:val="none"/>
        </w:rPr>
        <w:t>交付时间：</w:t>
      </w:r>
      <w:r>
        <w:rPr>
          <w:rFonts w:hint="eastAsia" w:asciiTheme="minorEastAsia" w:hAnsiTheme="minorEastAsia" w:cstheme="minorEastAsia"/>
          <w:kern w:val="0"/>
          <w:sz w:val="21"/>
          <w:szCs w:val="21"/>
          <w:highlight w:val="none"/>
        </w:rPr>
        <w:t>合同签订后15个日历日内货到现场并安装调试结束、验收合格，移交项目文档，交付招标人使用。</w:t>
      </w:r>
    </w:p>
    <w:p>
      <w:pPr>
        <w:pStyle w:val="2"/>
        <w:snapToGrid w:val="0"/>
        <w:spacing w:after="96" w:afterLines="40"/>
        <w:ind w:firstLine="420"/>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rPr>
        <w:t>交付地点：</w:t>
      </w:r>
      <w:r>
        <w:rPr>
          <w:rFonts w:hint="eastAsia" w:asciiTheme="minorEastAsia" w:hAnsiTheme="minorEastAsia" w:cstheme="minorEastAsia"/>
          <w:kern w:val="0"/>
          <w:sz w:val="21"/>
          <w:szCs w:val="21"/>
          <w:highlight w:val="none"/>
          <w:lang w:val="en-US" w:eastAsia="zh-CN"/>
        </w:rPr>
        <w:t>扬州信息产业园2期15号楼二楼</w:t>
      </w:r>
    </w:p>
    <w:p>
      <w:pPr>
        <w:pStyle w:val="2"/>
        <w:snapToGrid w:val="0"/>
        <w:ind w:firstLine="420"/>
        <w:rPr>
          <w:rFonts w:asciiTheme="minorEastAsia" w:hAnsiTheme="minorEastAsia" w:cstheme="minorEastAsia"/>
          <w:highlight w:val="none"/>
        </w:rPr>
      </w:pPr>
      <w:r>
        <w:rPr>
          <w:rFonts w:hint="eastAsia" w:asciiTheme="minorEastAsia" w:hAnsiTheme="minorEastAsia" w:cstheme="minorEastAsia"/>
          <w:color w:val="000000"/>
          <w:sz w:val="21"/>
          <w:szCs w:val="21"/>
          <w:highlight w:val="none"/>
        </w:rPr>
        <w:t>说明：投标人可以对本次招标的全部或部分标包进行投标。</w:t>
      </w:r>
    </w:p>
    <w:p>
      <w:pPr>
        <w:pStyle w:val="6"/>
        <w:numPr>
          <w:ilvl w:val="0"/>
          <w:numId w:val="1"/>
        </w:numPr>
        <w:snapToGrid w:val="0"/>
        <w:spacing w:before="0" w:after="0" w:line="360" w:lineRule="auto"/>
        <w:rPr>
          <w:rFonts w:cstheme="minorEastAsia"/>
          <w:highlight w:val="none"/>
        </w:rPr>
      </w:pPr>
      <w:bookmarkStart w:id="7" w:name="_Toc19598"/>
      <w:bookmarkStart w:id="8" w:name="_Toc19700"/>
      <w:bookmarkStart w:id="9" w:name="_Toc19212"/>
      <w:r>
        <w:rPr>
          <w:rFonts w:hint="eastAsia" w:cstheme="minorEastAsia"/>
          <w:highlight w:val="none"/>
        </w:rPr>
        <w:t>投标人资格要求</w:t>
      </w:r>
      <w:bookmarkEnd w:id="7"/>
      <w:bookmarkEnd w:id="8"/>
      <w:bookmarkEnd w:id="9"/>
      <w:r>
        <w:rPr>
          <w:rFonts w:hint="eastAsia" w:cstheme="minorEastAsia"/>
          <w:highlight w:val="none"/>
        </w:rPr>
        <w:t xml:space="preserve"> </w:t>
      </w:r>
    </w:p>
    <w:p>
      <w:pPr>
        <w:snapToGrid w:val="0"/>
        <w:spacing w:line="360" w:lineRule="auto"/>
        <w:rPr>
          <w:rFonts w:asciiTheme="minorEastAsia" w:hAnsiTheme="minorEastAsia" w:cstheme="minorEastAsia"/>
          <w:highlight w:val="none"/>
          <w:u w:val="none"/>
        </w:rPr>
      </w:pPr>
      <w:r>
        <w:rPr>
          <w:rFonts w:hint="eastAsia" w:asciiTheme="minorEastAsia" w:hAnsiTheme="minorEastAsia" w:cstheme="minorEastAsia"/>
          <w:highlight w:val="none"/>
          <w:u w:val="none"/>
        </w:rPr>
        <w:t>本项目（包含包一、包二）的投标人资格要求：</w:t>
      </w:r>
    </w:p>
    <w:p>
      <w:pPr>
        <w:pStyle w:val="50"/>
        <w:widowControl/>
        <w:adjustRightInd w:val="0"/>
        <w:snapToGrid w:val="0"/>
        <w:spacing w:before="0" w:beforeAutospacing="0" w:after="0" w:afterAutospacing="0" w:line="360" w:lineRule="auto"/>
        <w:ind w:firstLine="420"/>
        <w:jc w:val="both"/>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（一）</w:t>
      </w:r>
      <w:r>
        <w:rPr>
          <w:rFonts w:hint="eastAsia" w:asciiTheme="minorEastAsia" w:hAnsiTheme="minorEastAsia" w:eastAsiaTheme="minorEastAsia" w:cstheme="minorEastAsia"/>
          <w:bCs/>
          <w:sz w:val="21"/>
          <w:szCs w:val="21"/>
          <w:highlight w:val="none"/>
        </w:rPr>
        <w:t>投标人须具有独立订立合同的能力，</w:t>
      </w:r>
      <w:r>
        <w:rPr>
          <w:rFonts w:hint="eastAsia" w:asciiTheme="minorEastAsia" w:hAnsiTheme="minorEastAsia" w:eastAsiaTheme="minorEastAsia" w:cstheme="minorEastAsia"/>
          <w:color w:val="444444"/>
          <w:sz w:val="21"/>
          <w:szCs w:val="21"/>
          <w:highlight w:val="none"/>
          <w:shd w:val="clear" w:color="auto" w:fill="FFFFFF"/>
        </w:rPr>
        <w:t>招标内容在其营业执照的经营范围内</w:t>
      </w:r>
      <w:r>
        <w:rPr>
          <w:rFonts w:hint="eastAsia" w:asciiTheme="minorEastAsia" w:hAnsiTheme="minorEastAsia" w:eastAsiaTheme="minorEastAsia" w:cstheme="minorEastAsia"/>
          <w:bCs/>
          <w:sz w:val="21"/>
          <w:szCs w:val="21"/>
          <w:highlight w:val="none"/>
        </w:rPr>
        <w:t>。（营业执照复印件加盖投标人公章装订于投标文件中）</w:t>
      </w:r>
    </w:p>
    <w:p>
      <w:pPr>
        <w:pStyle w:val="50"/>
        <w:widowControl/>
        <w:adjustRightInd w:val="0"/>
        <w:snapToGrid w:val="0"/>
        <w:spacing w:before="0" w:beforeAutospacing="0" w:after="0" w:afterAutospacing="0" w:line="360" w:lineRule="auto"/>
        <w:ind w:firstLine="420"/>
        <w:jc w:val="both"/>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（二）</w:t>
      </w:r>
      <w:r>
        <w:rPr>
          <w:rFonts w:hint="eastAsia" w:asciiTheme="minorEastAsia" w:hAnsiTheme="minorEastAsia" w:eastAsiaTheme="minorEastAsia" w:cstheme="minorEastAsia"/>
          <w:sz w:val="21"/>
          <w:szCs w:val="21"/>
          <w:highlight w:val="none"/>
        </w:rPr>
        <w:t>具有履行合同的财务能力</w:t>
      </w:r>
      <w:r>
        <w:rPr>
          <w:rFonts w:hint="eastAsia" w:asciiTheme="minorEastAsia" w:hAnsiTheme="minorEastAsia" w:eastAsiaTheme="minorEastAsia" w:cstheme="minorEastAsia"/>
          <w:bCs/>
          <w:sz w:val="21"/>
          <w:szCs w:val="21"/>
          <w:highlight w:val="none"/>
        </w:rPr>
        <w:t>，提供</w:t>
      </w:r>
      <w:r>
        <w:rPr>
          <w:rFonts w:hint="eastAsia" w:asciiTheme="minorEastAsia" w:hAnsiTheme="minorEastAsia" w:eastAsiaTheme="minorEastAsia" w:cstheme="minorEastAsia"/>
          <w:sz w:val="21"/>
          <w:szCs w:val="21"/>
          <w:highlight w:val="none"/>
        </w:rPr>
        <w:t>2018年度财务状况表</w:t>
      </w:r>
      <w:r>
        <w:rPr>
          <w:rFonts w:hint="eastAsia" w:asciiTheme="minorEastAsia" w:hAnsiTheme="minorEastAsia" w:eastAsiaTheme="minorEastAsia" w:cstheme="minorEastAsia"/>
          <w:bCs/>
          <w:sz w:val="21"/>
          <w:szCs w:val="21"/>
          <w:highlight w:val="none"/>
        </w:rPr>
        <w:t>。（复印件加盖投标人公章装订于投标文件中）</w:t>
      </w:r>
    </w:p>
    <w:p>
      <w:pPr>
        <w:pStyle w:val="50"/>
        <w:widowControl/>
        <w:adjustRightInd w:val="0"/>
        <w:snapToGrid w:val="0"/>
        <w:spacing w:before="0" w:beforeAutospacing="0" w:after="0" w:afterAutospacing="0" w:line="360" w:lineRule="auto"/>
        <w:ind w:firstLine="420"/>
        <w:jc w:val="both"/>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（三）提供全国企业信息公示系统查询结果页面截图、“信用中国”网站查询结果页面截图。</w:t>
      </w:r>
      <w:r>
        <w:rPr>
          <w:rFonts w:hint="eastAsia" w:asciiTheme="minorEastAsia" w:hAnsiTheme="minorEastAsia" w:eastAsiaTheme="minorEastAsia" w:cstheme="minorEastAsia"/>
          <w:bCs/>
          <w:sz w:val="21"/>
          <w:szCs w:val="21"/>
          <w:highlight w:val="none"/>
        </w:rPr>
        <w:t>（复印件加盖投标人公章装订于投标文件中）</w:t>
      </w:r>
    </w:p>
    <w:p>
      <w:pPr>
        <w:snapToGrid w:val="0"/>
        <w:spacing w:line="360" w:lineRule="auto"/>
        <w:rPr>
          <w:rFonts w:asciiTheme="minorEastAsia" w:hAnsiTheme="minorEastAsia" w:cstheme="minorEastAsia"/>
          <w:szCs w:val="21"/>
          <w:highlight w:val="none"/>
        </w:rPr>
      </w:pPr>
      <w:bookmarkStart w:id="10" w:name="_Toc503961254"/>
      <w:r>
        <w:rPr>
          <w:rFonts w:hint="eastAsia" w:asciiTheme="minorEastAsia" w:hAnsiTheme="minorEastAsia" w:cstheme="minorEastAsia"/>
          <w:szCs w:val="21"/>
          <w:highlight w:val="none"/>
        </w:rPr>
        <w:t>（四）有下列行为之一的投标人，招标人不接受其参加投标</w:t>
      </w:r>
      <w:r>
        <w:rPr>
          <w:rFonts w:hint="eastAsia" w:asciiTheme="minorEastAsia" w:hAnsiTheme="minorEastAsia" w:cstheme="minorEastAsia"/>
          <w:szCs w:val="21"/>
          <w:highlight w:val="none"/>
          <w:lang w:eastAsia="zh-CN"/>
        </w:rPr>
        <w:t>（承诺书装订于投标文件中，正本中应为原件）</w:t>
      </w:r>
      <w:r>
        <w:rPr>
          <w:rFonts w:hint="eastAsia" w:asciiTheme="minorEastAsia" w:hAnsiTheme="minorEastAsia" w:cstheme="minorEastAsia"/>
          <w:szCs w:val="21"/>
          <w:highlight w:val="none"/>
        </w:rPr>
        <w:t>：</w:t>
      </w:r>
      <w:bookmarkEnd w:id="10"/>
    </w:p>
    <w:p>
      <w:pPr>
        <w:snapToGrid w:val="0"/>
        <w:spacing w:line="360" w:lineRule="auto"/>
        <w:rPr>
          <w:rFonts w:asciiTheme="minorEastAsia" w:hAnsiTheme="minorEastAsia" w:cstheme="minorEastAsia"/>
          <w:szCs w:val="21"/>
          <w:highlight w:val="none"/>
        </w:rPr>
      </w:pPr>
      <w:r>
        <w:rPr>
          <w:rFonts w:hint="eastAsia" w:asciiTheme="minorEastAsia" w:hAnsiTheme="minorEastAsia" w:cstheme="minorEastAsia"/>
          <w:szCs w:val="21"/>
          <w:highlight w:val="none"/>
        </w:rPr>
        <w:t>1.有违反法律、法规行为，依法被取消投标资格且期限未满的；</w:t>
      </w:r>
    </w:p>
    <w:p>
      <w:pPr>
        <w:snapToGrid w:val="0"/>
        <w:spacing w:line="360" w:lineRule="auto"/>
        <w:rPr>
          <w:rFonts w:asciiTheme="minorEastAsia" w:hAnsiTheme="minorEastAsia" w:cstheme="minorEastAsia"/>
          <w:szCs w:val="21"/>
          <w:highlight w:val="none"/>
        </w:rPr>
      </w:pPr>
      <w:r>
        <w:rPr>
          <w:rFonts w:hint="eastAsia" w:asciiTheme="minorEastAsia" w:hAnsiTheme="minorEastAsia" w:cstheme="minorEastAsia"/>
          <w:szCs w:val="21"/>
          <w:highlight w:val="none"/>
        </w:rPr>
        <w:t>2.招投标活动中有违法违规和不良行为，被有关招投标行政监督部门公示且期限未满的；</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szCs w:val="21"/>
          <w:highlight w:val="none"/>
        </w:rPr>
        <w:t>3.2018年1月1日以来存在出让或者出租资格、资质证书供他人投标的，使用通过受让或者租借等方式获取的资格、资质证书投标的行为的。</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（五）一个制造商对同一品牌同一型号的设备，仅能委托一个代理商参加投标。</w:t>
      </w:r>
    </w:p>
    <w:p>
      <w:pPr>
        <w:snapToGrid w:val="0"/>
        <w:spacing w:line="360" w:lineRule="auto"/>
        <w:rPr>
          <w:rFonts w:asciiTheme="minorEastAsia" w:hAnsiTheme="minorEastAsia" w:cstheme="minorEastAsia"/>
          <w:highlight w:val="none"/>
        </w:rPr>
      </w:pPr>
      <w:r>
        <w:rPr>
          <w:rFonts w:hint="eastAsia" w:asciiTheme="minorEastAsia" w:hAnsiTheme="minorEastAsia" w:cstheme="minorEastAsia"/>
          <w:highlight w:val="none"/>
        </w:rPr>
        <w:t>（六）本项目不允许联合体投标。</w:t>
      </w:r>
    </w:p>
    <w:p>
      <w:pPr>
        <w:pStyle w:val="6"/>
        <w:snapToGrid w:val="0"/>
        <w:spacing w:before="0" w:after="0" w:line="360" w:lineRule="auto"/>
        <w:rPr>
          <w:rFonts w:cstheme="minorEastAsia"/>
          <w:highlight w:val="none"/>
        </w:rPr>
      </w:pPr>
      <w:bookmarkStart w:id="11" w:name="_Toc8913"/>
      <w:bookmarkStart w:id="12" w:name="_Toc24742"/>
      <w:bookmarkStart w:id="13" w:name="_Toc17838"/>
      <w:r>
        <w:rPr>
          <w:rFonts w:hint="eastAsia" w:cstheme="minorEastAsia"/>
          <w:highlight w:val="none"/>
        </w:rPr>
        <w:t>四、招标文件的获取</w:t>
      </w:r>
      <w:bookmarkEnd w:id="11"/>
      <w:bookmarkEnd w:id="12"/>
      <w:bookmarkEnd w:id="13"/>
    </w:p>
    <w:p>
      <w:pPr>
        <w:snapToGrid w:val="0"/>
        <w:spacing w:line="360" w:lineRule="auto"/>
        <w:rPr>
          <w:rFonts w:asciiTheme="minorEastAsia" w:hAnsiTheme="minorEastAsia" w:cstheme="minorEastAsia"/>
        </w:rPr>
      </w:pPr>
      <w:r>
        <w:rPr>
          <w:rFonts w:hint="eastAsia" w:asciiTheme="minorEastAsia" w:hAnsiTheme="minorEastAsia" w:cstheme="minorEastAsia"/>
          <w:highlight w:val="none"/>
        </w:rPr>
        <w:t>获取时间：从</w:t>
      </w:r>
      <w:r>
        <w:rPr>
          <w:rFonts w:hint="eastAsia" w:asciiTheme="minorEastAsia" w:hAnsiTheme="minorEastAsia" w:cstheme="minorEastAsia"/>
          <w:szCs w:val="21"/>
          <w:highlight w:val="none"/>
        </w:rPr>
        <w:t>2019年</w:t>
      </w:r>
      <w:r>
        <w:rPr>
          <w:rFonts w:hint="eastAsia" w:asciiTheme="minorEastAsia" w:hAnsiTheme="minorEastAsia" w:cstheme="minorEastAsia"/>
          <w:szCs w:val="21"/>
          <w:highlight w:val="none"/>
          <w:lang w:eastAsia="zh-CN"/>
        </w:rPr>
        <w:t>5月2</w:t>
      </w:r>
      <w:r>
        <w:rPr>
          <w:rFonts w:hint="eastAsia" w:asciiTheme="minorEastAsia" w:hAnsiTheme="minorEastAsia" w:cstheme="minorEastAsia"/>
          <w:szCs w:val="21"/>
          <w:highlight w:val="none"/>
          <w:lang w:val="en-US" w:eastAsia="zh-CN"/>
        </w:rPr>
        <w:t>9</w:t>
      </w:r>
      <w:r>
        <w:rPr>
          <w:rFonts w:hint="eastAsia" w:asciiTheme="minorEastAsia" w:hAnsiTheme="minorEastAsia" w:cstheme="minorEastAsia"/>
          <w:szCs w:val="21"/>
          <w:highlight w:val="none"/>
          <w:lang w:eastAsia="zh-CN"/>
        </w:rPr>
        <w:t>日</w:t>
      </w:r>
      <w:r>
        <w:rPr>
          <w:rFonts w:hint="eastAsia" w:asciiTheme="minorEastAsia" w:hAnsiTheme="minorEastAsia" w:cstheme="minorEastAsia"/>
          <w:szCs w:val="21"/>
          <w:highlight w:val="none"/>
        </w:rPr>
        <w:t>09：00</w:t>
      </w:r>
      <w:r>
        <w:rPr>
          <w:rFonts w:hint="eastAsia" w:asciiTheme="minorEastAsia" w:hAnsiTheme="minorEastAsia" w:cstheme="minorEastAsia"/>
          <w:highlight w:val="none"/>
        </w:rPr>
        <w:t>到</w:t>
      </w:r>
      <w:r>
        <w:rPr>
          <w:rFonts w:hint="eastAsia" w:asciiTheme="minorEastAsia" w:hAnsiTheme="minorEastAsia" w:cstheme="minorEastAsia"/>
          <w:szCs w:val="21"/>
          <w:highlight w:val="none"/>
        </w:rPr>
        <w:t>2019年</w:t>
      </w:r>
      <w:r>
        <w:rPr>
          <w:rFonts w:hint="eastAsia" w:asciiTheme="minorEastAsia" w:hAnsiTheme="minorEastAsia" w:cstheme="minorEastAsia"/>
          <w:szCs w:val="21"/>
          <w:highlight w:val="none"/>
          <w:lang w:val="en-US" w:eastAsia="zh-CN"/>
        </w:rPr>
        <w:t>6</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日17：00</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获取方式： </w:t>
      </w:r>
    </w:p>
    <w:p>
      <w:pPr>
        <w:snapToGrid w:val="0"/>
        <w:spacing w:line="360" w:lineRule="auto"/>
        <w:rPr>
          <w:rFonts w:asciiTheme="minorEastAsia" w:hAnsiTheme="minorEastAsia" w:cstheme="minorEastAsia"/>
        </w:rPr>
      </w:pPr>
      <w:r>
        <w:rPr>
          <w:rFonts w:hint="eastAsia" w:asciiTheme="minorEastAsia" w:hAnsiTheme="minorEastAsia" w:cstheme="minorEastAsia"/>
        </w:rPr>
        <w:t>（一）凡有意参加投标者，请于获取时间内（北京时间，下同），登陆中招联合招标采购平台下载电子招标文件。招标文件按包发售，每包售价400元，售后不退。</w:t>
      </w:r>
    </w:p>
    <w:p>
      <w:pPr>
        <w:snapToGrid w:val="0"/>
        <w:spacing w:line="360" w:lineRule="auto"/>
        <w:rPr>
          <w:rFonts w:asciiTheme="minorEastAsia" w:hAnsiTheme="minorEastAsia" w:cstheme="minorEastAsia"/>
        </w:rPr>
      </w:pPr>
      <w:r>
        <w:rPr>
          <w:rFonts w:hint="eastAsia" w:asciiTheme="minorEastAsia" w:hAnsiTheme="minorEastAsia" w:cstheme="minorEastAsia"/>
        </w:rPr>
        <w:t>（二）平台网址为：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购标申请”，并上传单位介绍信和营业执照副本复印件、本人身份证，否则购买操作无法完成。平台下载费100元/包。</w:t>
      </w:r>
    </w:p>
    <w:p>
      <w:pPr>
        <w:snapToGrid w:val="0"/>
        <w:spacing w:line="360" w:lineRule="auto"/>
        <w:rPr>
          <w:rFonts w:asciiTheme="minorEastAsia" w:hAnsiTheme="minorEastAsia" w:cstheme="minorEastAsia"/>
          <w:b/>
          <w:bCs/>
        </w:rPr>
      </w:pPr>
      <w:r>
        <w:rPr>
          <w:rFonts w:hint="eastAsia" w:asciiTheme="minorEastAsia" w:hAnsiTheme="minorEastAsia" w:cstheme="minorEastAsia"/>
        </w:rPr>
        <w:t>（三） 下载者应充分考虑平台注册、信息检查、资料上传、购标确认、费用支付所需时间，下载者必须在获取时间内完成支付，否则将无法保证获取电子招标文件。</w:t>
      </w:r>
      <w:r>
        <w:rPr>
          <w:rFonts w:hint="eastAsia" w:asciiTheme="minorEastAsia" w:hAnsiTheme="minorEastAsia" w:cstheme="minorEastAsia"/>
          <w:b/>
          <w:bCs/>
        </w:rPr>
        <w:t>未按照本公告要求获得本项目招标文件的，招标代理机构不予接收其投标文件。</w:t>
      </w:r>
    </w:p>
    <w:p>
      <w:pPr>
        <w:snapToGrid w:val="0"/>
        <w:spacing w:line="360" w:lineRule="auto"/>
        <w:rPr>
          <w:rFonts w:asciiTheme="minorEastAsia" w:hAnsiTheme="minorEastAsia" w:cstheme="minorEastAsia"/>
        </w:rPr>
      </w:pPr>
      <w:r>
        <w:rPr>
          <w:rFonts w:hint="eastAsia" w:asciiTheme="minorEastAsia" w:hAnsiTheme="minorEastAsia" w:cstheme="minorEastAsia"/>
        </w:rPr>
        <w:t>（四）下载者选择“需要邮购纸质标书”的，需另加手续费（含邮费）50元，招标代理机构在收到邮购款（含手续费）后3日内寄送。</w:t>
      </w:r>
    </w:p>
    <w:p>
      <w:pPr>
        <w:snapToGrid w:val="0"/>
        <w:spacing w:line="360" w:lineRule="auto"/>
        <w:rPr>
          <w:rFonts w:asciiTheme="minorEastAsia" w:hAnsiTheme="minorEastAsia" w:cstheme="minorEastAsia"/>
        </w:rPr>
      </w:pPr>
      <w:r>
        <w:rPr>
          <w:rFonts w:hint="eastAsia" w:asciiTheme="minorEastAsia" w:hAnsiTheme="minorEastAsia" w:cstheme="minorEastAsia"/>
        </w:rPr>
        <w:t>（五）下载者需要发票的，须通过平台“发票管理”模块进行操作。招标文件费用及邮购款发票由招标代理机构开具；下载者选择开具增值税普通发票的，可在支付后3日内登陆前述模块下载增值税电子普通发票；选择开具增值税专用发票的，可在开标时在开标现场领取；平台下载费发票由中招联合信息股份有限公司自动开具增值税电子普通发票，下载者可在支付后3日内登陆前述模块下载。非因招标代理机构或平台原因，发票一经开具不予退换。</w:t>
      </w:r>
    </w:p>
    <w:p>
      <w:pPr>
        <w:snapToGrid w:val="0"/>
        <w:spacing w:line="360" w:lineRule="auto"/>
        <w:rPr>
          <w:rFonts w:asciiTheme="minorEastAsia" w:hAnsiTheme="minorEastAsia" w:cstheme="minorEastAsia"/>
        </w:rPr>
      </w:pPr>
      <w:r>
        <w:rPr>
          <w:rFonts w:hint="eastAsia" w:asciiTheme="minorEastAsia" w:hAnsiTheme="minorEastAsia" w:cstheme="minorEastAsia"/>
        </w:rPr>
        <w:t>（六）平台网站首页“帮助中心”提供操作手册，下载者可以下载并根据操作手册提示进行注册、登录、购买支付、发票开具领取等操作。平台咨询电话为：400-092-8199，服务时间为工作日上午9时至12时，下午1时30分至5时。平台会通过短信提醒下载者进行注册、支付、下载等操作。</w:t>
      </w:r>
    </w:p>
    <w:p>
      <w:pPr>
        <w:snapToGrid w:val="0"/>
        <w:spacing w:line="360" w:lineRule="auto"/>
        <w:rPr>
          <w:rFonts w:asciiTheme="minorEastAsia" w:hAnsiTheme="minorEastAsia" w:cstheme="minorEastAsia"/>
        </w:rPr>
      </w:pPr>
      <w:r>
        <w:rPr>
          <w:rFonts w:hint="eastAsia" w:asciiTheme="minorEastAsia" w:hAnsiTheme="minorEastAsia" w:cstheme="minorEastAsia"/>
        </w:rPr>
        <w:t>（七）联合体投标（如允许）的，联合体各方应当指定牵头人，并授权其以自身名义在平台办理注册、购买文件、缴纳保证金等手续，其在平台的办理行为，对联合体各方均具有约束力。</w:t>
      </w:r>
    </w:p>
    <w:p>
      <w:pPr>
        <w:pStyle w:val="6"/>
        <w:snapToGrid w:val="0"/>
        <w:spacing w:before="0" w:after="0" w:line="360" w:lineRule="auto"/>
        <w:rPr>
          <w:rFonts w:cstheme="minorEastAsia"/>
        </w:rPr>
      </w:pPr>
      <w:bookmarkStart w:id="14" w:name="_Toc12624"/>
      <w:bookmarkStart w:id="15" w:name="_Toc12495"/>
      <w:bookmarkStart w:id="16" w:name="_Toc1129"/>
      <w:r>
        <w:rPr>
          <w:rFonts w:hint="eastAsia" w:cstheme="minorEastAsia"/>
        </w:rPr>
        <w:t>五、投标文件的递交</w:t>
      </w:r>
      <w:bookmarkEnd w:id="14"/>
      <w:bookmarkEnd w:id="15"/>
      <w:bookmarkEnd w:id="16"/>
    </w:p>
    <w:p>
      <w:pPr>
        <w:snapToGrid w:val="0"/>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rPr>
        <w:t>递交开始时间：</w:t>
      </w:r>
      <w:r>
        <w:rPr>
          <w:rFonts w:hint="eastAsia" w:asciiTheme="minorEastAsia" w:hAnsiTheme="minorEastAsia" w:cstheme="minorEastAsia"/>
          <w:szCs w:val="21"/>
          <w:lang w:eastAsia="zh-CN"/>
        </w:rPr>
        <w:t>2019年6月19日0</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lang w:eastAsia="zh-CN"/>
        </w:rPr>
        <w:t>0</w:t>
      </w:r>
    </w:p>
    <w:p>
      <w:pPr>
        <w:snapToGrid w:val="0"/>
        <w:spacing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rPr>
        <w:t>递交截止时间：</w:t>
      </w:r>
      <w:r>
        <w:rPr>
          <w:rFonts w:hint="eastAsia" w:asciiTheme="minorEastAsia" w:hAnsiTheme="minorEastAsia" w:cstheme="minorEastAsia"/>
          <w:szCs w:val="21"/>
          <w:lang w:eastAsia="zh-CN"/>
        </w:rPr>
        <w:t>2019年6月19日09：00</w:t>
      </w:r>
    </w:p>
    <w:p>
      <w:pPr>
        <w:snapToGrid w:val="0"/>
        <w:spacing w:line="360" w:lineRule="auto"/>
        <w:rPr>
          <w:rFonts w:asciiTheme="minorEastAsia" w:hAnsiTheme="minorEastAsia" w:cstheme="minorEastAsia"/>
        </w:rPr>
      </w:pPr>
      <w:r>
        <w:rPr>
          <w:rFonts w:hint="eastAsia" w:asciiTheme="minorEastAsia" w:hAnsiTheme="minorEastAsia" w:cstheme="minorEastAsia"/>
        </w:rPr>
        <w:t>递交方式：江苏省南京市山西路120号江苏成套大厦22楼2205室纸质文件递交</w:t>
      </w:r>
    </w:p>
    <w:p>
      <w:pPr>
        <w:pStyle w:val="6"/>
        <w:snapToGrid w:val="0"/>
        <w:spacing w:before="0" w:after="0" w:line="360" w:lineRule="auto"/>
        <w:rPr>
          <w:rFonts w:cstheme="minorEastAsia"/>
        </w:rPr>
      </w:pPr>
      <w:bookmarkStart w:id="17" w:name="_Toc11118"/>
      <w:bookmarkStart w:id="18" w:name="_Toc24520"/>
      <w:bookmarkStart w:id="19" w:name="_Toc31495"/>
      <w:r>
        <w:rPr>
          <w:rFonts w:hint="eastAsia" w:cstheme="minorEastAsia"/>
        </w:rPr>
        <w:t>六、开标时间及地点</w:t>
      </w:r>
      <w:bookmarkEnd w:id="17"/>
      <w:bookmarkEnd w:id="18"/>
      <w:bookmarkEnd w:id="19"/>
    </w:p>
    <w:p>
      <w:pPr>
        <w:snapToGrid w:val="0"/>
        <w:spacing w:line="360" w:lineRule="auto"/>
        <w:rPr>
          <w:rFonts w:hint="eastAsia" w:asciiTheme="minorEastAsia" w:hAnsiTheme="minorEastAsia" w:eastAsiaTheme="minorEastAsia" w:cstheme="minorEastAsia"/>
          <w:highlight w:val="none"/>
          <w:u w:val="none"/>
          <w:lang w:eastAsia="zh-CN"/>
        </w:rPr>
      </w:pPr>
      <w:r>
        <w:rPr>
          <w:rFonts w:hint="eastAsia" w:asciiTheme="minorEastAsia" w:hAnsiTheme="minorEastAsia" w:cstheme="minorEastAsia"/>
          <w:highlight w:val="none"/>
          <w:u w:val="none"/>
        </w:rPr>
        <w:t>开标时间：</w:t>
      </w:r>
      <w:r>
        <w:rPr>
          <w:rFonts w:hint="eastAsia" w:asciiTheme="minorEastAsia" w:hAnsiTheme="minorEastAsia" w:cstheme="minorEastAsia"/>
          <w:szCs w:val="21"/>
          <w:highlight w:val="none"/>
          <w:u w:val="none"/>
          <w:lang w:eastAsia="zh-CN"/>
        </w:rPr>
        <w:t>2019年6月19日09：00</w:t>
      </w:r>
    </w:p>
    <w:p>
      <w:pPr>
        <w:snapToGrid w:val="0"/>
        <w:spacing w:line="360" w:lineRule="auto"/>
        <w:rPr>
          <w:rFonts w:asciiTheme="minorEastAsia" w:hAnsiTheme="minorEastAsia" w:cstheme="minorEastAsia"/>
          <w:highlight w:val="none"/>
          <w:u w:val="none"/>
        </w:rPr>
      </w:pPr>
      <w:r>
        <w:rPr>
          <w:rFonts w:hint="eastAsia" w:asciiTheme="minorEastAsia" w:hAnsiTheme="minorEastAsia" w:cstheme="minorEastAsia"/>
          <w:highlight w:val="none"/>
          <w:u w:val="none"/>
        </w:rPr>
        <w:t>开标地点：江苏省南京市山西路120号江苏成套大厦22楼2205室</w:t>
      </w:r>
    </w:p>
    <w:p>
      <w:pPr>
        <w:pStyle w:val="6"/>
        <w:snapToGrid w:val="0"/>
        <w:spacing w:before="0" w:after="0" w:line="360" w:lineRule="auto"/>
        <w:rPr>
          <w:rFonts w:cstheme="minorEastAsia"/>
          <w:highlight w:val="none"/>
          <w:u w:val="none"/>
        </w:rPr>
      </w:pPr>
      <w:bookmarkStart w:id="20" w:name="_Toc32760"/>
      <w:bookmarkStart w:id="21" w:name="_Toc28913"/>
      <w:bookmarkStart w:id="22" w:name="_Toc686"/>
      <w:r>
        <w:rPr>
          <w:rFonts w:hint="eastAsia" w:cstheme="minorEastAsia"/>
          <w:highlight w:val="none"/>
          <w:u w:val="none"/>
        </w:rPr>
        <w:t>七、其他</w:t>
      </w:r>
      <w:bookmarkEnd w:id="20"/>
      <w:bookmarkEnd w:id="21"/>
      <w:bookmarkEnd w:id="22"/>
    </w:p>
    <w:p>
      <w:pPr>
        <w:snapToGrid w:val="0"/>
        <w:spacing w:line="360" w:lineRule="auto"/>
        <w:rPr>
          <w:rFonts w:asciiTheme="minorEastAsia" w:hAnsiTheme="minorEastAsia" w:cstheme="minorEastAsia"/>
          <w:highlight w:val="none"/>
          <w:u w:val="none"/>
        </w:rPr>
      </w:pPr>
      <w:r>
        <w:rPr>
          <w:rFonts w:hint="eastAsia" w:asciiTheme="minorEastAsia" w:hAnsiTheme="minorEastAsia" w:cstheme="minorEastAsia"/>
          <w:highlight w:val="none"/>
          <w:u w:val="none"/>
        </w:rPr>
        <w:t>（一）本项目允许投标人同时中标的最多标段数为2个。</w:t>
      </w:r>
    </w:p>
    <w:p>
      <w:pPr>
        <w:snapToGrid w:val="0"/>
        <w:spacing w:line="360" w:lineRule="auto"/>
        <w:rPr>
          <w:rFonts w:asciiTheme="minorEastAsia" w:hAnsiTheme="minorEastAsia" w:cstheme="minorEastAsia"/>
          <w:highlight w:val="none"/>
          <w:u w:val="none"/>
        </w:rPr>
      </w:pPr>
      <w:r>
        <w:rPr>
          <w:rFonts w:hint="eastAsia" w:asciiTheme="minorEastAsia" w:hAnsiTheme="minorEastAsia" w:cstheme="minorEastAsia"/>
          <w:highlight w:val="none"/>
          <w:u w:val="none"/>
        </w:rPr>
        <w:t>（二）本项目的潜在投标人/投标人须按项目获取招标文件，按标段编制、密封、提交投标文件（含投标保证金），本项目按标段开标、评标。</w:t>
      </w:r>
    </w:p>
    <w:p>
      <w:pPr>
        <w:snapToGrid w:val="0"/>
        <w:spacing w:line="360" w:lineRule="auto"/>
        <w:rPr>
          <w:rFonts w:asciiTheme="minorEastAsia" w:hAnsiTheme="minorEastAsia" w:cstheme="minorEastAsia"/>
          <w:highlight w:val="none"/>
          <w:u w:val="none"/>
        </w:rPr>
      </w:pPr>
      <w:r>
        <w:rPr>
          <w:rFonts w:hint="eastAsia" w:asciiTheme="minorEastAsia" w:hAnsiTheme="minorEastAsia" w:cstheme="minorEastAsia"/>
          <w:highlight w:val="none"/>
          <w:u w:val="none"/>
        </w:rPr>
        <w:t>（三）逾期送达的、未送达指定地点的或者不按照招标文件要求密封的投标文件，招标人将予以拒收。</w:t>
      </w:r>
    </w:p>
    <w:p>
      <w:pPr>
        <w:snapToGrid w:val="0"/>
        <w:spacing w:line="360" w:lineRule="auto"/>
        <w:rPr>
          <w:rFonts w:asciiTheme="minorEastAsia" w:hAnsiTheme="minorEastAsia" w:cstheme="minorEastAsia"/>
          <w:highlight w:val="none"/>
          <w:u w:val="none"/>
        </w:rPr>
      </w:pPr>
      <w:bookmarkStart w:id="23" w:name="_Toc12289"/>
      <w:bookmarkStart w:id="24" w:name="_Toc506205204"/>
      <w:bookmarkStart w:id="25" w:name="_Toc503982942"/>
      <w:r>
        <w:rPr>
          <w:rFonts w:hint="eastAsia" w:asciiTheme="minorEastAsia" w:hAnsiTheme="minorEastAsia" w:cstheme="minorEastAsia"/>
          <w:highlight w:val="none"/>
          <w:u w:val="none"/>
        </w:rPr>
        <w:t>（四）发布公告的媒介</w:t>
      </w:r>
      <w:bookmarkEnd w:id="23"/>
      <w:bookmarkEnd w:id="24"/>
      <w:bookmarkEnd w:id="25"/>
    </w:p>
    <w:p>
      <w:pPr>
        <w:snapToGrid w:val="0"/>
        <w:spacing w:line="360" w:lineRule="auto"/>
        <w:rPr>
          <w:rFonts w:asciiTheme="minorEastAsia" w:hAnsiTheme="minorEastAsia" w:cstheme="minorEastAsia"/>
          <w:highlight w:val="none"/>
          <w:u w:val="none"/>
        </w:rPr>
      </w:pPr>
      <w:r>
        <w:rPr>
          <w:rFonts w:hint="eastAsia" w:asciiTheme="minorEastAsia" w:hAnsiTheme="minorEastAsia" w:cstheme="minorEastAsia"/>
          <w:highlight w:val="none"/>
          <w:u w:val="none"/>
        </w:rPr>
        <w:t>本次招标公告同时在中国招标投标公共服务平台、江苏省招标投标公共服务平台、中招联合招标采购平台上发布。</w:t>
      </w:r>
    </w:p>
    <w:p>
      <w:pPr>
        <w:pStyle w:val="6"/>
        <w:snapToGrid w:val="0"/>
        <w:spacing w:before="0" w:after="0" w:line="360" w:lineRule="auto"/>
        <w:rPr>
          <w:rFonts w:cstheme="minorEastAsia"/>
          <w:highlight w:val="none"/>
          <w:u w:val="none"/>
        </w:rPr>
      </w:pPr>
      <w:bookmarkStart w:id="26" w:name="_Toc11757"/>
      <w:bookmarkStart w:id="27" w:name="_Toc24220"/>
      <w:bookmarkStart w:id="28" w:name="_Toc23914"/>
      <w:r>
        <w:rPr>
          <w:rFonts w:hint="eastAsia" w:cstheme="minorEastAsia"/>
          <w:highlight w:val="none"/>
          <w:u w:val="none"/>
        </w:rPr>
        <w:t>八、监督部门</w:t>
      </w:r>
      <w:bookmarkEnd w:id="26"/>
      <w:bookmarkEnd w:id="27"/>
      <w:bookmarkEnd w:id="28"/>
    </w:p>
    <w:p>
      <w:pPr>
        <w:snapToGrid w:val="0"/>
        <w:spacing w:line="360" w:lineRule="auto"/>
        <w:rPr>
          <w:rFonts w:asciiTheme="minorEastAsia" w:hAnsiTheme="minorEastAsia" w:cstheme="minorEastAsia"/>
          <w:highlight w:val="none"/>
          <w:u w:val="none"/>
        </w:rPr>
      </w:pPr>
      <w:r>
        <w:rPr>
          <w:rFonts w:hint="eastAsia" w:asciiTheme="minorEastAsia" w:hAnsiTheme="minorEastAsia" w:cstheme="minorEastAsia"/>
          <w:highlight w:val="none"/>
          <w:u w:val="none"/>
        </w:rPr>
        <w:t>本招标项目的监督部门为</w:t>
      </w:r>
      <w:r>
        <w:rPr>
          <w:rFonts w:hint="eastAsia" w:asciiTheme="minorEastAsia" w:hAnsiTheme="minorEastAsia" w:cstheme="minorEastAsia"/>
          <w:color w:val="000000"/>
          <w:szCs w:val="21"/>
          <w:highlight w:val="none"/>
          <w:u w:val="none"/>
          <w:shd w:val="clear" w:color="auto" w:fill="FFFFFF"/>
        </w:rPr>
        <w:t>扬州市民卡有限责任公司</w:t>
      </w:r>
      <w:r>
        <w:rPr>
          <w:rFonts w:hint="eastAsia" w:asciiTheme="minorEastAsia" w:hAnsiTheme="minorEastAsia" w:cstheme="minorEastAsia"/>
          <w:highlight w:val="none"/>
          <w:u w:val="none"/>
        </w:rPr>
        <w:t>。</w:t>
      </w:r>
    </w:p>
    <w:p>
      <w:pPr>
        <w:pStyle w:val="6"/>
        <w:snapToGrid w:val="0"/>
        <w:spacing w:before="0" w:after="0" w:line="360" w:lineRule="auto"/>
        <w:rPr>
          <w:rFonts w:cstheme="minorEastAsia"/>
          <w:highlight w:val="none"/>
          <w:u w:val="none"/>
        </w:rPr>
      </w:pPr>
      <w:bookmarkStart w:id="29" w:name="_Toc1410"/>
      <w:bookmarkStart w:id="30" w:name="_Toc32537"/>
      <w:bookmarkStart w:id="31" w:name="_Toc7054"/>
      <w:r>
        <w:rPr>
          <w:rFonts w:hint="eastAsia" w:cstheme="minorEastAsia"/>
          <w:highlight w:val="none"/>
          <w:u w:val="none"/>
        </w:rPr>
        <w:t>九、联系方式</w:t>
      </w:r>
      <w:bookmarkEnd w:id="29"/>
      <w:bookmarkEnd w:id="30"/>
      <w:bookmarkEnd w:id="31"/>
    </w:p>
    <w:p>
      <w:pPr>
        <w:snapToGrid w:val="0"/>
        <w:spacing w:line="360" w:lineRule="auto"/>
        <w:rPr>
          <w:rFonts w:asciiTheme="minorEastAsia" w:hAnsiTheme="minorEastAsia" w:cstheme="minorEastAsia"/>
          <w:highlight w:val="none"/>
          <w:u w:val="none"/>
        </w:rPr>
      </w:pPr>
      <w:r>
        <w:rPr>
          <w:rFonts w:hint="eastAsia" w:asciiTheme="minorEastAsia" w:hAnsiTheme="minorEastAsia" w:cstheme="minorEastAsia"/>
          <w:highlight w:val="none"/>
          <w:u w:val="none"/>
        </w:rPr>
        <w:t>招 标 人：</w:t>
      </w:r>
      <w:r>
        <w:rPr>
          <w:rFonts w:hint="eastAsia" w:asciiTheme="minorEastAsia" w:hAnsiTheme="minorEastAsia" w:cstheme="minorEastAsia"/>
          <w:color w:val="000000"/>
          <w:szCs w:val="21"/>
          <w:highlight w:val="none"/>
          <w:u w:val="none"/>
          <w:shd w:val="clear" w:color="auto" w:fill="FFFFFF"/>
        </w:rPr>
        <w:t>扬州市民卡有限责任公司</w:t>
      </w:r>
      <w:r>
        <w:rPr>
          <w:rFonts w:hint="eastAsia" w:asciiTheme="minorEastAsia" w:hAnsiTheme="minorEastAsia" w:cstheme="minorEastAsia"/>
          <w:highlight w:val="none"/>
          <w:u w:val="none"/>
        </w:rPr>
        <w:t xml:space="preserve">                       </w:t>
      </w:r>
    </w:p>
    <w:p>
      <w:pPr>
        <w:snapToGrid w:val="0"/>
        <w:spacing w:line="360" w:lineRule="auto"/>
        <w:rPr>
          <w:rFonts w:hint="default" w:asciiTheme="minorEastAsia" w:hAnsiTheme="minorEastAsia" w:eastAsiaTheme="minorEastAsia" w:cstheme="minorEastAsia"/>
          <w:szCs w:val="21"/>
          <w:highlight w:val="none"/>
          <w:u w:val="none"/>
          <w:lang w:val="en-US" w:eastAsia="zh-CN"/>
        </w:rPr>
      </w:pPr>
      <w:r>
        <w:rPr>
          <w:rFonts w:hint="eastAsia" w:asciiTheme="minorEastAsia" w:hAnsiTheme="minorEastAsia" w:cstheme="minorEastAsia"/>
          <w:szCs w:val="21"/>
          <w:highlight w:val="none"/>
          <w:u w:val="none"/>
        </w:rPr>
        <w:t>地    址：</w:t>
      </w:r>
      <w:r>
        <w:rPr>
          <w:rFonts w:hint="eastAsia" w:asciiTheme="minorEastAsia" w:hAnsiTheme="minorEastAsia" w:cstheme="minorEastAsia"/>
          <w:szCs w:val="21"/>
          <w:highlight w:val="none"/>
          <w:u w:val="none"/>
          <w:lang w:val="en-US" w:eastAsia="zh-CN"/>
        </w:rPr>
        <w:t>扬州市史可法路58号</w:t>
      </w:r>
    </w:p>
    <w:p>
      <w:pPr>
        <w:snapToGrid w:val="0"/>
        <w:spacing w:line="360" w:lineRule="auto"/>
        <w:rPr>
          <w:rFonts w:asciiTheme="minorEastAsia" w:hAnsiTheme="minorEastAsia" w:cstheme="minorEastAsia"/>
        </w:rPr>
      </w:pPr>
      <w:r>
        <w:rPr>
          <w:rFonts w:hint="eastAsia" w:asciiTheme="minorEastAsia" w:hAnsiTheme="minorEastAsia" w:cstheme="minorEastAsia"/>
        </w:rPr>
        <w:t>联 系 人：</w:t>
      </w:r>
      <w:r>
        <w:rPr>
          <w:rFonts w:hint="eastAsia" w:asciiTheme="minorEastAsia" w:hAnsiTheme="minorEastAsia" w:cstheme="minorEastAsia"/>
          <w:color w:val="000000"/>
          <w:szCs w:val="21"/>
          <w:shd w:val="clear" w:color="auto" w:fill="FFFFFF"/>
        </w:rPr>
        <w:t>赵晨</w:t>
      </w:r>
      <w:r>
        <w:rPr>
          <w:rFonts w:hint="eastAsia" w:asciiTheme="minorEastAsia" w:hAnsiTheme="minorEastAsia" w:cstheme="minorEastAsia"/>
        </w:rPr>
        <w:t xml:space="preserve">                       </w:t>
      </w:r>
    </w:p>
    <w:p>
      <w:pPr>
        <w:snapToGrid w:val="0"/>
        <w:spacing w:line="360" w:lineRule="auto"/>
        <w:rPr>
          <w:rFonts w:asciiTheme="minorEastAsia" w:hAnsiTheme="minorEastAsia" w:cstheme="minorEastAsia"/>
        </w:rPr>
      </w:pPr>
      <w:r>
        <w:rPr>
          <w:rFonts w:hint="eastAsia" w:asciiTheme="minorEastAsia" w:hAnsiTheme="minorEastAsia" w:cstheme="minorEastAsia"/>
        </w:rPr>
        <w:t>电    话：</w:t>
      </w:r>
      <w:r>
        <w:rPr>
          <w:rFonts w:hint="eastAsia" w:asciiTheme="minorEastAsia" w:hAnsiTheme="minorEastAsia" w:cstheme="minorEastAsia"/>
          <w:color w:val="000000"/>
          <w:szCs w:val="21"/>
          <w:shd w:val="clear" w:color="auto" w:fill="FFFFFF"/>
        </w:rPr>
        <w:t>18012139001</w:t>
      </w:r>
      <w:r>
        <w:rPr>
          <w:rFonts w:hint="eastAsia" w:asciiTheme="minorEastAsia" w:hAnsiTheme="minorEastAsia" w:cstheme="minorEastAsia"/>
        </w:rPr>
        <w:t xml:space="preserve">                       </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招标代理机构：江苏省设备成套有限公司</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地    址：江苏省南京市山西路120号江苏成套大厦18楼1806室</w:t>
      </w:r>
    </w:p>
    <w:p>
      <w:pPr>
        <w:snapToGrid w:val="0"/>
        <w:spacing w:line="360" w:lineRule="auto"/>
        <w:rPr>
          <w:rFonts w:asciiTheme="minorEastAsia" w:hAnsiTheme="minorEastAsia" w:cstheme="minorEastAsia"/>
        </w:rPr>
      </w:pPr>
      <w:r>
        <w:rPr>
          <w:rFonts w:hint="eastAsia" w:asciiTheme="minorEastAsia" w:hAnsiTheme="minorEastAsia" w:cstheme="minorEastAsia"/>
          <w:szCs w:val="21"/>
        </w:rPr>
        <w:t xml:space="preserve">联 系 人：程工  </w:t>
      </w:r>
      <w:r>
        <w:rPr>
          <w:rFonts w:hint="eastAsia" w:asciiTheme="minorEastAsia" w:hAnsiTheme="minorEastAsia" w:cstheme="minorEastAsia"/>
        </w:rPr>
        <w:t xml:space="preserve">              </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电    话：025-86632670                </w:t>
      </w:r>
    </w:p>
    <w:p>
      <w:pPr>
        <w:snapToGrid w:val="0"/>
        <w:spacing w:line="360" w:lineRule="auto"/>
        <w:rPr>
          <w:rFonts w:asciiTheme="minorEastAsia" w:hAnsiTheme="minorEastAsia" w:cstheme="minorEastAsia"/>
        </w:rPr>
      </w:pPr>
      <w:r>
        <w:rPr>
          <w:rFonts w:hint="eastAsia" w:asciiTheme="minorEastAsia" w:hAnsiTheme="minorEastAsia" w:cstheme="minorEastAsia"/>
        </w:rPr>
        <w:t>电子邮件：</w:t>
      </w:r>
      <w:r>
        <w:fldChar w:fldCharType="begin"/>
      </w:r>
      <w:r>
        <w:instrText xml:space="preserve"> HYPERLINK "mailto:chengjy@jcec.cn" </w:instrText>
      </w:r>
      <w:r>
        <w:fldChar w:fldCharType="separate"/>
      </w:r>
      <w:r>
        <w:rPr>
          <w:rStyle w:val="27"/>
          <w:rFonts w:hint="eastAsia" w:asciiTheme="minorEastAsia" w:hAnsiTheme="minorEastAsia" w:cstheme="minorEastAsia"/>
          <w:color w:val="auto"/>
          <w:szCs w:val="21"/>
          <w:u w:val="none"/>
        </w:rPr>
        <w:t>chengjy@jcec.cn</w:t>
      </w:r>
      <w:r>
        <w:rPr>
          <w:rStyle w:val="27"/>
          <w:rFonts w:hint="eastAsia" w:asciiTheme="minorEastAsia" w:hAnsiTheme="minorEastAsia" w:cstheme="minorEastAsia"/>
          <w:color w:val="auto"/>
          <w:szCs w:val="21"/>
          <w:u w:val="none"/>
        </w:rPr>
        <w:fldChar w:fldCharType="end"/>
      </w:r>
      <w:r>
        <w:rPr>
          <w:rFonts w:hint="eastAsia" w:asciiTheme="minorEastAsia" w:hAnsiTheme="minorEastAsia" w:cstheme="minorEastAsia"/>
        </w:rPr>
        <w:t xml:space="preserve">   </w:t>
      </w:r>
    </w:p>
    <w:p>
      <w:pPr>
        <w:snapToGrid w:val="0"/>
        <w:spacing w:line="360" w:lineRule="auto"/>
        <w:ind w:firstLine="0" w:firstLineChars="0"/>
        <w:jc w:val="right"/>
        <w:rPr>
          <w:rFonts w:asciiTheme="minorEastAsia" w:hAnsiTheme="minorEastAsia" w:cstheme="minorEastAsia"/>
        </w:rPr>
      </w:pPr>
      <w:bookmarkStart w:id="32" w:name="_bookmark17"/>
      <w:bookmarkEnd w:id="32"/>
      <w:r>
        <w:rPr>
          <w:rFonts w:hint="eastAsia" w:asciiTheme="minorEastAsia" w:hAnsiTheme="minorEastAsia" w:cstheme="minorEastAsia"/>
        </w:rPr>
        <w:t xml:space="preserve"> </w:t>
      </w:r>
      <w:r>
        <w:rPr>
          <w:rFonts w:hint="eastAsia" w:asciiTheme="minorEastAsia" w:hAnsiTheme="minorEastAsia" w:cstheme="minorEastAsia"/>
        </w:rPr>
        <w:tab/>
      </w:r>
    </w:p>
    <w:p>
      <w:pPr>
        <w:snapToGrid w:val="0"/>
        <w:spacing w:line="360" w:lineRule="auto"/>
        <w:ind w:firstLine="0" w:firstLineChars="0"/>
        <w:jc w:val="right"/>
        <w:rPr>
          <w:rFonts w:asciiTheme="minorEastAsia" w:hAnsiTheme="minorEastAsia" w:cstheme="minorEastAsia"/>
          <w:szCs w:val="21"/>
        </w:rPr>
      </w:pPr>
      <w:r>
        <w:rPr>
          <w:rFonts w:hint="eastAsia" w:asciiTheme="minorEastAsia" w:hAnsiTheme="minorEastAsia" w:cstheme="minorEastAsia"/>
          <w:szCs w:val="21"/>
        </w:rPr>
        <w:t>江苏省设备成套有限公司</w:t>
      </w:r>
    </w:p>
    <w:p>
      <w:pPr>
        <w:snapToGrid w:val="0"/>
        <w:spacing w:line="360" w:lineRule="auto"/>
        <w:ind w:firstLine="0" w:firstLineChars="0"/>
        <w:jc w:val="center"/>
        <w:rPr>
          <w:rFonts w:hint="eastAsia" w:asciiTheme="minorEastAsia" w:hAnsiTheme="minorEastAsia" w:eastAsiaTheme="minorEastAsia" w:cstheme="minorEastAsia"/>
          <w:lang w:eastAsia="zh-CN"/>
        </w:rPr>
      </w:pPr>
      <w:r>
        <w:rPr>
          <w:rFonts w:hint="eastAsia" w:asciiTheme="minorEastAsia" w:hAnsiTheme="minorEastAsia" w:cstheme="minorEastAsia"/>
          <w:szCs w:val="21"/>
        </w:rPr>
        <w:t xml:space="preserve">                                                                </w:t>
      </w:r>
      <w:r>
        <w:rPr>
          <w:rFonts w:hint="eastAsia" w:asciiTheme="minorEastAsia" w:hAnsiTheme="minorEastAsia" w:cstheme="minorEastAsia"/>
        </w:rPr>
        <w:t>2019年</w:t>
      </w:r>
      <w:r>
        <w:rPr>
          <w:rFonts w:hint="eastAsia" w:asciiTheme="minorEastAsia" w:hAnsiTheme="minorEastAsia" w:cstheme="minorEastAsia"/>
          <w:lang w:eastAsia="zh-CN"/>
        </w:rPr>
        <w:t>5月2</w:t>
      </w:r>
      <w:r>
        <w:rPr>
          <w:rFonts w:hint="eastAsia" w:asciiTheme="minorEastAsia" w:hAnsiTheme="minorEastAsia" w:cstheme="minorEastAsia"/>
          <w:lang w:val="en-US" w:eastAsia="zh-CN"/>
        </w:rPr>
        <w:t>9</w:t>
      </w:r>
      <w:r>
        <w:rPr>
          <w:rFonts w:hint="eastAsia" w:asciiTheme="minorEastAsia" w:hAnsiTheme="minorEastAsia" w:cstheme="minorEastAsia"/>
          <w:lang w:eastAsia="zh-CN"/>
        </w:rPr>
        <w:t>日</w:t>
      </w:r>
    </w:p>
    <w:p>
      <w:pPr>
        <w:snapToGrid w:val="0"/>
        <w:spacing w:line="360" w:lineRule="auto"/>
        <w:ind w:firstLine="0" w:firstLineChars="0"/>
        <w:rPr>
          <w:rFonts w:asciiTheme="minorEastAsia" w:hAnsiTheme="minorEastAsia" w:cstheme="minorEastAsia"/>
        </w:rPr>
        <w:sectPr>
          <w:pgSz w:w="12240" w:h="15840"/>
          <w:pgMar w:top="1400" w:right="1640" w:bottom="1120" w:left="1700" w:header="0" w:footer="861" w:gutter="0"/>
          <w:cols w:space="720" w:num="1"/>
        </w:sectPr>
      </w:pPr>
    </w:p>
    <w:bookmarkEnd w:id="1"/>
    <w:p>
      <w:pPr>
        <w:pStyle w:val="4"/>
        <w:snapToGrid w:val="0"/>
        <w:spacing w:before="0" w:after="0" w:line="360" w:lineRule="auto"/>
        <w:rPr>
          <w:rFonts w:asciiTheme="minorEastAsia" w:hAnsiTheme="minorEastAsia" w:eastAsiaTheme="minorEastAsia" w:cstheme="minorEastAsia"/>
        </w:rPr>
      </w:pPr>
      <w:bookmarkStart w:id="33" w:name="_Toc19397"/>
      <w:r>
        <w:rPr>
          <w:rFonts w:hint="eastAsia" w:asciiTheme="minorEastAsia" w:hAnsiTheme="minorEastAsia" w:eastAsiaTheme="minorEastAsia" w:cstheme="minorEastAsia"/>
        </w:rPr>
        <w:t>第二章 投标人须知</w:t>
      </w:r>
      <w:bookmarkEnd w:id="33"/>
    </w:p>
    <w:p>
      <w:pPr>
        <w:pStyle w:val="5"/>
        <w:snapToGrid w:val="0"/>
        <w:spacing w:before="0" w:after="0" w:line="360" w:lineRule="auto"/>
        <w:rPr>
          <w:rFonts w:asciiTheme="minorEastAsia" w:hAnsiTheme="minorEastAsia" w:eastAsiaTheme="minorEastAsia" w:cstheme="minorEastAsia"/>
        </w:rPr>
      </w:pPr>
      <w:bookmarkStart w:id="34" w:name="_Toc14887"/>
      <w:r>
        <w:rPr>
          <w:rFonts w:hint="eastAsia" w:asciiTheme="minorEastAsia" w:hAnsiTheme="minorEastAsia" w:eastAsiaTheme="minorEastAsia" w:cstheme="minorEastAsia"/>
        </w:rPr>
        <w:t>投标人须知前附表</w:t>
      </w:r>
      <w:bookmarkEnd w:id="34"/>
    </w:p>
    <w:p>
      <w:pPr>
        <w:snapToGrid w:val="0"/>
        <w:spacing w:line="360" w:lineRule="auto"/>
        <w:rPr>
          <w:rFonts w:asciiTheme="minorEastAsia" w:hAnsiTheme="minorEastAsia" w:cstheme="minorEastAsia"/>
        </w:rPr>
      </w:pPr>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959"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843"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条款名称</w:t>
            </w:r>
          </w:p>
        </w:tc>
        <w:tc>
          <w:tcPr>
            <w:tcW w:w="5726"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招标人</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名称：详见第一章第九条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地址：详见第一章第九条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联系人：详见第一章第九条 </w:t>
            </w:r>
            <w:r>
              <w:rPr>
                <w:rFonts w:hint="eastAsia" w:asciiTheme="minorEastAsia" w:hAnsiTheme="minorEastAsia" w:cstheme="minorEastAsia"/>
                <w:color w:val="FF0000"/>
              </w:rPr>
              <w:t xml:space="preserve">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电话：详见第一章第九条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招标代理机构</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名称：详见第一章第九条  </w:t>
            </w:r>
          </w:p>
          <w:p>
            <w:pPr>
              <w:snapToGrid w:val="0"/>
              <w:ind w:firstLine="0" w:firstLineChars="0"/>
              <w:rPr>
                <w:rFonts w:asciiTheme="minorEastAsia" w:hAnsiTheme="minorEastAsia" w:cstheme="minorEastAsia"/>
                <w:color w:val="FF0000"/>
              </w:rPr>
            </w:pPr>
            <w:r>
              <w:rPr>
                <w:rFonts w:hint="eastAsia" w:asciiTheme="minorEastAsia" w:hAnsiTheme="minorEastAsia" w:cstheme="minorEastAsia"/>
              </w:rPr>
              <w:t xml:space="preserve">地址：详见第一章第九条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联系人：详见第一章第九条  </w:t>
            </w:r>
          </w:p>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电话：详见第一章第九条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1.1.4</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招标项目名称</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1.1.5</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工程项目名称</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资金来源及比例</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1.2.2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资金落实情况</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招标范围</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交货期</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交货期：详见第一章第七条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交货地点</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1.3.4</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技术性能指标</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详见第五章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1.4.1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投标人资质条件、能力、信誉</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1.4.2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是否接受联合体投标</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1.4.3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投标人不得存在的其他情形</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1.9.1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投标预备会</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不召开</w:t>
            </w:r>
          </w:p>
          <w:p>
            <w:pPr>
              <w:snapToGrid w:val="0"/>
              <w:ind w:firstLine="0" w:firstLineChars="0"/>
              <w:rPr>
                <w:rFonts w:asciiTheme="minorEastAsia" w:hAnsiTheme="minorEastAsia" w:cstheme="minorEastAsia"/>
              </w:rPr>
            </w:pPr>
            <w:r>
              <w:rPr>
                <w:rFonts w:hint="eastAsia" w:asciiTheme="minorEastAsia" w:hAnsiTheme="minorEastAsia" w:cstheme="minorEastAsia"/>
              </w:rPr>
              <w:t>□召开，召开时间：</w:t>
            </w:r>
          </w:p>
          <w:p>
            <w:pPr>
              <w:snapToGrid w:val="0"/>
              <w:ind w:firstLine="0" w:firstLineChars="0"/>
              <w:rPr>
                <w:rFonts w:asciiTheme="minorEastAsia" w:hAnsiTheme="minorEastAsia" w:cstheme="minorEastAsia"/>
              </w:rPr>
            </w:pPr>
            <w:r>
              <w:rPr>
                <w:rFonts w:hint="eastAsia" w:asciiTheme="minorEastAsia" w:hAnsiTheme="minorEastAsia" w:cstheme="minorEastAsia"/>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1.9.2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投标人在投标预备会前提出问题</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w:t>
            </w:r>
          </w:p>
          <w:p>
            <w:pPr>
              <w:snapToGrid w:val="0"/>
              <w:ind w:firstLine="0" w:firstLineChars="0"/>
              <w:rPr>
                <w:rFonts w:asciiTheme="minorEastAsia" w:hAnsiTheme="minorEastAsia" w:cstheme="minorEastAsia"/>
              </w:rPr>
            </w:pPr>
            <w:r>
              <w:rPr>
                <w:rFonts w:hint="eastAsia" w:asciiTheme="minorEastAsia" w:hAnsiTheme="minorEastAsia" w:cstheme="minorEastAsia"/>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1.9.3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招标文件澄清发出的形式</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1.10.1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分包</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不允许</w:t>
            </w:r>
          </w:p>
          <w:p>
            <w:pPr>
              <w:snapToGrid w:val="0"/>
              <w:ind w:firstLine="0" w:firstLineChars="0"/>
              <w:rPr>
                <w:rFonts w:asciiTheme="minorEastAsia" w:hAnsiTheme="minorEastAsia" w:cstheme="minorEastAsia"/>
              </w:rPr>
            </w:pPr>
            <w:r>
              <w:rPr>
                <w:rFonts w:hint="eastAsia" w:asciiTheme="minorEastAsia" w:hAnsiTheme="minorEastAsia" w:cstheme="minorEastAsia"/>
              </w:rPr>
              <w:t>□允许，分包内容要求：</w:t>
            </w:r>
          </w:p>
          <w:p>
            <w:pPr>
              <w:snapToGrid w:val="0"/>
              <w:ind w:firstLine="0" w:firstLineChars="0"/>
              <w:rPr>
                <w:rFonts w:asciiTheme="minorEastAsia" w:hAnsiTheme="minorEastAsia" w:cstheme="minorEastAsia"/>
              </w:rPr>
            </w:pPr>
            <w:r>
              <w:rPr>
                <w:rFonts w:hint="eastAsia" w:asciiTheme="minorEastAsia" w:hAnsiTheme="minorEastAsia" w:cstheme="minorEastAsia"/>
              </w:rPr>
              <w:t>分包金额要求：</w:t>
            </w:r>
          </w:p>
          <w:p>
            <w:pPr>
              <w:snapToGrid w:val="0"/>
              <w:ind w:firstLine="0" w:firstLineChars="0"/>
              <w:rPr>
                <w:rFonts w:asciiTheme="minorEastAsia" w:hAnsiTheme="minorEastAsia" w:cstheme="minorEastAsia"/>
              </w:rPr>
            </w:pPr>
            <w:r>
              <w:rPr>
                <w:rFonts w:hint="eastAsia" w:asciiTheme="minorEastAsia" w:hAnsiTheme="minorEastAsia" w:cstheme="minorEastAsia"/>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1.11.1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实质性要求和条件</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招标文件中标识“</w:t>
            </w:r>
            <w:r>
              <w:rPr>
                <w:rFonts w:hint="eastAsia" w:asciiTheme="minorEastAsia" w:hAnsiTheme="minorEastAsia" w:cstheme="minorEastAsia"/>
                <w:szCs w:val="21"/>
              </w:rPr>
              <w:t>★</w:t>
            </w:r>
            <w:r>
              <w:rPr>
                <w:rFonts w:hint="eastAsia" w:asciiTheme="minorEastAsia" w:hAnsiTheme="minorEastAsia" w:cstheme="minorEastAsia"/>
              </w:rPr>
              <w:t>”的条款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1.11.3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其他可以被接受的技术支持资料</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1.11.4</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偏差</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color w:val="333333"/>
                <w:sz w:val="24"/>
                <w:szCs w:val="24"/>
                <w:shd w:val="clear" w:color="auto" w:fill="FFFFFF"/>
              </w:rPr>
              <w:t>☑</w:t>
            </w:r>
            <w:r>
              <w:rPr>
                <w:rFonts w:hint="eastAsia" w:asciiTheme="minorEastAsia" w:hAnsiTheme="minorEastAsia" w:cstheme="minorEastAsia"/>
              </w:rPr>
              <w:t>不允许</w:t>
            </w:r>
          </w:p>
          <w:p>
            <w:pPr>
              <w:snapToGrid w:val="0"/>
              <w:ind w:firstLine="0" w:firstLineChars="0"/>
              <w:rPr>
                <w:rFonts w:asciiTheme="minorEastAsia" w:hAnsiTheme="minorEastAsia" w:cstheme="minorEastAsia"/>
              </w:rPr>
            </w:pPr>
            <w:r>
              <w:rPr>
                <w:rFonts w:hint="eastAsia" w:asciiTheme="minorEastAsia" w:hAnsiTheme="minorEastAsia" w:cstheme="minorEastAsia"/>
              </w:rPr>
              <w:t>□允许，偏差范围：无限制</w:t>
            </w:r>
          </w:p>
          <w:p>
            <w:pPr>
              <w:snapToGrid w:val="0"/>
              <w:ind w:firstLine="0" w:firstLineChars="0"/>
              <w:rPr>
                <w:rFonts w:asciiTheme="minorEastAsia" w:hAnsiTheme="minorEastAsia" w:cstheme="minorEastAsia"/>
              </w:rPr>
            </w:pPr>
            <w:r>
              <w:rPr>
                <w:rFonts w:hint="eastAsia" w:asciiTheme="minorEastAsia" w:hAnsiTheme="minorEastAsia" w:cstheme="minorEastAsia"/>
              </w:rPr>
              <w:t>最高项数：无限制</w:t>
            </w:r>
          </w:p>
          <w:p>
            <w:pPr>
              <w:snapToGrid w:val="0"/>
              <w:ind w:firstLine="0" w:firstLineChars="0"/>
              <w:rPr>
                <w:rFonts w:asciiTheme="minorEastAsia" w:hAnsiTheme="minorEastAsia" w:cstheme="minorEastAsia"/>
              </w:rPr>
            </w:pPr>
            <w:r>
              <w:rPr>
                <w:rFonts w:hint="eastAsia" w:asciiTheme="minorEastAsia" w:hAnsiTheme="minorEastAsia" w:cstheme="minorEastAsia"/>
                <w:b/>
                <w:bCs/>
              </w:rPr>
              <w:t>实质性要求和条件不允许偏差，非实质性要求和条件允许偏差，对非实质性要求和条件的偏差范围、最高项数无规定。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构成招标文件的其他资料</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投标人要求澄清招标文件</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时间：投标截止时间前17日</w:t>
            </w:r>
          </w:p>
          <w:p>
            <w:pPr>
              <w:snapToGrid w:val="0"/>
              <w:ind w:firstLine="0" w:firstLineChars="0"/>
              <w:rPr>
                <w:rFonts w:asciiTheme="minorEastAsia" w:hAnsiTheme="minorEastAsia" w:cstheme="minorEastAsia"/>
              </w:rPr>
            </w:pPr>
            <w:r>
              <w:rPr>
                <w:rFonts w:hint="eastAsia" w:asciiTheme="minorEastAsia" w:hAnsiTheme="minorEastAsia" w:cstheme="minorEastAsia"/>
              </w:rPr>
              <w:t>形式：传真、电子邮件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招标文件澄清发出的形式</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通过中招联合招标采购平台发出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2.2.3</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投标人确认收到招标文件澄清</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时间：收到后1日</w:t>
            </w:r>
          </w:p>
          <w:p>
            <w:pPr>
              <w:snapToGrid w:val="0"/>
              <w:ind w:firstLine="0" w:firstLineChars="0"/>
              <w:rPr>
                <w:rFonts w:asciiTheme="minorEastAsia" w:hAnsiTheme="minorEastAsia" w:cstheme="minorEastAsia"/>
              </w:rPr>
            </w:pPr>
            <w:r>
              <w:rPr>
                <w:rFonts w:hint="eastAsia" w:asciiTheme="minorEastAsia" w:hAnsiTheme="minorEastAsia" w:cstheme="minorEastAsia"/>
              </w:rPr>
              <w:t>形式：传真、电子邮件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2.3.1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招标文件修改发出的形式</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通过中招联合招标采购平台发出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2.3.2</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投标人确认收到招标文件修改</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时间：收到后1日</w:t>
            </w:r>
          </w:p>
          <w:p>
            <w:pPr>
              <w:snapToGrid w:val="0"/>
              <w:ind w:firstLine="0" w:firstLineChars="0"/>
              <w:rPr>
                <w:rFonts w:asciiTheme="minorEastAsia" w:hAnsiTheme="minorEastAsia" w:cstheme="minorEastAsia"/>
              </w:rPr>
            </w:pPr>
            <w:r>
              <w:rPr>
                <w:rFonts w:hint="eastAsia" w:asciiTheme="minorEastAsia" w:hAnsiTheme="minorEastAsia" w:cstheme="minorEastAsia"/>
              </w:rPr>
              <w:t>形式：传真、电子邮件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3.1.1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构成投标文件的其他资料</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3.2.1</w:t>
            </w:r>
          </w:p>
        </w:tc>
        <w:tc>
          <w:tcPr>
            <w:tcW w:w="18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增值税税金的计算方法</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按国家法律及相关规定计算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3.2.4</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最高投标限价</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□无</w:t>
            </w:r>
          </w:p>
          <w:p>
            <w:pPr>
              <w:snapToGrid w:val="0"/>
              <w:ind w:firstLine="0" w:firstLineChars="0"/>
              <w:rPr>
                <w:rFonts w:hint="eastAsia" w:asciiTheme="minorEastAsia" w:hAnsiTheme="minorEastAsia" w:eastAsiaTheme="minorEastAsia" w:cstheme="minorEastAsia"/>
                <w:highlight w:val="none"/>
                <w:lang w:eastAsia="zh-CN"/>
              </w:rPr>
            </w:pPr>
            <w:r>
              <w:rPr>
                <w:rFonts w:hint="eastAsia" w:asciiTheme="minorEastAsia" w:hAnsiTheme="minorEastAsia" w:cstheme="minorEastAsia"/>
                <w:color w:val="333333"/>
                <w:sz w:val="24"/>
                <w:szCs w:val="24"/>
                <w:highlight w:val="none"/>
                <w:shd w:val="clear" w:color="auto" w:fill="FFFFFF"/>
              </w:rPr>
              <w:t>☑</w:t>
            </w:r>
            <w:r>
              <w:rPr>
                <w:rFonts w:hint="eastAsia" w:asciiTheme="minorEastAsia" w:hAnsiTheme="minorEastAsia" w:cstheme="minorEastAsia"/>
                <w:highlight w:val="none"/>
              </w:rPr>
              <w:t>有，最高投标限价：</w:t>
            </w:r>
            <w:r>
              <w:rPr>
                <w:rFonts w:hint="eastAsia" w:asciiTheme="minorEastAsia" w:hAnsiTheme="minorEastAsia" w:cstheme="minorEastAsia"/>
                <w:highlight w:val="none"/>
                <w:lang w:eastAsia="zh-CN"/>
              </w:rPr>
              <w:t>分包一：</w:t>
            </w:r>
            <w:r>
              <w:rPr>
                <w:rFonts w:hint="eastAsia" w:asciiTheme="minorEastAsia" w:hAnsiTheme="minorEastAsia" w:cstheme="minorEastAsia"/>
                <w:kern w:val="0"/>
                <w:sz w:val="21"/>
                <w:szCs w:val="21"/>
                <w:highlight w:val="none"/>
                <w:lang w:val="en-US" w:eastAsia="zh-CN"/>
              </w:rPr>
              <w:t>162</w:t>
            </w:r>
            <w:r>
              <w:rPr>
                <w:rFonts w:hint="eastAsia" w:asciiTheme="minorEastAsia" w:hAnsiTheme="minorEastAsia" w:cstheme="minorEastAsia"/>
                <w:kern w:val="0"/>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3.2.5</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投标报价的其他要求</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3.3.1</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投标有效期</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3.4.1</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投标保证金</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是否要求投标人递交投标保证金：</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color w:val="333333"/>
                <w:sz w:val="24"/>
                <w:szCs w:val="24"/>
                <w:highlight w:val="none"/>
                <w:shd w:val="clear" w:color="auto" w:fill="FFFFFF"/>
              </w:rPr>
              <w:t>☑</w:t>
            </w:r>
            <w:r>
              <w:rPr>
                <w:rFonts w:hint="eastAsia" w:asciiTheme="minorEastAsia" w:hAnsiTheme="minorEastAsia" w:cstheme="minorEastAsia"/>
                <w:highlight w:val="none"/>
              </w:rPr>
              <w:t>要求，投标保证金的形式：电汇</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投标保证金的金额：分包一：</w:t>
            </w:r>
            <w:r>
              <w:rPr>
                <w:rFonts w:hint="eastAsia" w:asciiTheme="minorEastAsia" w:hAnsiTheme="minorEastAsia" w:cstheme="minorEastAsia"/>
                <w:highlight w:val="none"/>
                <w:lang w:val="en-US" w:eastAsia="zh-CN"/>
              </w:rPr>
              <w:t>3</w:t>
            </w:r>
            <w:r>
              <w:rPr>
                <w:rFonts w:hint="eastAsia" w:asciiTheme="minorEastAsia" w:hAnsiTheme="minorEastAsia" w:cstheme="minorEastAsia"/>
                <w:highlight w:val="none"/>
              </w:rPr>
              <w:t>万元。</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投标保证金收款账户名称、收款开户行、收款账号：下载招标文件后，进入中招联合招标采购平台“缴纳保证金”模块，填写相关信息后自动生成“投标保证金”账户信息（该账号为虚拟账号，只针对本投标人本项目有效，对于其他投标人、其他项目均无效），招标代理机构委托中招联合信息股份有限公司和平安银行股份有限公司北京分行办理投标保证金收、退、转及对账、结算等相关业务。</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3.4.4</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其他可以不予退还投标保证金的情形</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无其他情形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3.5</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资格审查资料的特殊要求</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□无</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color w:val="333333"/>
                <w:sz w:val="24"/>
                <w:szCs w:val="24"/>
                <w:highlight w:val="none"/>
                <w:shd w:val="clear" w:color="auto" w:fill="FFFFFF"/>
              </w:rPr>
              <w:t>☑</w:t>
            </w:r>
            <w:r>
              <w:rPr>
                <w:rFonts w:hint="eastAsia" w:asciiTheme="minorEastAsia" w:hAnsiTheme="minorEastAsia" w:cstheme="minorEastAsia"/>
                <w:highlight w:val="none"/>
              </w:rPr>
              <w:t>有，具体要求：详见第一章第三条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3.5.2</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近年财务状况的年份要求</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3.5.3</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近年完成的类似项目情况的时间要求</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3.5.5</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近年发生的诉讼及仲裁情况的时间要求</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3.6.1</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是否允许递交备选投标方案</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color w:val="333333"/>
                <w:sz w:val="24"/>
                <w:szCs w:val="24"/>
                <w:highlight w:val="none"/>
                <w:shd w:val="clear" w:color="auto" w:fill="FFFFFF"/>
              </w:rPr>
              <w:t>☑</w:t>
            </w:r>
            <w:r>
              <w:rPr>
                <w:rFonts w:hint="eastAsia" w:asciiTheme="minorEastAsia" w:hAnsiTheme="minorEastAsia" w:cstheme="minorEastAsia"/>
                <w:highlight w:val="none"/>
              </w:rPr>
              <w:t>不允许</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3.7.3A（2）</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投标文件副本份数及其他要求</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投标文件副本份数：四份</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是否要求提交电子版文件：是</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其他要求：电子版文件一般应为PDF格式、U盘形式、随纸质正本文件一并提交。电子版文件用于辅助评标和平台存档，投标人需承担电子版文件和纸质正本文件不一致造成的不利后果。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3.7.3A（3）</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投标文件是否需分册装订</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sym w:font="Wingdings 2" w:char="00A3"/>
            </w:r>
            <w:r>
              <w:rPr>
                <w:rFonts w:hint="eastAsia" w:asciiTheme="minorEastAsia" w:hAnsiTheme="minorEastAsia" w:cstheme="minorEastAsia"/>
                <w:highlight w:val="none"/>
              </w:rPr>
              <w:t>不需要</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color w:val="333333"/>
                <w:sz w:val="24"/>
                <w:szCs w:val="24"/>
                <w:highlight w:val="none"/>
                <w:shd w:val="clear" w:color="auto" w:fill="FFFFFF"/>
              </w:rPr>
              <w:t>☑</w:t>
            </w:r>
            <w:r>
              <w:rPr>
                <w:rFonts w:hint="eastAsia" w:asciiTheme="minorEastAsia" w:hAnsiTheme="minorEastAsia" w:cstheme="minorEastAsia"/>
                <w:highlight w:val="none"/>
              </w:rPr>
              <w:t>需要，分册装订要求：如投标人同时投两个分包，则须按包制作投标文件并分别装订成册。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4.1.2</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封套上应载明的信息</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招标代理机构名称：</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招标代理机构地址：</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（项目名称）（设备名称）采购招标项目投标文件</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招标编号：</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标段名称：</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标段编号：</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 xml:space="preserve">在 </w:t>
            </w:r>
            <w:r>
              <w:rPr>
                <w:rFonts w:hint="eastAsia" w:asciiTheme="minorEastAsia" w:hAnsiTheme="minorEastAsia" w:cstheme="minorEastAsia"/>
                <w:highlight w:val="none"/>
              </w:rPr>
              <w:tab/>
            </w:r>
            <w:r>
              <w:rPr>
                <w:rFonts w:hint="eastAsia" w:asciiTheme="minorEastAsia" w:hAnsiTheme="minorEastAsia" w:cstheme="minorEastAsia"/>
                <w:highlight w:val="none"/>
              </w:rPr>
              <w:t xml:space="preserve">年 </w:t>
            </w:r>
            <w:r>
              <w:rPr>
                <w:rFonts w:hint="eastAsia" w:asciiTheme="minorEastAsia" w:hAnsiTheme="minorEastAsia" w:cstheme="minorEastAsia"/>
                <w:highlight w:val="none"/>
              </w:rPr>
              <w:tab/>
            </w:r>
            <w:r>
              <w:rPr>
                <w:rFonts w:hint="eastAsia" w:asciiTheme="minorEastAsia" w:hAnsiTheme="minorEastAsia" w:cstheme="minorEastAsia"/>
                <w:highlight w:val="none"/>
              </w:rPr>
              <w:t xml:space="preserve">月 </w:t>
            </w:r>
            <w:r>
              <w:rPr>
                <w:rFonts w:hint="eastAsia" w:asciiTheme="minorEastAsia" w:hAnsiTheme="minorEastAsia" w:cstheme="minorEastAsia"/>
                <w:highlight w:val="none"/>
              </w:rPr>
              <w:tab/>
            </w:r>
            <w:r>
              <w:rPr>
                <w:rFonts w:hint="eastAsia" w:asciiTheme="minorEastAsia" w:hAnsiTheme="minorEastAsia" w:cstheme="minorEastAsia"/>
                <w:highlight w:val="none"/>
              </w:rPr>
              <w:t xml:space="preserve">日 </w:t>
            </w:r>
            <w:r>
              <w:rPr>
                <w:rFonts w:hint="eastAsia" w:asciiTheme="minorEastAsia" w:hAnsiTheme="minorEastAsia" w:cstheme="minorEastAsia"/>
                <w:highlight w:val="none"/>
              </w:rPr>
              <w:tab/>
            </w:r>
            <w:r>
              <w:rPr>
                <w:rFonts w:hint="eastAsia" w:asciiTheme="minorEastAsia" w:hAnsiTheme="minorEastAsia" w:cstheme="minorEastAsia"/>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4.2.1</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投标截止时间</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 xml:space="preserve">详见第一章第五条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4.2.2（A）</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递交投标文件地点</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 xml:space="preserve">详见第一章第五条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4.2.3</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投标文件是否退还</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color w:val="333333"/>
                <w:sz w:val="24"/>
                <w:szCs w:val="24"/>
                <w:highlight w:val="none"/>
                <w:shd w:val="clear" w:color="auto" w:fill="FFFFFF"/>
              </w:rPr>
              <w:t>☑</w:t>
            </w:r>
            <w:r>
              <w:rPr>
                <w:rFonts w:hint="eastAsia" w:asciiTheme="minorEastAsia" w:hAnsiTheme="minorEastAsia" w:cstheme="minorEastAsia"/>
                <w:highlight w:val="none"/>
              </w:rPr>
              <w:t>否</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5.1（A）</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开标时间和地点</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 xml:space="preserve">开标时间：详见第一章第六条  </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 xml:space="preserve">开标地点：详见第一章第六条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5.2（4）（A）</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开标程序</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开标顺序：递交投标文件的正序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6.1.1</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评标委员会的组建</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评标委员会构成：5人</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其中招标人代表1人，专家 4人；</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6.3.2</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评标委员会推荐中标候选人的人数</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7.1</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中标候选人公示媒介及期限</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公示媒介：中国招标投标公共服务平台、江苏省招标投标公共服务平台、中招联合招标采购平台</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公示期限：不少于3日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7.4</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是否授权评标委员会确定中标人</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□是</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color w:val="333333"/>
                <w:sz w:val="24"/>
                <w:szCs w:val="24"/>
                <w:highlight w:val="none"/>
                <w:shd w:val="clear" w:color="auto" w:fill="FFFFFF"/>
              </w:rPr>
              <w:t>☑</w:t>
            </w:r>
            <w:r>
              <w:rPr>
                <w:rFonts w:hint="eastAsia" w:asciiTheme="minorEastAsia" w:hAnsiTheme="minorEastAsia" w:cstheme="minorEastAsia"/>
                <w:highlight w:val="none"/>
              </w:rPr>
              <w:t>否，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7.6.1</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履约保证金</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是否要求中标人提交履约保证金：</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color w:val="333333"/>
                <w:sz w:val="24"/>
                <w:szCs w:val="24"/>
                <w:highlight w:val="none"/>
                <w:shd w:val="clear" w:color="auto" w:fill="FFFFFF"/>
              </w:rPr>
              <w:t>☑</w:t>
            </w:r>
            <w:r>
              <w:rPr>
                <w:rFonts w:hint="eastAsia" w:asciiTheme="minorEastAsia" w:hAnsiTheme="minorEastAsia" w:cstheme="minorEastAsia"/>
                <w:highlight w:val="none"/>
              </w:rPr>
              <w:t>要求，履约保证金的形式：银行保函</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履约保证金的金额：合同额的10%</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sym w:font="Wingdings 2" w:char="00A3"/>
            </w:r>
            <w:r>
              <w:rPr>
                <w:rFonts w:hint="eastAsia" w:asciiTheme="minorEastAsia" w:hAnsiTheme="minorEastAsia" w:cstheme="minorEastAsia"/>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9</w:t>
            </w:r>
          </w:p>
        </w:tc>
        <w:tc>
          <w:tcPr>
            <w:tcW w:w="1843" w:type="dxa"/>
            <w:vAlign w:val="center"/>
          </w:tcPr>
          <w:p>
            <w:pPr>
              <w:snapToGrid w:val="0"/>
              <w:ind w:firstLine="0" w:firstLineChars="0"/>
              <w:jc w:val="center"/>
              <w:rPr>
                <w:rFonts w:asciiTheme="minorEastAsia" w:hAnsiTheme="minorEastAsia" w:cstheme="minorEastAsia"/>
                <w:highlight w:val="none"/>
              </w:rPr>
            </w:pPr>
            <w:r>
              <w:rPr>
                <w:rFonts w:hint="eastAsia" w:asciiTheme="minorEastAsia" w:hAnsiTheme="minorEastAsia" w:cstheme="minorEastAsia"/>
                <w:highlight w:val="none"/>
              </w:rPr>
              <w:t>是否采用电子招标投标</w:t>
            </w:r>
          </w:p>
        </w:tc>
        <w:tc>
          <w:tcPr>
            <w:tcW w:w="5726" w:type="dxa"/>
            <w:vAlign w:val="center"/>
          </w:tcPr>
          <w:p>
            <w:pPr>
              <w:snapToGrid w:val="0"/>
              <w:ind w:firstLine="0" w:firstLineChars="0"/>
              <w:rPr>
                <w:rFonts w:asciiTheme="minorEastAsia" w:hAnsiTheme="minorEastAsia" w:cstheme="minorEastAsia"/>
                <w:highlight w:val="none"/>
              </w:rPr>
            </w:pPr>
            <w:r>
              <w:rPr>
                <w:rFonts w:hint="eastAsia" w:asciiTheme="minorEastAsia" w:hAnsiTheme="minorEastAsia" w:cstheme="minorEastAsia"/>
                <w:highlight w:val="none"/>
              </w:rPr>
              <w:t>□否</w:t>
            </w:r>
          </w:p>
          <w:p>
            <w:pPr>
              <w:snapToGrid w:val="0"/>
              <w:ind w:firstLine="0" w:firstLineChars="0"/>
              <w:rPr>
                <w:rFonts w:asciiTheme="minorEastAsia" w:hAnsiTheme="minorEastAsia" w:cstheme="minorEastAsia"/>
                <w:highlight w:val="none"/>
              </w:rPr>
            </w:pPr>
            <w:r>
              <w:rPr>
                <w:rFonts w:hint="eastAsia" w:asciiTheme="minorEastAsia" w:hAnsiTheme="minorEastAsia" w:cstheme="minorEastAsia"/>
                <w:color w:val="333333"/>
                <w:sz w:val="24"/>
                <w:szCs w:val="24"/>
                <w:highlight w:val="none"/>
                <w:shd w:val="clear" w:color="auto" w:fill="FFFFFF"/>
              </w:rPr>
              <w:t>☑</w:t>
            </w:r>
            <w:r>
              <w:rPr>
                <w:rFonts w:hint="eastAsia" w:asciiTheme="minorEastAsia" w:hAnsiTheme="minorEastAsia" w:cstheme="minorEastAsia"/>
                <w:highlight w:val="none"/>
              </w:rPr>
              <w:t>是，具体要求：部分流程采用电子招标投标，详见第一章第四条、第二章第2.2.2项、第2.3.1项、第3.4.1项、第3.7.3（2）目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59"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10</w:t>
            </w:r>
          </w:p>
        </w:tc>
        <w:tc>
          <w:tcPr>
            <w:tcW w:w="18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需要补充的其他内容</w:t>
            </w: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10.1费用</w:t>
            </w:r>
          </w:p>
          <w:p>
            <w:pPr>
              <w:snapToGrid w:val="0"/>
              <w:ind w:firstLine="0" w:firstLineChars="0"/>
              <w:rPr>
                <w:rFonts w:asciiTheme="minorEastAsia" w:hAnsiTheme="minorEastAsia" w:cstheme="minorEastAsia"/>
              </w:rPr>
            </w:pPr>
            <w:r>
              <w:rPr>
                <w:rFonts w:hint="eastAsia" w:asciiTheme="minorEastAsia" w:hAnsiTheme="minorEastAsia" w:cstheme="minorEastAsia"/>
              </w:rPr>
              <w:t>10.1.1招标代理服务费用由招标代理机构在退还中标人投标保证金时向中标人收取，发票由招标代理机构开具。具体标准为：《招标代理服务收费管理暂行办法》（国家发展计划委员会计价格[2002]1980号）代理服务招标收费基准费率。</w:t>
            </w:r>
          </w:p>
          <w:p>
            <w:pPr>
              <w:snapToGrid w:val="0"/>
              <w:ind w:firstLine="0" w:firstLineChars="0"/>
              <w:rPr>
                <w:rFonts w:asciiTheme="minorEastAsia" w:hAnsiTheme="minorEastAsia" w:cstheme="minorEastAsia"/>
              </w:rPr>
            </w:pPr>
            <w:r>
              <w:rPr>
                <w:rFonts w:hint="eastAsia" w:asciiTheme="minorEastAsia" w:hAnsiTheme="minorEastAsia" w:cstheme="minorEastAsia"/>
              </w:rPr>
              <w:t>10.1.2南京市南京公证处受理本项目招标投标现场监督公证，公证服务费用由公证处委托招标代理机构在退还中标人投标保证金时向中标人收取，发票由公证处开具。具体标准为：中标金额≤200万元人民币，开标公证费500元人民币；200万元人民币＜中标金额≤600万元人民币，开标公证费600元人民币；600万元人民币＜中标金额≤1000万元人民币，开标公证费800元人民币；中标金额＞1000万元人民币，开标公证费按中标金额的万分之一收取，但最高不超过3000元人民币。</w:t>
            </w:r>
          </w:p>
          <w:p>
            <w:pPr>
              <w:snapToGrid w:val="0"/>
              <w:ind w:firstLine="0" w:firstLineChars="0"/>
              <w:rPr>
                <w:rFonts w:asciiTheme="minorEastAsia" w:hAnsiTheme="minorEastAsia" w:cstheme="minorEastAsia"/>
              </w:rPr>
            </w:pPr>
            <w:r>
              <w:rPr>
                <w:rFonts w:hint="eastAsia" w:asciiTheme="minorEastAsia" w:hAnsiTheme="minorEastAsia" w:cstheme="minorEastAsia"/>
              </w:rPr>
              <w:t>10.1.3除中标人在投标文件另有声明外，中标人允许招标代理机构在其投标保证金中直接扣除招标代理服务费用、公证服务费用，余款仍将退还中标人。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59" w:type="dxa"/>
            <w:vMerge w:val="continue"/>
            <w:vAlign w:val="center"/>
          </w:tcPr>
          <w:p>
            <w:pPr>
              <w:snapToGrid w:val="0"/>
              <w:ind w:firstLine="0" w:firstLineChars="0"/>
              <w:jc w:val="center"/>
              <w:rPr>
                <w:rFonts w:asciiTheme="minorEastAsia" w:hAnsiTheme="minorEastAsia" w:cstheme="minorEastAsia"/>
              </w:rPr>
            </w:pPr>
          </w:p>
        </w:tc>
        <w:tc>
          <w:tcPr>
            <w:tcW w:w="1843" w:type="dxa"/>
            <w:vMerge w:val="continue"/>
            <w:vAlign w:val="center"/>
          </w:tcPr>
          <w:p>
            <w:pPr>
              <w:snapToGrid w:val="0"/>
              <w:ind w:firstLine="0" w:firstLineChars="0"/>
              <w:jc w:val="center"/>
              <w:rPr>
                <w:rFonts w:asciiTheme="minorEastAsia" w:hAnsiTheme="minorEastAsia" w:cstheme="minorEastAsia"/>
              </w:rPr>
            </w:pP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10.2重新招标</w:t>
            </w:r>
          </w:p>
          <w:p>
            <w:pPr>
              <w:snapToGrid w:val="0"/>
              <w:ind w:firstLine="0" w:firstLineChars="0"/>
              <w:rPr>
                <w:rFonts w:asciiTheme="minorEastAsia" w:hAnsiTheme="minorEastAsia" w:cstheme="minorEastAsia"/>
              </w:rPr>
            </w:pPr>
            <w:r>
              <w:rPr>
                <w:rFonts w:hint="eastAsia" w:asciiTheme="minorEastAsia" w:hAnsiTheme="minorEastAsia" w:cstheme="minorEastAsia"/>
              </w:rPr>
              <w:t>10.2.1有下列情形之一的，招标人将重新招标：</w:t>
            </w:r>
          </w:p>
          <w:p>
            <w:pPr>
              <w:snapToGrid w:val="0"/>
              <w:ind w:firstLine="0" w:firstLineChars="0"/>
              <w:rPr>
                <w:rFonts w:asciiTheme="minorEastAsia" w:hAnsiTheme="minorEastAsia" w:cstheme="minorEastAsia"/>
              </w:rPr>
            </w:pPr>
            <w:r>
              <w:rPr>
                <w:rFonts w:hint="eastAsia" w:asciiTheme="minorEastAsia" w:hAnsiTheme="minorEastAsia" w:cstheme="minorEastAsia"/>
              </w:rPr>
              <w:t>（1）招标文件获取截止时间止，获取招标文件的潜在投标人少于3个的；</w:t>
            </w:r>
          </w:p>
          <w:p>
            <w:pPr>
              <w:snapToGrid w:val="0"/>
              <w:ind w:firstLine="0" w:firstLineChars="0"/>
              <w:rPr>
                <w:rFonts w:asciiTheme="minorEastAsia" w:hAnsiTheme="minorEastAsia" w:cstheme="minorEastAsia"/>
              </w:rPr>
            </w:pPr>
            <w:r>
              <w:rPr>
                <w:rFonts w:hint="eastAsia" w:asciiTheme="minorEastAsia" w:hAnsiTheme="minorEastAsia" w:cstheme="minorEastAsia"/>
              </w:rPr>
              <w:t>（2）投标截止时间止，提交投标文件的投标人少于3个的；</w:t>
            </w:r>
          </w:p>
          <w:p>
            <w:pPr>
              <w:snapToGrid w:val="0"/>
              <w:ind w:firstLine="0" w:firstLineChars="0"/>
              <w:rPr>
                <w:rFonts w:asciiTheme="minorEastAsia" w:hAnsiTheme="minorEastAsia" w:cstheme="minorEastAsia"/>
              </w:rPr>
            </w:pPr>
            <w:r>
              <w:rPr>
                <w:rFonts w:hint="eastAsia" w:asciiTheme="minorEastAsia" w:hAnsiTheme="minorEastAsia" w:cstheme="minorEastAsia"/>
              </w:rPr>
              <w:t>（3）经评标委员会评审后否决所有投标的；</w:t>
            </w:r>
          </w:p>
          <w:p>
            <w:pPr>
              <w:snapToGrid w:val="0"/>
              <w:ind w:firstLine="0" w:firstLineChars="0"/>
              <w:rPr>
                <w:rFonts w:asciiTheme="minorEastAsia" w:hAnsiTheme="minorEastAsia" w:cstheme="minorEastAsia"/>
              </w:rPr>
            </w:pPr>
            <w:r>
              <w:rPr>
                <w:rFonts w:hint="eastAsia" w:asciiTheme="minorEastAsia" w:hAnsiTheme="minorEastAsia" w:cstheme="minorEastAsia"/>
              </w:rPr>
              <w:t>（4）评标委员会否决一部分投标后其他有效投标不足3个使得投标明显缺乏竞争，决定否决全部投标的；</w:t>
            </w:r>
          </w:p>
          <w:p>
            <w:pPr>
              <w:snapToGrid w:val="0"/>
              <w:ind w:firstLine="0" w:firstLineChars="0"/>
              <w:rPr>
                <w:rFonts w:asciiTheme="minorEastAsia" w:hAnsiTheme="minorEastAsia" w:cstheme="minorEastAsia"/>
              </w:rPr>
            </w:pPr>
            <w:r>
              <w:rPr>
                <w:rFonts w:hint="eastAsia" w:asciiTheme="minorEastAsia" w:hAnsiTheme="minorEastAsia" w:cstheme="minorEastAsia"/>
              </w:rPr>
              <w:t>（5）根据第二章第3.3.3项规定，同意延长投标有效期的投标人少于3个的；</w:t>
            </w:r>
          </w:p>
          <w:p>
            <w:pPr>
              <w:snapToGrid w:val="0"/>
              <w:ind w:firstLine="0" w:firstLineChars="0"/>
              <w:rPr>
                <w:rFonts w:asciiTheme="minorEastAsia" w:hAnsiTheme="minorEastAsia" w:cstheme="minorEastAsia"/>
              </w:rPr>
            </w:pPr>
            <w:r>
              <w:rPr>
                <w:rFonts w:hint="eastAsia" w:asciiTheme="minorEastAsia" w:hAnsiTheme="minorEastAsia" w:cstheme="minorEastAsia"/>
              </w:rPr>
              <w:t>（6）根据第二章第7.4款规定，依次确定其他中标候选人与招标人预期差距较大，或者对招标人明显不利的。</w:t>
            </w:r>
          </w:p>
          <w:p>
            <w:pPr>
              <w:snapToGrid w:val="0"/>
              <w:ind w:firstLine="0" w:firstLineChars="0"/>
              <w:rPr>
                <w:rFonts w:asciiTheme="minorEastAsia" w:hAnsiTheme="minorEastAsia" w:cstheme="minorEastAsia"/>
              </w:rPr>
            </w:pPr>
            <w:r>
              <w:rPr>
                <w:rFonts w:hint="eastAsia" w:asciiTheme="minorEastAsia" w:hAnsiTheme="minorEastAsia" w:cstheme="minorEastAsia"/>
              </w:rPr>
              <w:t>10.2.2有第二章第7.4款、第三章第3.1.2（2）目所列情形的投标人不得参与该项目的重新招标。</w:t>
            </w:r>
          </w:p>
          <w:p>
            <w:pPr>
              <w:snapToGrid w:val="0"/>
              <w:ind w:firstLine="0" w:firstLineChars="0"/>
              <w:rPr>
                <w:rFonts w:asciiTheme="minorEastAsia" w:hAnsiTheme="minorEastAsia" w:cstheme="minorEastAsia"/>
              </w:rPr>
            </w:pPr>
            <w:r>
              <w:rPr>
                <w:rFonts w:hint="eastAsia" w:asciiTheme="minorEastAsia" w:hAnsiTheme="minorEastAsia" w:cstheme="minorEastAsia"/>
              </w:rPr>
              <w:t>10.2.3重新招标后仍存在第二章第10.2.1项情形的，按国家有关规定需要履行审批、核准手续的依法必须进行招标的项目，报项目审批、核准部门审批、核准后可以不再进行招标；其他工程建设项目，招标人可自行决定不再进行招标。</w:t>
            </w:r>
          </w:p>
          <w:p>
            <w:pPr>
              <w:snapToGrid w:val="0"/>
              <w:ind w:firstLine="0" w:firstLineChars="0"/>
              <w:rPr>
                <w:rFonts w:asciiTheme="minorEastAsia" w:hAnsiTheme="minorEastAsia" w:cstheme="minorEastAsia"/>
              </w:rPr>
            </w:pPr>
            <w:r>
              <w:rPr>
                <w:rFonts w:hint="eastAsia" w:asciiTheme="minorEastAsia" w:hAnsiTheme="minorEastAsia" w:cstheme="minorEastAsia"/>
              </w:rPr>
              <w:t>不再进行招标的项目，如有两家投标，招标人可进行两家开标；如只有一家投标，经评标委员会评审认可后，招标人可进行谈判采购。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59" w:type="dxa"/>
            <w:vMerge w:val="continue"/>
            <w:vAlign w:val="center"/>
          </w:tcPr>
          <w:p>
            <w:pPr>
              <w:snapToGrid w:val="0"/>
              <w:ind w:firstLine="0" w:firstLineChars="0"/>
              <w:jc w:val="center"/>
              <w:rPr>
                <w:rFonts w:asciiTheme="minorEastAsia" w:hAnsiTheme="minorEastAsia" w:cstheme="minorEastAsia"/>
              </w:rPr>
            </w:pPr>
          </w:p>
        </w:tc>
        <w:tc>
          <w:tcPr>
            <w:tcW w:w="1843" w:type="dxa"/>
            <w:vMerge w:val="continue"/>
            <w:vAlign w:val="center"/>
          </w:tcPr>
          <w:p>
            <w:pPr>
              <w:snapToGrid w:val="0"/>
              <w:ind w:firstLine="0" w:firstLineChars="0"/>
              <w:jc w:val="center"/>
              <w:rPr>
                <w:rFonts w:asciiTheme="minorEastAsia" w:hAnsiTheme="minorEastAsia" w:cstheme="minorEastAsia"/>
              </w:rPr>
            </w:pPr>
          </w:p>
        </w:tc>
        <w:tc>
          <w:tcPr>
            <w:tcW w:w="5726"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10.3任何单位和个人对代理机构在招标采购活动中的违法行为，有权控告和检举，联系电话：025-83308551（招标代理机构质量管理部门，联系人：姚洁）、025-86636860（招标代理机构纪检监察部门，联系人：公凌）。</w:t>
            </w:r>
          </w:p>
        </w:tc>
      </w:tr>
    </w:tbl>
    <w:p>
      <w:pPr>
        <w:snapToGrid w:val="0"/>
        <w:spacing w:line="360" w:lineRule="auto"/>
        <w:ind w:firstLine="0" w:firstLineChars="0"/>
        <w:rPr>
          <w:rFonts w:asciiTheme="minorEastAsia" w:hAnsiTheme="minorEastAsia" w:cstheme="minorEastAsia"/>
        </w:rPr>
      </w:pPr>
    </w:p>
    <w:p>
      <w:pPr>
        <w:pStyle w:val="6"/>
        <w:snapToGrid w:val="0"/>
        <w:spacing w:before="0" w:after="0" w:line="360" w:lineRule="auto"/>
        <w:rPr>
          <w:rFonts w:cstheme="minorEastAsia"/>
        </w:rPr>
      </w:pPr>
      <w:bookmarkStart w:id="35" w:name="_Toc29981"/>
      <w:r>
        <w:rPr>
          <w:rFonts w:hint="eastAsia" w:cstheme="minorEastAsia"/>
        </w:rPr>
        <w:t>1.总则</w:t>
      </w:r>
      <w:bookmarkEnd w:id="35"/>
    </w:p>
    <w:p>
      <w:pPr>
        <w:pStyle w:val="7"/>
        <w:snapToGrid w:val="0"/>
        <w:spacing w:before="0" w:after="0" w:line="360" w:lineRule="auto"/>
        <w:rPr>
          <w:rFonts w:cstheme="minorEastAsia"/>
        </w:rPr>
      </w:pPr>
      <w:bookmarkStart w:id="36" w:name="_Toc26715"/>
      <w:r>
        <w:rPr>
          <w:rFonts w:hint="eastAsia" w:cstheme="minorEastAsia"/>
        </w:rPr>
        <w:t>1.1招标项目概况</w:t>
      </w:r>
      <w:bookmarkEnd w:id="36"/>
    </w:p>
    <w:p>
      <w:pPr>
        <w:snapToGrid w:val="0"/>
        <w:spacing w:line="360" w:lineRule="auto"/>
        <w:rPr>
          <w:rFonts w:asciiTheme="minorEastAsia" w:hAnsiTheme="minorEastAsia" w:cstheme="minorEastAsia"/>
        </w:rPr>
      </w:pPr>
      <w:r>
        <w:rPr>
          <w:rFonts w:hint="eastAsia" w:asciiTheme="minorEastAsia" w:hAnsiTheme="minorEastAsia" w:cstheme="minorEastAsia"/>
        </w:rPr>
        <w:t>1.1.1根据《中华人民共和国招标投标法》、《中华人民共和国招标投标法实施条例》等有关法律、法规和规章的规定，本招标项目已具备招标条件，现对设备采购进行招标。</w:t>
      </w:r>
    </w:p>
    <w:p>
      <w:pPr>
        <w:snapToGrid w:val="0"/>
        <w:spacing w:line="360" w:lineRule="auto"/>
        <w:rPr>
          <w:rFonts w:asciiTheme="minorEastAsia" w:hAnsiTheme="minorEastAsia" w:cstheme="minorEastAsia"/>
        </w:rPr>
      </w:pPr>
      <w:r>
        <w:rPr>
          <w:rFonts w:hint="eastAsia" w:asciiTheme="minorEastAsia" w:hAnsiTheme="minorEastAsia" w:cstheme="minorEastAsia"/>
        </w:rPr>
        <w:t>1.1.2招标人：见投标人须知前附表。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1.1.3招标代理机构：见投标人须知前附表。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1.1.4招标项目名称：见投标人须知前附表。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1.1.5工程项目名称：即招标项目所属的工程建设项目，见投标人须知前附表。</w:t>
      </w:r>
    </w:p>
    <w:p>
      <w:pPr>
        <w:pStyle w:val="7"/>
        <w:snapToGrid w:val="0"/>
        <w:spacing w:before="0" w:after="0" w:line="360" w:lineRule="auto"/>
        <w:rPr>
          <w:rFonts w:cstheme="minorEastAsia"/>
        </w:rPr>
      </w:pPr>
      <w:bookmarkStart w:id="37" w:name="_Toc16114"/>
      <w:r>
        <w:rPr>
          <w:rFonts w:hint="eastAsia" w:cstheme="minorEastAsia"/>
        </w:rPr>
        <w:t>1.2招标项目的资金来源和落实情况</w:t>
      </w:r>
      <w:bookmarkEnd w:id="37"/>
    </w:p>
    <w:p>
      <w:pPr>
        <w:snapToGrid w:val="0"/>
        <w:spacing w:line="360" w:lineRule="auto"/>
        <w:rPr>
          <w:rFonts w:asciiTheme="minorEastAsia" w:hAnsiTheme="minorEastAsia" w:cstheme="minorEastAsia"/>
        </w:rPr>
      </w:pPr>
      <w:r>
        <w:rPr>
          <w:rFonts w:hint="eastAsia" w:asciiTheme="minorEastAsia" w:hAnsiTheme="minorEastAsia" w:cstheme="minorEastAsia"/>
        </w:rPr>
        <w:t>1.2.1资金来源及比例：见投标人须知前附表。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1.2.2资金落实情况：见投标人须知前附表。</w:t>
      </w:r>
    </w:p>
    <w:p>
      <w:pPr>
        <w:pStyle w:val="7"/>
        <w:snapToGrid w:val="0"/>
        <w:spacing w:before="0" w:after="0" w:line="360" w:lineRule="auto"/>
        <w:rPr>
          <w:rFonts w:cstheme="minorEastAsia"/>
        </w:rPr>
      </w:pPr>
      <w:bookmarkStart w:id="38" w:name="_Toc5159"/>
      <w:r>
        <w:rPr>
          <w:rFonts w:hint="eastAsia" w:cstheme="minorEastAsia"/>
        </w:rPr>
        <w:t>1.3招标范围、交货期、交货地点和技术性能指标</w:t>
      </w:r>
      <w:bookmarkEnd w:id="38"/>
    </w:p>
    <w:p>
      <w:pPr>
        <w:snapToGrid w:val="0"/>
        <w:spacing w:line="360" w:lineRule="auto"/>
        <w:rPr>
          <w:rFonts w:asciiTheme="minorEastAsia" w:hAnsiTheme="minorEastAsia" w:cstheme="minorEastAsia"/>
        </w:rPr>
      </w:pPr>
      <w:r>
        <w:rPr>
          <w:rFonts w:hint="eastAsia" w:asciiTheme="minorEastAsia" w:hAnsiTheme="minorEastAsia" w:cstheme="minorEastAsia"/>
        </w:rPr>
        <w:t>1.3.1招标范围：见投标人须知前附表。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1.3.2交货期：见投标人须知前附表。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1.3.3交货地点：见投标人须知前附表。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1.3.4技术性能指标：见投标人须知前附表。</w:t>
      </w:r>
    </w:p>
    <w:p>
      <w:pPr>
        <w:pStyle w:val="7"/>
        <w:snapToGrid w:val="0"/>
        <w:spacing w:before="0" w:after="0" w:line="360" w:lineRule="auto"/>
        <w:rPr>
          <w:rFonts w:cstheme="minorEastAsia"/>
        </w:rPr>
      </w:pPr>
      <w:bookmarkStart w:id="39" w:name="_Toc3018"/>
      <w:r>
        <w:rPr>
          <w:rFonts w:hint="eastAsia" w:cstheme="minorEastAsia"/>
        </w:rPr>
        <w:t>1.4投标人资格要求</w:t>
      </w:r>
      <w:bookmarkEnd w:id="39"/>
    </w:p>
    <w:p>
      <w:pPr>
        <w:snapToGrid w:val="0"/>
        <w:spacing w:line="360" w:lineRule="auto"/>
        <w:rPr>
          <w:rFonts w:asciiTheme="minorEastAsia" w:hAnsiTheme="minorEastAsia" w:cstheme="minorEastAsia"/>
        </w:rPr>
      </w:pPr>
      <w:r>
        <w:rPr>
          <w:rFonts w:hint="eastAsia" w:asciiTheme="minorEastAsia" w:hAnsiTheme="minorEastAsia" w:cstheme="minorEastAsia"/>
        </w:rPr>
        <w:t>1.4.1投标人应具备承担本招标项目资质条件、能力和信誉：</w:t>
      </w:r>
    </w:p>
    <w:p>
      <w:pPr>
        <w:snapToGrid w:val="0"/>
        <w:spacing w:line="360" w:lineRule="auto"/>
        <w:rPr>
          <w:rFonts w:asciiTheme="minorEastAsia" w:hAnsiTheme="minorEastAsia" w:cstheme="minorEastAsia"/>
        </w:rPr>
      </w:pPr>
      <w:r>
        <w:rPr>
          <w:rFonts w:hint="eastAsia" w:asciiTheme="minorEastAsia" w:hAnsiTheme="minorEastAsia" w:cstheme="minorEastAsia"/>
        </w:rPr>
        <w:t>（1）资质要求：见投标人须知前附表；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（2）财务要求：见投标人须知前附表；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（3）业绩要求：见投标人须知前附表；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（4）信誉要求：见投标人须知前附表；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（5）其他要求：见投标人须知前附表。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投标人为代理经销商的，对投标人的资质要求包含对制造商的资质要求，对投标人的业绩要求包含对投标设备的业绩要求。</w:t>
      </w:r>
    </w:p>
    <w:p>
      <w:pPr>
        <w:snapToGrid w:val="0"/>
        <w:spacing w:line="360" w:lineRule="auto"/>
        <w:rPr>
          <w:rFonts w:asciiTheme="minorEastAsia" w:hAnsiTheme="minorEastAsia" w:cstheme="minorEastAsia"/>
        </w:rPr>
      </w:pPr>
      <w:r>
        <w:rPr>
          <w:rFonts w:hint="eastAsia" w:asciiTheme="minorEastAsia" w:hAnsiTheme="minorEastAsia" w:cstheme="minorEastAsia"/>
        </w:rPr>
        <w:t>需要提交的相关证明材料见本章第3.5款的规定。</w:t>
      </w:r>
    </w:p>
    <w:p>
      <w:pPr>
        <w:snapToGrid w:val="0"/>
        <w:spacing w:line="360" w:lineRule="auto"/>
        <w:rPr>
          <w:rFonts w:asciiTheme="minorEastAsia" w:hAnsiTheme="minorEastAsia" w:cstheme="minorEastAsia"/>
        </w:rPr>
      </w:pPr>
      <w:r>
        <w:rPr>
          <w:rFonts w:hint="eastAsia" w:asciiTheme="minorEastAsia" w:hAnsiTheme="minorEastAsia" w:cstheme="minorEastAsia"/>
        </w:rPr>
        <w:t>1.4.2投标人须知前附表规定接受联合体投标的，联合体除应符合本章第1.4.1项和投标人须知前附表的要求外，还应遵守以下规定：</w:t>
      </w:r>
    </w:p>
    <w:p>
      <w:pPr>
        <w:snapToGrid w:val="0"/>
        <w:spacing w:line="360" w:lineRule="auto"/>
        <w:rPr>
          <w:rFonts w:asciiTheme="minorEastAsia" w:hAnsiTheme="minorEastAsia" w:cstheme="minorEastAsia"/>
        </w:rPr>
      </w:pPr>
      <w:r>
        <w:rPr>
          <w:rFonts w:hint="eastAsia" w:asciiTheme="minorEastAsia" w:hAnsiTheme="minorEastAsia" w:cstheme="minorEastAsia"/>
        </w:rPr>
        <w:t>（1）联合体各方应按招标文件提供的格式签订联合体协议书，明确联合体牵头人和各方权利义务，并承诺就中标项目向招标人承担连带责任；</w:t>
      </w:r>
    </w:p>
    <w:p>
      <w:pPr>
        <w:snapToGrid w:val="0"/>
        <w:spacing w:line="360" w:lineRule="auto"/>
        <w:rPr>
          <w:rFonts w:asciiTheme="minorEastAsia" w:hAnsiTheme="minorEastAsia" w:cstheme="minorEastAsia"/>
        </w:rPr>
      </w:pPr>
      <w:r>
        <w:rPr>
          <w:rFonts w:hint="eastAsia" w:asciiTheme="minorEastAsia" w:hAnsiTheme="minorEastAsia" w:cstheme="minorEastAsia"/>
        </w:rPr>
        <w:t>（2）由同一专业的单位组成的联合体，按照资质等级较低的单位确定资质等级；</w:t>
      </w:r>
    </w:p>
    <w:p>
      <w:pPr>
        <w:snapToGrid w:val="0"/>
        <w:spacing w:line="360" w:lineRule="auto"/>
        <w:rPr>
          <w:rFonts w:asciiTheme="minorEastAsia" w:hAnsiTheme="minorEastAsia" w:cstheme="minorEastAsia"/>
        </w:rPr>
      </w:pPr>
      <w:r>
        <w:rPr>
          <w:rFonts w:hint="eastAsia" w:asciiTheme="minorEastAsia" w:hAnsiTheme="minorEastAsia" w:cstheme="minorEastAsia"/>
        </w:rPr>
        <w:t>（3）联合体各方不得再以自己名义单独或参加其他联合体在本招标项目中投标，否则各相关投标均无效。</w:t>
      </w:r>
    </w:p>
    <w:p>
      <w:pPr>
        <w:snapToGrid w:val="0"/>
        <w:spacing w:line="360" w:lineRule="auto"/>
        <w:rPr>
          <w:rFonts w:asciiTheme="minorEastAsia" w:hAnsiTheme="minorEastAsia" w:cstheme="minorEastAsia"/>
        </w:rPr>
      </w:pPr>
      <w:r>
        <w:rPr>
          <w:rFonts w:hint="eastAsia" w:asciiTheme="minorEastAsia" w:hAnsiTheme="minorEastAsia" w:cstheme="minorEastAsia"/>
        </w:rPr>
        <w:t>1.4.3投标人不得存在下列情形之一：</w:t>
      </w:r>
    </w:p>
    <w:p>
      <w:pPr>
        <w:snapToGrid w:val="0"/>
        <w:spacing w:line="360" w:lineRule="auto"/>
        <w:rPr>
          <w:rFonts w:asciiTheme="minorEastAsia" w:hAnsiTheme="minorEastAsia" w:cstheme="minorEastAsia"/>
        </w:rPr>
      </w:pPr>
      <w:r>
        <w:rPr>
          <w:rFonts w:hint="eastAsia" w:asciiTheme="minorEastAsia" w:hAnsiTheme="minorEastAsia" w:cstheme="minorEastAsia"/>
        </w:rPr>
        <w:t>（1）与招标人存在利害关系且可能影响招标公正性；</w:t>
      </w:r>
    </w:p>
    <w:p>
      <w:pPr>
        <w:snapToGrid w:val="0"/>
        <w:spacing w:line="360" w:lineRule="auto"/>
        <w:rPr>
          <w:rFonts w:asciiTheme="minorEastAsia" w:hAnsiTheme="minorEastAsia" w:cstheme="minorEastAsia"/>
        </w:rPr>
      </w:pPr>
      <w:r>
        <w:rPr>
          <w:rFonts w:hint="eastAsia" w:asciiTheme="minorEastAsia" w:hAnsiTheme="minorEastAsia" w:cstheme="minorEastAsia"/>
        </w:rPr>
        <w:t>（2）与本招标项目的其他投标人为同一个单位负责人；</w:t>
      </w:r>
    </w:p>
    <w:p>
      <w:pPr>
        <w:snapToGrid w:val="0"/>
        <w:spacing w:line="360" w:lineRule="auto"/>
        <w:rPr>
          <w:rFonts w:asciiTheme="minorEastAsia" w:hAnsiTheme="minorEastAsia" w:cstheme="minorEastAsia"/>
        </w:rPr>
      </w:pPr>
      <w:r>
        <w:rPr>
          <w:rFonts w:hint="eastAsia" w:asciiTheme="minorEastAsia" w:hAnsiTheme="minorEastAsia" w:cstheme="minorEastAsia"/>
        </w:rPr>
        <w:t>（3）与本招标项目的其他投标人存在控股、管理关系；</w:t>
      </w:r>
    </w:p>
    <w:p>
      <w:pPr>
        <w:snapToGrid w:val="0"/>
        <w:spacing w:line="360" w:lineRule="auto"/>
        <w:rPr>
          <w:rFonts w:asciiTheme="minorEastAsia" w:hAnsiTheme="minorEastAsia" w:cstheme="minorEastAsia"/>
        </w:rPr>
      </w:pPr>
      <w:r>
        <w:rPr>
          <w:rFonts w:hint="eastAsia" w:asciiTheme="minorEastAsia" w:hAnsiTheme="minorEastAsia" w:cstheme="minorEastAsia"/>
        </w:rPr>
        <w:t>（4）与本招标项目其他投标人代理同一个制造商同一品牌同一型号的设备投标；</w:t>
      </w:r>
    </w:p>
    <w:p>
      <w:pPr>
        <w:snapToGrid w:val="0"/>
        <w:spacing w:line="360" w:lineRule="auto"/>
        <w:rPr>
          <w:rFonts w:asciiTheme="minorEastAsia" w:hAnsiTheme="minorEastAsia" w:cstheme="minorEastAsia"/>
        </w:rPr>
      </w:pPr>
      <w:r>
        <w:rPr>
          <w:rFonts w:hint="eastAsia" w:asciiTheme="minorEastAsia" w:hAnsiTheme="minorEastAsia" w:cstheme="minorEastAsia"/>
        </w:rPr>
        <w:t>（5）为本招标项目提供过设计、编制技术规范和其他文件的咨询服务；</w:t>
      </w:r>
    </w:p>
    <w:p>
      <w:pPr>
        <w:snapToGrid w:val="0"/>
        <w:spacing w:line="360" w:lineRule="auto"/>
        <w:rPr>
          <w:rFonts w:asciiTheme="minorEastAsia" w:hAnsiTheme="minorEastAsia" w:cstheme="minorEastAsia"/>
        </w:rPr>
      </w:pPr>
      <w:r>
        <w:rPr>
          <w:rFonts w:hint="eastAsia" w:asciiTheme="minorEastAsia" w:hAnsiTheme="minorEastAsia" w:cstheme="minorEastAsia"/>
        </w:rPr>
        <w:t>（6）为本工程项目的相关监理人，或者与本工程项目的相关监理人存在隶属关系或者其他利害关系；</w:t>
      </w:r>
    </w:p>
    <w:p>
      <w:pPr>
        <w:snapToGrid w:val="0"/>
        <w:spacing w:line="360" w:lineRule="auto"/>
        <w:rPr>
          <w:rFonts w:asciiTheme="minorEastAsia" w:hAnsiTheme="minorEastAsia" w:cstheme="minorEastAsia"/>
        </w:rPr>
      </w:pPr>
      <w:r>
        <w:rPr>
          <w:rFonts w:hint="eastAsia" w:asciiTheme="minorEastAsia" w:hAnsiTheme="minorEastAsia" w:cstheme="minorEastAsia"/>
        </w:rPr>
        <w:t>（7）为本招标项目的代建人；</w:t>
      </w:r>
    </w:p>
    <w:p>
      <w:pPr>
        <w:snapToGrid w:val="0"/>
        <w:spacing w:line="360" w:lineRule="auto"/>
        <w:rPr>
          <w:rFonts w:asciiTheme="minorEastAsia" w:hAnsiTheme="minorEastAsia" w:cstheme="minorEastAsia"/>
        </w:rPr>
      </w:pPr>
      <w:r>
        <w:rPr>
          <w:rFonts w:hint="eastAsia" w:asciiTheme="minorEastAsia" w:hAnsiTheme="minorEastAsia" w:cstheme="minorEastAsia"/>
        </w:rPr>
        <w:t>（8）为本招标项目的招标代理机构；</w:t>
      </w:r>
    </w:p>
    <w:p>
      <w:pPr>
        <w:snapToGrid w:val="0"/>
        <w:spacing w:line="360" w:lineRule="auto"/>
        <w:rPr>
          <w:rFonts w:asciiTheme="minorEastAsia" w:hAnsiTheme="minorEastAsia" w:cstheme="minorEastAsia"/>
        </w:rPr>
      </w:pPr>
      <w:r>
        <w:rPr>
          <w:rFonts w:hint="eastAsia" w:asciiTheme="minorEastAsia" w:hAnsiTheme="minorEastAsia" w:cstheme="minorEastAsia"/>
        </w:rPr>
        <w:t>（9）与本招标项目的监理人或代建人或招标代理机构同为一个法定代表人；</w:t>
      </w:r>
    </w:p>
    <w:p>
      <w:pPr>
        <w:snapToGrid w:val="0"/>
        <w:spacing w:line="360" w:lineRule="auto"/>
        <w:rPr>
          <w:rFonts w:asciiTheme="minorEastAsia" w:hAnsiTheme="minorEastAsia" w:cstheme="minorEastAsia"/>
        </w:rPr>
      </w:pPr>
      <w:r>
        <w:rPr>
          <w:rFonts w:hint="eastAsia" w:asciiTheme="minorEastAsia" w:hAnsiTheme="minorEastAsia" w:cstheme="minorEastAsia"/>
        </w:rPr>
        <w:t>（10）与本招标项目的监理人或代建人或招标代理机构存在控股或参股关系；</w:t>
      </w:r>
    </w:p>
    <w:p>
      <w:pPr>
        <w:snapToGrid w:val="0"/>
        <w:spacing w:line="360" w:lineRule="auto"/>
        <w:rPr>
          <w:rFonts w:asciiTheme="minorEastAsia" w:hAnsiTheme="minorEastAsia" w:cstheme="minorEastAsia"/>
        </w:rPr>
      </w:pPr>
      <w:r>
        <w:rPr>
          <w:rFonts w:hint="eastAsia" w:asciiTheme="minorEastAsia" w:hAnsiTheme="minorEastAsia" w:cstheme="minorEastAsia"/>
        </w:rPr>
        <w:t>（11）被依法暂停或者取消投标资格；</w:t>
      </w:r>
    </w:p>
    <w:p>
      <w:pPr>
        <w:snapToGrid w:val="0"/>
        <w:spacing w:line="360" w:lineRule="auto"/>
        <w:rPr>
          <w:rFonts w:asciiTheme="minorEastAsia" w:hAnsiTheme="minorEastAsia" w:cstheme="minorEastAsia"/>
        </w:rPr>
      </w:pPr>
      <w:r>
        <w:rPr>
          <w:rFonts w:hint="eastAsia" w:asciiTheme="minorEastAsia" w:hAnsiTheme="minorEastAsia" w:cstheme="minorEastAsia"/>
        </w:rPr>
        <w:t>（12）被责令停产停业、暂扣或者吊销许可证、暂扣或者吊销执照；</w:t>
      </w:r>
    </w:p>
    <w:p>
      <w:pPr>
        <w:snapToGrid w:val="0"/>
        <w:spacing w:line="360" w:lineRule="auto"/>
        <w:rPr>
          <w:rFonts w:asciiTheme="minorEastAsia" w:hAnsiTheme="minorEastAsia" w:cstheme="minorEastAsia"/>
        </w:rPr>
      </w:pPr>
      <w:r>
        <w:rPr>
          <w:rFonts w:hint="eastAsia" w:asciiTheme="minorEastAsia" w:hAnsiTheme="minorEastAsia" w:cstheme="minorEastAsia"/>
        </w:rPr>
        <w:t>（13）进入清算程序，或被宣告破产，或其他丧失履约能力的情形；</w:t>
      </w:r>
    </w:p>
    <w:p>
      <w:pPr>
        <w:snapToGrid w:val="0"/>
        <w:spacing w:line="360" w:lineRule="auto"/>
        <w:rPr>
          <w:rFonts w:asciiTheme="minorEastAsia" w:hAnsiTheme="minorEastAsia" w:cstheme="minorEastAsia"/>
        </w:rPr>
      </w:pPr>
      <w:r>
        <w:rPr>
          <w:rFonts w:hint="eastAsia" w:asciiTheme="minorEastAsia" w:hAnsiTheme="minorEastAsia" w:cstheme="minorEastAsia"/>
        </w:rPr>
        <w:t>（14）在最近三年内发生重大产品质量问题（以相关行业主管部门的行政处罚决定或司法机关出具的有关法律文书为准）；</w:t>
      </w:r>
    </w:p>
    <w:p>
      <w:pPr>
        <w:snapToGrid w:val="0"/>
        <w:spacing w:line="360" w:lineRule="auto"/>
        <w:rPr>
          <w:rFonts w:asciiTheme="minorEastAsia" w:hAnsiTheme="minorEastAsia" w:cstheme="minorEastAsia"/>
        </w:rPr>
      </w:pPr>
      <w:r>
        <w:rPr>
          <w:rFonts w:hint="eastAsia" w:asciiTheme="minorEastAsia" w:hAnsiTheme="minorEastAsia" w:cstheme="minorEastAsia"/>
        </w:rPr>
        <w:t>（15）被工商行政管理机关在全国企业信用信息公示系统中列入严重违法失信企业名单；</w:t>
      </w:r>
    </w:p>
    <w:p>
      <w:pPr>
        <w:snapToGrid w:val="0"/>
        <w:spacing w:line="360" w:lineRule="auto"/>
        <w:rPr>
          <w:rFonts w:asciiTheme="minorEastAsia" w:hAnsiTheme="minorEastAsia" w:cstheme="minorEastAsia"/>
        </w:rPr>
      </w:pPr>
      <w:r>
        <w:rPr>
          <w:rFonts w:hint="eastAsia" w:asciiTheme="minorEastAsia" w:hAnsiTheme="minorEastAsia" w:cstheme="minorEastAsia"/>
        </w:rPr>
        <w:t>（16）被最高人民法院在“信用中国”网站（www.creditchina.gov.cn）或各级信用信息共享平台中列入失信被执行人名单；</w:t>
      </w:r>
    </w:p>
    <w:p>
      <w:pPr>
        <w:snapToGrid w:val="0"/>
        <w:spacing w:line="360" w:lineRule="auto"/>
        <w:rPr>
          <w:rFonts w:asciiTheme="minorEastAsia" w:hAnsiTheme="minorEastAsia" w:cstheme="minorEastAsia"/>
        </w:rPr>
      </w:pPr>
      <w:r>
        <w:rPr>
          <w:rFonts w:hint="eastAsia" w:asciiTheme="minorEastAsia" w:hAnsiTheme="minorEastAsia" w:cstheme="minorEastAsia"/>
        </w:rPr>
        <w:t>（17）在近三年内投标人或其法定代表人、拟委任的项目负责人有行贿犯罪行为的；</w:t>
      </w:r>
    </w:p>
    <w:p>
      <w:pPr>
        <w:snapToGrid w:val="0"/>
        <w:spacing w:line="360" w:lineRule="auto"/>
        <w:rPr>
          <w:rFonts w:asciiTheme="minorEastAsia" w:hAnsiTheme="minorEastAsia" w:cstheme="minorEastAsia"/>
        </w:rPr>
      </w:pPr>
      <w:r>
        <w:rPr>
          <w:rFonts w:hint="eastAsia" w:asciiTheme="minorEastAsia" w:hAnsiTheme="minorEastAsia" w:cstheme="minorEastAsia"/>
        </w:rPr>
        <w:t>（18）法律法规或投标人须知前附表规定的其他情形。</w:t>
      </w:r>
    </w:p>
    <w:p>
      <w:pPr>
        <w:pStyle w:val="7"/>
        <w:snapToGrid w:val="0"/>
        <w:spacing w:before="0" w:after="0" w:line="360" w:lineRule="auto"/>
        <w:rPr>
          <w:rFonts w:cstheme="minorEastAsia"/>
        </w:rPr>
      </w:pPr>
      <w:bookmarkStart w:id="40" w:name="_Toc30866"/>
      <w:r>
        <w:rPr>
          <w:rFonts w:hint="eastAsia" w:cstheme="minorEastAsia"/>
        </w:rPr>
        <w:t>1.5费用承担</w:t>
      </w:r>
      <w:bookmarkEnd w:id="40"/>
    </w:p>
    <w:p>
      <w:pPr>
        <w:snapToGrid w:val="0"/>
        <w:spacing w:line="360" w:lineRule="auto"/>
        <w:rPr>
          <w:rFonts w:asciiTheme="minorEastAsia" w:hAnsiTheme="minorEastAsia" w:cstheme="minorEastAsia"/>
        </w:rPr>
      </w:pPr>
      <w:r>
        <w:rPr>
          <w:rFonts w:hint="eastAsia" w:asciiTheme="minorEastAsia" w:hAnsiTheme="minorEastAsia" w:cstheme="minorEastAsia"/>
        </w:rPr>
        <w:t>投标人准备和参加投标活动发生的费用自理。</w:t>
      </w:r>
    </w:p>
    <w:p>
      <w:pPr>
        <w:pStyle w:val="7"/>
        <w:snapToGrid w:val="0"/>
        <w:spacing w:before="0" w:after="0" w:line="360" w:lineRule="auto"/>
        <w:rPr>
          <w:rFonts w:cstheme="minorEastAsia"/>
        </w:rPr>
      </w:pPr>
      <w:bookmarkStart w:id="41" w:name="_Toc19158"/>
      <w:r>
        <w:rPr>
          <w:rFonts w:hint="eastAsia" w:cstheme="minorEastAsia"/>
        </w:rPr>
        <w:t>1.6保密</w:t>
      </w:r>
      <w:bookmarkEnd w:id="41"/>
    </w:p>
    <w:p>
      <w:pPr>
        <w:snapToGrid w:val="0"/>
        <w:spacing w:line="360" w:lineRule="auto"/>
        <w:rPr>
          <w:rFonts w:asciiTheme="minorEastAsia" w:hAnsiTheme="minorEastAsia" w:cstheme="minorEastAsia"/>
        </w:rPr>
      </w:pPr>
      <w:r>
        <w:rPr>
          <w:rFonts w:hint="eastAsia" w:asciiTheme="minorEastAsia" w:hAnsiTheme="minorEastAsia" w:cstheme="minorEastAsia"/>
        </w:rPr>
        <w:t>参与招标投标活动的各方应对招标文件和投标文件中的商业和技术等秘密保密，否则应承担相应的法律责任。</w:t>
      </w:r>
    </w:p>
    <w:p>
      <w:pPr>
        <w:pStyle w:val="7"/>
        <w:snapToGrid w:val="0"/>
        <w:spacing w:before="0" w:after="0" w:line="360" w:lineRule="auto"/>
        <w:rPr>
          <w:rFonts w:cstheme="minorEastAsia"/>
        </w:rPr>
      </w:pPr>
      <w:bookmarkStart w:id="42" w:name="_Toc3876"/>
      <w:r>
        <w:rPr>
          <w:rFonts w:hint="eastAsia" w:cstheme="minorEastAsia"/>
        </w:rPr>
        <w:t>1.7语言文字</w:t>
      </w:r>
      <w:bookmarkEnd w:id="42"/>
    </w:p>
    <w:p>
      <w:pPr>
        <w:snapToGrid w:val="0"/>
        <w:spacing w:line="360" w:lineRule="auto"/>
        <w:rPr>
          <w:rFonts w:asciiTheme="minorEastAsia" w:hAnsiTheme="minorEastAsia" w:cstheme="minorEastAsia"/>
        </w:rPr>
      </w:pPr>
      <w:r>
        <w:rPr>
          <w:rFonts w:hint="eastAsia" w:asciiTheme="minorEastAsia" w:hAnsiTheme="minorEastAsia" w:cstheme="minorEastAsia"/>
        </w:rPr>
        <w:t>招标投标文件使用的语言文字为中文。专用术语使用外文的，应附有中文注释。</w:t>
      </w:r>
    </w:p>
    <w:p>
      <w:pPr>
        <w:pStyle w:val="7"/>
        <w:snapToGrid w:val="0"/>
        <w:spacing w:before="0" w:after="0" w:line="360" w:lineRule="auto"/>
        <w:rPr>
          <w:rFonts w:cstheme="minorEastAsia"/>
        </w:rPr>
      </w:pPr>
      <w:bookmarkStart w:id="43" w:name="_Toc16921"/>
      <w:r>
        <w:rPr>
          <w:rFonts w:hint="eastAsia" w:cstheme="minorEastAsia"/>
        </w:rPr>
        <w:t>1.8计量单位</w:t>
      </w:r>
      <w:bookmarkEnd w:id="43"/>
    </w:p>
    <w:p>
      <w:pPr>
        <w:snapToGrid w:val="0"/>
        <w:spacing w:line="360" w:lineRule="auto"/>
        <w:rPr>
          <w:rFonts w:asciiTheme="minorEastAsia" w:hAnsiTheme="minorEastAsia" w:cstheme="minorEastAsia"/>
        </w:rPr>
      </w:pPr>
      <w:r>
        <w:rPr>
          <w:rFonts w:hint="eastAsia" w:asciiTheme="minorEastAsia" w:hAnsiTheme="minorEastAsia" w:cstheme="minorEastAsia"/>
        </w:rPr>
        <w:t>所有计量均采用中华人民共和国法定计量单位。</w:t>
      </w:r>
    </w:p>
    <w:p>
      <w:pPr>
        <w:pStyle w:val="7"/>
        <w:snapToGrid w:val="0"/>
        <w:spacing w:before="0" w:after="0" w:line="360" w:lineRule="auto"/>
        <w:rPr>
          <w:rFonts w:cstheme="minorEastAsia"/>
        </w:rPr>
      </w:pPr>
      <w:bookmarkStart w:id="44" w:name="_Toc22025"/>
      <w:r>
        <w:rPr>
          <w:rFonts w:hint="eastAsia" w:cstheme="minorEastAsia"/>
        </w:rPr>
        <w:t>1.9投标预备会</w:t>
      </w:r>
      <w:bookmarkEnd w:id="44"/>
    </w:p>
    <w:p>
      <w:pPr>
        <w:snapToGrid w:val="0"/>
        <w:spacing w:line="360" w:lineRule="auto"/>
        <w:rPr>
          <w:rFonts w:asciiTheme="minorEastAsia" w:hAnsiTheme="minorEastAsia" w:cstheme="minorEastAsia"/>
        </w:rPr>
      </w:pPr>
      <w:r>
        <w:rPr>
          <w:rFonts w:hint="eastAsia" w:asciiTheme="minorEastAsia" w:hAnsiTheme="minorEastAsia" w:cstheme="minorEastAsia"/>
        </w:rPr>
        <w:t>1.9.1投标人须知前附表规定召开投标预备会的，招标人按投标人须知前附表规定的时间和地点召开投标预备会，澄清投标人提出的问题。</w:t>
      </w:r>
    </w:p>
    <w:p>
      <w:pPr>
        <w:snapToGrid w:val="0"/>
        <w:spacing w:line="360" w:lineRule="auto"/>
        <w:rPr>
          <w:rFonts w:asciiTheme="minorEastAsia" w:hAnsiTheme="minorEastAsia" w:cstheme="minorEastAsia"/>
        </w:rPr>
      </w:pPr>
      <w:r>
        <w:rPr>
          <w:rFonts w:hint="eastAsia" w:asciiTheme="minorEastAsia" w:hAnsiTheme="minorEastAsia" w:cstheme="minorEastAsia"/>
        </w:rPr>
        <w:t>1.9.2投标人应按投标人须知前附表规定的时间和形式将提出的问题送达招标人，以便招标人在会议期间澄清。</w:t>
      </w:r>
    </w:p>
    <w:p>
      <w:pPr>
        <w:snapToGrid w:val="0"/>
        <w:spacing w:line="360" w:lineRule="auto"/>
        <w:rPr>
          <w:rFonts w:asciiTheme="minorEastAsia" w:hAnsiTheme="minorEastAsia" w:cstheme="minorEastAsia"/>
        </w:rPr>
      </w:pPr>
      <w:r>
        <w:rPr>
          <w:rFonts w:hint="eastAsia" w:asciiTheme="minorEastAsia" w:hAnsiTheme="minorEastAsia" w:cstheme="minorEastAsia"/>
        </w:rPr>
        <w:t>1.9.3投标预备会后，招标人将对投标人所提问题的澄清，以投标人须知前附表规定的形式通知所有购买招标文件的投标人。该澄清内容为招标文件的组成部分。</w:t>
      </w:r>
    </w:p>
    <w:p>
      <w:pPr>
        <w:pStyle w:val="7"/>
        <w:snapToGrid w:val="0"/>
        <w:spacing w:before="0" w:after="0" w:line="360" w:lineRule="auto"/>
        <w:rPr>
          <w:rFonts w:cstheme="minorEastAsia"/>
        </w:rPr>
      </w:pPr>
      <w:bookmarkStart w:id="45" w:name="_Toc20094"/>
      <w:r>
        <w:rPr>
          <w:rFonts w:hint="eastAsia" w:cstheme="minorEastAsia"/>
        </w:rPr>
        <w:t>1.10分包</w:t>
      </w:r>
      <w:bookmarkEnd w:id="45"/>
    </w:p>
    <w:p>
      <w:pPr>
        <w:snapToGrid w:val="0"/>
        <w:spacing w:line="360" w:lineRule="auto"/>
        <w:rPr>
          <w:rFonts w:asciiTheme="minorEastAsia" w:hAnsiTheme="minorEastAsia" w:cstheme="minorEastAsia"/>
        </w:rPr>
      </w:pPr>
      <w:r>
        <w:rPr>
          <w:rFonts w:hint="eastAsia" w:asciiTheme="minorEastAsia" w:hAnsiTheme="minorEastAsia" w:cstheme="minorEastAsia"/>
        </w:rPr>
        <w:t>1.10.1部分工作内容，在征得招标人同意后可以进行合法分包。</w:t>
      </w:r>
    </w:p>
    <w:p>
      <w:pPr>
        <w:snapToGrid w:val="0"/>
        <w:spacing w:line="360" w:lineRule="auto"/>
        <w:rPr>
          <w:rFonts w:asciiTheme="minorEastAsia" w:hAnsiTheme="minorEastAsia" w:cstheme="minorEastAsia"/>
        </w:rPr>
      </w:pPr>
      <w:r>
        <w:rPr>
          <w:rFonts w:hint="eastAsia" w:asciiTheme="minorEastAsia" w:hAnsiTheme="minorEastAsia" w:cstheme="minorEastAsia"/>
        </w:rPr>
        <w:t>1.10.2中标人不得向他人转让中标项目，接受分包的人不得再次分包。中标人应当就分包项目向招标人负责，接受分包的人就分包项目承担连带责任。</w:t>
      </w:r>
    </w:p>
    <w:p>
      <w:pPr>
        <w:pStyle w:val="7"/>
        <w:snapToGrid w:val="0"/>
        <w:spacing w:before="0" w:after="0" w:line="360" w:lineRule="auto"/>
        <w:rPr>
          <w:rFonts w:cstheme="minorEastAsia"/>
        </w:rPr>
      </w:pPr>
      <w:bookmarkStart w:id="46" w:name="_Toc22597"/>
      <w:r>
        <w:rPr>
          <w:rFonts w:hint="eastAsia" w:cstheme="minorEastAsia"/>
        </w:rPr>
        <w:t>1.11响应和偏差</w:t>
      </w:r>
      <w:bookmarkEnd w:id="46"/>
    </w:p>
    <w:p>
      <w:pPr>
        <w:snapToGrid w:val="0"/>
        <w:spacing w:line="360" w:lineRule="auto"/>
        <w:rPr>
          <w:rFonts w:asciiTheme="minorEastAsia" w:hAnsiTheme="minorEastAsia" w:cstheme="minorEastAsia"/>
        </w:rPr>
      </w:pPr>
      <w:r>
        <w:rPr>
          <w:rFonts w:hint="eastAsia" w:asciiTheme="minorEastAsia" w:hAnsiTheme="minorEastAsia" w:cstheme="minorEastAsia"/>
        </w:rPr>
        <w:t>1.11.1投标文件应当对招标文件的实质性要求和条件作出满足性或更有利于招标人的响应，否则，投标人的投标将被否决。实质性要求和条件见投标人须知前附表。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1.11.2投标人应根据招标文件的要求提供投标设备技术性能指标的详细描述、技术支持资料及技术服务和质保期服务计划等内容以对招标文件作出响应。</w:t>
      </w:r>
    </w:p>
    <w:p>
      <w:pPr>
        <w:snapToGrid w:val="0"/>
        <w:spacing w:line="360" w:lineRule="auto"/>
        <w:rPr>
          <w:rFonts w:asciiTheme="minorEastAsia" w:hAnsiTheme="minorEastAsia" w:cstheme="minorEastAsia"/>
        </w:rPr>
      </w:pPr>
      <w:r>
        <w:rPr>
          <w:rFonts w:hint="eastAsia" w:asciiTheme="minorEastAsia" w:hAnsiTheme="minorEastAsia" w:cstheme="minorEastAsia"/>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napToGrid w:val="0"/>
        <w:spacing w:line="360" w:lineRule="auto"/>
        <w:rPr>
          <w:rFonts w:asciiTheme="minorEastAsia" w:hAnsiTheme="minorEastAsia" w:cstheme="minorEastAsia"/>
        </w:rPr>
      </w:pPr>
      <w:r>
        <w:rPr>
          <w:rFonts w:hint="eastAsia" w:asciiTheme="minorEastAsia" w:hAnsiTheme="minorEastAsia" w:cstheme="minorEastAsia"/>
        </w:rPr>
        <w:t>1.11.4投标人须知前附表规定了可以偏差的范围和最高偏差项数的，偏差应当符合投标人须知前附表规定的偏差范围和最高项数，超出偏差范围和最高偏差项数的投标将被否决。</w:t>
      </w:r>
    </w:p>
    <w:p>
      <w:pPr>
        <w:snapToGrid w:val="0"/>
        <w:spacing w:line="360" w:lineRule="auto"/>
        <w:rPr>
          <w:rFonts w:asciiTheme="minorEastAsia" w:hAnsiTheme="minorEastAsia" w:cstheme="minorEastAsia"/>
        </w:rPr>
      </w:pPr>
      <w:r>
        <w:rPr>
          <w:rFonts w:hint="eastAsia" w:asciiTheme="minorEastAsia" w:hAnsiTheme="minorEastAsia" w:cstheme="minorEastAsia"/>
        </w:rPr>
        <w:t>1.11.5投标文件对招标文件的全部偏差，均应在投标文件的商务和技术偏差表中列明，除列明的内容外，视为投标人响应招标文件的全部要求。</w:t>
      </w:r>
    </w:p>
    <w:p>
      <w:pPr>
        <w:pStyle w:val="6"/>
        <w:snapToGrid w:val="0"/>
        <w:spacing w:before="0" w:after="0" w:line="360" w:lineRule="auto"/>
        <w:rPr>
          <w:rFonts w:cstheme="minorEastAsia"/>
        </w:rPr>
      </w:pPr>
      <w:bookmarkStart w:id="47" w:name="_Toc29101"/>
      <w:r>
        <w:rPr>
          <w:rFonts w:hint="eastAsia" w:cstheme="minorEastAsia"/>
        </w:rPr>
        <w:t>2.招标文件</w:t>
      </w:r>
      <w:bookmarkEnd w:id="47"/>
    </w:p>
    <w:p>
      <w:pPr>
        <w:pStyle w:val="7"/>
        <w:snapToGrid w:val="0"/>
        <w:spacing w:before="0" w:after="0" w:line="360" w:lineRule="auto"/>
        <w:rPr>
          <w:rFonts w:cstheme="minorEastAsia"/>
        </w:rPr>
      </w:pPr>
      <w:bookmarkStart w:id="48" w:name="_Toc4269"/>
      <w:r>
        <w:rPr>
          <w:rFonts w:hint="eastAsia" w:cstheme="minorEastAsia"/>
        </w:rPr>
        <w:t>2.1招标文件的组成</w:t>
      </w:r>
      <w:bookmarkEnd w:id="48"/>
    </w:p>
    <w:p>
      <w:pPr>
        <w:snapToGrid w:val="0"/>
        <w:spacing w:line="360" w:lineRule="auto"/>
        <w:rPr>
          <w:rFonts w:asciiTheme="minorEastAsia" w:hAnsiTheme="minorEastAsia" w:cstheme="minorEastAsia"/>
        </w:rPr>
      </w:pPr>
      <w:r>
        <w:rPr>
          <w:rFonts w:hint="eastAsia" w:asciiTheme="minorEastAsia" w:hAnsiTheme="minorEastAsia" w:cstheme="minorEastAsia"/>
        </w:rPr>
        <w:t>本招标文件包括：</w:t>
      </w:r>
    </w:p>
    <w:p>
      <w:pPr>
        <w:snapToGrid w:val="0"/>
        <w:spacing w:line="360" w:lineRule="auto"/>
        <w:rPr>
          <w:rFonts w:asciiTheme="minorEastAsia" w:hAnsiTheme="minorEastAsia" w:cstheme="minorEastAsia"/>
        </w:rPr>
      </w:pPr>
      <w:r>
        <w:rPr>
          <w:rFonts w:hint="eastAsia" w:asciiTheme="minorEastAsia" w:hAnsiTheme="minorEastAsia" w:cstheme="minorEastAsia"/>
        </w:rPr>
        <w:t>（1）投标邀请书；</w:t>
      </w:r>
    </w:p>
    <w:p>
      <w:pPr>
        <w:snapToGrid w:val="0"/>
        <w:spacing w:line="360" w:lineRule="auto"/>
        <w:rPr>
          <w:rFonts w:asciiTheme="minorEastAsia" w:hAnsiTheme="minorEastAsia" w:cstheme="minorEastAsia"/>
        </w:rPr>
      </w:pPr>
      <w:r>
        <w:rPr>
          <w:rFonts w:hint="eastAsia" w:asciiTheme="minorEastAsia" w:hAnsiTheme="minorEastAsia" w:cstheme="minorEastAsia"/>
        </w:rPr>
        <w:t>（2）投标人须知；</w:t>
      </w:r>
    </w:p>
    <w:p>
      <w:pPr>
        <w:snapToGrid w:val="0"/>
        <w:spacing w:line="360" w:lineRule="auto"/>
        <w:rPr>
          <w:rFonts w:asciiTheme="minorEastAsia" w:hAnsiTheme="minorEastAsia" w:cstheme="minorEastAsia"/>
        </w:rPr>
      </w:pPr>
      <w:r>
        <w:rPr>
          <w:rFonts w:hint="eastAsia" w:asciiTheme="minorEastAsia" w:hAnsiTheme="minorEastAsia" w:cstheme="minorEastAsia"/>
        </w:rPr>
        <w:t>（3）评标办法；</w:t>
      </w:r>
    </w:p>
    <w:p>
      <w:pPr>
        <w:snapToGrid w:val="0"/>
        <w:spacing w:line="360" w:lineRule="auto"/>
        <w:rPr>
          <w:rFonts w:asciiTheme="minorEastAsia" w:hAnsiTheme="minorEastAsia" w:cstheme="minorEastAsia"/>
        </w:rPr>
      </w:pPr>
      <w:r>
        <w:rPr>
          <w:rFonts w:hint="eastAsia" w:asciiTheme="minorEastAsia" w:hAnsiTheme="minorEastAsia" w:cstheme="minorEastAsia"/>
        </w:rPr>
        <w:t>（4）合同条款及格式；</w:t>
      </w:r>
    </w:p>
    <w:p>
      <w:pPr>
        <w:snapToGrid w:val="0"/>
        <w:spacing w:line="360" w:lineRule="auto"/>
        <w:rPr>
          <w:rFonts w:asciiTheme="minorEastAsia" w:hAnsiTheme="minorEastAsia" w:cstheme="minorEastAsia"/>
        </w:rPr>
      </w:pPr>
      <w:r>
        <w:rPr>
          <w:rFonts w:hint="eastAsia" w:asciiTheme="minorEastAsia" w:hAnsiTheme="minorEastAsia" w:cstheme="minorEastAsia"/>
        </w:rPr>
        <w:t>（5）项目需求；</w:t>
      </w:r>
    </w:p>
    <w:p>
      <w:pPr>
        <w:snapToGrid w:val="0"/>
        <w:spacing w:line="360" w:lineRule="auto"/>
        <w:rPr>
          <w:rFonts w:asciiTheme="minorEastAsia" w:hAnsiTheme="minorEastAsia" w:cstheme="minorEastAsia"/>
        </w:rPr>
      </w:pPr>
      <w:r>
        <w:rPr>
          <w:rFonts w:hint="eastAsia" w:asciiTheme="minorEastAsia" w:hAnsiTheme="minorEastAsia" w:cstheme="minorEastAsia"/>
        </w:rPr>
        <w:t>（6）投标文件格式；</w:t>
      </w:r>
    </w:p>
    <w:p>
      <w:pPr>
        <w:snapToGrid w:val="0"/>
        <w:spacing w:line="360" w:lineRule="auto"/>
        <w:rPr>
          <w:rFonts w:asciiTheme="minorEastAsia" w:hAnsiTheme="minorEastAsia" w:cstheme="minorEastAsia"/>
        </w:rPr>
      </w:pPr>
      <w:r>
        <w:rPr>
          <w:rFonts w:hint="eastAsia" w:asciiTheme="minorEastAsia" w:hAnsiTheme="minorEastAsia" w:cstheme="minorEastAsia"/>
        </w:rPr>
        <w:t>（7）投标人须知前附表规定的其他资料。</w:t>
      </w:r>
    </w:p>
    <w:p>
      <w:pPr>
        <w:snapToGrid w:val="0"/>
        <w:spacing w:line="360" w:lineRule="auto"/>
        <w:rPr>
          <w:rFonts w:asciiTheme="minorEastAsia" w:hAnsiTheme="minorEastAsia" w:cstheme="minorEastAsia"/>
        </w:rPr>
      </w:pPr>
      <w:r>
        <w:rPr>
          <w:rFonts w:hint="eastAsia" w:asciiTheme="minorEastAsia" w:hAnsiTheme="minorEastAsia" w:cstheme="minorEastAsia"/>
        </w:rPr>
        <w:t>根据本章第1.9款、第2.2款和第2.3款对招标文件所作的澄清、修改，构成招标文件的组成部分。</w:t>
      </w:r>
    </w:p>
    <w:p>
      <w:pPr>
        <w:pStyle w:val="7"/>
        <w:snapToGrid w:val="0"/>
        <w:spacing w:before="0" w:after="0" w:line="360" w:lineRule="auto"/>
        <w:rPr>
          <w:rFonts w:cstheme="minorEastAsia"/>
        </w:rPr>
      </w:pPr>
      <w:bookmarkStart w:id="49" w:name="_Toc947"/>
      <w:r>
        <w:rPr>
          <w:rFonts w:hint="eastAsia" w:cstheme="minorEastAsia"/>
        </w:rPr>
        <w:t>2.2招标文件的澄清</w:t>
      </w:r>
      <w:bookmarkEnd w:id="49"/>
    </w:p>
    <w:p>
      <w:pPr>
        <w:snapToGrid w:val="0"/>
        <w:spacing w:line="360" w:lineRule="auto"/>
        <w:rPr>
          <w:rFonts w:asciiTheme="minorEastAsia" w:hAnsiTheme="minorEastAsia" w:cstheme="minorEastAsia"/>
        </w:rPr>
      </w:pPr>
      <w:r>
        <w:rPr>
          <w:rFonts w:hint="eastAsia" w:asciiTheme="minorEastAsia" w:hAnsiTheme="minorEastAsia" w:cstheme="minorEastAsia"/>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spacing w:line="360" w:lineRule="auto"/>
        <w:rPr>
          <w:rFonts w:asciiTheme="minorEastAsia" w:hAnsiTheme="minorEastAsia" w:cstheme="minorEastAsia"/>
        </w:rPr>
      </w:pPr>
      <w:r>
        <w:rPr>
          <w:rFonts w:hint="eastAsia" w:asciiTheme="minorEastAsia" w:hAnsiTheme="minorEastAsia" w:cstheme="minorEastAsia"/>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napToGrid w:val="0"/>
        <w:spacing w:line="360" w:lineRule="auto"/>
        <w:rPr>
          <w:rFonts w:asciiTheme="minorEastAsia" w:hAnsiTheme="minorEastAsia" w:cstheme="minorEastAsia"/>
        </w:rPr>
      </w:pPr>
      <w:r>
        <w:rPr>
          <w:rFonts w:hint="eastAsia" w:asciiTheme="minorEastAsia" w:hAnsiTheme="minorEastAsia" w:cstheme="minorEastAsia"/>
        </w:rPr>
        <w:t>2.2.3投标人在收到澄清后，应按投标人须知前附表规定的时间和形式通知招标人，确认已收到该澄清。</w:t>
      </w:r>
    </w:p>
    <w:p>
      <w:pPr>
        <w:snapToGrid w:val="0"/>
        <w:spacing w:line="360" w:lineRule="auto"/>
        <w:rPr>
          <w:rFonts w:asciiTheme="minorEastAsia" w:hAnsiTheme="minorEastAsia" w:cstheme="minorEastAsia"/>
        </w:rPr>
      </w:pPr>
      <w:r>
        <w:rPr>
          <w:rFonts w:hint="eastAsia" w:asciiTheme="minorEastAsia" w:hAnsiTheme="minorEastAsia" w:cstheme="minorEastAsia"/>
        </w:rPr>
        <w:t>2.2.4除非招标人认为确有必要答复，否则，招标人有权拒绝回复投标人在本章第2.2.1项规定的时间后的任何澄清要求。</w:t>
      </w:r>
    </w:p>
    <w:p>
      <w:pPr>
        <w:pStyle w:val="7"/>
        <w:snapToGrid w:val="0"/>
        <w:spacing w:before="0" w:after="0" w:line="360" w:lineRule="auto"/>
        <w:rPr>
          <w:rFonts w:cstheme="minorEastAsia"/>
        </w:rPr>
      </w:pPr>
      <w:bookmarkStart w:id="50" w:name="_Toc17791"/>
      <w:r>
        <w:rPr>
          <w:rFonts w:hint="eastAsia" w:cstheme="minorEastAsia"/>
        </w:rPr>
        <w:t>2.3招标文件的修改</w:t>
      </w:r>
      <w:bookmarkEnd w:id="50"/>
    </w:p>
    <w:p>
      <w:pPr>
        <w:snapToGrid w:val="0"/>
        <w:spacing w:line="360" w:lineRule="auto"/>
        <w:rPr>
          <w:rFonts w:asciiTheme="minorEastAsia" w:hAnsiTheme="minorEastAsia" w:cstheme="minorEastAsia"/>
        </w:rPr>
      </w:pPr>
      <w:r>
        <w:rPr>
          <w:rFonts w:hint="eastAsia" w:asciiTheme="minorEastAsia" w:hAnsiTheme="minorEastAsia" w:cstheme="minorEastAsia"/>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snapToGrid w:val="0"/>
        <w:spacing w:line="360" w:lineRule="auto"/>
        <w:rPr>
          <w:rFonts w:asciiTheme="minorEastAsia" w:hAnsiTheme="minorEastAsia" w:cstheme="minorEastAsia"/>
        </w:rPr>
      </w:pPr>
      <w:r>
        <w:rPr>
          <w:rFonts w:hint="eastAsia" w:asciiTheme="minorEastAsia" w:hAnsiTheme="minorEastAsia" w:cstheme="minorEastAsia"/>
        </w:rPr>
        <w:t>2.3.2投标人收到修改内容后，应按投标人须知前附表规定的时间和形式通知招标人，确认已收到该修改。</w:t>
      </w:r>
    </w:p>
    <w:p>
      <w:pPr>
        <w:pStyle w:val="7"/>
        <w:snapToGrid w:val="0"/>
        <w:spacing w:before="0" w:after="0" w:line="360" w:lineRule="auto"/>
        <w:rPr>
          <w:rFonts w:cstheme="minorEastAsia"/>
        </w:rPr>
      </w:pPr>
      <w:bookmarkStart w:id="51" w:name="_Toc20146"/>
      <w:r>
        <w:rPr>
          <w:rFonts w:hint="eastAsia" w:cstheme="minorEastAsia"/>
        </w:rPr>
        <w:t>2.4招标文件的异议</w:t>
      </w:r>
      <w:bookmarkEnd w:id="51"/>
    </w:p>
    <w:p>
      <w:pPr>
        <w:snapToGrid w:val="0"/>
        <w:spacing w:line="360" w:lineRule="auto"/>
        <w:rPr>
          <w:rFonts w:asciiTheme="minorEastAsia" w:hAnsiTheme="minorEastAsia" w:cstheme="minorEastAsia"/>
        </w:rPr>
      </w:pPr>
      <w:r>
        <w:rPr>
          <w:rFonts w:hint="eastAsia" w:asciiTheme="minorEastAsia" w:hAnsiTheme="minorEastAsia" w:cstheme="minorEastAsia"/>
        </w:rPr>
        <w:t>投标人或者其他利害关系人对招标文件有异议的，应当在投标截止时间 10 日前以书面形式提出。招标人将在收到异议之日起 3 日内作出答复；作出答复前，将暂停招标投标活动。</w:t>
      </w:r>
    </w:p>
    <w:p>
      <w:pPr>
        <w:pStyle w:val="6"/>
        <w:snapToGrid w:val="0"/>
        <w:spacing w:before="0" w:after="0" w:line="360" w:lineRule="auto"/>
        <w:rPr>
          <w:rFonts w:cstheme="minorEastAsia"/>
        </w:rPr>
      </w:pPr>
      <w:bookmarkStart w:id="52" w:name="_Toc10695"/>
      <w:r>
        <w:rPr>
          <w:rFonts w:hint="eastAsia" w:cstheme="minorEastAsia"/>
        </w:rPr>
        <w:t>3.投标文件</w:t>
      </w:r>
      <w:bookmarkEnd w:id="52"/>
    </w:p>
    <w:p>
      <w:pPr>
        <w:pStyle w:val="7"/>
        <w:snapToGrid w:val="0"/>
        <w:spacing w:before="0" w:after="0" w:line="360" w:lineRule="auto"/>
        <w:rPr>
          <w:rFonts w:cstheme="minorEastAsia"/>
        </w:rPr>
      </w:pPr>
      <w:bookmarkStart w:id="53" w:name="_Toc19757"/>
      <w:r>
        <w:rPr>
          <w:rFonts w:hint="eastAsia" w:cstheme="minorEastAsia"/>
        </w:rPr>
        <w:t>3.1投标文件的组成</w:t>
      </w:r>
      <w:bookmarkEnd w:id="53"/>
    </w:p>
    <w:p>
      <w:pPr>
        <w:snapToGrid w:val="0"/>
        <w:spacing w:line="360" w:lineRule="auto"/>
        <w:rPr>
          <w:rFonts w:asciiTheme="minorEastAsia" w:hAnsiTheme="minorEastAsia" w:cstheme="minorEastAsia"/>
        </w:rPr>
      </w:pPr>
      <w:r>
        <w:rPr>
          <w:rFonts w:hint="eastAsia" w:asciiTheme="minorEastAsia" w:hAnsiTheme="minorEastAsia" w:cstheme="minorEastAsia"/>
        </w:rPr>
        <w:t>3.1.1投标文件应包括下列内容：</w:t>
      </w:r>
    </w:p>
    <w:p>
      <w:pPr>
        <w:snapToGrid w:val="0"/>
        <w:spacing w:line="360" w:lineRule="auto"/>
        <w:rPr>
          <w:rFonts w:asciiTheme="minorEastAsia" w:hAnsiTheme="minorEastAsia" w:cstheme="minorEastAsia"/>
        </w:rPr>
      </w:pPr>
      <w:r>
        <w:rPr>
          <w:rFonts w:hint="eastAsia" w:asciiTheme="minorEastAsia" w:hAnsiTheme="minorEastAsia" w:cstheme="minorEastAsia"/>
        </w:rPr>
        <w:t>（1）投标函；</w:t>
      </w:r>
    </w:p>
    <w:p>
      <w:pPr>
        <w:snapToGrid w:val="0"/>
        <w:spacing w:line="360" w:lineRule="auto"/>
        <w:rPr>
          <w:rFonts w:asciiTheme="minorEastAsia" w:hAnsiTheme="minorEastAsia" w:cstheme="minorEastAsia"/>
        </w:rPr>
      </w:pPr>
      <w:r>
        <w:rPr>
          <w:rFonts w:hint="eastAsia" w:asciiTheme="minorEastAsia" w:hAnsiTheme="minorEastAsia" w:cstheme="minorEastAsia"/>
        </w:rPr>
        <w:t>（2）法定代表人（单位负责人）身份证明；</w:t>
      </w:r>
    </w:p>
    <w:p>
      <w:pPr>
        <w:snapToGrid w:val="0"/>
        <w:spacing w:line="360" w:lineRule="auto"/>
        <w:rPr>
          <w:rFonts w:asciiTheme="minorEastAsia" w:hAnsiTheme="minorEastAsia" w:cstheme="minorEastAsia"/>
        </w:rPr>
      </w:pPr>
      <w:r>
        <w:rPr>
          <w:rFonts w:hint="eastAsia" w:asciiTheme="minorEastAsia" w:hAnsiTheme="minorEastAsia" w:cstheme="minorEastAsia"/>
        </w:rPr>
        <w:t>（3）授权委托书；</w:t>
      </w:r>
    </w:p>
    <w:p>
      <w:pPr>
        <w:snapToGrid w:val="0"/>
        <w:spacing w:line="360" w:lineRule="auto"/>
        <w:rPr>
          <w:rFonts w:asciiTheme="minorEastAsia" w:hAnsiTheme="minorEastAsia" w:cstheme="minorEastAsia"/>
        </w:rPr>
      </w:pPr>
      <w:r>
        <w:rPr>
          <w:rFonts w:hint="eastAsia" w:asciiTheme="minorEastAsia" w:hAnsiTheme="minorEastAsia" w:cstheme="minorEastAsia"/>
        </w:rPr>
        <w:t>（4）联合体协议书；</w:t>
      </w:r>
    </w:p>
    <w:p>
      <w:pPr>
        <w:snapToGrid w:val="0"/>
        <w:spacing w:line="360" w:lineRule="auto"/>
        <w:rPr>
          <w:rFonts w:asciiTheme="minorEastAsia" w:hAnsiTheme="minorEastAsia" w:cstheme="minorEastAsia"/>
        </w:rPr>
      </w:pPr>
      <w:r>
        <w:rPr>
          <w:rFonts w:hint="eastAsia" w:asciiTheme="minorEastAsia" w:hAnsiTheme="minorEastAsia" w:cstheme="minorEastAsia"/>
        </w:rPr>
        <w:t>（5）投标保证金；</w:t>
      </w:r>
    </w:p>
    <w:p>
      <w:pPr>
        <w:snapToGrid w:val="0"/>
        <w:spacing w:line="360" w:lineRule="auto"/>
        <w:rPr>
          <w:rFonts w:asciiTheme="minorEastAsia" w:hAnsiTheme="minorEastAsia" w:cstheme="minorEastAsia"/>
        </w:rPr>
      </w:pPr>
      <w:r>
        <w:rPr>
          <w:rFonts w:hint="eastAsia" w:asciiTheme="minorEastAsia" w:hAnsiTheme="minorEastAsia" w:cstheme="minorEastAsia"/>
        </w:rPr>
        <w:t>（6）商务和技术偏差表；</w:t>
      </w:r>
    </w:p>
    <w:p>
      <w:pPr>
        <w:snapToGrid w:val="0"/>
        <w:spacing w:line="360" w:lineRule="auto"/>
        <w:rPr>
          <w:rFonts w:asciiTheme="minorEastAsia" w:hAnsiTheme="minorEastAsia" w:cstheme="minorEastAsia"/>
        </w:rPr>
      </w:pPr>
      <w:r>
        <w:rPr>
          <w:rFonts w:hint="eastAsia" w:asciiTheme="minorEastAsia" w:hAnsiTheme="minorEastAsia" w:cstheme="minorEastAsia"/>
        </w:rPr>
        <w:t>（7）报价表；</w:t>
      </w:r>
    </w:p>
    <w:p>
      <w:pPr>
        <w:snapToGrid w:val="0"/>
        <w:spacing w:line="360" w:lineRule="auto"/>
        <w:rPr>
          <w:rFonts w:asciiTheme="minorEastAsia" w:hAnsiTheme="minorEastAsia" w:cstheme="minorEastAsia"/>
        </w:rPr>
      </w:pPr>
      <w:r>
        <w:rPr>
          <w:rFonts w:hint="eastAsia" w:asciiTheme="minorEastAsia" w:hAnsiTheme="minorEastAsia" w:cstheme="minorEastAsia"/>
        </w:rPr>
        <w:t>（8）资格审查资料；</w:t>
      </w:r>
    </w:p>
    <w:p>
      <w:pPr>
        <w:snapToGrid w:val="0"/>
        <w:spacing w:line="360" w:lineRule="auto"/>
        <w:rPr>
          <w:rFonts w:asciiTheme="minorEastAsia" w:hAnsiTheme="minorEastAsia" w:cstheme="minorEastAsia"/>
        </w:rPr>
      </w:pPr>
      <w:r>
        <w:rPr>
          <w:rFonts w:hint="eastAsia" w:asciiTheme="minorEastAsia" w:hAnsiTheme="minorEastAsia" w:cstheme="minorEastAsia"/>
        </w:rPr>
        <w:t>（9）投标设备技术性能指标的详细描述；</w:t>
      </w:r>
    </w:p>
    <w:p>
      <w:pPr>
        <w:snapToGrid w:val="0"/>
        <w:spacing w:line="360" w:lineRule="auto"/>
        <w:rPr>
          <w:rFonts w:asciiTheme="minorEastAsia" w:hAnsiTheme="minorEastAsia" w:cstheme="minorEastAsia"/>
        </w:rPr>
      </w:pPr>
      <w:r>
        <w:rPr>
          <w:rFonts w:hint="eastAsia" w:asciiTheme="minorEastAsia" w:hAnsiTheme="minorEastAsia" w:cstheme="minorEastAsia"/>
        </w:rPr>
        <w:t>（10）技术支持资料；</w:t>
      </w:r>
    </w:p>
    <w:p>
      <w:pPr>
        <w:snapToGrid w:val="0"/>
        <w:spacing w:line="360" w:lineRule="auto"/>
        <w:rPr>
          <w:rFonts w:asciiTheme="minorEastAsia" w:hAnsiTheme="minorEastAsia" w:cstheme="minorEastAsia"/>
        </w:rPr>
      </w:pPr>
      <w:r>
        <w:rPr>
          <w:rFonts w:hint="eastAsia" w:asciiTheme="minorEastAsia" w:hAnsiTheme="minorEastAsia" w:cstheme="minorEastAsia"/>
        </w:rPr>
        <w:t>（11）技术服务和质保期服务计划；</w:t>
      </w:r>
    </w:p>
    <w:p>
      <w:pPr>
        <w:snapToGrid w:val="0"/>
        <w:spacing w:line="360" w:lineRule="auto"/>
        <w:rPr>
          <w:rFonts w:asciiTheme="minorEastAsia" w:hAnsiTheme="minorEastAsia" w:cstheme="minorEastAsia"/>
        </w:rPr>
      </w:pPr>
      <w:r>
        <w:rPr>
          <w:rFonts w:hint="eastAsia" w:asciiTheme="minorEastAsia" w:hAnsiTheme="minorEastAsia" w:cstheme="minorEastAsia"/>
        </w:rPr>
        <w:t>（12）投标人须知前附表规定的其他资料。</w:t>
      </w:r>
    </w:p>
    <w:p>
      <w:pPr>
        <w:snapToGrid w:val="0"/>
        <w:spacing w:line="360" w:lineRule="auto"/>
        <w:rPr>
          <w:rFonts w:asciiTheme="minorEastAsia" w:hAnsiTheme="minorEastAsia" w:cstheme="minorEastAsia"/>
        </w:rPr>
      </w:pPr>
      <w:r>
        <w:rPr>
          <w:rFonts w:hint="eastAsia" w:asciiTheme="minorEastAsia" w:hAnsiTheme="minorEastAsia" w:cstheme="minorEastAsia"/>
        </w:rPr>
        <w:t>投标人在评标过程中作出的符合法律法规和招标文件规定的澄清确认，构成投标文件的组成部分。</w:t>
      </w:r>
    </w:p>
    <w:p>
      <w:pPr>
        <w:snapToGrid w:val="0"/>
        <w:spacing w:line="360" w:lineRule="auto"/>
        <w:rPr>
          <w:rFonts w:asciiTheme="minorEastAsia" w:hAnsiTheme="minorEastAsia" w:cstheme="minorEastAsia"/>
        </w:rPr>
      </w:pPr>
      <w:r>
        <w:rPr>
          <w:rFonts w:hint="eastAsia" w:asciiTheme="minorEastAsia" w:hAnsiTheme="minorEastAsia" w:cstheme="minorEastAsia"/>
        </w:rPr>
        <w:t>3.1.2投标人须知前附表规定不接受联合体投标的，或投标人没有组成联合体的，投标文件不包括本章第3.1.1（4）目所指的联合体协议书。</w:t>
      </w:r>
    </w:p>
    <w:p>
      <w:pPr>
        <w:snapToGrid w:val="0"/>
        <w:spacing w:line="360" w:lineRule="auto"/>
        <w:rPr>
          <w:rFonts w:asciiTheme="minorEastAsia" w:hAnsiTheme="minorEastAsia" w:cstheme="minorEastAsia"/>
        </w:rPr>
      </w:pPr>
      <w:r>
        <w:rPr>
          <w:rFonts w:hint="eastAsia" w:asciiTheme="minorEastAsia" w:hAnsiTheme="minorEastAsia" w:cstheme="minorEastAsia"/>
        </w:rPr>
        <w:t>3.1.3投标人须知前附表未要求提交投标保证金的，投标文件不包括本章第3.1.1（5）目所指的投标保证金。</w:t>
      </w:r>
    </w:p>
    <w:p>
      <w:pPr>
        <w:pStyle w:val="7"/>
        <w:snapToGrid w:val="0"/>
        <w:spacing w:before="0" w:after="0" w:line="360" w:lineRule="auto"/>
        <w:rPr>
          <w:rFonts w:cstheme="minorEastAsia"/>
        </w:rPr>
      </w:pPr>
      <w:bookmarkStart w:id="54" w:name="_Toc15102"/>
      <w:r>
        <w:rPr>
          <w:rFonts w:hint="eastAsia" w:cstheme="minorEastAsia"/>
        </w:rPr>
        <w:t>3.2投标报价</w:t>
      </w:r>
      <w:bookmarkEnd w:id="54"/>
    </w:p>
    <w:p>
      <w:pPr>
        <w:snapToGrid w:val="0"/>
        <w:spacing w:line="360" w:lineRule="auto"/>
        <w:rPr>
          <w:rFonts w:asciiTheme="minorEastAsia" w:hAnsiTheme="minorEastAsia" w:cstheme="minorEastAsia"/>
        </w:rPr>
      </w:pPr>
      <w:r>
        <w:rPr>
          <w:rFonts w:hint="eastAsia" w:asciiTheme="minorEastAsia" w:hAnsiTheme="minorEastAsia" w:cstheme="minorEastAsia"/>
        </w:rPr>
        <w:t>3.2.1投标报价应包括国家规定的增值税税金，除投标人须知前附表另有规定外，增值税税金按国家法律及相关规定计算。投标人应按第六章“投标文件格式”的要求在投标函中进行报价并填写分项报价表。</w:t>
      </w:r>
    </w:p>
    <w:p>
      <w:pPr>
        <w:snapToGrid w:val="0"/>
        <w:spacing w:line="360" w:lineRule="auto"/>
        <w:rPr>
          <w:rFonts w:asciiTheme="minorEastAsia" w:hAnsiTheme="minorEastAsia" w:cstheme="minorEastAsia"/>
        </w:rPr>
      </w:pPr>
      <w:r>
        <w:rPr>
          <w:rFonts w:hint="eastAsia" w:asciiTheme="minorEastAsia" w:hAnsiTheme="minorEastAsia" w:cstheme="minorEastAsia"/>
        </w:rPr>
        <w:t>3.2.2投标人应充分了解该项目的总体情况以及影响投标报价的其他要素。</w:t>
      </w:r>
    </w:p>
    <w:p>
      <w:pPr>
        <w:snapToGrid w:val="0"/>
        <w:spacing w:line="360" w:lineRule="auto"/>
        <w:rPr>
          <w:rFonts w:asciiTheme="minorEastAsia" w:hAnsiTheme="minorEastAsia" w:cstheme="minorEastAsia"/>
        </w:rPr>
      </w:pPr>
      <w:r>
        <w:rPr>
          <w:rFonts w:hint="eastAsia" w:asciiTheme="minorEastAsia" w:hAnsiTheme="minorEastAsia" w:cstheme="minorEastAsia"/>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“分项报价表”中的相应报价。此修改须符合本章第4.3款的有关要求。</w:t>
      </w:r>
    </w:p>
    <w:p>
      <w:pPr>
        <w:snapToGrid w:val="0"/>
        <w:spacing w:line="360" w:lineRule="auto"/>
        <w:rPr>
          <w:rFonts w:asciiTheme="minorEastAsia" w:hAnsiTheme="minorEastAsia" w:cstheme="minorEastAsia"/>
        </w:rPr>
      </w:pPr>
      <w:r>
        <w:rPr>
          <w:rFonts w:hint="eastAsia" w:asciiTheme="minorEastAsia" w:hAnsiTheme="minorEastAsia" w:cstheme="minorEastAsia"/>
        </w:rPr>
        <w:t>3.2.4招标人设有最高投标限价的，投标人的投标报价不得超过最高投标限价，最高投标限价在投标人须知前附表中载明。</w:t>
      </w:r>
    </w:p>
    <w:p>
      <w:pPr>
        <w:snapToGrid w:val="0"/>
        <w:spacing w:line="360" w:lineRule="auto"/>
        <w:rPr>
          <w:rFonts w:asciiTheme="minorEastAsia" w:hAnsiTheme="minorEastAsia" w:cstheme="minorEastAsia"/>
        </w:rPr>
      </w:pPr>
      <w:r>
        <w:rPr>
          <w:rFonts w:hint="eastAsia" w:asciiTheme="minorEastAsia" w:hAnsiTheme="minorEastAsia" w:cstheme="minorEastAsia"/>
        </w:rPr>
        <w:t>3.2.5投标报价的其他要求见投标人须知前附表。</w:t>
      </w:r>
    </w:p>
    <w:p>
      <w:pPr>
        <w:pStyle w:val="7"/>
        <w:snapToGrid w:val="0"/>
        <w:spacing w:before="0" w:after="0" w:line="360" w:lineRule="auto"/>
        <w:rPr>
          <w:rFonts w:cstheme="minorEastAsia"/>
        </w:rPr>
      </w:pPr>
      <w:bookmarkStart w:id="55" w:name="_Toc18357"/>
      <w:r>
        <w:rPr>
          <w:rFonts w:hint="eastAsia" w:cstheme="minorEastAsia"/>
        </w:rPr>
        <w:t>3.3投标有效期</w:t>
      </w:r>
      <w:bookmarkEnd w:id="55"/>
    </w:p>
    <w:p>
      <w:pPr>
        <w:snapToGrid w:val="0"/>
        <w:spacing w:line="360" w:lineRule="auto"/>
        <w:rPr>
          <w:rFonts w:asciiTheme="minorEastAsia" w:hAnsiTheme="minorEastAsia" w:cstheme="minorEastAsia"/>
        </w:rPr>
      </w:pPr>
      <w:r>
        <w:rPr>
          <w:rFonts w:hint="eastAsia" w:asciiTheme="minorEastAsia" w:hAnsiTheme="minorEastAsia" w:cstheme="minorEastAsia"/>
        </w:rPr>
        <w:t>3.3.1除投标人须知前附表另有规定外，投标有效期为 90 天。</w:t>
      </w:r>
    </w:p>
    <w:p>
      <w:pPr>
        <w:snapToGrid w:val="0"/>
        <w:spacing w:line="360" w:lineRule="auto"/>
        <w:rPr>
          <w:rFonts w:asciiTheme="minorEastAsia" w:hAnsiTheme="minorEastAsia" w:cstheme="minorEastAsia"/>
        </w:rPr>
      </w:pPr>
      <w:r>
        <w:rPr>
          <w:rFonts w:hint="eastAsia" w:asciiTheme="minorEastAsia" w:hAnsiTheme="minorEastAsia" w:cstheme="minorEastAsia"/>
        </w:rPr>
        <w:t>3.3.2在投标有效期内，投标人撤销投标文件的，应承担招标文件和法律规定的责任。</w:t>
      </w:r>
    </w:p>
    <w:p>
      <w:pPr>
        <w:snapToGrid w:val="0"/>
        <w:spacing w:line="360" w:lineRule="auto"/>
        <w:rPr>
          <w:rFonts w:asciiTheme="minorEastAsia" w:hAnsiTheme="minorEastAsia" w:cstheme="minorEastAsia"/>
        </w:rPr>
      </w:pPr>
      <w:r>
        <w:rPr>
          <w:rFonts w:hint="eastAsia" w:asciiTheme="minorEastAsia" w:hAnsiTheme="minorEastAsia" w:cstheme="minorEastAsia"/>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7"/>
        <w:snapToGrid w:val="0"/>
        <w:spacing w:before="0" w:after="0" w:line="360" w:lineRule="auto"/>
        <w:rPr>
          <w:rFonts w:cstheme="minorEastAsia"/>
        </w:rPr>
      </w:pPr>
      <w:bookmarkStart w:id="56" w:name="_Toc17534"/>
      <w:r>
        <w:rPr>
          <w:rFonts w:hint="eastAsia" w:cstheme="minorEastAsia"/>
        </w:rPr>
        <w:t>3.4投标保证金</w:t>
      </w:r>
      <w:bookmarkEnd w:id="56"/>
    </w:p>
    <w:p>
      <w:pPr>
        <w:snapToGrid w:val="0"/>
        <w:spacing w:line="360" w:lineRule="auto"/>
        <w:rPr>
          <w:rFonts w:asciiTheme="minorEastAsia" w:hAnsiTheme="minorEastAsia" w:cstheme="minorEastAsia"/>
        </w:rPr>
      </w:pPr>
      <w:r>
        <w:rPr>
          <w:rFonts w:hint="eastAsia" w:asciiTheme="minorEastAsia" w:hAnsiTheme="minorEastAsia" w:cstheme="minorEastAsia"/>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napToGrid w:val="0"/>
        <w:spacing w:line="360" w:lineRule="auto"/>
        <w:rPr>
          <w:rFonts w:asciiTheme="minorEastAsia" w:hAnsiTheme="minorEastAsia" w:cstheme="minorEastAsia"/>
        </w:rPr>
      </w:pPr>
      <w:r>
        <w:rPr>
          <w:rFonts w:hint="eastAsia" w:asciiTheme="minorEastAsia" w:hAnsiTheme="minorEastAsia" w:cstheme="minorEastAsia"/>
        </w:rPr>
        <w:t>3.4.2投标人不按本章第3.4.1项要求提交投标保证金的，评标委员会将否决其投标。</w:t>
      </w:r>
    </w:p>
    <w:p>
      <w:pPr>
        <w:snapToGrid w:val="0"/>
        <w:spacing w:line="360" w:lineRule="auto"/>
        <w:rPr>
          <w:rFonts w:asciiTheme="minorEastAsia" w:hAnsiTheme="minorEastAsia" w:cstheme="minorEastAsia"/>
        </w:rPr>
      </w:pPr>
      <w:r>
        <w:rPr>
          <w:rFonts w:hint="eastAsia" w:asciiTheme="minorEastAsia" w:hAnsiTheme="minorEastAsia" w:cstheme="minorEastAsia"/>
        </w:rPr>
        <w:t>3.4.3招标人最迟将在与中标人签订合同后 5 日内，向未中标的投标人和中标人退还投标保证金。投标保证金以现金或者支票形式递交的，还应退还银行同期存款利息。</w:t>
      </w:r>
    </w:p>
    <w:p>
      <w:pPr>
        <w:snapToGrid w:val="0"/>
        <w:spacing w:line="360" w:lineRule="auto"/>
        <w:rPr>
          <w:rFonts w:asciiTheme="minorEastAsia" w:hAnsiTheme="minorEastAsia" w:cstheme="minorEastAsia"/>
        </w:rPr>
      </w:pPr>
      <w:r>
        <w:rPr>
          <w:rFonts w:hint="eastAsia" w:asciiTheme="minorEastAsia" w:hAnsiTheme="minorEastAsia" w:cstheme="minorEastAsia"/>
        </w:rPr>
        <w:t>3.4.4有下列情形之一的，投标保证金将不予退还：</w:t>
      </w:r>
    </w:p>
    <w:p>
      <w:pPr>
        <w:snapToGrid w:val="0"/>
        <w:spacing w:line="360" w:lineRule="auto"/>
        <w:rPr>
          <w:rFonts w:asciiTheme="minorEastAsia" w:hAnsiTheme="minorEastAsia" w:cstheme="minorEastAsia"/>
        </w:rPr>
      </w:pPr>
      <w:r>
        <w:rPr>
          <w:rFonts w:hint="eastAsia" w:asciiTheme="minorEastAsia" w:hAnsiTheme="minorEastAsia" w:cstheme="minorEastAsia"/>
        </w:rPr>
        <w:t>（1）投标人在投标有效期内撤销投标文件；</w:t>
      </w:r>
    </w:p>
    <w:p>
      <w:pPr>
        <w:snapToGrid w:val="0"/>
        <w:spacing w:line="360" w:lineRule="auto"/>
        <w:rPr>
          <w:rFonts w:asciiTheme="minorEastAsia" w:hAnsiTheme="minorEastAsia" w:cstheme="minorEastAsia"/>
        </w:rPr>
      </w:pPr>
      <w:r>
        <w:rPr>
          <w:rFonts w:hint="eastAsia" w:asciiTheme="minorEastAsia" w:hAnsiTheme="minorEastAsia" w:cstheme="minorEastAsia"/>
        </w:rPr>
        <w:t>（2）中标人在收到中标通知书后，无正当理由不与招标人订立合同，在签订合同时向招标人提出附加条件，或者不按照招标文件要求提交履约保证金；</w:t>
      </w:r>
    </w:p>
    <w:p>
      <w:pPr>
        <w:snapToGrid w:val="0"/>
        <w:spacing w:line="360" w:lineRule="auto"/>
        <w:rPr>
          <w:rFonts w:asciiTheme="minorEastAsia" w:hAnsiTheme="minorEastAsia" w:cstheme="minorEastAsia"/>
        </w:rPr>
      </w:pPr>
      <w:r>
        <w:rPr>
          <w:rFonts w:hint="eastAsia" w:asciiTheme="minorEastAsia" w:hAnsiTheme="minorEastAsia" w:cstheme="minorEastAsia"/>
        </w:rPr>
        <w:t>（3）发生投标人须知前附表规定的其他可以不予退还投标保证金的情形。</w:t>
      </w:r>
    </w:p>
    <w:p>
      <w:pPr>
        <w:pStyle w:val="7"/>
        <w:snapToGrid w:val="0"/>
        <w:spacing w:before="0" w:after="0" w:line="360" w:lineRule="auto"/>
        <w:rPr>
          <w:rFonts w:cstheme="minorEastAsia"/>
        </w:rPr>
      </w:pPr>
      <w:bookmarkStart w:id="57" w:name="_Toc13571"/>
      <w:r>
        <w:rPr>
          <w:rFonts w:hint="eastAsia" w:cstheme="minorEastAsia"/>
        </w:rPr>
        <w:t>3.5资格审查资料</w:t>
      </w:r>
      <w:bookmarkEnd w:id="57"/>
    </w:p>
    <w:p>
      <w:pPr>
        <w:snapToGrid w:val="0"/>
        <w:spacing w:line="360" w:lineRule="auto"/>
        <w:rPr>
          <w:rFonts w:asciiTheme="minorEastAsia" w:hAnsiTheme="minorEastAsia" w:cstheme="minorEastAsia"/>
        </w:rPr>
      </w:pPr>
      <w:r>
        <w:rPr>
          <w:rFonts w:hint="eastAsia" w:asciiTheme="minorEastAsia" w:hAnsiTheme="minorEastAsia" w:cstheme="minorEastAsia"/>
        </w:rPr>
        <w:t>投标人应按投标人须知前附表规定提供资格审查资料，以证明其满足本章第1.4款规定的要求。</w:t>
      </w:r>
    </w:p>
    <w:p>
      <w:pPr>
        <w:pStyle w:val="7"/>
        <w:snapToGrid w:val="0"/>
        <w:spacing w:before="0" w:after="0" w:line="360" w:lineRule="auto"/>
        <w:rPr>
          <w:rFonts w:cstheme="minorEastAsia"/>
        </w:rPr>
      </w:pPr>
      <w:bookmarkStart w:id="58" w:name="_Toc32710"/>
      <w:r>
        <w:rPr>
          <w:rFonts w:hint="eastAsia" w:cstheme="minorEastAsia"/>
        </w:rPr>
        <w:t>3.6备选投标方案</w:t>
      </w:r>
      <w:bookmarkEnd w:id="58"/>
    </w:p>
    <w:p>
      <w:pPr>
        <w:snapToGrid w:val="0"/>
        <w:spacing w:line="360" w:lineRule="auto"/>
        <w:rPr>
          <w:rFonts w:asciiTheme="minorEastAsia" w:hAnsiTheme="minorEastAsia" w:cstheme="minorEastAsia"/>
        </w:rPr>
      </w:pPr>
      <w:r>
        <w:rPr>
          <w:rFonts w:hint="eastAsia" w:asciiTheme="minorEastAsia" w:hAnsiTheme="minorEastAsia" w:cstheme="minorEastAsia"/>
        </w:rPr>
        <w:t>3.6.1除投标人须知前附表规定允许外，投标人不得递交备选投标方案，否则其投标将被否决。</w:t>
      </w:r>
    </w:p>
    <w:p>
      <w:pPr>
        <w:snapToGrid w:val="0"/>
        <w:spacing w:line="360" w:lineRule="auto"/>
        <w:rPr>
          <w:rFonts w:asciiTheme="minorEastAsia" w:hAnsiTheme="minorEastAsia" w:cstheme="minorEastAsia"/>
        </w:rPr>
      </w:pPr>
      <w:r>
        <w:rPr>
          <w:rFonts w:hint="eastAsia" w:asciiTheme="minorEastAsia" w:hAnsiTheme="minorEastAsia" w:cstheme="minorEastAsia"/>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napToGrid w:val="0"/>
        <w:spacing w:line="360" w:lineRule="auto"/>
        <w:rPr>
          <w:rFonts w:asciiTheme="minorEastAsia" w:hAnsiTheme="minorEastAsia" w:cstheme="minorEastAsia"/>
        </w:rPr>
      </w:pPr>
      <w:r>
        <w:rPr>
          <w:rFonts w:hint="eastAsia" w:asciiTheme="minorEastAsia" w:hAnsiTheme="minorEastAsia" w:cstheme="minorEastAsia"/>
        </w:rPr>
        <w:t>3.6.3投标人提供两个或两个以上投标报价，或者在投标文件中提供一个报价，但同时提供两个或两个以上供货方案的，视为提供备选方案。</w:t>
      </w:r>
    </w:p>
    <w:p>
      <w:pPr>
        <w:pStyle w:val="7"/>
        <w:snapToGrid w:val="0"/>
        <w:spacing w:before="0" w:after="0" w:line="360" w:lineRule="auto"/>
        <w:rPr>
          <w:rFonts w:cstheme="minorEastAsia"/>
        </w:rPr>
      </w:pPr>
      <w:bookmarkStart w:id="59" w:name="_Toc6073"/>
      <w:r>
        <w:rPr>
          <w:rFonts w:hint="eastAsia" w:cstheme="minorEastAsia"/>
        </w:rPr>
        <w:t>3.7投标文件的编制</w:t>
      </w:r>
      <w:bookmarkEnd w:id="59"/>
    </w:p>
    <w:p>
      <w:pPr>
        <w:snapToGrid w:val="0"/>
        <w:spacing w:line="360" w:lineRule="auto"/>
        <w:rPr>
          <w:rFonts w:asciiTheme="minorEastAsia" w:hAnsiTheme="minorEastAsia" w:cstheme="minorEastAsia"/>
        </w:rPr>
      </w:pPr>
      <w:r>
        <w:rPr>
          <w:rFonts w:hint="eastAsia" w:asciiTheme="minorEastAsia" w:hAnsiTheme="minorEastAsia" w:cstheme="minorEastAsia"/>
        </w:rPr>
        <w:t>3.7.1投标文件应按第六章“投标文件格式”进行编写，如有必要，可以增加附页，作为投标文件的组成部分。</w:t>
      </w:r>
    </w:p>
    <w:p>
      <w:pPr>
        <w:snapToGrid w:val="0"/>
        <w:spacing w:line="360" w:lineRule="auto"/>
        <w:rPr>
          <w:rFonts w:asciiTheme="minorEastAsia" w:hAnsiTheme="minorEastAsia" w:cstheme="minorEastAsia"/>
        </w:rPr>
      </w:pPr>
      <w:r>
        <w:rPr>
          <w:rFonts w:hint="eastAsia" w:asciiTheme="minorEastAsia" w:hAnsiTheme="minorEastAsia" w:cstheme="minorEastAsia"/>
        </w:rPr>
        <w:t>3.7.2投标文件应当对招标文件有关供货期、投标有效期、供货要求、招标范围等实质性内容作出响应。投标文件在满足招标文件实质性要求的基础上，可以提出比招标文件要求更有利于招标人的承诺。</w:t>
      </w:r>
    </w:p>
    <w:p>
      <w:pPr>
        <w:snapToGrid w:val="0"/>
        <w:spacing w:line="360" w:lineRule="auto"/>
        <w:rPr>
          <w:rFonts w:asciiTheme="minorEastAsia" w:hAnsiTheme="minorEastAsia" w:cstheme="minorEastAsia"/>
        </w:rPr>
      </w:pPr>
      <w:r>
        <w:rPr>
          <w:rFonts w:hint="eastAsia" w:asciiTheme="minorEastAsia" w:hAnsiTheme="minorEastAsia" w:cstheme="minorEastAsia"/>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napToGrid w:val="0"/>
        <w:spacing w:line="360" w:lineRule="auto"/>
        <w:rPr>
          <w:rFonts w:asciiTheme="minorEastAsia" w:hAnsiTheme="minorEastAsia" w:cstheme="minorEastAsia"/>
        </w:rPr>
      </w:pPr>
      <w:r>
        <w:rPr>
          <w:rFonts w:hint="eastAsia" w:asciiTheme="minorEastAsia" w:hAnsiTheme="minorEastAsia" w:cstheme="minorEastAsia"/>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spacing w:line="360" w:lineRule="auto"/>
        <w:rPr>
          <w:rFonts w:asciiTheme="minorEastAsia" w:hAnsiTheme="minorEastAsia" w:cstheme="minorEastAsia"/>
        </w:rPr>
      </w:pPr>
      <w:r>
        <w:rPr>
          <w:rFonts w:hint="eastAsia" w:asciiTheme="minorEastAsia" w:hAnsiTheme="minorEastAsia" w:cstheme="minorEastAsia"/>
        </w:rPr>
        <w:t>（3）投标文件的正本与副本应分别装订，并编制目录，投标文件需分册装订的，具体分册装订要求见投标人须知前附表规定。</w:t>
      </w:r>
    </w:p>
    <w:p>
      <w:pPr>
        <w:pStyle w:val="6"/>
        <w:snapToGrid w:val="0"/>
        <w:spacing w:before="0" w:after="0" w:line="360" w:lineRule="auto"/>
        <w:rPr>
          <w:rFonts w:cstheme="minorEastAsia"/>
        </w:rPr>
      </w:pPr>
      <w:bookmarkStart w:id="60" w:name="_Toc16285"/>
      <w:r>
        <w:rPr>
          <w:rFonts w:hint="eastAsia" w:cstheme="minorEastAsia"/>
        </w:rPr>
        <w:t>4.投标</w:t>
      </w:r>
      <w:bookmarkEnd w:id="60"/>
    </w:p>
    <w:p>
      <w:pPr>
        <w:pStyle w:val="7"/>
        <w:snapToGrid w:val="0"/>
        <w:spacing w:before="0" w:after="0" w:line="360" w:lineRule="auto"/>
        <w:rPr>
          <w:rFonts w:cstheme="minorEastAsia"/>
        </w:rPr>
      </w:pPr>
      <w:bookmarkStart w:id="61" w:name="_Toc12134"/>
      <w:r>
        <w:rPr>
          <w:rFonts w:hint="eastAsia" w:cstheme="minorEastAsia"/>
        </w:rPr>
        <w:t>4.1投标文件的密封和标记</w:t>
      </w:r>
      <w:bookmarkEnd w:id="61"/>
    </w:p>
    <w:p>
      <w:pPr>
        <w:snapToGrid w:val="0"/>
        <w:spacing w:line="360" w:lineRule="auto"/>
        <w:rPr>
          <w:rFonts w:asciiTheme="minorEastAsia" w:hAnsiTheme="minorEastAsia" w:cstheme="minorEastAsia"/>
        </w:rPr>
      </w:pPr>
      <w:r>
        <w:rPr>
          <w:rFonts w:hint="eastAsia" w:asciiTheme="minorEastAsia" w:hAnsiTheme="minorEastAsia" w:cstheme="minorEastAsia"/>
        </w:rPr>
        <w:t>4.1.1投标文件应密封包装，并在封套的封口处加盖投标人单位章或由投标人的法定代表人（单位负责人）或其授权的代理人签字。</w:t>
      </w:r>
    </w:p>
    <w:p>
      <w:pPr>
        <w:snapToGrid w:val="0"/>
        <w:spacing w:line="360" w:lineRule="auto"/>
        <w:rPr>
          <w:rFonts w:asciiTheme="minorEastAsia" w:hAnsiTheme="minorEastAsia" w:cstheme="minorEastAsia"/>
        </w:rPr>
      </w:pPr>
      <w:r>
        <w:rPr>
          <w:rFonts w:hint="eastAsia" w:asciiTheme="minorEastAsia" w:hAnsiTheme="minorEastAsia" w:cstheme="minorEastAsia"/>
        </w:rPr>
        <w:t>4.1.2投标文件封套上应写明的内容见投标人须知前附表。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4.1.3未按本章第4.1.1项要求密封的投标文件，招标人将予以拒收。</w:t>
      </w:r>
    </w:p>
    <w:p>
      <w:pPr>
        <w:pStyle w:val="7"/>
        <w:snapToGrid w:val="0"/>
        <w:spacing w:before="0" w:after="0" w:line="360" w:lineRule="auto"/>
        <w:rPr>
          <w:rFonts w:cstheme="minorEastAsia"/>
        </w:rPr>
      </w:pPr>
      <w:bookmarkStart w:id="62" w:name="_Toc17818"/>
      <w:r>
        <w:rPr>
          <w:rFonts w:hint="eastAsia" w:cstheme="minorEastAsia"/>
        </w:rPr>
        <w:t>4.2投标文件的递交</w:t>
      </w:r>
      <w:bookmarkEnd w:id="62"/>
    </w:p>
    <w:p>
      <w:pPr>
        <w:snapToGrid w:val="0"/>
        <w:spacing w:line="360" w:lineRule="auto"/>
        <w:rPr>
          <w:rFonts w:asciiTheme="minorEastAsia" w:hAnsiTheme="minorEastAsia" w:cstheme="minorEastAsia"/>
        </w:rPr>
      </w:pPr>
      <w:r>
        <w:rPr>
          <w:rFonts w:hint="eastAsia" w:asciiTheme="minorEastAsia" w:hAnsiTheme="minorEastAsia" w:cstheme="minorEastAsia"/>
        </w:rPr>
        <w:t>4.2.1投标人应在投标人须知前附表规定的投标截止时间前递交投标文件。</w:t>
      </w:r>
    </w:p>
    <w:p>
      <w:pPr>
        <w:snapToGrid w:val="0"/>
        <w:spacing w:line="360" w:lineRule="auto"/>
        <w:rPr>
          <w:rFonts w:asciiTheme="minorEastAsia" w:hAnsiTheme="minorEastAsia" w:cstheme="minorEastAsia"/>
        </w:rPr>
      </w:pPr>
      <w:r>
        <w:rPr>
          <w:rFonts w:hint="eastAsia" w:asciiTheme="minorEastAsia" w:hAnsiTheme="minorEastAsia" w:cstheme="minorEastAsia"/>
        </w:rPr>
        <w:t>4.2.2投标人递交投标文件的地点：见投标人须知前附表。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4.2.3除投标人须知前附表另有规定外，投标人所递交的投标文件不予退还。</w:t>
      </w:r>
    </w:p>
    <w:p>
      <w:pPr>
        <w:snapToGrid w:val="0"/>
        <w:spacing w:line="360" w:lineRule="auto"/>
        <w:rPr>
          <w:rFonts w:asciiTheme="minorEastAsia" w:hAnsiTheme="minorEastAsia" w:cstheme="minorEastAsia"/>
        </w:rPr>
      </w:pPr>
      <w:r>
        <w:rPr>
          <w:rFonts w:hint="eastAsia" w:asciiTheme="minorEastAsia" w:hAnsiTheme="minorEastAsia" w:cstheme="minorEastAsia"/>
        </w:rPr>
        <w:t>4.2.4招标人收到投标文件后，向投标人出具签收凭证。</w:t>
      </w:r>
    </w:p>
    <w:p>
      <w:pPr>
        <w:snapToGrid w:val="0"/>
        <w:spacing w:line="360" w:lineRule="auto"/>
        <w:rPr>
          <w:rFonts w:asciiTheme="minorEastAsia" w:hAnsiTheme="minorEastAsia" w:cstheme="minorEastAsia"/>
        </w:rPr>
      </w:pPr>
      <w:r>
        <w:rPr>
          <w:rFonts w:hint="eastAsia" w:asciiTheme="minorEastAsia" w:hAnsiTheme="minorEastAsia" w:cstheme="minorEastAsia"/>
        </w:rPr>
        <w:t>4.2.5逾期送达的投标文件，招标人将予以拒收。</w:t>
      </w:r>
    </w:p>
    <w:p>
      <w:pPr>
        <w:pStyle w:val="7"/>
        <w:snapToGrid w:val="0"/>
        <w:spacing w:before="0" w:after="0" w:line="360" w:lineRule="auto"/>
        <w:rPr>
          <w:rFonts w:cstheme="minorEastAsia"/>
        </w:rPr>
      </w:pPr>
      <w:bookmarkStart w:id="63" w:name="_Toc16007"/>
      <w:r>
        <w:rPr>
          <w:rFonts w:hint="eastAsia" w:cstheme="minorEastAsia"/>
        </w:rPr>
        <w:t>4.3投标文件的修改与撤回</w:t>
      </w:r>
      <w:bookmarkEnd w:id="63"/>
    </w:p>
    <w:p>
      <w:pPr>
        <w:snapToGrid w:val="0"/>
        <w:spacing w:line="360" w:lineRule="auto"/>
        <w:rPr>
          <w:rFonts w:asciiTheme="minorEastAsia" w:hAnsiTheme="minorEastAsia" w:cstheme="minorEastAsia"/>
        </w:rPr>
      </w:pPr>
      <w:r>
        <w:rPr>
          <w:rFonts w:hint="eastAsia" w:asciiTheme="minorEastAsia" w:hAnsiTheme="minorEastAsia" w:cstheme="minorEastAsia"/>
        </w:rPr>
        <w:t>4.3.1在本章第4.2.1项规定的投标截止时间前，投标人可以修改或撤回已递交的投标文件，但应以书面形式通知招标人。</w:t>
      </w:r>
    </w:p>
    <w:p>
      <w:pPr>
        <w:snapToGrid w:val="0"/>
        <w:spacing w:line="360" w:lineRule="auto"/>
        <w:rPr>
          <w:rFonts w:asciiTheme="minorEastAsia" w:hAnsiTheme="minorEastAsia" w:cstheme="minorEastAsia"/>
        </w:rPr>
      </w:pPr>
      <w:r>
        <w:rPr>
          <w:rFonts w:hint="eastAsia" w:asciiTheme="minorEastAsia" w:hAnsiTheme="minorEastAsia" w:cstheme="minorEastAsia"/>
        </w:rPr>
        <w:t>4.3.2投标人修改或撤回已递交投标文件的书面通知应按照本章第 3.7.3项的要求签字或盖章。招标人收到书面通知后，向投标人出具签收凭证。</w:t>
      </w:r>
    </w:p>
    <w:p>
      <w:pPr>
        <w:snapToGrid w:val="0"/>
        <w:spacing w:line="360" w:lineRule="auto"/>
        <w:rPr>
          <w:rFonts w:asciiTheme="minorEastAsia" w:hAnsiTheme="minorEastAsia" w:cstheme="minorEastAsia"/>
        </w:rPr>
      </w:pPr>
      <w:r>
        <w:rPr>
          <w:rFonts w:hint="eastAsia" w:asciiTheme="minorEastAsia" w:hAnsiTheme="minorEastAsia" w:cstheme="minorEastAsia"/>
        </w:rPr>
        <w:t>4.3.3投标人撤回投标文件的，招标人自收到投标人书面撤回通知之日起5日内退还已收取的投标保证金。</w:t>
      </w:r>
    </w:p>
    <w:p>
      <w:pPr>
        <w:snapToGrid w:val="0"/>
        <w:spacing w:line="360" w:lineRule="auto"/>
        <w:rPr>
          <w:rFonts w:asciiTheme="minorEastAsia" w:hAnsiTheme="minorEastAsia" w:cstheme="minorEastAsia"/>
        </w:rPr>
      </w:pPr>
      <w:r>
        <w:rPr>
          <w:rFonts w:hint="eastAsia" w:asciiTheme="minorEastAsia" w:hAnsiTheme="minorEastAsia" w:cstheme="minorEastAsia"/>
        </w:rPr>
        <w:t>4.3.4修改的内容为投标文件的组成部分。修改的投标文件应按照本章第3条、第4条的规定进行编制、密封、标记和递交，并标明“修改”字样。</w:t>
      </w:r>
    </w:p>
    <w:p>
      <w:pPr>
        <w:pStyle w:val="6"/>
        <w:snapToGrid w:val="0"/>
        <w:spacing w:before="0" w:after="0" w:line="360" w:lineRule="auto"/>
        <w:rPr>
          <w:rFonts w:cstheme="minorEastAsia"/>
        </w:rPr>
      </w:pPr>
      <w:bookmarkStart w:id="64" w:name="_Toc7319"/>
      <w:r>
        <w:rPr>
          <w:rFonts w:hint="eastAsia" w:cstheme="minorEastAsia"/>
        </w:rPr>
        <w:t>5.开标</w:t>
      </w:r>
      <w:bookmarkEnd w:id="64"/>
    </w:p>
    <w:p>
      <w:pPr>
        <w:pStyle w:val="7"/>
        <w:snapToGrid w:val="0"/>
        <w:spacing w:before="0" w:after="0" w:line="360" w:lineRule="auto"/>
        <w:rPr>
          <w:rFonts w:cstheme="minorEastAsia"/>
        </w:rPr>
      </w:pPr>
      <w:bookmarkStart w:id="65" w:name="_Toc30095"/>
      <w:r>
        <w:rPr>
          <w:rFonts w:hint="eastAsia" w:cstheme="minorEastAsia"/>
        </w:rPr>
        <w:t>5.1开标时间和地点</w:t>
      </w:r>
      <w:bookmarkEnd w:id="65"/>
    </w:p>
    <w:p>
      <w:pPr>
        <w:snapToGrid w:val="0"/>
        <w:spacing w:line="360" w:lineRule="auto"/>
        <w:rPr>
          <w:rFonts w:asciiTheme="minorEastAsia" w:hAnsiTheme="minorEastAsia" w:cstheme="minorEastAsia"/>
        </w:rPr>
      </w:pPr>
      <w:r>
        <w:rPr>
          <w:rFonts w:hint="eastAsia" w:asciiTheme="minorEastAsia" w:hAnsiTheme="minorEastAsia" w:cstheme="minorEastAsia"/>
        </w:rPr>
        <w:t>招标人在本章第4.2.1项规定的投标截止时间（开标时间）和投标人须知前附表规定的地点公开开标，并邀请所有投标人的法定代表人（单位负责人）或其委托代理人准时参加。</w:t>
      </w:r>
    </w:p>
    <w:p>
      <w:pPr>
        <w:pStyle w:val="7"/>
        <w:snapToGrid w:val="0"/>
        <w:spacing w:before="0" w:after="0" w:line="360" w:lineRule="auto"/>
        <w:rPr>
          <w:rFonts w:cstheme="minorEastAsia"/>
        </w:rPr>
      </w:pPr>
      <w:bookmarkStart w:id="66" w:name="_Toc26652"/>
      <w:r>
        <w:rPr>
          <w:rFonts w:hint="eastAsia" w:cstheme="minorEastAsia"/>
        </w:rPr>
        <w:t>5.2开标程序</w:t>
      </w:r>
      <w:bookmarkEnd w:id="66"/>
    </w:p>
    <w:p>
      <w:pPr>
        <w:snapToGrid w:val="0"/>
        <w:spacing w:line="360" w:lineRule="auto"/>
        <w:rPr>
          <w:rFonts w:asciiTheme="minorEastAsia" w:hAnsiTheme="minorEastAsia" w:cstheme="minorEastAsia"/>
        </w:rPr>
      </w:pPr>
      <w:r>
        <w:rPr>
          <w:rFonts w:hint="eastAsia" w:asciiTheme="minorEastAsia" w:hAnsiTheme="minorEastAsia" w:cstheme="minorEastAsia"/>
        </w:rPr>
        <w:t>主持人按下列程序进行开标：</w:t>
      </w:r>
    </w:p>
    <w:p>
      <w:pPr>
        <w:snapToGrid w:val="0"/>
        <w:spacing w:line="360" w:lineRule="auto"/>
        <w:rPr>
          <w:rFonts w:asciiTheme="minorEastAsia" w:hAnsiTheme="minorEastAsia" w:cstheme="minorEastAsia"/>
        </w:rPr>
      </w:pPr>
      <w:r>
        <w:rPr>
          <w:rFonts w:hint="eastAsia" w:asciiTheme="minorEastAsia" w:hAnsiTheme="minorEastAsia" w:cstheme="minorEastAsia"/>
        </w:rPr>
        <w:t>（1）宣布开标纪律；</w:t>
      </w:r>
    </w:p>
    <w:p>
      <w:pPr>
        <w:snapToGrid w:val="0"/>
        <w:spacing w:line="360" w:lineRule="auto"/>
        <w:rPr>
          <w:rFonts w:asciiTheme="minorEastAsia" w:hAnsiTheme="minorEastAsia" w:cstheme="minorEastAsia"/>
        </w:rPr>
      </w:pPr>
      <w:r>
        <w:rPr>
          <w:rFonts w:hint="eastAsia" w:asciiTheme="minorEastAsia" w:hAnsiTheme="minorEastAsia" w:cstheme="minorEastAsia"/>
        </w:rPr>
        <w:t>（2）公布在投标截止时间前递交投标文件的投标人名称；</w:t>
      </w:r>
    </w:p>
    <w:p>
      <w:pPr>
        <w:snapToGrid w:val="0"/>
        <w:spacing w:line="360" w:lineRule="auto"/>
        <w:rPr>
          <w:rFonts w:asciiTheme="minorEastAsia" w:hAnsiTheme="minorEastAsia" w:cstheme="minorEastAsia"/>
        </w:rPr>
      </w:pPr>
      <w:r>
        <w:rPr>
          <w:rFonts w:hint="eastAsia" w:asciiTheme="minorEastAsia" w:hAnsiTheme="minorEastAsia" w:cstheme="minorEastAsia"/>
        </w:rPr>
        <w:t>（3）宣布开标人、唱标人、记录人、监标人等有关人员姓名；</w:t>
      </w:r>
    </w:p>
    <w:p>
      <w:pPr>
        <w:snapToGrid w:val="0"/>
        <w:spacing w:line="360" w:lineRule="auto"/>
        <w:rPr>
          <w:rFonts w:asciiTheme="minorEastAsia" w:hAnsiTheme="minorEastAsia" w:cstheme="minorEastAsia"/>
        </w:rPr>
      </w:pPr>
      <w:r>
        <w:rPr>
          <w:rFonts w:hint="eastAsia" w:asciiTheme="minorEastAsia" w:hAnsiTheme="minorEastAsia" w:cstheme="minorEastAsia"/>
        </w:rPr>
        <w:t>（4）检查投标文件的密封情况，按照投标人须知前附表规定的开标顺序当众开标，公布招标项目名称、投标人名称、投标保证金的递交情况、投标报价、交货期、交货地点及其他内容，并记录在案；</w:t>
      </w:r>
    </w:p>
    <w:p>
      <w:pPr>
        <w:snapToGrid w:val="0"/>
        <w:spacing w:line="360" w:lineRule="auto"/>
        <w:rPr>
          <w:rFonts w:asciiTheme="minorEastAsia" w:hAnsiTheme="minorEastAsia" w:cstheme="minorEastAsia"/>
        </w:rPr>
      </w:pPr>
      <w:r>
        <w:rPr>
          <w:rFonts w:hint="eastAsia" w:asciiTheme="minorEastAsia" w:hAnsiTheme="minorEastAsia" w:cstheme="minorEastAsia"/>
        </w:rPr>
        <w:t>（5）投标人代表、招标人代表、监标人、记录人等有关人员在开标记录上签字确认；</w:t>
      </w:r>
    </w:p>
    <w:p>
      <w:pPr>
        <w:snapToGrid w:val="0"/>
        <w:spacing w:line="360" w:lineRule="auto"/>
        <w:rPr>
          <w:rFonts w:asciiTheme="minorEastAsia" w:hAnsiTheme="minorEastAsia" w:cstheme="minorEastAsia"/>
        </w:rPr>
      </w:pPr>
      <w:r>
        <w:rPr>
          <w:rFonts w:hint="eastAsia" w:asciiTheme="minorEastAsia" w:hAnsiTheme="minorEastAsia" w:cstheme="minorEastAsia"/>
        </w:rPr>
        <w:t>（6）开标结束。</w:t>
      </w:r>
    </w:p>
    <w:p>
      <w:pPr>
        <w:pStyle w:val="7"/>
        <w:snapToGrid w:val="0"/>
        <w:spacing w:before="0" w:after="0" w:line="360" w:lineRule="auto"/>
        <w:rPr>
          <w:rFonts w:cstheme="minorEastAsia"/>
        </w:rPr>
      </w:pPr>
      <w:bookmarkStart w:id="67" w:name="_Toc21317"/>
      <w:r>
        <w:rPr>
          <w:rFonts w:hint="eastAsia" w:cstheme="minorEastAsia"/>
        </w:rPr>
        <w:t>5.3开标异议</w:t>
      </w:r>
      <w:bookmarkEnd w:id="67"/>
    </w:p>
    <w:p>
      <w:pPr>
        <w:snapToGrid w:val="0"/>
        <w:spacing w:line="360" w:lineRule="auto"/>
        <w:rPr>
          <w:rFonts w:asciiTheme="minorEastAsia" w:hAnsiTheme="minorEastAsia" w:cstheme="minorEastAsia"/>
        </w:rPr>
      </w:pPr>
      <w:r>
        <w:rPr>
          <w:rFonts w:hint="eastAsia" w:asciiTheme="minorEastAsia" w:hAnsiTheme="minorEastAsia" w:cstheme="minorEastAsia"/>
        </w:rPr>
        <w:t>投标人对开标有异议的，应当在开标现场提出，招标人当场作出答复，并制作记录。</w:t>
      </w:r>
    </w:p>
    <w:p>
      <w:pPr>
        <w:pStyle w:val="6"/>
        <w:snapToGrid w:val="0"/>
        <w:spacing w:before="0" w:after="0" w:line="360" w:lineRule="auto"/>
        <w:rPr>
          <w:rFonts w:cstheme="minorEastAsia"/>
        </w:rPr>
      </w:pPr>
      <w:bookmarkStart w:id="68" w:name="_Toc22473"/>
      <w:r>
        <w:rPr>
          <w:rFonts w:hint="eastAsia" w:cstheme="minorEastAsia"/>
        </w:rPr>
        <w:t>6.评标</w:t>
      </w:r>
      <w:bookmarkEnd w:id="68"/>
    </w:p>
    <w:p>
      <w:pPr>
        <w:pStyle w:val="7"/>
        <w:snapToGrid w:val="0"/>
        <w:spacing w:before="0" w:after="0" w:line="360" w:lineRule="auto"/>
        <w:rPr>
          <w:rFonts w:cstheme="minorEastAsia"/>
        </w:rPr>
      </w:pPr>
      <w:bookmarkStart w:id="69" w:name="_Toc3318"/>
      <w:r>
        <w:rPr>
          <w:rFonts w:hint="eastAsia" w:cstheme="minorEastAsia"/>
        </w:rPr>
        <w:t>6.1评标委员会</w:t>
      </w:r>
      <w:bookmarkEnd w:id="69"/>
    </w:p>
    <w:p>
      <w:pPr>
        <w:snapToGrid w:val="0"/>
        <w:spacing w:line="360" w:lineRule="auto"/>
        <w:rPr>
          <w:rFonts w:asciiTheme="minorEastAsia" w:hAnsiTheme="minorEastAsia" w:cstheme="minorEastAsia"/>
        </w:rPr>
      </w:pPr>
      <w:r>
        <w:rPr>
          <w:rFonts w:hint="eastAsia" w:asciiTheme="minorEastAsia" w:hAnsiTheme="minorEastAsia" w:cstheme="minorEastAsia"/>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6.1.2评标委员会成员有下列情形之一的，应当回避：</w:t>
      </w:r>
    </w:p>
    <w:p>
      <w:pPr>
        <w:snapToGrid w:val="0"/>
        <w:spacing w:line="360" w:lineRule="auto"/>
        <w:rPr>
          <w:rFonts w:asciiTheme="minorEastAsia" w:hAnsiTheme="minorEastAsia" w:cstheme="minorEastAsia"/>
        </w:rPr>
      </w:pPr>
      <w:r>
        <w:rPr>
          <w:rFonts w:hint="eastAsia" w:asciiTheme="minorEastAsia" w:hAnsiTheme="minorEastAsia" w:cstheme="minorEastAsia"/>
        </w:rPr>
        <w:t>（1）投标人或投标人主要负责人的近亲属；</w:t>
      </w:r>
    </w:p>
    <w:p>
      <w:pPr>
        <w:snapToGrid w:val="0"/>
        <w:spacing w:line="360" w:lineRule="auto"/>
        <w:rPr>
          <w:rFonts w:asciiTheme="minorEastAsia" w:hAnsiTheme="minorEastAsia" w:cstheme="minorEastAsia"/>
        </w:rPr>
      </w:pPr>
      <w:r>
        <w:rPr>
          <w:rFonts w:hint="eastAsia" w:asciiTheme="minorEastAsia" w:hAnsiTheme="minorEastAsia" w:cstheme="minorEastAsia"/>
        </w:rPr>
        <w:t>（2）项目主管部门或者行政监督部门的人员；</w:t>
      </w:r>
    </w:p>
    <w:p>
      <w:pPr>
        <w:snapToGrid w:val="0"/>
        <w:spacing w:line="360" w:lineRule="auto"/>
        <w:rPr>
          <w:rFonts w:asciiTheme="minorEastAsia" w:hAnsiTheme="minorEastAsia" w:cstheme="minorEastAsia"/>
        </w:rPr>
      </w:pPr>
      <w:r>
        <w:rPr>
          <w:rFonts w:hint="eastAsia" w:asciiTheme="minorEastAsia" w:hAnsiTheme="minorEastAsia" w:cstheme="minorEastAsia"/>
        </w:rPr>
        <w:t>（3）与投标人有经济利益关系，可能影响对投标公正评审的；</w:t>
      </w:r>
    </w:p>
    <w:p>
      <w:pPr>
        <w:snapToGrid w:val="0"/>
        <w:spacing w:line="360" w:lineRule="auto"/>
        <w:rPr>
          <w:rFonts w:asciiTheme="minorEastAsia" w:hAnsiTheme="minorEastAsia" w:cstheme="minorEastAsia"/>
        </w:rPr>
      </w:pPr>
      <w:r>
        <w:rPr>
          <w:rFonts w:hint="eastAsia" w:asciiTheme="minorEastAsia" w:hAnsiTheme="minorEastAsia" w:cstheme="minorEastAsia"/>
        </w:rPr>
        <w:t>（4）曾因在招标、评标以及其他与招标投标有关活动中从事违法行为而受过行政处罚或刑事处罚的；</w:t>
      </w:r>
    </w:p>
    <w:p>
      <w:pPr>
        <w:snapToGrid w:val="0"/>
        <w:spacing w:line="360" w:lineRule="auto"/>
        <w:rPr>
          <w:rFonts w:asciiTheme="minorEastAsia" w:hAnsiTheme="minorEastAsia" w:cstheme="minorEastAsia"/>
        </w:rPr>
      </w:pPr>
      <w:r>
        <w:rPr>
          <w:rFonts w:hint="eastAsia" w:asciiTheme="minorEastAsia" w:hAnsiTheme="minorEastAsia" w:cstheme="minorEastAsia"/>
        </w:rPr>
        <w:t>（5）与投标人有其他利害关系。</w:t>
      </w:r>
    </w:p>
    <w:p>
      <w:pPr>
        <w:snapToGrid w:val="0"/>
        <w:spacing w:line="360" w:lineRule="auto"/>
        <w:rPr>
          <w:rFonts w:asciiTheme="minorEastAsia" w:hAnsiTheme="minorEastAsia" w:cstheme="minorEastAsia"/>
        </w:rPr>
      </w:pPr>
      <w:r>
        <w:rPr>
          <w:rFonts w:hint="eastAsia" w:asciiTheme="minorEastAsia" w:hAnsiTheme="minorEastAsia" w:cstheme="minorEastAsia"/>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7"/>
        <w:snapToGrid w:val="0"/>
        <w:spacing w:before="0" w:after="0" w:line="360" w:lineRule="auto"/>
        <w:rPr>
          <w:rFonts w:cstheme="minorEastAsia"/>
        </w:rPr>
      </w:pPr>
      <w:bookmarkStart w:id="70" w:name="_Toc10039"/>
      <w:r>
        <w:rPr>
          <w:rFonts w:hint="eastAsia" w:cstheme="minorEastAsia"/>
        </w:rPr>
        <w:t>6.2评标原则</w:t>
      </w:r>
      <w:bookmarkEnd w:id="70"/>
    </w:p>
    <w:p>
      <w:pPr>
        <w:snapToGrid w:val="0"/>
        <w:spacing w:line="360" w:lineRule="auto"/>
        <w:rPr>
          <w:rFonts w:asciiTheme="minorEastAsia" w:hAnsiTheme="minorEastAsia" w:cstheme="minorEastAsia"/>
        </w:rPr>
      </w:pPr>
      <w:r>
        <w:rPr>
          <w:rFonts w:hint="eastAsia" w:asciiTheme="minorEastAsia" w:hAnsiTheme="minorEastAsia" w:cstheme="minorEastAsia"/>
        </w:rPr>
        <w:t>评标活动遵循公平、公正、科学和择优的原则。</w:t>
      </w:r>
    </w:p>
    <w:p>
      <w:pPr>
        <w:pStyle w:val="7"/>
        <w:snapToGrid w:val="0"/>
        <w:spacing w:before="0" w:after="0" w:line="360" w:lineRule="auto"/>
        <w:rPr>
          <w:rFonts w:cstheme="minorEastAsia"/>
        </w:rPr>
      </w:pPr>
      <w:bookmarkStart w:id="71" w:name="_Toc25930"/>
      <w:r>
        <w:rPr>
          <w:rFonts w:hint="eastAsia" w:cstheme="minorEastAsia"/>
        </w:rPr>
        <w:t>6.3评标</w:t>
      </w:r>
      <w:bookmarkEnd w:id="71"/>
    </w:p>
    <w:p>
      <w:pPr>
        <w:snapToGrid w:val="0"/>
        <w:spacing w:line="360" w:lineRule="auto"/>
        <w:rPr>
          <w:rFonts w:asciiTheme="minorEastAsia" w:hAnsiTheme="minorEastAsia" w:cstheme="minorEastAsia"/>
        </w:rPr>
      </w:pPr>
      <w:r>
        <w:rPr>
          <w:rFonts w:hint="eastAsia" w:asciiTheme="minorEastAsia" w:hAnsiTheme="minorEastAsia" w:cstheme="minorEastAsia"/>
        </w:rPr>
        <w:t>6.3.1评标委员会按照第三章“评标办法”规定的方法、评审因素、标准和程序对投标文件进行评审。第三章“评标办法”没有规定的方法、评审因素和标准，不作为评标依据。</w:t>
      </w:r>
    </w:p>
    <w:p>
      <w:pPr>
        <w:snapToGrid w:val="0"/>
        <w:spacing w:line="360" w:lineRule="auto"/>
        <w:rPr>
          <w:rFonts w:asciiTheme="minorEastAsia" w:hAnsiTheme="minorEastAsia" w:cstheme="minorEastAsia"/>
        </w:rPr>
      </w:pPr>
      <w:r>
        <w:rPr>
          <w:rFonts w:hint="eastAsia" w:asciiTheme="minorEastAsia" w:hAnsiTheme="minorEastAsia" w:cstheme="minorEastAsia"/>
        </w:rPr>
        <w:t>6.3.2评标完成后，评标委员会应当向招标人提交书面评标报告和中标候选人名单。评标委员会推荐中标候选人的人数见投标人须知前附表。</w:t>
      </w:r>
    </w:p>
    <w:p>
      <w:pPr>
        <w:pStyle w:val="6"/>
        <w:snapToGrid w:val="0"/>
        <w:spacing w:before="0" w:after="0" w:line="360" w:lineRule="auto"/>
        <w:rPr>
          <w:rFonts w:cstheme="minorEastAsia"/>
        </w:rPr>
      </w:pPr>
      <w:bookmarkStart w:id="72" w:name="_Toc5630"/>
      <w:r>
        <w:rPr>
          <w:rFonts w:hint="eastAsia" w:cstheme="minorEastAsia"/>
        </w:rPr>
        <w:t>7.合同授予</w:t>
      </w:r>
      <w:bookmarkEnd w:id="72"/>
    </w:p>
    <w:p>
      <w:pPr>
        <w:pStyle w:val="7"/>
        <w:snapToGrid w:val="0"/>
        <w:spacing w:before="0" w:after="0" w:line="360" w:lineRule="auto"/>
        <w:rPr>
          <w:rFonts w:cstheme="minorEastAsia"/>
        </w:rPr>
      </w:pPr>
      <w:bookmarkStart w:id="73" w:name="_Toc20165"/>
      <w:r>
        <w:rPr>
          <w:rFonts w:hint="eastAsia" w:cstheme="minorEastAsia"/>
        </w:rPr>
        <w:t>7.1中标候选人公示</w:t>
      </w:r>
      <w:bookmarkEnd w:id="73"/>
    </w:p>
    <w:p>
      <w:pPr>
        <w:snapToGrid w:val="0"/>
        <w:spacing w:line="360" w:lineRule="auto"/>
        <w:rPr>
          <w:rFonts w:asciiTheme="minorEastAsia" w:hAnsiTheme="minorEastAsia" w:cstheme="minorEastAsia"/>
        </w:rPr>
      </w:pPr>
      <w:r>
        <w:rPr>
          <w:rFonts w:hint="eastAsia" w:asciiTheme="minorEastAsia" w:hAnsiTheme="minorEastAsia" w:cstheme="minorEastAsia"/>
        </w:rPr>
        <w:t>招标人在收到评标报告之日起 3 日内，按照投标人须知前附表规定的公示媒介和期限公示中标候选人，公示期不得少于 3 天。</w:t>
      </w:r>
    </w:p>
    <w:p>
      <w:pPr>
        <w:pStyle w:val="7"/>
        <w:snapToGrid w:val="0"/>
        <w:spacing w:before="0" w:after="0" w:line="360" w:lineRule="auto"/>
        <w:rPr>
          <w:rFonts w:cstheme="minorEastAsia"/>
        </w:rPr>
      </w:pPr>
      <w:bookmarkStart w:id="74" w:name="_Toc24762"/>
      <w:r>
        <w:rPr>
          <w:rFonts w:hint="eastAsia" w:cstheme="minorEastAsia"/>
        </w:rPr>
        <w:t>7.2评标结果异议</w:t>
      </w:r>
      <w:bookmarkEnd w:id="74"/>
    </w:p>
    <w:p>
      <w:pPr>
        <w:snapToGrid w:val="0"/>
        <w:spacing w:line="360" w:lineRule="auto"/>
        <w:rPr>
          <w:rFonts w:asciiTheme="minorEastAsia" w:hAnsiTheme="minorEastAsia" w:cstheme="minorEastAsia"/>
        </w:rPr>
      </w:pPr>
      <w:r>
        <w:rPr>
          <w:rFonts w:hint="eastAsia" w:asciiTheme="minorEastAsia" w:hAnsiTheme="minorEastAsia" w:cstheme="minorEastAsia"/>
        </w:rPr>
        <w:t>投标人或者其他利害关系人对评标结果有异议的，应当在中标候选人公示期间提出。招标人将在收到异议之日起 3 日内作出答复；作出答复前，将暂停招标投标活动。</w:t>
      </w:r>
    </w:p>
    <w:p>
      <w:pPr>
        <w:pStyle w:val="7"/>
        <w:snapToGrid w:val="0"/>
        <w:spacing w:before="0" w:after="0" w:line="360" w:lineRule="auto"/>
        <w:rPr>
          <w:rFonts w:cstheme="minorEastAsia"/>
        </w:rPr>
      </w:pPr>
      <w:bookmarkStart w:id="75" w:name="_Toc24369"/>
      <w:r>
        <w:rPr>
          <w:rFonts w:hint="eastAsia" w:cstheme="minorEastAsia"/>
        </w:rPr>
        <w:t>7.3中标候选人履约能力审查</w:t>
      </w:r>
      <w:bookmarkEnd w:id="75"/>
    </w:p>
    <w:p>
      <w:pPr>
        <w:snapToGrid w:val="0"/>
        <w:spacing w:line="360" w:lineRule="auto"/>
        <w:rPr>
          <w:rFonts w:asciiTheme="minorEastAsia" w:hAnsiTheme="minorEastAsia" w:cstheme="minorEastAsia"/>
        </w:rPr>
      </w:pPr>
      <w:r>
        <w:rPr>
          <w:rFonts w:hint="eastAsia" w:asciiTheme="minorEastAsia" w:hAnsiTheme="minorEastAsia" w:cstheme="minorEastAsia"/>
        </w:rPr>
        <w:t>中标候选人的经营、财务状况发生较大变化或存在违法行为，招标人认为可能影响其履约能力的，将在发出中标通知书前提请原评标委员会按照招标文件规定的标准和方法进行审查确认。</w:t>
      </w:r>
    </w:p>
    <w:p>
      <w:pPr>
        <w:pStyle w:val="7"/>
        <w:snapToGrid w:val="0"/>
        <w:spacing w:before="0" w:after="0" w:line="360" w:lineRule="auto"/>
        <w:rPr>
          <w:rFonts w:cstheme="minorEastAsia"/>
        </w:rPr>
      </w:pPr>
      <w:bookmarkStart w:id="76" w:name="_Toc19256"/>
      <w:r>
        <w:rPr>
          <w:rFonts w:hint="eastAsia" w:cstheme="minorEastAsia"/>
        </w:rPr>
        <w:t>7.4定标</w:t>
      </w:r>
      <w:bookmarkEnd w:id="76"/>
    </w:p>
    <w:p>
      <w:pPr>
        <w:snapToGrid w:val="0"/>
        <w:spacing w:line="360" w:lineRule="auto"/>
        <w:rPr>
          <w:rFonts w:asciiTheme="minorEastAsia" w:hAnsiTheme="minorEastAsia" w:cstheme="minorEastAsia"/>
        </w:rPr>
      </w:pPr>
      <w:r>
        <w:rPr>
          <w:rFonts w:hint="eastAsia" w:asciiTheme="minorEastAsia" w:hAnsiTheme="minorEastAsia" w:cstheme="minorEastAsia"/>
        </w:rPr>
        <w:t>按照投标人须知前附表的规定，招标人或招标人授权的评标委员会依法确定中标人。</w:t>
      </w:r>
    </w:p>
    <w:p>
      <w:pPr>
        <w:pStyle w:val="7"/>
        <w:snapToGrid w:val="0"/>
        <w:spacing w:before="0" w:after="0" w:line="360" w:lineRule="auto"/>
        <w:rPr>
          <w:rFonts w:cstheme="minorEastAsia"/>
        </w:rPr>
      </w:pPr>
      <w:bookmarkStart w:id="77" w:name="_Toc908"/>
      <w:r>
        <w:rPr>
          <w:rFonts w:hint="eastAsia" w:cstheme="minorEastAsia"/>
        </w:rPr>
        <w:t>7.5中标通知</w:t>
      </w:r>
      <w:bookmarkEnd w:id="77"/>
    </w:p>
    <w:p>
      <w:pPr>
        <w:snapToGrid w:val="0"/>
        <w:spacing w:line="360" w:lineRule="auto"/>
        <w:rPr>
          <w:rFonts w:asciiTheme="minorEastAsia" w:hAnsiTheme="minorEastAsia" w:cstheme="minorEastAsia"/>
        </w:rPr>
      </w:pPr>
      <w:r>
        <w:rPr>
          <w:rFonts w:hint="eastAsia" w:asciiTheme="minorEastAsia" w:hAnsiTheme="minorEastAsia" w:cstheme="minorEastAsia"/>
        </w:rPr>
        <w:t>在本章第3.3款规定的投标有效期内，招标人以书面形式向中标人发出中标通知书，同时将中标结果通知未中标的投标人。</w:t>
      </w:r>
    </w:p>
    <w:p>
      <w:pPr>
        <w:pStyle w:val="7"/>
        <w:snapToGrid w:val="0"/>
        <w:spacing w:before="0" w:after="0" w:line="360" w:lineRule="auto"/>
        <w:rPr>
          <w:rFonts w:cstheme="minorEastAsia"/>
        </w:rPr>
      </w:pPr>
      <w:bookmarkStart w:id="78" w:name="_Toc3397"/>
      <w:r>
        <w:rPr>
          <w:rFonts w:hint="eastAsia" w:cstheme="minorEastAsia"/>
        </w:rPr>
        <w:t>7.6履约保证金</w:t>
      </w:r>
      <w:bookmarkEnd w:id="78"/>
    </w:p>
    <w:p>
      <w:pPr>
        <w:snapToGrid w:val="0"/>
        <w:spacing w:line="360" w:lineRule="auto"/>
        <w:rPr>
          <w:rFonts w:asciiTheme="minorEastAsia" w:hAnsiTheme="minorEastAsia" w:cstheme="minorEastAsia"/>
        </w:rPr>
      </w:pPr>
      <w:r>
        <w:rPr>
          <w:rFonts w:hint="eastAsia" w:asciiTheme="minorEastAsia" w:hAnsiTheme="minorEastAsia" w:cstheme="minorEastAsia"/>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napToGrid w:val="0"/>
        <w:spacing w:line="360" w:lineRule="auto"/>
        <w:rPr>
          <w:rFonts w:asciiTheme="minorEastAsia" w:hAnsiTheme="minorEastAsia" w:cstheme="minorEastAsia"/>
        </w:rPr>
      </w:pPr>
      <w:r>
        <w:rPr>
          <w:rFonts w:hint="eastAsia" w:asciiTheme="minorEastAsia" w:hAnsiTheme="minorEastAsia" w:cstheme="minorEastAsia"/>
        </w:rPr>
        <w:t>7.6.2中标人不能按本章第7.6.1项要求提交履约保证金的，视为放弃中标，其投标保证金不予退还，给招标人造成的损失超过投标保证金数额的，中标人还应当对超过部分予以赔偿。</w:t>
      </w:r>
    </w:p>
    <w:p>
      <w:pPr>
        <w:pStyle w:val="7"/>
        <w:snapToGrid w:val="0"/>
        <w:spacing w:before="0" w:after="0" w:line="360" w:lineRule="auto"/>
        <w:rPr>
          <w:rFonts w:cstheme="minorEastAsia"/>
        </w:rPr>
      </w:pPr>
      <w:bookmarkStart w:id="79" w:name="_Toc8236"/>
      <w:r>
        <w:rPr>
          <w:rFonts w:hint="eastAsia" w:cstheme="minorEastAsia"/>
        </w:rPr>
        <w:t>7.7签订合同</w:t>
      </w:r>
      <w:bookmarkEnd w:id="79"/>
    </w:p>
    <w:p>
      <w:pPr>
        <w:snapToGrid w:val="0"/>
        <w:spacing w:line="360" w:lineRule="auto"/>
        <w:rPr>
          <w:rFonts w:asciiTheme="minorEastAsia" w:hAnsiTheme="minorEastAsia" w:cstheme="minorEastAsia"/>
        </w:rPr>
      </w:pPr>
      <w:r>
        <w:rPr>
          <w:rFonts w:hint="eastAsia" w:asciiTheme="minorEastAsia" w:hAnsiTheme="minorEastAsia" w:cstheme="minorEastAsia"/>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napToGrid w:val="0"/>
        <w:spacing w:line="360" w:lineRule="auto"/>
        <w:rPr>
          <w:rFonts w:asciiTheme="minorEastAsia" w:hAnsiTheme="minorEastAsia" w:cstheme="minorEastAsia"/>
        </w:rPr>
      </w:pPr>
      <w:r>
        <w:rPr>
          <w:rFonts w:hint="eastAsia" w:asciiTheme="minorEastAsia" w:hAnsiTheme="minorEastAsia" w:cstheme="minorEastAsia"/>
        </w:rPr>
        <w:t>7.7.2发出中标通知书后，招标人无正当理由拒签合同，或者在签订合同时向中标人提出附加条件的，招标人向中标人退还投标保证金；给中标人造成损失的，还应当赔偿损失。</w:t>
      </w:r>
    </w:p>
    <w:p>
      <w:pPr>
        <w:snapToGrid w:val="0"/>
        <w:spacing w:line="360" w:lineRule="auto"/>
        <w:rPr>
          <w:rFonts w:asciiTheme="minorEastAsia" w:hAnsiTheme="minorEastAsia" w:cstheme="minorEastAsia"/>
        </w:rPr>
      </w:pPr>
      <w:r>
        <w:rPr>
          <w:rFonts w:hint="eastAsia" w:asciiTheme="minorEastAsia" w:hAnsiTheme="minorEastAsia" w:cstheme="minorEastAsia"/>
        </w:rPr>
        <w:t>7.7.3联合体中标的，联合体各方应当共同与招标人签订合同，就中标项目向招标人承担连带责任。</w:t>
      </w:r>
    </w:p>
    <w:p>
      <w:pPr>
        <w:pStyle w:val="6"/>
        <w:snapToGrid w:val="0"/>
        <w:spacing w:before="0" w:after="0" w:line="360" w:lineRule="auto"/>
        <w:rPr>
          <w:rFonts w:cstheme="minorEastAsia"/>
        </w:rPr>
      </w:pPr>
      <w:bookmarkStart w:id="80" w:name="_Toc16046"/>
      <w:r>
        <w:rPr>
          <w:rFonts w:hint="eastAsia" w:cstheme="minorEastAsia"/>
        </w:rPr>
        <w:t>8.纪律和监督</w:t>
      </w:r>
      <w:bookmarkEnd w:id="80"/>
    </w:p>
    <w:p>
      <w:pPr>
        <w:pStyle w:val="7"/>
        <w:snapToGrid w:val="0"/>
        <w:spacing w:before="0" w:after="0" w:line="360" w:lineRule="auto"/>
        <w:rPr>
          <w:rFonts w:cstheme="minorEastAsia"/>
        </w:rPr>
      </w:pPr>
      <w:bookmarkStart w:id="81" w:name="_Toc26422"/>
      <w:r>
        <w:rPr>
          <w:rFonts w:hint="eastAsia" w:cstheme="minorEastAsia"/>
        </w:rPr>
        <w:t>8.1对招标人的纪律要求</w:t>
      </w:r>
      <w:bookmarkEnd w:id="81"/>
    </w:p>
    <w:p>
      <w:pPr>
        <w:snapToGrid w:val="0"/>
        <w:spacing w:line="360" w:lineRule="auto"/>
        <w:rPr>
          <w:rFonts w:asciiTheme="minorEastAsia" w:hAnsiTheme="minorEastAsia" w:cstheme="minorEastAsia"/>
        </w:rPr>
      </w:pPr>
      <w:r>
        <w:rPr>
          <w:rFonts w:hint="eastAsia" w:asciiTheme="minorEastAsia" w:hAnsiTheme="minorEastAsia" w:cstheme="minorEastAsia"/>
        </w:rPr>
        <w:t>招标人不得泄露招标投标活动中应当保密的情况和资料，不得与投标人串通损害国家利益、社会公共利益或者他人合法权益。</w:t>
      </w:r>
    </w:p>
    <w:p>
      <w:pPr>
        <w:pStyle w:val="7"/>
        <w:snapToGrid w:val="0"/>
        <w:spacing w:before="0" w:after="0" w:line="360" w:lineRule="auto"/>
        <w:rPr>
          <w:rFonts w:cstheme="minorEastAsia"/>
        </w:rPr>
      </w:pPr>
      <w:bookmarkStart w:id="82" w:name="_Toc16283"/>
      <w:r>
        <w:rPr>
          <w:rFonts w:hint="eastAsia" w:cstheme="minorEastAsia"/>
        </w:rPr>
        <w:t>8.2对投标人的纪律要求</w:t>
      </w:r>
      <w:bookmarkEnd w:id="82"/>
    </w:p>
    <w:p>
      <w:pPr>
        <w:snapToGrid w:val="0"/>
        <w:spacing w:line="360" w:lineRule="auto"/>
        <w:rPr>
          <w:rFonts w:asciiTheme="minorEastAsia" w:hAnsiTheme="minorEastAsia" w:cstheme="minorEastAsia"/>
        </w:rPr>
      </w:pPr>
      <w:r>
        <w:rPr>
          <w:rFonts w:hint="eastAsia" w:asciiTheme="minorEastAsia" w:hAnsiTheme="minorEastAsia" w:cstheme="minor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snapToGrid w:val="0"/>
        <w:spacing w:before="0" w:after="0" w:line="360" w:lineRule="auto"/>
        <w:rPr>
          <w:rFonts w:cstheme="minorEastAsia"/>
        </w:rPr>
      </w:pPr>
      <w:bookmarkStart w:id="83" w:name="_Toc4113"/>
      <w:r>
        <w:rPr>
          <w:rFonts w:hint="eastAsia" w:cstheme="minorEastAsia"/>
        </w:rPr>
        <w:t>8.3对评标委员会成员的纪律要求</w:t>
      </w:r>
      <w:bookmarkEnd w:id="83"/>
    </w:p>
    <w:p>
      <w:pPr>
        <w:snapToGrid w:val="0"/>
        <w:spacing w:line="360" w:lineRule="auto"/>
        <w:rPr>
          <w:rFonts w:asciiTheme="minorEastAsia" w:hAnsiTheme="minorEastAsia" w:cstheme="minorEastAsia"/>
        </w:rPr>
      </w:pPr>
      <w:r>
        <w:rPr>
          <w:rFonts w:hint="eastAsia" w:asciiTheme="minorEastAsia" w:hAnsiTheme="minorEastAsia" w:cstheme="minor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snapToGrid w:val="0"/>
        <w:spacing w:before="0" w:after="0" w:line="360" w:lineRule="auto"/>
        <w:rPr>
          <w:rFonts w:cstheme="minorEastAsia"/>
        </w:rPr>
      </w:pPr>
      <w:bookmarkStart w:id="84" w:name="_Toc10556"/>
      <w:r>
        <w:rPr>
          <w:rFonts w:hint="eastAsia" w:cstheme="minorEastAsia"/>
        </w:rPr>
        <w:t>8.4对与评标活动有关的工作人员的纪律要求</w:t>
      </w:r>
      <w:bookmarkEnd w:id="84"/>
    </w:p>
    <w:p>
      <w:pPr>
        <w:snapToGrid w:val="0"/>
        <w:spacing w:line="360" w:lineRule="auto"/>
        <w:rPr>
          <w:rFonts w:asciiTheme="minorEastAsia" w:hAnsiTheme="minorEastAsia" w:cstheme="minorEastAsia"/>
        </w:rPr>
      </w:pPr>
      <w:r>
        <w:rPr>
          <w:rFonts w:hint="eastAsia" w:asciiTheme="minorEastAsia" w:hAnsiTheme="minorEastAsia" w:cstheme="minor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7"/>
        <w:snapToGrid w:val="0"/>
        <w:spacing w:before="0" w:after="0" w:line="360" w:lineRule="auto"/>
        <w:rPr>
          <w:rFonts w:cstheme="minorEastAsia"/>
        </w:rPr>
      </w:pPr>
      <w:bookmarkStart w:id="85" w:name="_Toc19467"/>
      <w:r>
        <w:rPr>
          <w:rFonts w:hint="eastAsia" w:cstheme="minorEastAsia"/>
        </w:rPr>
        <w:t>8.5投诉</w:t>
      </w:r>
      <w:bookmarkEnd w:id="85"/>
    </w:p>
    <w:p>
      <w:pPr>
        <w:snapToGrid w:val="0"/>
        <w:spacing w:line="360" w:lineRule="auto"/>
        <w:rPr>
          <w:rFonts w:asciiTheme="minorEastAsia" w:hAnsiTheme="minorEastAsia" w:cstheme="minorEastAsia"/>
        </w:rPr>
      </w:pPr>
      <w:r>
        <w:rPr>
          <w:rFonts w:hint="eastAsia" w:asciiTheme="minorEastAsia" w:hAnsiTheme="minorEastAsia" w:cstheme="minorEastAsia"/>
        </w:rPr>
        <w:t>8.5.1投标人或者其他利害关系人认为招标投标活动不符合法律、行政法规规定的，可以自知道或者应当知道之日起10日内向有关行政监督部门投诉。投诉应当有明确的请求和必要的证明材料。</w:t>
      </w:r>
    </w:p>
    <w:p>
      <w:pPr>
        <w:snapToGrid w:val="0"/>
        <w:spacing w:line="360" w:lineRule="auto"/>
        <w:rPr>
          <w:rFonts w:asciiTheme="minorEastAsia" w:hAnsiTheme="minorEastAsia" w:cstheme="minorEastAsia"/>
        </w:rPr>
      </w:pPr>
      <w:r>
        <w:rPr>
          <w:rFonts w:hint="eastAsia" w:asciiTheme="minorEastAsia" w:hAnsiTheme="minorEastAsia" w:cstheme="minorEastAsia"/>
        </w:rPr>
        <w:t>8.5.2投标人或者其他利害关系人对招标文件、开标和评标结果提出投诉的，应当按照投标人须知第2.4款、第5.3款和第7.2款的规定先向招标人提出异议。异议答复期间不计算在第8.5.1项规定的期限内。</w:t>
      </w:r>
    </w:p>
    <w:p>
      <w:pPr>
        <w:pStyle w:val="6"/>
        <w:snapToGrid w:val="0"/>
        <w:spacing w:before="0" w:after="0" w:line="360" w:lineRule="auto"/>
        <w:rPr>
          <w:rFonts w:cstheme="minorEastAsia"/>
        </w:rPr>
      </w:pPr>
      <w:bookmarkStart w:id="86" w:name="_Toc11998"/>
      <w:r>
        <w:rPr>
          <w:rFonts w:hint="eastAsia" w:cstheme="minorEastAsia"/>
        </w:rPr>
        <w:t>9.是否采用电子招标投标</w:t>
      </w:r>
      <w:bookmarkEnd w:id="86"/>
    </w:p>
    <w:p>
      <w:pPr>
        <w:snapToGrid w:val="0"/>
        <w:spacing w:line="360" w:lineRule="auto"/>
        <w:rPr>
          <w:rFonts w:asciiTheme="minorEastAsia" w:hAnsiTheme="minorEastAsia" w:cstheme="minorEastAsia"/>
        </w:rPr>
      </w:pPr>
      <w:r>
        <w:rPr>
          <w:rFonts w:hint="eastAsia" w:asciiTheme="minorEastAsia" w:hAnsiTheme="minorEastAsia" w:cstheme="minorEastAsia"/>
        </w:rPr>
        <w:t>本招标项目是否采用电子招标投标方式，见投标人须知前附表。</w:t>
      </w:r>
    </w:p>
    <w:p>
      <w:pPr>
        <w:pStyle w:val="6"/>
        <w:snapToGrid w:val="0"/>
        <w:spacing w:before="0" w:after="0" w:line="360" w:lineRule="auto"/>
        <w:rPr>
          <w:rFonts w:cstheme="minorEastAsia"/>
        </w:rPr>
      </w:pPr>
      <w:bookmarkStart w:id="87" w:name="_Toc8723"/>
      <w:r>
        <w:rPr>
          <w:rFonts w:hint="eastAsia" w:cstheme="minorEastAsia"/>
        </w:rPr>
        <w:t>10.需要补充的其他内容</w:t>
      </w:r>
      <w:bookmarkEnd w:id="87"/>
    </w:p>
    <w:p>
      <w:pPr>
        <w:snapToGrid w:val="0"/>
        <w:spacing w:line="360" w:lineRule="auto"/>
        <w:rPr>
          <w:rFonts w:asciiTheme="minorEastAsia" w:hAnsiTheme="minorEastAsia" w:cstheme="minorEastAsia"/>
        </w:rPr>
      </w:pPr>
      <w:r>
        <w:rPr>
          <w:rFonts w:hint="eastAsia" w:asciiTheme="minorEastAsia" w:hAnsiTheme="minorEastAsia" w:cstheme="minorEastAsia"/>
        </w:rPr>
        <w:t>需要补充的其他内容：见投标人须知前附表。</w:t>
      </w: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4"/>
        <w:snapToGrid w:val="0"/>
        <w:spacing w:before="0" w:after="0" w:line="360" w:lineRule="auto"/>
        <w:rPr>
          <w:rFonts w:asciiTheme="minorEastAsia" w:hAnsiTheme="minorEastAsia" w:eastAsiaTheme="minorEastAsia" w:cstheme="minorEastAsia"/>
        </w:rPr>
      </w:pPr>
      <w:bookmarkStart w:id="88" w:name="_Toc15640"/>
      <w:r>
        <w:rPr>
          <w:rFonts w:hint="eastAsia" w:asciiTheme="minorEastAsia" w:hAnsiTheme="minorEastAsia" w:eastAsiaTheme="minorEastAsia" w:cstheme="minorEastAsia"/>
        </w:rPr>
        <w:t>第三章 评标办法（综合评估法）</w:t>
      </w:r>
      <w:bookmarkEnd w:id="88"/>
    </w:p>
    <w:p>
      <w:pPr>
        <w:pStyle w:val="5"/>
        <w:snapToGrid w:val="0"/>
        <w:spacing w:before="0" w:after="0" w:line="360" w:lineRule="auto"/>
        <w:rPr>
          <w:rFonts w:asciiTheme="minorEastAsia" w:hAnsiTheme="minorEastAsia" w:eastAsiaTheme="minorEastAsia" w:cstheme="minorEastAsia"/>
        </w:rPr>
      </w:pPr>
      <w:bookmarkStart w:id="89" w:name="_Toc30473"/>
      <w:r>
        <w:rPr>
          <w:rFonts w:hint="eastAsia" w:asciiTheme="minorEastAsia" w:hAnsiTheme="minorEastAsia" w:eastAsiaTheme="minorEastAsia" w:cstheme="minorEastAsia"/>
        </w:rPr>
        <w:t>评标办法前附表</w:t>
      </w:r>
      <w:bookmarkEnd w:id="89"/>
    </w:p>
    <w:tbl>
      <w:tblPr>
        <w:tblStyle w:val="25"/>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93"/>
        <w:gridCol w:w="1105"/>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条款内容</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1</w:t>
            </w:r>
          </w:p>
        </w:tc>
        <w:tc>
          <w:tcPr>
            <w:tcW w:w="69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评标方法</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中标候选人排序方法</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确定中标候选人顺序的方法为：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评审因素</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2.1.1</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形式评审标准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投标人名称</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投标函签字盖章</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投标文件格式</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2.1.2</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资格评审标准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资质要求</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财务要求</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不存在禁止投标的情形</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2.1.3</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响应性评审标准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投标报价</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投标内容</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交货期</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交货地点</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技术性能指标</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投标有效期</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投标保证金</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权利义务</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符合第二章“投标人须知”第1.11.1项规定和第四章“合同条款及格式”中的实质性要求和条件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技术服务和质保期服务</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符合第五章“项目需求”中的实质性要求和条件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技术支持资料</w:t>
            </w:r>
          </w:p>
        </w:tc>
        <w:tc>
          <w:tcPr>
            <w:tcW w:w="5987" w:type="dxa"/>
            <w:vMerge w:val="restart"/>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符合第二章“投标人须知”第1.11.3项规定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tcPr>
          <w:p>
            <w:pPr>
              <w:snapToGrid w:val="0"/>
              <w:ind w:firstLine="0" w:firstLineChars="0"/>
              <w:jc w:val="center"/>
              <w:rPr>
                <w:rFonts w:asciiTheme="minorEastAsia" w:hAnsiTheme="minorEastAsia" w:cstheme="minorEastAsia"/>
                <w:szCs w:val="21"/>
              </w:rPr>
            </w:pPr>
            <w:r>
              <w:rPr>
                <w:rFonts w:hint="eastAsia" w:asciiTheme="minorEastAsia" w:hAnsiTheme="minorEastAsia" w:cstheme="minorEastAsia"/>
                <w:szCs w:val="21"/>
                <w:lang w:eastAsia="en-US"/>
              </w:rPr>
              <w:t>主要技术参数</w:t>
            </w:r>
          </w:p>
        </w:tc>
        <w:tc>
          <w:tcPr>
            <w:tcW w:w="5987" w:type="dxa"/>
          </w:tcPr>
          <w:p>
            <w:pPr>
              <w:snapToGrid w:val="0"/>
              <w:ind w:firstLine="0" w:firstLineChars="0"/>
              <w:jc w:val="left"/>
              <w:rPr>
                <w:rFonts w:asciiTheme="minorEastAsia" w:hAnsiTheme="minorEastAsia" w:cstheme="minorEastAsia"/>
                <w:szCs w:val="21"/>
              </w:rPr>
            </w:pPr>
            <w:r>
              <w:rPr>
                <w:rFonts w:hint="eastAsia" w:asciiTheme="minorEastAsia" w:hAnsiTheme="minorEastAsia" w:cstheme="minorEastAsia"/>
                <w:szCs w:val="21"/>
              </w:rPr>
              <w:t>符合第五章“项目需求”中的实质性条款的要求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条款内容</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2.2.1</w:t>
            </w:r>
          </w:p>
        </w:tc>
        <w:tc>
          <w:tcPr>
            <w:tcW w:w="1105"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rPr>
              <w:t>分值构成</w:t>
            </w:r>
          </w:p>
          <w:p>
            <w:pPr>
              <w:snapToGrid w:val="0"/>
              <w:ind w:firstLine="0" w:firstLineChars="0"/>
              <w:rPr>
                <w:rFonts w:asciiTheme="minorEastAsia" w:hAnsiTheme="minorEastAsia" w:cstheme="minorEastAsia"/>
              </w:rPr>
            </w:pPr>
            <w:r>
              <w:rPr>
                <w:rFonts w:hint="eastAsia" w:asciiTheme="minorEastAsia" w:hAnsiTheme="minorEastAsia" w:cstheme="minorEastAsia"/>
              </w:rPr>
              <w:t>（总分 100 分）</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商务部分：38分</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技术部分：50分</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投标报价：12分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2.2.2</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评标基准价计算方法</w:t>
            </w:r>
          </w:p>
        </w:tc>
        <w:tc>
          <w:tcPr>
            <w:tcW w:w="5987" w:type="dxa"/>
            <w:vAlign w:val="center"/>
          </w:tcPr>
          <w:p>
            <w:pPr>
              <w:snapToGrid w:val="0"/>
              <w:ind w:firstLine="0" w:firstLineChars="0"/>
              <w:jc w:val="left"/>
              <w:rPr>
                <w:rFonts w:asciiTheme="minorEastAsia" w:hAnsiTheme="minorEastAsia" w:cstheme="minorEastAsia"/>
                <w:highlight w:val="none"/>
              </w:rPr>
            </w:pPr>
            <w:r>
              <w:rPr>
                <w:rFonts w:hint="eastAsia" w:asciiTheme="minorEastAsia" w:hAnsiTheme="minorEastAsia" w:cstheme="minorEastAsia"/>
                <w:highlight w:val="none"/>
              </w:rPr>
              <w:t>评标价为按照第三章第3.1.3项修正、澄清后的投标报价。</w:t>
            </w:r>
          </w:p>
          <w:p>
            <w:pPr>
              <w:snapToGrid w:val="0"/>
              <w:ind w:firstLine="0" w:firstLineChars="0"/>
              <w:jc w:val="left"/>
              <w:rPr>
                <w:rFonts w:asciiTheme="minorEastAsia" w:hAnsiTheme="minorEastAsia" w:cstheme="minorEastAsia"/>
                <w:highlight w:val="none"/>
              </w:rPr>
            </w:pPr>
            <w:r>
              <w:rPr>
                <w:rFonts w:hint="eastAsia" w:asciiTheme="minorEastAsia" w:hAnsiTheme="minorEastAsia" w:cstheme="minorEastAsia"/>
                <w:highlight w:val="none"/>
              </w:rPr>
              <w:t>在所有通过初步评审投标人的评标价中，投标单位≥7家时，去掉一个最高价和一个最低价，以其余评标价的</w:t>
            </w:r>
            <w:r>
              <w:rPr>
                <w:rFonts w:hint="eastAsia" w:asciiTheme="minorEastAsia" w:hAnsiTheme="minorEastAsia" w:cstheme="minorEastAsia"/>
                <w:highlight w:val="none"/>
                <w:lang w:eastAsia="zh-CN"/>
              </w:rPr>
              <w:t>算术</w:t>
            </w:r>
            <w:r>
              <w:rPr>
                <w:rFonts w:hint="eastAsia" w:asciiTheme="minorEastAsia" w:hAnsiTheme="minorEastAsia" w:cstheme="minorEastAsia"/>
                <w:highlight w:val="none"/>
              </w:rPr>
              <w:t>平均值为基准值；投标单位＜7家时，所有评标价的</w:t>
            </w:r>
            <w:r>
              <w:rPr>
                <w:rFonts w:hint="eastAsia" w:asciiTheme="minorEastAsia" w:hAnsiTheme="minorEastAsia" w:cstheme="minorEastAsia"/>
                <w:highlight w:val="none"/>
                <w:lang w:eastAsia="zh-CN"/>
              </w:rPr>
              <w:t>算术</w:t>
            </w:r>
            <w:r>
              <w:rPr>
                <w:rFonts w:hint="eastAsia" w:asciiTheme="minorEastAsia" w:hAnsiTheme="minorEastAsia" w:cstheme="minorEastAsia"/>
                <w:highlight w:val="none"/>
              </w:rPr>
              <w:t>平均值为基准值。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2.2.3</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投标报价的偏差率计算公式</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偏差率=100%×（投标人评标价-评标基准价）/评标基准价</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偏差率保留2位小数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评审因素（偏差率）</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2.2.4（1）</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商务评分标准（38分）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管理体系认证（15分）</w:t>
            </w:r>
          </w:p>
        </w:tc>
        <w:tc>
          <w:tcPr>
            <w:tcW w:w="5987" w:type="dxa"/>
            <w:vAlign w:val="center"/>
          </w:tcPr>
          <w:p>
            <w:pPr>
              <w:snapToGrid w:val="0"/>
              <w:ind w:firstLine="0" w:firstLineChars="0"/>
              <w:rPr>
                <w:rFonts w:asciiTheme="minorEastAsia" w:hAnsiTheme="minorEastAsia" w:cstheme="minorEastAsia"/>
                <w:color w:val="000000"/>
                <w:szCs w:val="21"/>
              </w:rPr>
            </w:pPr>
            <w:r>
              <w:rPr>
                <w:rFonts w:hint="eastAsia" w:asciiTheme="minorEastAsia" w:hAnsiTheme="minorEastAsia" w:cstheme="minorEastAsia"/>
                <w:kern w:val="0"/>
              </w:rPr>
              <w:t>投标人具有有效期内的</w:t>
            </w:r>
            <w:r>
              <w:rPr>
                <w:rFonts w:hint="eastAsia" w:asciiTheme="minorEastAsia" w:hAnsiTheme="minorEastAsia" w:cstheme="minorEastAsia"/>
                <w:kern w:val="0"/>
                <w:szCs w:val="21"/>
              </w:rPr>
              <w:t>ISO9001质量管理体系认证证书、I</w:t>
            </w:r>
            <w:r>
              <w:rPr>
                <w:rFonts w:hint="eastAsia" w:asciiTheme="minorEastAsia" w:hAnsiTheme="minorEastAsia" w:cstheme="minorEastAsia"/>
                <w:color w:val="000000"/>
                <w:szCs w:val="21"/>
              </w:rPr>
              <w:t>S020000信息技术服务管理系统认证证书、</w:t>
            </w:r>
            <w:r>
              <w:rPr>
                <w:rFonts w:hint="eastAsia" w:asciiTheme="minorEastAsia" w:hAnsiTheme="minorEastAsia" w:cstheme="minorEastAsia"/>
                <w:szCs w:val="21"/>
              </w:rPr>
              <w:t>中国信息安全测评中心颁发的信息安全服务资质（安全工程类三级或以上）、中国信息安全认证中心ISCCC颁发的信息系统安全运维服务资质（一级），</w:t>
            </w:r>
            <w:r>
              <w:rPr>
                <w:rFonts w:hint="eastAsia" w:asciiTheme="minorEastAsia" w:hAnsiTheme="minorEastAsia" w:cstheme="minorEastAsia"/>
                <w:szCs w:val="21"/>
                <w:highlight w:val="none"/>
                <w:lang w:eastAsia="zh-CN"/>
              </w:rPr>
              <w:t>全部满足</w:t>
            </w:r>
            <w:r>
              <w:rPr>
                <w:rFonts w:hint="eastAsia" w:asciiTheme="minorEastAsia" w:hAnsiTheme="minorEastAsia" w:cstheme="minorEastAsia"/>
                <w:color w:val="000000"/>
                <w:szCs w:val="21"/>
                <w:highlight w:val="none"/>
              </w:rPr>
              <w:t>得15分，</w:t>
            </w:r>
            <w:r>
              <w:rPr>
                <w:rFonts w:hint="eastAsia" w:asciiTheme="minorEastAsia" w:hAnsiTheme="minorEastAsia" w:cstheme="minorEastAsia"/>
                <w:color w:val="000000"/>
                <w:szCs w:val="21"/>
                <w:highlight w:val="none"/>
                <w:lang w:eastAsia="zh-CN"/>
              </w:rPr>
              <w:t>部分满足</w:t>
            </w:r>
            <w:r>
              <w:rPr>
                <w:rFonts w:hint="eastAsia" w:asciiTheme="minorEastAsia" w:hAnsiTheme="minorEastAsia" w:cstheme="minorEastAsia"/>
                <w:color w:val="000000"/>
                <w:szCs w:val="21"/>
                <w:highlight w:val="none"/>
              </w:rPr>
              <w:t>得10分，全部不满足不得分</w:t>
            </w:r>
            <w:r>
              <w:rPr>
                <w:rFonts w:hint="eastAsia" w:asciiTheme="minorEastAsia" w:hAnsiTheme="minorEastAsia" w:cstheme="minorEastAsia"/>
                <w:szCs w:val="21"/>
              </w:rPr>
              <w:t>。（证书复印件加盖投标人公</w:t>
            </w:r>
            <w:r>
              <w:rPr>
                <w:rFonts w:hint="eastAsia" w:asciiTheme="minorEastAsia" w:hAnsiTheme="minorEastAsia" w:cstheme="minorEastAsia"/>
                <w:color w:val="000000"/>
                <w:szCs w:val="21"/>
              </w:rPr>
              <w:t>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szCs w:val="21"/>
              </w:rPr>
              <w:t>服务能力（</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分）</w:t>
            </w:r>
          </w:p>
        </w:tc>
        <w:tc>
          <w:tcPr>
            <w:tcW w:w="5987" w:type="dxa"/>
            <w:vAlign w:val="center"/>
          </w:tcPr>
          <w:p>
            <w:pPr>
              <w:snapToGrid w:val="0"/>
              <w:ind w:firstLine="0" w:firstLineChars="0"/>
              <w:jc w:val="left"/>
              <w:rPr>
                <w:rFonts w:asciiTheme="minorEastAsia" w:hAnsiTheme="minorEastAsia" w:cstheme="minorEastAsia"/>
                <w:kern w:val="0"/>
              </w:rPr>
            </w:pPr>
            <w:r>
              <w:rPr>
                <w:rFonts w:hint="eastAsia" w:asciiTheme="minorEastAsia" w:hAnsiTheme="minorEastAsia" w:cstheme="minorEastAsia"/>
                <w:szCs w:val="21"/>
              </w:rPr>
              <w:t>投标人</w:t>
            </w:r>
            <w:r>
              <w:rPr>
                <w:rFonts w:hint="eastAsia" w:asciiTheme="minorEastAsia" w:hAnsiTheme="minorEastAsia" w:cstheme="minorEastAsia"/>
                <w:szCs w:val="21"/>
                <w:lang w:eastAsia="zh-CN"/>
              </w:rPr>
              <w:t>为</w:t>
            </w:r>
            <w:r>
              <w:rPr>
                <w:rFonts w:hint="eastAsia" w:asciiTheme="minorEastAsia" w:hAnsiTheme="minorEastAsia" w:cstheme="minorEastAsia"/>
                <w:szCs w:val="21"/>
              </w:rPr>
              <w:t>CNCERT/CC网络安全应急服务支撑单位（国家级）、 CNNVD技术支撑单位（一级）</w:t>
            </w:r>
            <w:r>
              <w:rPr>
                <w:rFonts w:hint="eastAsia" w:asciiTheme="minorEastAsia" w:hAnsiTheme="minorEastAsia" w:cstheme="minorEastAsia"/>
                <w:szCs w:val="21"/>
                <w:lang w:eastAsia="zh-CN"/>
              </w:rPr>
              <w:t>，</w:t>
            </w:r>
            <w:r>
              <w:rPr>
                <w:rFonts w:hint="eastAsia" w:asciiTheme="minorEastAsia" w:hAnsiTheme="minorEastAsia" w:cstheme="minorEastAsia"/>
                <w:szCs w:val="21"/>
              </w:rPr>
              <w:t>每</w:t>
            </w:r>
            <w:r>
              <w:rPr>
                <w:rFonts w:hint="eastAsia" w:asciiTheme="minorEastAsia" w:hAnsiTheme="minorEastAsia" w:cstheme="minorEastAsia"/>
                <w:color w:val="000000"/>
                <w:szCs w:val="21"/>
              </w:rPr>
              <w:t>项得</w:t>
            </w:r>
            <w:r>
              <w:rPr>
                <w:rFonts w:hint="eastAsia" w:asciiTheme="minorEastAsia" w:hAnsiTheme="minorEastAsia" w:cstheme="minorEastAsia"/>
                <w:color w:val="000000"/>
                <w:szCs w:val="21"/>
                <w:lang w:val="en-US" w:eastAsia="zh-CN"/>
              </w:rPr>
              <w:t>2</w:t>
            </w:r>
            <w:r>
              <w:rPr>
                <w:rFonts w:hint="eastAsia" w:asciiTheme="minorEastAsia" w:hAnsiTheme="minorEastAsia" w:cstheme="minorEastAsia"/>
                <w:color w:val="000000"/>
                <w:szCs w:val="21"/>
              </w:rPr>
              <w:t>分，最高得</w:t>
            </w:r>
            <w:r>
              <w:rPr>
                <w:rFonts w:hint="eastAsia" w:asciiTheme="minorEastAsia" w:hAnsiTheme="minorEastAsia" w:cstheme="minorEastAsia"/>
                <w:color w:val="000000"/>
                <w:szCs w:val="21"/>
                <w:lang w:val="en-US" w:eastAsia="zh-CN"/>
              </w:rPr>
              <w:t>4</w:t>
            </w:r>
            <w:r>
              <w:rPr>
                <w:rFonts w:hint="eastAsia" w:asciiTheme="minorEastAsia" w:hAnsiTheme="minorEastAsia" w:cstheme="minorEastAsia"/>
                <w:color w:val="000000"/>
                <w:szCs w:val="21"/>
              </w:rPr>
              <w:t>分。</w:t>
            </w:r>
            <w:r>
              <w:rPr>
                <w:rFonts w:hint="eastAsia" w:asciiTheme="minorEastAsia" w:hAnsiTheme="minorEastAsia" w:cstheme="minorEastAsia"/>
                <w:szCs w:val="21"/>
              </w:rPr>
              <w:t>（证书复印件加盖投标人公</w:t>
            </w:r>
            <w:r>
              <w:rPr>
                <w:rFonts w:hint="eastAsia" w:asciiTheme="minorEastAsia" w:hAnsiTheme="minorEastAsia" w:cstheme="minorEastAsia"/>
                <w:color w:val="000000"/>
                <w:szCs w:val="21"/>
              </w:rPr>
              <w:t>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rPr>
                <w:rFonts w:asciiTheme="minorEastAsia" w:hAnsiTheme="minorEastAsia" w:cstheme="minorEastAsia"/>
                <w:szCs w:val="21"/>
              </w:rPr>
            </w:pPr>
            <w:r>
              <w:rPr>
                <w:rFonts w:hint="eastAsia" w:asciiTheme="minorEastAsia" w:hAnsiTheme="minorEastAsia" w:cstheme="minorEastAsia"/>
                <w:color w:val="000000"/>
                <w:szCs w:val="21"/>
              </w:rPr>
              <w:t>投标人漏洞挖掘能力（</w:t>
            </w:r>
            <w:r>
              <w:rPr>
                <w:rFonts w:hint="eastAsia" w:asciiTheme="minorEastAsia" w:hAnsiTheme="minorEastAsia" w:cstheme="minorEastAsia"/>
                <w:color w:val="000000"/>
                <w:szCs w:val="21"/>
                <w:lang w:val="en-US" w:eastAsia="zh-CN"/>
              </w:rPr>
              <w:t>5</w:t>
            </w:r>
            <w:r>
              <w:rPr>
                <w:rFonts w:hint="eastAsia" w:asciiTheme="minorEastAsia" w:hAnsiTheme="minorEastAsia" w:cstheme="minorEastAsia"/>
                <w:color w:val="000000"/>
                <w:szCs w:val="21"/>
              </w:rPr>
              <w:t>分）</w:t>
            </w:r>
          </w:p>
        </w:tc>
        <w:tc>
          <w:tcPr>
            <w:tcW w:w="5987" w:type="dxa"/>
            <w:vAlign w:val="center"/>
          </w:tcPr>
          <w:p>
            <w:pPr>
              <w:snapToGrid w:val="0"/>
              <w:ind w:firstLine="0" w:firstLineChars="0"/>
              <w:rPr>
                <w:rFonts w:asciiTheme="minorEastAsia" w:hAnsiTheme="minorEastAsia" w:cstheme="minorEastAsia"/>
                <w:szCs w:val="21"/>
              </w:rPr>
            </w:pPr>
            <w:r>
              <w:rPr>
                <w:rFonts w:hint="eastAsia" w:asciiTheme="minorEastAsia" w:hAnsiTheme="minorEastAsia" w:cstheme="minorEastAsia"/>
                <w:color w:val="000000"/>
                <w:szCs w:val="21"/>
              </w:rPr>
              <w:t>投标人具备向国家信息安全漏洞共</w:t>
            </w:r>
            <w:r>
              <w:rPr>
                <w:rFonts w:hint="eastAsia" w:asciiTheme="minorEastAsia" w:hAnsiTheme="minorEastAsia" w:cstheme="minorEastAsia"/>
                <w:szCs w:val="21"/>
              </w:rPr>
              <w:t>享平台CNVD提交漏洞的能力，根据各投标人2018全年度成员单位工作贡献排名，第</w:t>
            </w:r>
            <w:r>
              <w:rPr>
                <w:rFonts w:hint="eastAsia" w:asciiTheme="minorEastAsia" w:hAnsiTheme="minorEastAsia" w:cstheme="minorEastAsia"/>
                <w:color w:val="000000"/>
                <w:szCs w:val="21"/>
              </w:rPr>
              <w:t>一至二名得</w:t>
            </w:r>
            <w:r>
              <w:rPr>
                <w:rFonts w:hint="eastAsia" w:asciiTheme="minorEastAsia" w:hAnsiTheme="minorEastAsia" w:cstheme="minorEastAsia"/>
                <w:color w:val="000000"/>
                <w:szCs w:val="21"/>
                <w:lang w:val="en-US" w:eastAsia="zh-CN"/>
              </w:rPr>
              <w:t>5</w:t>
            </w:r>
            <w:r>
              <w:rPr>
                <w:rFonts w:hint="eastAsia" w:asciiTheme="minorEastAsia" w:hAnsiTheme="minorEastAsia" w:cstheme="minorEastAsia"/>
                <w:color w:val="000000"/>
                <w:szCs w:val="21"/>
              </w:rPr>
              <w:t>分，第三至六名得</w:t>
            </w:r>
            <w:r>
              <w:rPr>
                <w:rFonts w:hint="eastAsia" w:asciiTheme="minorEastAsia" w:hAnsiTheme="minorEastAsia" w:cstheme="minorEastAsia"/>
                <w:color w:val="000000"/>
                <w:szCs w:val="21"/>
                <w:lang w:val="en-US" w:eastAsia="zh-CN"/>
              </w:rPr>
              <w:t>3</w:t>
            </w:r>
            <w:r>
              <w:rPr>
                <w:rFonts w:hint="eastAsia" w:asciiTheme="minorEastAsia" w:hAnsiTheme="minorEastAsia" w:cstheme="minorEastAsia"/>
                <w:color w:val="000000"/>
                <w:szCs w:val="21"/>
              </w:rPr>
              <w:t>分，其他不得分。（CNVD官网截图加盖投标人公章装订于投标文件中）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szCs w:val="21"/>
              </w:rPr>
            </w:pPr>
            <w:r>
              <w:rPr>
                <w:rFonts w:hint="eastAsia" w:asciiTheme="minorEastAsia" w:hAnsiTheme="minorEastAsia" w:cstheme="minorEastAsia"/>
                <w:color w:val="000000"/>
                <w:szCs w:val="21"/>
              </w:rPr>
              <w:t>人员资质（4分）</w:t>
            </w:r>
          </w:p>
        </w:tc>
        <w:tc>
          <w:tcPr>
            <w:tcW w:w="5987" w:type="dxa"/>
            <w:vAlign w:val="center"/>
          </w:tcPr>
          <w:p>
            <w:pPr>
              <w:snapToGrid w:val="0"/>
              <w:ind w:firstLine="0" w:firstLineChars="0"/>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提供不少于3人的项目服务团队，其中项目经理同时</w:t>
            </w:r>
            <w:r>
              <w:rPr>
                <w:rFonts w:hint="eastAsia" w:asciiTheme="minorEastAsia" w:hAnsiTheme="minorEastAsia" w:cstheme="minorEastAsia"/>
                <w:szCs w:val="21"/>
              </w:rPr>
              <w:t>具有CISP证书和PMP证书得2分</w:t>
            </w:r>
            <w:r>
              <w:rPr>
                <w:rFonts w:hint="eastAsia" w:asciiTheme="minorEastAsia" w:hAnsiTheme="minorEastAsia" w:cstheme="minorEastAsia"/>
                <w:szCs w:val="21"/>
                <w:lang w:eastAsia="zh-CN"/>
              </w:rPr>
              <w:t>，</w:t>
            </w:r>
            <w:r>
              <w:rPr>
                <w:rFonts w:hint="eastAsia" w:asciiTheme="minorEastAsia" w:hAnsiTheme="minorEastAsia" w:cstheme="minorEastAsia"/>
                <w:color w:val="000000"/>
                <w:szCs w:val="21"/>
              </w:rPr>
              <w:t>技术负责人同时</w:t>
            </w:r>
            <w:r>
              <w:rPr>
                <w:rFonts w:hint="eastAsia" w:asciiTheme="minorEastAsia" w:hAnsiTheme="minorEastAsia" w:cstheme="minorEastAsia"/>
                <w:szCs w:val="21"/>
              </w:rPr>
              <w:t>具有</w:t>
            </w:r>
            <w:r>
              <w:rPr>
                <w:rFonts w:hint="eastAsia" w:asciiTheme="minorEastAsia" w:hAnsiTheme="minorEastAsia" w:cstheme="minorEastAsia"/>
                <w:color w:val="000000"/>
                <w:szCs w:val="21"/>
              </w:rPr>
              <w:t>CISP证书和CISP-PTE证书得2分。</w:t>
            </w:r>
            <w:r>
              <w:rPr>
                <w:rFonts w:hint="eastAsia" w:asciiTheme="minorEastAsia" w:hAnsiTheme="minorEastAsia" w:cstheme="minorEastAsia"/>
                <w:szCs w:val="21"/>
              </w:rPr>
              <w:t>（证书及投标人近6个月为项目经理、技术负责人、运维人员缴纳社保的证明材料复印件加盖投标人公章</w:t>
            </w:r>
            <w:r>
              <w:rPr>
                <w:rFonts w:hint="eastAsia" w:asciiTheme="minorEastAsia" w:hAnsiTheme="minorEastAsia" w:cstheme="minorEastAsia"/>
                <w:color w:val="000000"/>
                <w:szCs w:val="21"/>
              </w:rPr>
              <w:t>装订于投标文件中</w:t>
            </w:r>
            <w:r>
              <w:rPr>
                <w:rFonts w:hint="eastAsia" w:asciiTheme="minorEastAsia" w:hAnsiTheme="minorEastAsia" w:cstheme="minorEastAsia"/>
                <w:szCs w:val="21"/>
              </w:rPr>
              <w:t>；项目经理和技术负责人不得为同一人）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业绩（10分）</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color w:val="000000"/>
                <w:szCs w:val="21"/>
              </w:rPr>
              <w:t>投标人提供2016年（</w:t>
            </w:r>
            <w:r>
              <w:rPr>
                <w:rFonts w:hint="eastAsia" w:asciiTheme="minorEastAsia" w:hAnsiTheme="minorEastAsia" w:cstheme="minorEastAsia"/>
                <w:szCs w:val="21"/>
              </w:rPr>
              <w:t>以合同签订时间为准</w:t>
            </w:r>
            <w:r>
              <w:rPr>
                <w:rFonts w:hint="eastAsia" w:asciiTheme="minorEastAsia" w:hAnsiTheme="minorEastAsia" w:cstheme="minorEastAsia"/>
                <w:color w:val="000000"/>
                <w:szCs w:val="21"/>
              </w:rPr>
              <w:t>）以来不超过3个安全服务项目成功案例，案例合同中应明确反映出“安全服务”、“安全运维”、“渗透测试”</w:t>
            </w:r>
            <w:r>
              <w:rPr>
                <w:rFonts w:hint="eastAsia" w:asciiTheme="minorEastAsia" w:hAnsiTheme="minorEastAsia" w:cstheme="minorEastAsia"/>
                <w:color w:val="000000"/>
                <w:szCs w:val="21"/>
                <w:lang w:eastAsia="zh-CN"/>
              </w:rPr>
              <w:t>、“大数据分析”、“态势感知”</w:t>
            </w:r>
            <w:r>
              <w:rPr>
                <w:rFonts w:hint="eastAsia" w:asciiTheme="minorEastAsia" w:hAnsiTheme="minorEastAsia" w:cstheme="minorEastAsia"/>
                <w:color w:val="000000"/>
                <w:szCs w:val="21"/>
              </w:rPr>
              <w:t>等内容（至少包括其中一项），按照各有效投标人提供案例总金额大小排名，第一名10分，第二名7分，第三名5分，其他不得分。</w:t>
            </w:r>
            <w:r>
              <w:rPr>
                <w:rFonts w:hint="eastAsia" w:asciiTheme="minorEastAsia" w:hAnsiTheme="minorEastAsia" w:cstheme="minorEastAsia"/>
                <w:szCs w:val="21"/>
              </w:rPr>
              <w:t>[合同复印件加盖投标人公章装订于投标文件中，</w:t>
            </w:r>
            <w:r>
              <w:rPr>
                <w:rFonts w:hint="eastAsia" w:asciiTheme="minorEastAsia" w:hAnsiTheme="minorEastAsia" w:cstheme="minorEastAsia"/>
                <w:szCs w:val="21"/>
                <w:highlight w:val="none"/>
              </w:rPr>
              <w:t>金额以合同金额为准（</w:t>
            </w:r>
            <w:r>
              <w:rPr>
                <w:rFonts w:hint="eastAsia" w:asciiTheme="minorEastAsia" w:hAnsiTheme="minorEastAsia" w:cstheme="minorEastAsia"/>
                <w:color w:val="000000"/>
                <w:szCs w:val="21"/>
                <w:highlight w:val="none"/>
              </w:rPr>
              <w:t>如合同中包含产品，则应有产品金额，计算时做相应扣除</w:t>
            </w:r>
            <w:r>
              <w:rPr>
                <w:rFonts w:hint="eastAsia" w:asciiTheme="minorEastAsia" w:hAnsiTheme="minorEastAsia" w:cs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2.2.4（2）</w:t>
            </w:r>
          </w:p>
        </w:tc>
        <w:tc>
          <w:tcPr>
            <w:tcW w:w="693"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技术评分标准（50分）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技术方案（28分）</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根据投标人在（1）安全架构设计（2）安全管理体系咨询服务（3）安全开发规范（4）基线评估及策略优化（5）漏扫及渗透评估（6）安全运维（7）新系统上线安全检查（8）互联网资产发现（9）安全事件应急处置（10）重要时期安全保障（11）安全事件预警通报（12）培训服务（13）全流量风险分析（14）APP应用加固服务中的职责、任务、分工及方案完善性、技术可行性综合打分，每项优得</w:t>
            </w:r>
            <w:r>
              <w:rPr>
                <w:rFonts w:hint="eastAsia" w:asciiTheme="minorEastAsia" w:hAnsiTheme="minorEastAsia" w:cstheme="minorEastAsia"/>
                <w:kern w:val="0"/>
              </w:rPr>
              <w:t>（1，2]</w:t>
            </w:r>
            <w:r>
              <w:rPr>
                <w:rFonts w:hint="eastAsia" w:asciiTheme="minorEastAsia" w:hAnsiTheme="minorEastAsia" w:cstheme="minorEastAsia"/>
              </w:rPr>
              <w:t>，</w:t>
            </w:r>
            <w:r>
              <w:rPr>
                <w:rFonts w:hint="eastAsia" w:asciiTheme="minorEastAsia" w:hAnsiTheme="minorEastAsia" w:cstheme="minorEastAsia"/>
                <w:kern w:val="0"/>
              </w:rPr>
              <w:t>一般得（0，1]分，差得0分。</w:t>
            </w:r>
            <w:r>
              <w:rPr>
                <w:rFonts w:hint="eastAsia" w:asciiTheme="minorEastAsia" w:hAnsiTheme="minorEastAsia" w:cstheme="minorEastAsia"/>
              </w:rPr>
              <w:t>本项满分28分。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全流量分析服务工具响应度（10分）</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lang w:eastAsia="zh-CN"/>
              </w:rPr>
              <w:t>对</w:t>
            </w:r>
            <w:r>
              <w:rPr>
                <w:rFonts w:hint="eastAsia" w:asciiTheme="minorEastAsia" w:hAnsiTheme="minorEastAsia" w:cstheme="minorEastAsia"/>
              </w:rPr>
              <w:t>招标文件技术要求</w:t>
            </w:r>
            <w:r>
              <w:rPr>
                <w:rFonts w:asciiTheme="minorEastAsia" w:hAnsiTheme="minorEastAsia" w:cstheme="minorEastAsia"/>
              </w:rPr>
              <w:t>第</w:t>
            </w:r>
            <w:r>
              <w:rPr>
                <w:rFonts w:hint="eastAsia" w:asciiTheme="minorEastAsia" w:hAnsiTheme="minorEastAsia" w:cstheme="minorEastAsia"/>
                <w:lang w:val="en-US" w:eastAsia="zh-CN"/>
              </w:rPr>
              <w:t>13</w:t>
            </w:r>
            <w:r>
              <w:rPr>
                <w:rFonts w:asciiTheme="minorEastAsia" w:hAnsiTheme="minorEastAsia" w:cstheme="minorEastAsia"/>
              </w:rPr>
              <w:t>条</w:t>
            </w:r>
            <w:r>
              <w:rPr>
                <w:rFonts w:hint="eastAsia" w:asciiTheme="minorEastAsia" w:hAnsiTheme="minorEastAsia" w:cstheme="minorEastAsia"/>
              </w:rPr>
              <w:t>全流量风险分析</w:t>
            </w:r>
            <w:r>
              <w:rPr>
                <w:rFonts w:hint="eastAsia" w:asciiTheme="minorEastAsia" w:hAnsiTheme="minorEastAsia" w:cstheme="minorEastAsia"/>
                <w:lang w:eastAsia="zh-CN"/>
              </w:rPr>
              <w:t>的响应程度</w:t>
            </w:r>
            <w:r>
              <w:rPr>
                <w:rFonts w:hint="eastAsia" w:asciiTheme="minorEastAsia" w:hAnsiTheme="minorEastAsia" w:cstheme="minorEastAsia"/>
              </w:rPr>
              <w:t>，</w:t>
            </w:r>
            <w:r>
              <w:rPr>
                <w:rFonts w:hint="eastAsia" w:asciiTheme="minorEastAsia" w:hAnsiTheme="minorEastAsia" w:cstheme="minorEastAsia"/>
                <w:lang w:eastAsia="zh-CN"/>
              </w:rPr>
              <w:t>满足</w:t>
            </w:r>
            <w:r>
              <w:rPr>
                <w:rFonts w:hint="eastAsia" w:asciiTheme="minorEastAsia" w:hAnsiTheme="minorEastAsia" w:cstheme="minorEastAsia"/>
              </w:rPr>
              <w:t>所有的技术参数指标得10分。打</w:t>
            </w:r>
            <w:r>
              <w:rPr>
                <w:rFonts w:hint="eastAsia" w:asciiTheme="minorEastAsia" w:hAnsiTheme="minorEastAsia" w:cstheme="minorEastAsia"/>
                <w:szCs w:val="21"/>
              </w:rPr>
              <w:t>★</w:t>
            </w:r>
            <w:r>
              <w:rPr>
                <w:rFonts w:hint="eastAsia" w:asciiTheme="minorEastAsia" w:hAnsiTheme="minorEastAsia" w:cstheme="minorEastAsia"/>
              </w:rPr>
              <w:t>项为</w:t>
            </w:r>
            <w:r>
              <w:rPr>
                <w:rFonts w:asciiTheme="minorEastAsia" w:hAnsiTheme="minorEastAsia" w:cstheme="minorEastAsia"/>
              </w:rPr>
              <w:t>必须满足项，不满足</w:t>
            </w:r>
            <w:r>
              <w:rPr>
                <w:rFonts w:hint="eastAsia" w:asciiTheme="minorEastAsia" w:hAnsiTheme="minorEastAsia" w:cstheme="minorEastAsia"/>
                <w:lang w:eastAsia="zh-CN"/>
              </w:rPr>
              <w:t>则按否决投</w:t>
            </w:r>
            <w:r>
              <w:rPr>
                <w:rFonts w:asciiTheme="minorEastAsia" w:hAnsiTheme="minorEastAsia" w:cstheme="minorEastAsia"/>
              </w:rPr>
              <w:t>标</w:t>
            </w:r>
            <w:r>
              <w:rPr>
                <w:rFonts w:hint="eastAsia" w:asciiTheme="minorEastAsia" w:hAnsiTheme="minorEastAsia" w:cstheme="minorEastAsia"/>
                <w:lang w:eastAsia="zh-CN"/>
              </w:rPr>
              <w:t>处理</w:t>
            </w:r>
            <w:r>
              <w:rPr>
                <w:rFonts w:asciiTheme="minorEastAsia" w:hAnsiTheme="minorEastAsia" w:cstheme="minorEastAsia"/>
              </w:rPr>
              <w:t>。</w:t>
            </w:r>
            <w:r>
              <w:rPr>
                <w:rFonts w:hint="eastAsia" w:asciiTheme="minorEastAsia" w:hAnsiTheme="minorEastAsia" w:cstheme="minorEastAsia"/>
                <w:lang w:eastAsia="zh-CN"/>
              </w:rPr>
              <w:t>其余项</w:t>
            </w:r>
            <w:r>
              <w:rPr>
                <w:rFonts w:hint="eastAsia" w:asciiTheme="minorEastAsia" w:hAnsiTheme="minorEastAsia" w:cstheme="minorEastAsia"/>
              </w:rPr>
              <w:t>有负偏离的每项扣1分，10分扣完为止。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asciiTheme="minorEastAsia" w:hAnsiTheme="minorEastAsia" w:cstheme="minorEastAsia"/>
              </w:rPr>
            </w:pPr>
          </w:p>
        </w:tc>
        <w:tc>
          <w:tcPr>
            <w:tcW w:w="693" w:type="dxa"/>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color w:val="000000"/>
                <w:szCs w:val="21"/>
              </w:rPr>
              <w:t>整体方案合理性（12分）</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szCs w:val="21"/>
              </w:rPr>
              <w:t>根据投标人的项目实施方案，</w:t>
            </w:r>
            <w:r>
              <w:rPr>
                <w:rFonts w:hint="eastAsia" w:asciiTheme="minorEastAsia" w:hAnsiTheme="minorEastAsia" w:cstheme="minorEastAsia"/>
                <w:szCs w:val="21"/>
                <w:lang w:val="zh-TW"/>
              </w:rPr>
              <w:t>包括</w:t>
            </w:r>
            <w:r>
              <w:rPr>
                <w:rFonts w:hint="eastAsia" w:asciiTheme="minorEastAsia" w:hAnsiTheme="minorEastAsia" w:cstheme="minorEastAsia"/>
                <w:szCs w:val="21"/>
                <w:lang w:val="zh-TW" w:eastAsia="zh-TW"/>
              </w:rPr>
              <w:t>项目组织架构、项目实施计划及时间进度安排、验收方案、售后服务方案</w:t>
            </w:r>
            <w:r>
              <w:rPr>
                <w:rFonts w:hint="eastAsia" w:asciiTheme="minorEastAsia" w:hAnsiTheme="minorEastAsia" w:cstheme="minorEastAsia"/>
                <w:szCs w:val="21"/>
                <w:lang w:val="zh-TW"/>
              </w:rPr>
              <w:t>等综合打分。</w:t>
            </w:r>
            <w:r>
              <w:rPr>
                <w:rFonts w:hint="eastAsia" w:asciiTheme="minorEastAsia" w:hAnsiTheme="minorEastAsia" w:cstheme="minorEastAsia"/>
              </w:rPr>
              <w:t>优得</w:t>
            </w:r>
            <w:r>
              <w:rPr>
                <w:rFonts w:hint="eastAsia" w:asciiTheme="minorEastAsia" w:hAnsiTheme="minorEastAsia" w:cstheme="minorEastAsia"/>
                <w:kern w:val="0"/>
              </w:rPr>
              <w:t>（10，12]</w:t>
            </w:r>
            <w:r>
              <w:rPr>
                <w:rFonts w:hint="eastAsia" w:asciiTheme="minorEastAsia" w:hAnsiTheme="minorEastAsia" w:cstheme="minorEastAsia"/>
              </w:rPr>
              <w:t>，</w:t>
            </w:r>
            <w:r>
              <w:rPr>
                <w:rFonts w:hint="eastAsia" w:asciiTheme="minorEastAsia" w:hAnsiTheme="minorEastAsia" w:cstheme="minorEastAsia"/>
                <w:kern w:val="0"/>
              </w:rPr>
              <w:t>良得（8，10]分，中得（4，8]分，差得（0，4]分，无不得分</w:t>
            </w:r>
            <w:r>
              <w:rPr>
                <w:rFonts w:hint="eastAsia" w:asciiTheme="minorEastAsia" w:hAnsiTheme="minorEastAsia" w:cstheme="minorEastAsia"/>
                <w:szCs w:val="21"/>
                <w:lang w:val="zh-TW"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74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2.2.4（3）</w:t>
            </w:r>
          </w:p>
        </w:tc>
        <w:tc>
          <w:tcPr>
            <w:tcW w:w="693"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投标报价评分标准</w:t>
            </w: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偏差率</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如果投标人的评标价&gt;评标基准价，则得分=100-偏差率×100×E1；</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如果投标人的评标价≤评标基准价，则得分=100+偏差率×100×E2；</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E1=0.5，E2=0.3。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条款号</w:t>
            </w:r>
          </w:p>
        </w:tc>
        <w:tc>
          <w:tcPr>
            <w:tcW w:w="1105"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条款内容</w:t>
            </w:r>
          </w:p>
        </w:tc>
        <w:tc>
          <w:tcPr>
            <w:tcW w:w="5987" w:type="dxa"/>
            <w:vAlign w:val="center"/>
          </w:tcPr>
          <w:p>
            <w:pPr>
              <w:snapToGrid w:val="0"/>
              <w:ind w:firstLine="0" w:firstLineChars="0"/>
              <w:jc w:val="center"/>
              <w:rPr>
                <w:rFonts w:asciiTheme="minorEastAsia" w:hAnsiTheme="minorEastAsia" w:cstheme="minorEastAsia"/>
                <w:b/>
              </w:rPr>
            </w:pPr>
            <w:r>
              <w:rPr>
                <w:rFonts w:hint="eastAsia" w:asciiTheme="minorEastAsia" w:hAnsiTheme="minorEastAsia" w:cstheme="minor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436" w:type="dxa"/>
            <w:gridSpan w:val="2"/>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3.1.2（2）</w:t>
            </w:r>
          </w:p>
        </w:tc>
        <w:tc>
          <w:tcPr>
            <w:tcW w:w="1105"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串通投标</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有下列情形之一的，属于投标人相互串通投标：</w:t>
            </w:r>
          </w:p>
          <w:p>
            <w:pPr>
              <w:numPr>
                <w:ilvl w:val="0"/>
                <w:numId w:val="2"/>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投标人之间协商投标报价等投标文件的实质性内容；</w:t>
            </w:r>
          </w:p>
          <w:p>
            <w:pPr>
              <w:numPr>
                <w:ilvl w:val="0"/>
                <w:numId w:val="2"/>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投标人之间约定中标人；</w:t>
            </w:r>
          </w:p>
          <w:p>
            <w:pPr>
              <w:numPr>
                <w:ilvl w:val="0"/>
                <w:numId w:val="2"/>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投标人之间约定部分投标人放弃投标或者中标；</w:t>
            </w:r>
          </w:p>
          <w:p>
            <w:pPr>
              <w:numPr>
                <w:ilvl w:val="0"/>
                <w:numId w:val="2"/>
              </w:numPr>
              <w:snapToGrid w:val="0"/>
              <w:ind w:firstLineChars="0"/>
              <w:jc w:val="left"/>
              <w:rPr>
                <w:rFonts w:asciiTheme="minorEastAsia" w:hAnsiTheme="minorEastAsia" w:cstheme="minorEastAsia"/>
              </w:rPr>
            </w:pPr>
            <w:r>
              <w:rPr>
                <w:rFonts w:hint="eastAsia" w:asciiTheme="minorEastAsia" w:hAnsiTheme="minorEastAsia" w:cstheme="minorEastAsia"/>
              </w:rPr>
              <w:t>属于同一集团、协会、商会等组织成员的投标人按照该组织要求协同投标；</w:t>
            </w:r>
          </w:p>
          <w:p>
            <w:pPr>
              <w:numPr>
                <w:ilvl w:val="0"/>
                <w:numId w:val="2"/>
              </w:numPr>
              <w:snapToGrid w:val="0"/>
              <w:ind w:firstLineChars="0"/>
              <w:jc w:val="left"/>
              <w:rPr>
                <w:rFonts w:asciiTheme="minorEastAsia" w:hAnsiTheme="minorEastAsia" w:cstheme="minorEastAsia"/>
              </w:rPr>
            </w:pPr>
            <w:r>
              <w:rPr>
                <w:rFonts w:hint="eastAsia" w:asciiTheme="minorEastAsia" w:hAnsiTheme="minorEastAsia" w:cstheme="minorEastAsia"/>
              </w:rPr>
              <w:t>投标人之间为谋取中标或者排斥特定投标人而采取的其他联合行动。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436" w:type="dxa"/>
            <w:gridSpan w:val="2"/>
            <w:vMerge w:val="continue"/>
            <w:vAlign w:val="center"/>
          </w:tcPr>
          <w:p>
            <w:pPr>
              <w:snapToGrid w:val="0"/>
              <w:ind w:firstLine="0" w:firstLineChars="0"/>
              <w:jc w:val="center"/>
              <w:rPr>
                <w:rFonts w:asciiTheme="minorEastAsia" w:hAnsiTheme="minorEastAsia" w:cstheme="minorEastAsia"/>
              </w:rPr>
            </w:pPr>
          </w:p>
        </w:tc>
        <w:tc>
          <w:tcPr>
            <w:tcW w:w="1105" w:type="dxa"/>
            <w:vMerge w:val="continue"/>
            <w:vAlign w:val="center"/>
          </w:tcPr>
          <w:p>
            <w:pPr>
              <w:snapToGrid w:val="0"/>
              <w:ind w:firstLine="0" w:firstLineChars="0"/>
              <w:jc w:val="center"/>
              <w:rPr>
                <w:rFonts w:asciiTheme="minorEastAsia" w:hAnsiTheme="minorEastAsia" w:cstheme="minorEastAsia"/>
              </w:rPr>
            </w:pP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有下列情形之一的，视为投标人相互串通投标：</w:t>
            </w:r>
          </w:p>
          <w:p>
            <w:pPr>
              <w:numPr>
                <w:ilvl w:val="0"/>
                <w:numId w:val="3"/>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不同投标人的投标文件由同一单位或者个人编制；</w:t>
            </w:r>
          </w:p>
          <w:p>
            <w:pPr>
              <w:numPr>
                <w:ilvl w:val="0"/>
                <w:numId w:val="3"/>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不同投标人委托同一单位或者个人办理投标事宜；</w:t>
            </w:r>
          </w:p>
          <w:p>
            <w:pPr>
              <w:numPr>
                <w:ilvl w:val="0"/>
                <w:numId w:val="3"/>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不同投标人的投标文件载明的项目管理成员为同一人；</w:t>
            </w:r>
          </w:p>
          <w:p>
            <w:pPr>
              <w:numPr>
                <w:ilvl w:val="0"/>
                <w:numId w:val="3"/>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不同投标人的投标文件异常一致或者投标报价呈规律性差异；</w:t>
            </w:r>
          </w:p>
          <w:p>
            <w:pPr>
              <w:numPr>
                <w:ilvl w:val="0"/>
                <w:numId w:val="3"/>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不同投标人的投标文件相互混装；</w:t>
            </w:r>
          </w:p>
          <w:p>
            <w:pPr>
              <w:numPr>
                <w:ilvl w:val="0"/>
                <w:numId w:val="3"/>
              </w:numPr>
              <w:snapToGrid w:val="0"/>
              <w:ind w:firstLineChars="0"/>
              <w:jc w:val="left"/>
              <w:rPr>
                <w:rFonts w:asciiTheme="minorEastAsia" w:hAnsiTheme="minorEastAsia" w:cstheme="minorEastAsia"/>
              </w:rPr>
            </w:pPr>
            <w:r>
              <w:rPr>
                <w:rFonts w:hint="eastAsia" w:asciiTheme="minorEastAsia" w:hAnsiTheme="minorEastAsia" w:cstheme="minorEastAsia"/>
              </w:rPr>
              <w:t>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436" w:type="dxa"/>
            <w:gridSpan w:val="2"/>
            <w:vMerge w:val="continue"/>
            <w:vAlign w:val="center"/>
          </w:tcPr>
          <w:p>
            <w:pPr>
              <w:snapToGrid w:val="0"/>
              <w:ind w:firstLine="0" w:firstLineChars="0"/>
              <w:jc w:val="center"/>
              <w:rPr>
                <w:rFonts w:asciiTheme="minorEastAsia" w:hAnsiTheme="minorEastAsia" w:cstheme="minorEastAsia"/>
              </w:rPr>
            </w:pPr>
          </w:p>
        </w:tc>
        <w:tc>
          <w:tcPr>
            <w:tcW w:w="1105" w:type="dxa"/>
            <w:vMerge w:val="continue"/>
            <w:vAlign w:val="center"/>
          </w:tcPr>
          <w:p>
            <w:pPr>
              <w:snapToGrid w:val="0"/>
              <w:ind w:firstLine="0" w:firstLineChars="0"/>
              <w:jc w:val="center"/>
              <w:rPr>
                <w:rFonts w:asciiTheme="minorEastAsia" w:hAnsiTheme="minorEastAsia" w:cstheme="minorEastAsia"/>
              </w:rPr>
            </w:pP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有下列情形之一的，属于招标人与投标人串通投标：</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招标人在开标前开启投标文件并将有关信息泄露给其他投标人；</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招标人直接或者间接向投标人泄露标底、评标委员会成员等信息；</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招标人明示或者暗示投标人压低或者抬高投标报价；</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招标人授意投标人撤换、修改投标文件；</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招标人明示或者暗示投标人为特定投标人中标提供方便；</w:t>
            </w:r>
          </w:p>
          <w:p>
            <w:pPr>
              <w:numPr>
                <w:ilvl w:val="0"/>
                <w:numId w:val="4"/>
              </w:numPr>
              <w:snapToGrid w:val="0"/>
              <w:ind w:firstLineChars="0"/>
              <w:jc w:val="left"/>
              <w:rPr>
                <w:rFonts w:asciiTheme="minorEastAsia" w:hAnsiTheme="minorEastAsia" w:cstheme="minorEastAsia"/>
              </w:rPr>
            </w:pPr>
            <w:r>
              <w:rPr>
                <w:rFonts w:hint="eastAsia" w:asciiTheme="minorEastAsia" w:hAnsiTheme="minorEastAsia" w:cstheme="minorEastAsia"/>
              </w:rPr>
              <w:t>招标人与投标人为谋求特定投标人中标而采取的其他串通行为。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Merge w:val="continue"/>
            <w:vAlign w:val="center"/>
          </w:tcPr>
          <w:p>
            <w:pPr>
              <w:snapToGrid w:val="0"/>
              <w:ind w:firstLine="0" w:firstLineChars="0"/>
              <w:jc w:val="center"/>
              <w:rPr>
                <w:rFonts w:asciiTheme="minorEastAsia" w:hAnsiTheme="minorEastAsia" w:cstheme="minorEastAsia"/>
              </w:rPr>
            </w:pPr>
          </w:p>
        </w:tc>
        <w:tc>
          <w:tcPr>
            <w:tcW w:w="1105"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弄虚作假</w:t>
            </w:r>
          </w:p>
        </w:tc>
        <w:tc>
          <w:tcPr>
            <w:tcW w:w="5987"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使用通过受让或者租借等方式获取的资格、资质证书投标的，属于以他人名义投标。</w:t>
            </w:r>
          </w:p>
          <w:p>
            <w:pPr>
              <w:snapToGrid w:val="0"/>
              <w:ind w:firstLine="0" w:firstLineChars="0"/>
              <w:jc w:val="left"/>
              <w:rPr>
                <w:rFonts w:asciiTheme="minorEastAsia" w:hAnsiTheme="minorEastAsia" w:cstheme="minorEastAsia"/>
              </w:rPr>
            </w:pPr>
            <w:r>
              <w:rPr>
                <w:rFonts w:hint="eastAsia" w:asciiTheme="minorEastAsia" w:hAnsiTheme="minorEastAsia" w:cstheme="minorEastAsia"/>
              </w:rPr>
              <w:t>投标人有下列情形之一的，属于以其他方式弄虚作假的行为：</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使用伪造、变造的许可证件；</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提供虚假的财务状况或者业绩；</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提供虚假的项目负责人或者主要技术人员简历、劳动关系证明；</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提供虚假的信用状况；</w:t>
            </w:r>
          </w:p>
          <w:p>
            <w:pPr>
              <w:numPr>
                <w:ilvl w:val="0"/>
                <w:numId w:val="5"/>
              </w:numPr>
              <w:snapToGrid w:val="0"/>
              <w:ind w:firstLineChars="0"/>
              <w:jc w:val="left"/>
              <w:rPr>
                <w:rFonts w:asciiTheme="minorEastAsia" w:hAnsiTheme="minorEastAsia" w:cstheme="minorEastAsia"/>
              </w:rPr>
            </w:pPr>
            <w:r>
              <w:rPr>
                <w:rFonts w:hint="eastAsia" w:asciiTheme="minorEastAsia" w:hAnsiTheme="minorEastAsia" w:cstheme="minorEastAsia"/>
              </w:rPr>
              <w:t>其他弄虚作假的行为。</w:t>
            </w:r>
          </w:p>
        </w:tc>
      </w:tr>
    </w:tbl>
    <w:p>
      <w:pPr>
        <w:pStyle w:val="6"/>
        <w:snapToGrid w:val="0"/>
        <w:spacing w:before="0" w:after="0" w:line="360" w:lineRule="auto"/>
        <w:rPr>
          <w:rFonts w:cstheme="minorEastAsia"/>
        </w:rPr>
      </w:pPr>
      <w:bookmarkStart w:id="90" w:name="_Toc26353"/>
      <w:bookmarkStart w:id="91" w:name="_Toc11623"/>
      <w:r>
        <w:rPr>
          <w:rFonts w:hint="eastAsia" w:cstheme="minorEastAsia"/>
        </w:rPr>
        <w:t>1.评标方法</w:t>
      </w:r>
      <w:bookmarkEnd w:id="90"/>
      <w:bookmarkEnd w:id="91"/>
    </w:p>
    <w:p>
      <w:pPr>
        <w:snapToGrid w:val="0"/>
        <w:spacing w:line="360" w:lineRule="auto"/>
        <w:rPr>
          <w:rFonts w:asciiTheme="minorEastAsia" w:hAnsiTheme="minorEastAsia" w:cstheme="minorEastAsia"/>
        </w:rPr>
      </w:pPr>
      <w:r>
        <w:rPr>
          <w:rFonts w:hint="eastAsia" w:asciiTheme="minorEastAsia" w:hAnsiTheme="minorEastAsia" w:cstheme="minor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6"/>
        <w:snapToGrid w:val="0"/>
        <w:spacing w:before="0" w:after="0" w:line="360" w:lineRule="auto"/>
        <w:rPr>
          <w:rFonts w:cstheme="minorEastAsia"/>
        </w:rPr>
      </w:pPr>
      <w:bookmarkStart w:id="92" w:name="_Toc11474"/>
      <w:bookmarkStart w:id="93" w:name="_Toc3626"/>
      <w:r>
        <w:rPr>
          <w:rFonts w:hint="eastAsia" w:cstheme="minorEastAsia"/>
        </w:rPr>
        <w:t>2.评审标准</w:t>
      </w:r>
      <w:bookmarkEnd w:id="92"/>
      <w:bookmarkEnd w:id="93"/>
    </w:p>
    <w:p>
      <w:pPr>
        <w:pStyle w:val="7"/>
        <w:snapToGrid w:val="0"/>
        <w:spacing w:before="0" w:after="0" w:line="360" w:lineRule="auto"/>
        <w:rPr>
          <w:rFonts w:cstheme="minorEastAsia"/>
        </w:rPr>
      </w:pPr>
      <w:bookmarkStart w:id="94" w:name="_Toc6222"/>
      <w:bookmarkStart w:id="95" w:name="_Toc3837"/>
      <w:r>
        <w:rPr>
          <w:rFonts w:hint="eastAsia" w:cstheme="minorEastAsia"/>
        </w:rPr>
        <w:t>2.1初步评审标准</w:t>
      </w:r>
      <w:bookmarkEnd w:id="94"/>
      <w:bookmarkEnd w:id="95"/>
    </w:p>
    <w:p>
      <w:pPr>
        <w:snapToGrid w:val="0"/>
        <w:spacing w:line="360" w:lineRule="auto"/>
        <w:rPr>
          <w:rFonts w:asciiTheme="minorEastAsia" w:hAnsiTheme="minorEastAsia" w:cstheme="minorEastAsia"/>
        </w:rPr>
      </w:pPr>
      <w:r>
        <w:rPr>
          <w:rFonts w:hint="eastAsia" w:asciiTheme="minorEastAsia" w:hAnsiTheme="minorEastAsia" w:cstheme="minorEastAsia"/>
        </w:rPr>
        <w:t>2.1.1形式评审标准：见评标办法前附表。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2.1.2资格评审标准：见评标办法前附表。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2.1.3响应性评审标准：见评标办法前附表。</w:t>
      </w:r>
    </w:p>
    <w:p>
      <w:pPr>
        <w:pStyle w:val="7"/>
        <w:snapToGrid w:val="0"/>
        <w:spacing w:before="0" w:after="0" w:line="360" w:lineRule="auto"/>
        <w:rPr>
          <w:rFonts w:cstheme="minorEastAsia"/>
        </w:rPr>
      </w:pPr>
      <w:bookmarkStart w:id="96" w:name="_Toc13806"/>
      <w:bookmarkStart w:id="97" w:name="_Toc22305"/>
      <w:r>
        <w:rPr>
          <w:rFonts w:hint="eastAsia" w:cstheme="minorEastAsia"/>
        </w:rPr>
        <w:t>2.2分值构成与评分标准</w:t>
      </w:r>
      <w:bookmarkEnd w:id="96"/>
      <w:bookmarkEnd w:id="97"/>
    </w:p>
    <w:p>
      <w:pPr>
        <w:snapToGrid w:val="0"/>
        <w:spacing w:line="360" w:lineRule="auto"/>
        <w:rPr>
          <w:rFonts w:asciiTheme="minorEastAsia" w:hAnsiTheme="minorEastAsia" w:cstheme="minorEastAsia"/>
        </w:rPr>
      </w:pPr>
      <w:r>
        <w:rPr>
          <w:rFonts w:hint="eastAsia" w:asciiTheme="minorEastAsia" w:hAnsiTheme="minorEastAsia" w:cstheme="minorEastAsia"/>
        </w:rPr>
        <w:t>2.2.1分值构成</w:t>
      </w:r>
    </w:p>
    <w:p>
      <w:pPr>
        <w:snapToGrid w:val="0"/>
        <w:spacing w:line="360" w:lineRule="auto"/>
        <w:rPr>
          <w:rFonts w:asciiTheme="minorEastAsia" w:hAnsiTheme="minorEastAsia" w:cstheme="minorEastAsia"/>
        </w:rPr>
      </w:pPr>
      <w:r>
        <w:rPr>
          <w:rFonts w:hint="eastAsia" w:asciiTheme="minorEastAsia" w:hAnsiTheme="minorEastAsia" w:cstheme="minorEastAsia"/>
        </w:rPr>
        <w:t>（1）商务部分：见评标办法前附表；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（2）技术部分：见评标办法前附表；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（3）投标报价：见评标办法前附表；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（4）其他评分因素：见评标办法前附表。 </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2.2.2评标基准价计算 评标基准价计算方法：见评标办法前附表。 </w:t>
      </w:r>
    </w:p>
    <w:p>
      <w:pPr>
        <w:snapToGrid w:val="0"/>
        <w:spacing w:line="360" w:lineRule="auto"/>
        <w:rPr>
          <w:rFonts w:asciiTheme="minorEastAsia" w:hAnsiTheme="minorEastAsia" w:cstheme="minorEastAsia"/>
        </w:rPr>
      </w:pPr>
      <w:r>
        <w:rPr>
          <w:rFonts w:hint="eastAsia" w:asciiTheme="minorEastAsia" w:hAnsiTheme="minorEastAsia" w:cstheme="minorEastAsia"/>
        </w:rPr>
        <w:t>2.2.3投标报价的偏差率计算</w:t>
      </w:r>
    </w:p>
    <w:p>
      <w:pPr>
        <w:snapToGrid w:val="0"/>
        <w:spacing w:line="360" w:lineRule="auto"/>
        <w:rPr>
          <w:rFonts w:asciiTheme="minorEastAsia" w:hAnsiTheme="minorEastAsia" w:cstheme="minorEastAsia"/>
        </w:rPr>
      </w:pPr>
      <w:r>
        <w:rPr>
          <w:rFonts w:hint="eastAsia" w:asciiTheme="minorEastAsia" w:hAnsiTheme="minorEastAsia" w:cstheme="minorEastAsia"/>
        </w:rPr>
        <w:t>投标报价的偏差率计算公式：见评标办法前附表。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2.2.4评分标准</w:t>
      </w:r>
    </w:p>
    <w:p>
      <w:pPr>
        <w:snapToGrid w:val="0"/>
        <w:spacing w:line="360" w:lineRule="auto"/>
        <w:rPr>
          <w:rFonts w:asciiTheme="minorEastAsia" w:hAnsiTheme="minorEastAsia" w:cstheme="minorEastAsia"/>
        </w:rPr>
      </w:pPr>
      <w:r>
        <w:rPr>
          <w:rFonts w:hint="eastAsia" w:asciiTheme="minorEastAsia" w:hAnsiTheme="minorEastAsia" w:cstheme="minorEastAsia"/>
        </w:rPr>
        <w:t>（1）商务评分标准：见评标办法前附表；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（2）技术评分标准：见评标办法前附表；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（3）投标报价评分标准：见评标办法前附表；</w:t>
      </w:r>
    </w:p>
    <w:p>
      <w:pPr>
        <w:snapToGrid w:val="0"/>
        <w:spacing w:line="360" w:lineRule="auto"/>
        <w:rPr>
          <w:rFonts w:asciiTheme="minorEastAsia" w:hAnsiTheme="minorEastAsia" w:cstheme="minorEastAsia"/>
        </w:rPr>
      </w:pPr>
      <w:r>
        <w:rPr>
          <w:rFonts w:hint="eastAsia" w:asciiTheme="minorEastAsia" w:hAnsiTheme="minorEastAsia" w:cstheme="minorEastAsia"/>
        </w:rPr>
        <w:t>（4）其他因素评分标准：见评标办法前附表。</w:t>
      </w:r>
    </w:p>
    <w:p>
      <w:pPr>
        <w:pStyle w:val="6"/>
        <w:snapToGrid w:val="0"/>
        <w:spacing w:before="0" w:after="0" w:line="360" w:lineRule="auto"/>
        <w:rPr>
          <w:rFonts w:cstheme="minorEastAsia"/>
        </w:rPr>
      </w:pPr>
      <w:bookmarkStart w:id="98" w:name="_Toc13959"/>
      <w:bookmarkStart w:id="99" w:name="_Toc17171"/>
      <w:r>
        <w:rPr>
          <w:rFonts w:hint="eastAsia" w:cstheme="minorEastAsia"/>
        </w:rPr>
        <w:t>3.评标程序</w:t>
      </w:r>
      <w:bookmarkEnd w:id="98"/>
      <w:bookmarkEnd w:id="99"/>
    </w:p>
    <w:p>
      <w:pPr>
        <w:pStyle w:val="7"/>
        <w:snapToGrid w:val="0"/>
        <w:spacing w:before="0" w:after="0" w:line="360" w:lineRule="auto"/>
        <w:rPr>
          <w:rFonts w:cstheme="minorEastAsia"/>
        </w:rPr>
      </w:pPr>
      <w:bookmarkStart w:id="100" w:name="_Toc31556"/>
      <w:bookmarkStart w:id="101" w:name="_Toc1425"/>
      <w:r>
        <w:rPr>
          <w:rFonts w:hint="eastAsia" w:cstheme="minorEastAsia"/>
        </w:rPr>
        <w:t>3.1初步评审</w:t>
      </w:r>
      <w:bookmarkEnd w:id="100"/>
      <w:bookmarkEnd w:id="101"/>
    </w:p>
    <w:p>
      <w:pPr>
        <w:snapToGrid w:val="0"/>
        <w:spacing w:line="360" w:lineRule="auto"/>
        <w:rPr>
          <w:rFonts w:asciiTheme="minorEastAsia" w:hAnsiTheme="minorEastAsia" w:cstheme="minorEastAsia"/>
        </w:rPr>
      </w:pPr>
      <w:r>
        <w:rPr>
          <w:rFonts w:hint="eastAsia" w:asciiTheme="minorEastAsia" w:hAnsiTheme="minorEastAsia" w:cstheme="minorEastAsia"/>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napToGrid w:val="0"/>
        <w:spacing w:line="360" w:lineRule="auto"/>
        <w:rPr>
          <w:rFonts w:asciiTheme="minorEastAsia" w:hAnsiTheme="minorEastAsia" w:cstheme="minorEastAsia"/>
        </w:rPr>
      </w:pPr>
      <w:r>
        <w:rPr>
          <w:rFonts w:hint="eastAsia" w:asciiTheme="minorEastAsia" w:hAnsiTheme="minorEastAsia" w:cstheme="minorEastAsia"/>
        </w:rPr>
        <w:t>3.1.2投标人有以下情形之一的，评标委员会应当否决其投标：</w:t>
      </w:r>
    </w:p>
    <w:p>
      <w:pPr>
        <w:snapToGrid w:val="0"/>
        <w:spacing w:line="360" w:lineRule="auto"/>
        <w:rPr>
          <w:rFonts w:asciiTheme="minorEastAsia" w:hAnsiTheme="minorEastAsia" w:cstheme="minorEastAsia"/>
        </w:rPr>
      </w:pPr>
      <w:r>
        <w:rPr>
          <w:rFonts w:hint="eastAsia" w:asciiTheme="minorEastAsia" w:hAnsiTheme="minorEastAsia" w:cstheme="minorEastAsia"/>
        </w:rPr>
        <w:t>（1）投标文件没有对招标文件的实质性要求和条件作出响应，或者对招标文件的偏差超出招标文件规定的偏差范围或最高项数；</w:t>
      </w:r>
    </w:p>
    <w:p>
      <w:pPr>
        <w:snapToGrid w:val="0"/>
        <w:spacing w:line="360" w:lineRule="auto"/>
        <w:rPr>
          <w:rFonts w:asciiTheme="minorEastAsia" w:hAnsiTheme="minorEastAsia" w:cstheme="minorEastAsia"/>
        </w:rPr>
      </w:pPr>
      <w:r>
        <w:rPr>
          <w:rFonts w:hint="eastAsia" w:asciiTheme="minorEastAsia" w:hAnsiTheme="minorEastAsia" w:cstheme="minorEastAsia"/>
        </w:rPr>
        <w:t>（2）第二章“投标人须知”第1.4.3项规定的任何一种情形的；</w:t>
      </w:r>
    </w:p>
    <w:p>
      <w:pPr>
        <w:snapToGrid w:val="0"/>
        <w:spacing w:line="360" w:lineRule="auto"/>
        <w:rPr>
          <w:rFonts w:asciiTheme="minorEastAsia" w:hAnsiTheme="minorEastAsia" w:cstheme="minorEastAsia"/>
        </w:rPr>
      </w:pPr>
      <w:r>
        <w:rPr>
          <w:rFonts w:hint="eastAsia" w:asciiTheme="minorEastAsia" w:hAnsiTheme="minorEastAsia" w:cstheme="minorEastAsia"/>
        </w:rPr>
        <w:t>（3）有串通投标、弄虚作假、行贿等违法行为。</w:t>
      </w:r>
    </w:p>
    <w:p>
      <w:pPr>
        <w:snapToGrid w:val="0"/>
        <w:spacing w:line="360" w:lineRule="auto"/>
        <w:rPr>
          <w:rFonts w:asciiTheme="minorEastAsia" w:hAnsiTheme="minorEastAsia" w:cstheme="minorEastAsia"/>
        </w:rPr>
      </w:pPr>
      <w:r>
        <w:rPr>
          <w:rFonts w:hint="eastAsia" w:asciiTheme="minorEastAsia" w:hAnsiTheme="minorEastAsia" w:cstheme="minorEastAsia"/>
        </w:rPr>
        <w:t>3.1.3投标报价有算术错误及其他错误的，评标委员会按以下原则要求投标人对投标报价进行修正，并要求投标人书面澄清确认。投标人拒不澄清确认的，评标委员会应当否决其投标：</w:t>
      </w:r>
    </w:p>
    <w:p>
      <w:pPr>
        <w:snapToGrid w:val="0"/>
        <w:spacing w:line="360" w:lineRule="auto"/>
        <w:rPr>
          <w:rFonts w:asciiTheme="minorEastAsia" w:hAnsiTheme="minorEastAsia" w:cstheme="minorEastAsia"/>
        </w:rPr>
      </w:pPr>
      <w:r>
        <w:rPr>
          <w:rFonts w:hint="eastAsia" w:asciiTheme="minorEastAsia" w:hAnsiTheme="minorEastAsia" w:cstheme="minorEastAsia"/>
        </w:rPr>
        <w:t>（1）投标文件中的大写金额与小写金额不一致的，以大写金额为准；</w:t>
      </w:r>
    </w:p>
    <w:p>
      <w:pPr>
        <w:snapToGrid w:val="0"/>
        <w:spacing w:line="360" w:lineRule="auto"/>
        <w:rPr>
          <w:rFonts w:asciiTheme="minorEastAsia" w:hAnsiTheme="minorEastAsia" w:cstheme="minorEastAsia"/>
        </w:rPr>
      </w:pPr>
      <w:r>
        <w:rPr>
          <w:rFonts w:hint="eastAsia" w:asciiTheme="minorEastAsia" w:hAnsiTheme="minorEastAsia" w:cstheme="minorEastAsia"/>
        </w:rPr>
        <w:t>（2）总价金额与单价金额不一致的，以单价金额为准，但单价金额小数点有明显错误的除外；</w:t>
      </w:r>
    </w:p>
    <w:p>
      <w:pPr>
        <w:snapToGrid w:val="0"/>
        <w:spacing w:line="360" w:lineRule="auto"/>
        <w:rPr>
          <w:rFonts w:asciiTheme="minorEastAsia" w:hAnsiTheme="minorEastAsia" w:cstheme="minorEastAsia"/>
        </w:rPr>
      </w:pPr>
      <w:r>
        <w:rPr>
          <w:rFonts w:hint="eastAsia" w:asciiTheme="minorEastAsia" w:hAnsiTheme="minorEastAsia" w:cstheme="minorEastAsia"/>
        </w:rPr>
        <w:t>（3）投标报价为各分项报价金额之和，投标报价与分项报价的合价不一致的，应以各分项合价累计数为准，修正投标报价；</w:t>
      </w:r>
    </w:p>
    <w:p>
      <w:pPr>
        <w:snapToGrid w:val="0"/>
        <w:spacing w:line="360" w:lineRule="auto"/>
        <w:rPr>
          <w:rFonts w:asciiTheme="minorEastAsia" w:hAnsiTheme="minorEastAsia" w:cstheme="minorEastAsia"/>
        </w:rPr>
      </w:pPr>
      <w:r>
        <w:rPr>
          <w:rFonts w:hint="eastAsia" w:asciiTheme="minorEastAsia" w:hAnsiTheme="minorEastAsia" w:cstheme="minorEastAsia"/>
        </w:rPr>
        <w:t>（4）如果分项报价中存在缺漏项，则视为缺漏项价格已包含在其他分项报价之中。</w:t>
      </w:r>
    </w:p>
    <w:p>
      <w:pPr>
        <w:pStyle w:val="7"/>
        <w:snapToGrid w:val="0"/>
        <w:spacing w:before="0" w:after="0" w:line="360" w:lineRule="auto"/>
        <w:rPr>
          <w:rFonts w:cstheme="minorEastAsia"/>
        </w:rPr>
      </w:pPr>
      <w:bookmarkStart w:id="102" w:name="_Toc8357"/>
      <w:bookmarkStart w:id="103" w:name="_Toc28869"/>
      <w:r>
        <w:rPr>
          <w:rFonts w:hint="eastAsia" w:cstheme="minorEastAsia"/>
        </w:rPr>
        <w:t>3.2详细评审</w:t>
      </w:r>
      <w:bookmarkEnd w:id="102"/>
      <w:bookmarkEnd w:id="103"/>
    </w:p>
    <w:p>
      <w:pPr>
        <w:snapToGrid w:val="0"/>
        <w:spacing w:line="360" w:lineRule="auto"/>
        <w:rPr>
          <w:rFonts w:asciiTheme="minorEastAsia" w:hAnsiTheme="minorEastAsia" w:cstheme="minorEastAsia"/>
        </w:rPr>
      </w:pPr>
      <w:r>
        <w:rPr>
          <w:rFonts w:hint="eastAsia" w:asciiTheme="minorEastAsia" w:hAnsiTheme="minorEastAsia" w:cstheme="minorEastAsia"/>
        </w:rPr>
        <w:t>3.2.1评标委员会按本章第2.2款规定的量化因素和分值进行打分，并计算出综合评估得分。</w:t>
      </w:r>
    </w:p>
    <w:p>
      <w:pPr>
        <w:snapToGrid w:val="0"/>
        <w:spacing w:line="360" w:lineRule="auto"/>
        <w:rPr>
          <w:rFonts w:asciiTheme="minorEastAsia" w:hAnsiTheme="minorEastAsia" w:cstheme="minorEastAsia"/>
        </w:rPr>
      </w:pPr>
      <w:r>
        <w:rPr>
          <w:rFonts w:hint="eastAsia" w:asciiTheme="minorEastAsia" w:hAnsiTheme="minorEastAsia" w:cstheme="minorEastAsia"/>
        </w:rPr>
        <w:t>（1）按本章第2.2.4（1）目规定的评审因素和分值对商务部分计算出得分A；</w:t>
      </w:r>
    </w:p>
    <w:p>
      <w:pPr>
        <w:snapToGrid w:val="0"/>
        <w:spacing w:line="360" w:lineRule="auto"/>
        <w:rPr>
          <w:rFonts w:asciiTheme="minorEastAsia" w:hAnsiTheme="minorEastAsia" w:cstheme="minorEastAsia"/>
        </w:rPr>
      </w:pPr>
      <w:r>
        <w:rPr>
          <w:rFonts w:hint="eastAsia" w:asciiTheme="minorEastAsia" w:hAnsiTheme="minorEastAsia" w:cstheme="minorEastAsia"/>
        </w:rPr>
        <w:t>（2）按本章第2.2.4（2）目规定的评审因素和分值对技术部分计算出得分B；</w:t>
      </w:r>
    </w:p>
    <w:p>
      <w:pPr>
        <w:snapToGrid w:val="0"/>
        <w:spacing w:line="360" w:lineRule="auto"/>
        <w:rPr>
          <w:rFonts w:asciiTheme="minorEastAsia" w:hAnsiTheme="minorEastAsia" w:cstheme="minorEastAsia"/>
        </w:rPr>
      </w:pPr>
      <w:r>
        <w:rPr>
          <w:rFonts w:hint="eastAsia" w:asciiTheme="minorEastAsia" w:hAnsiTheme="minorEastAsia" w:cstheme="minorEastAsia"/>
        </w:rPr>
        <w:t>（3）按本章第2.2.4（3）目规定的评审因素和分值对投标报价计算出得分C；</w:t>
      </w:r>
    </w:p>
    <w:p>
      <w:pPr>
        <w:snapToGrid w:val="0"/>
        <w:spacing w:line="360" w:lineRule="auto"/>
        <w:rPr>
          <w:rFonts w:asciiTheme="minorEastAsia" w:hAnsiTheme="minorEastAsia" w:cstheme="minorEastAsia"/>
        </w:rPr>
      </w:pPr>
      <w:r>
        <w:rPr>
          <w:rFonts w:hint="eastAsia" w:asciiTheme="minorEastAsia" w:hAnsiTheme="minorEastAsia" w:cstheme="minorEastAsia"/>
        </w:rPr>
        <w:t>（4）按本章第2.2.4（4）目规定的评审因素和分值对其他部分计算出得分D。</w:t>
      </w:r>
    </w:p>
    <w:p>
      <w:pPr>
        <w:snapToGrid w:val="0"/>
        <w:spacing w:line="360" w:lineRule="auto"/>
        <w:rPr>
          <w:rFonts w:asciiTheme="minorEastAsia" w:hAnsiTheme="minorEastAsia" w:cstheme="minorEastAsia"/>
        </w:rPr>
      </w:pPr>
      <w:r>
        <w:rPr>
          <w:rFonts w:hint="eastAsia" w:asciiTheme="minorEastAsia" w:hAnsiTheme="minorEastAsia" w:cstheme="minorEastAsia"/>
        </w:rPr>
        <w:t>3.2.2评分分值计算保留小数点后两位，小数点后第三位“四舍五入”。</w:t>
      </w:r>
    </w:p>
    <w:p>
      <w:pPr>
        <w:snapToGrid w:val="0"/>
        <w:spacing w:line="360" w:lineRule="auto"/>
        <w:rPr>
          <w:rFonts w:asciiTheme="minorEastAsia" w:hAnsiTheme="minorEastAsia" w:cstheme="minorEastAsia"/>
        </w:rPr>
      </w:pPr>
      <w:r>
        <w:rPr>
          <w:rFonts w:hint="eastAsia" w:asciiTheme="minorEastAsia" w:hAnsiTheme="minorEastAsia" w:cstheme="minorEastAsia"/>
        </w:rPr>
        <w:t>3.2.3投标人得分=A+B+C+D。</w:t>
      </w:r>
    </w:p>
    <w:p>
      <w:pPr>
        <w:snapToGrid w:val="0"/>
        <w:spacing w:line="360" w:lineRule="auto"/>
        <w:rPr>
          <w:rFonts w:asciiTheme="minorEastAsia" w:hAnsiTheme="minorEastAsia" w:cstheme="minorEastAsia"/>
        </w:rPr>
      </w:pPr>
      <w:r>
        <w:rPr>
          <w:rFonts w:hint="eastAsia" w:asciiTheme="minorEastAsia" w:hAnsiTheme="minorEastAsia" w:cstheme="minorEastAsia"/>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snapToGrid w:val="0"/>
        <w:spacing w:before="0" w:after="0" w:line="360" w:lineRule="auto"/>
        <w:rPr>
          <w:rFonts w:cstheme="minorEastAsia"/>
        </w:rPr>
      </w:pPr>
      <w:bookmarkStart w:id="104" w:name="_Toc16426"/>
      <w:bookmarkStart w:id="105" w:name="_Toc1550"/>
      <w:r>
        <w:rPr>
          <w:rFonts w:hint="eastAsia" w:cstheme="minorEastAsia"/>
        </w:rPr>
        <w:t>3.3投标文件的澄清</w:t>
      </w:r>
      <w:bookmarkEnd w:id="104"/>
      <w:bookmarkEnd w:id="105"/>
    </w:p>
    <w:p>
      <w:pPr>
        <w:snapToGrid w:val="0"/>
        <w:spacing w:line="360" w:lineRule="auto"/>
        <w:rPr>
          <w:rFonts w:asciiTheme="minorEastAsia" w:hAnsiTheme="minorEastAsia" w:cstheme="minorEastAsia"/>
        </w:rPr>
      </w:pPr>
      <w:r>
        <w:rPr>
          <w:rFonts w:hint="eastAsia" w:asciiTheme="minorEastAsia" w:hAnsiTheme="minorEastAsia" w:cstheme="minorEastAsia"/>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line="360" w:lineRule="auto"/>
        <w:rPr>
          <w:rFonts w:asciiTheme="minorEastAsia" w:hAnsiTheme="minorEastAsia" w:cstheme="minorEastAsia"/>
        </w:rPr>
      </w:pPr>
      <w:r>
        <w:rPr>
          <w:rFonts w:hint="eastAsia" w:asciiTheme="minorEastAsia" w:hAnsiTheme="minorEastAsia" w:cstheme="minorEastAsia"/>
        </w:rPr>
        <w:t>3.3.2澄清、说明或补正不得超出投标文件的范围且不得改变投标文件的实质性内容，并构成投标文件的组成部分。</w:t>
      </w:r>
    </w:p>
    <w:p>
      <w:pPr>
        <w:snapToGrid w:val="0"/>
        <w:spacing w:line="360" w:lineRule="auto"/>
        <w:rPr>
          <w:rFonts w:asciiTheme="minorEastAsia" w:hAnsiTheme="minorEastAsia" w:cstheme="minorEastAsia"/>
        </w:rPr>
      </w:pPr>
      <w:r>
        <w:rPr>
          <w:rFonts w:hint="eastAsia" w:asciiTheme="minorEastAsia" w:hAnsiTheme="minorEastAsia" w:cstheme="minorEastAsia"/>
        </w:rPr>
        <w:t>3.3.3评标委员会对投标人提交的澄清、说明或补正有疑问的，可以要求投标人进一步澄清、说明或补正，直至满足评标委员会的要求。</w:t>
      </w:r>
    </w:p>
    <w:p>
      <w:pPr>
        <w:pStyle w:val="7"/>
        <w:snapToGrid w:val="0"/>
        <w:spacing w:before="0" w:after="0" w:line="360" w:lineRule="auto"/>
        <w:rPr>
          <w:rFonts w:cstheme="minorEastAsia"/>
        </w:rPr>
      </w:pPr>
      <w:bookmarkStart w:id="106" w:name="_Toc13137"/>
      <w:bookmarkStart w:id="107" w:name="_Toc13498"/>
      <w:r>
        <w:rPr>
          <w:rFonts w:hint="eastAsia" w:cstheme="minorEastAsia"/>
        </w:rPr>
        <w:t>3.4评标结果</w:t>
      </w:r>
      <w:bookmarkEnd w:id="106"/>
      <w:bookmarkEnd w:id="107"/>
    </w:p>
    <w:p>
      <w:pPr>
        <w:snapToGrid w:val="0"/>
        <w:spacing w:line="360" w:lineRule="auto"/>
        <w:rPr>
          <w:rFonts w:asciiTheme="minorEastAsia" w:hAnsiTheme="minorEastAsia" w:cstheme="minorEastAsia"/>
        </w:rPr>
      </w:pPr>
      <w:r>
        <w:rPr>
          <w:rFonts w:hint="eastAsia" w:asciiTheme="minorEastAsia" w:hAnsiTheme="minorEastAsia" w:cstheme="minorEastAsia"/>
        </w:rPr>
        <w:t>3.4.1除第二章“投标人须知”前附表授权直接确定中标人外，评标委员会按照得分由高到低的顺序推荐中标候选人，并标明排序。</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3.4.2评标委员会完成评标后，应当向招标人提交书面评标报告和中标候选人名单。 </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4"/>
        <w:snapToGrid w:val="0"/>
        <w:spacing w:before="0" w:after="0" w:line="360" w:lineRule="auto"/>
        <w:rPr>
          <w:rFonts w:asciiTheme="minorEastAsia" w:hAnsiTheme="minorEastAsia" w:eastAsiaTheme="minorEastAsia" w:cstheme="minorEastAsia"/>
        </w:rPr>
      </w:pPr>
      <w:bookmarkStart w:id="108" w:name="_Toc17297"/>
      <w:r>
        <w:rPr>
          <w:rFonts w:hint="eastAsia" w:asciiTheme="minorEastAsia" w:hAnsiTheme="minorEastAsia" w:eastAsiaTheme="minorEastAsia" w:cstheme="minorEastAsia"/>
        </w:rPr>
        <w:t>第四章 合同条款及格式</w:t>
      </w:r>
      <w:bookmarkEnd w:id="108"/>
      <w:r>
        <w:rPr>
          <w:rFonts w:hint="eastAsia" w:asciiTheme="minorEastAsia" w:hAnsiTheme="minorEastAsia" w:eastAsiaTheme="minorEastAsia" w:cstheme="minorEastAsia"/>
        </w:rPr>
        <w:t xml:space="preserve"> </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项目名称：</w:t>
      </w:r>
      <w:r>
        <w:rPr>
          <w:rFonts w:hint="eastAsia" w:asciiTheme="minorEastAsia" w:hAnsiTheme="minorEastAsia" w:cstheme="minorEastAsia"/>
          <w:bCs/>
        </w:rPr>
        <w:t>“我的扬州APP”安全服务</w:t>
      </w:r>
    </w:p>
    <w:p>
      <w:pPr>
        <w:pStyle w:val="13"/>
        <w:snapToGrid w:val="0"/>
        <w:spacing w:line="360" w:lineRule="auto"/>
        <w:rPr>
          <w:rFonts w:asciiTheme="minorEastAsia" w:hAnsiTheme="minorEastAsia" w:cstheme="minorEastAsia"/>
          <w:color w:val="000000"/>
          <w:sz w:val="21"/>
        </w:rPr>
      </w:pPr>
      <w:r>
        <w:rPr>
          <w:rFonts w:hint="eastAsia" w:asciiTheme="minorEastAsia" w:hAnsiTheme="minorEastAsia" w:cstheme="minorEastAsia"/>
          <w:sz w:val="21"/>
        </w:rPr>
        <w:t>编号：</w:t>
      </w:r>
      <w:r>
        <w:rPr>
          <w:rFonts w:hint="eastAsia" w:asciiTheme="minorEastAsia" w:hAnsiTheme="minorEastAsia" w:cstheme="minorEastAsia"/>
          <w:sz w:val="21"/>
          <w:lang w:eastAsia="zh-CN"/>
        </w:rPr>
        <w:t>066019531692</w:t>
      </w:r>
      <w:r>
        <w:rPr>
          <w:rFonts w:hint="eastAsia" w:asciiTheme="minorEastAsia" w:hAnsiTheme="minorEastAsia" w:cstheme="minorEastAsia"/>
          <w:sz w:val="21"/>
        </w:rPr>
        <w:t>/1</w:t>
      </w:r>
      <w:r>
        <w:rPr>
          <w:rFonts w:hint="eastAsia" w:asciiTheme="minorEastAsia" w:hAnsiTheme="minorEastAsia" w:cstheme="minorEastAsia"/>
          <w:color w:val="000000"/>
          <w:sz w:val="21"/>
        </w:rPr>
        <w:t xml:space="preserve"> </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甲方（招标人/买方）：</w:t>
      </w:r>
      <w:r>
        <w:rPr>
          <w:rFonts w:hint="eastAsia" w:asciiTheme="minorEastAsia" w:hAnsiTheme="minorEastAsia" w:cstheme="minorEastAsia"/>
          <w:color w:val="000000"/>
          <w:sz w:val="21"/>
        </w:rPr>
        <w:t xml:space="preserve">扬州市民卡有限责任公司 </w:t>
      </w:r>
      <w:r>
        <w:rPr>
          <w:rFonts w:hint="eastAsia" w:asciiTheme="minorEastAsia" w:hAnsiTheme="minorEastAsia" w:cstheme="minorEastAsia"/>
          <w:sz w:val="21"/>
        </w:rPr>
        <w:t xml:space="preserve">        </w:t>
      </w:r>
    </w:p>
    <w:p>
      <w:pPr>
        <w:pStyle w:val="13"/>
        <w:snapToGrid w:val="0"/>
        <w:spacing w:line="360" w:lineRule="auto"/>
        <w:rPr>
          <w:rFonts w:asciiTheme="minorEastAsia" w:hAnsiTheme="minorEastAsia" w:cstheme="minorEastAsia"/>
          <w:sz w:val="21"/>
          <w:u w:val="single"/>
        </w:rPr>
      </w:pPr>
      <w:r>
        <w:rPr>
          <w:rFonts w:hint="eastAsia" w:asciiTheme="minorEastAsia" w:hAnsiTheme="minorEastAsia" w:cstheme="minorEastAsia"/>
          <w:sz w:val="21"/>
        </w:rPr>
        <w:t>乙方（供应商/卖方）：</w:t>
      </w:r>
      <w:r>
        <w:rPr>
          <w:rFonts w:hint="eastAsia" w:asciiTheme="minorEastAsia" w:hAnsiTheme="minorEastAsia" w:cstheme="minorEastAsia"/>
          <w:sz w:val="21"/>
          <w:u w:val="single"/>
        </w:rPr>
        <w:t xml:space="preserve">              </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highlight w:val="none"/>
        </w:rPr>
        <w:t>根据《中华人民共和国招标投标法》、《中华人民共和国合同法》等法律法规的规定，</w:t>
      </w:r>
      <w:r>
        <w:rPr>
          <w:rFonts w:hint="eastAsia" w:asciiTheme="minorEastAsia" w:hAnsiTheme="minorEastAsia" w:cstheme="minorEastAsia"/>
          <w:sz w:val="21"/>
        </w:rPr>
        <w:t>甲乙双方按照</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关于本项目招标结果签订本合同。</w:t>
      </w:r>
    </w:p>
    <w:p>
      <w:pPr>
        <w:pStyle w:val="13"/>
        <w:snapToGrid w:val="0"/>
        <w:spacing w:line="360" w:lineRule="auto"/>
        <w:ind w:firstLine="422"/>
        <w:rPr>
          <w:rFonts w:asciiTheme="minorEastAsia" w:hAnsiTheme="minorEastAsia" w:cstheme="minorEastAsia"/>
          <w:b/>
          <w:bCs/>
          <w:sz w:val="21"/>
        </w:rPr>
      </w:pPr>
      <w:r>
        <w:rPr>
          <w:rFonts w:hint="eastAsia" w:asciiTheme="minorEastAsia" w:hAnsiTheme="minorEastAsia" w:cstheme="minorEastAsia"/>
          <w:b/>
          <w:bCs/>
          <w:sz w:val="21"/>
        </w:rPr>
        <w:t>1、合同标的</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乙方根据甲方需求，提供下列服务：</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w:t>
      </w:r>
    </w:p>
    <w:p>
      <w:pPr>
        <w:pStyle w:val="13"/>
        <w:snapToGrid w:val="0"/>
        <w:spacing w:line="360" w:lineRule="auto"/>
        <w:rPr>
          <w:rFonts w:asciiTheme="minorEastAsia" w:hAnsiTheme="minorEastAsia" w:cstheme="minorEastAsia"/>
          <w:b/>
          <w:sz w:val="21"/>
        </w:rPr>
      </w:pPr>
      <w:r>
        <w:rPr>
          <w:rFonts w:hint="eastAsia" w:asciiTheme="minorEastAsia" w:hAnsiTheme="minorEastAsia" w:cstheme="minorEastAsia"/>
          <w:sz w:val="21"/>
        </w:rPr>
        <w:t>服务内容等要求详见招投标文件。</w:t>
      </w:r>
    </w:p>
    <w:p>
      <w:pPr>
        <w:pStyle w:val="13"/>
        <w:snapToGrid w:val="0"/>
        <w:spacing w:line="360" w:lineRule="auto"/>
        <w:ind w:firstLine="422"/>
        <w:rPr>
          <w:rFonts w:asciiTheme="minorEastAsia" w:hAnsiTheme="minorEastAsia" w:cstheme="minorEastAsia"/>
          <w:b/>
          <w:bCs/>
          <w:sz w:val="21"/>
        </w:rPr>
      </w:pPr>
      <w:r>
        <w:rPr>
          <w:rFonts w:hint="eastAsia" w:asciiTheme="minorEastAsia" w:hAnsiTheme="minorEastAsia" w:cstheme="minorEastAsia"/>
          <w:b/>
          <w:bCs/>
          <w:sz w:val="21"/>
        </w:rPr>
        <w:t>2、合同总金额</w:t>
      </w:r>
    </w:p>
    <w:p>
      <w:pPr>
        <w:pStyle w:val="13"/>
        <w:snapToGrid w:val="0"/>
        <w:spacing w:line="360" w:lineRule="auto"/>
        <w:ind w:left="315" w:leftChars="150" w:firstLine="105" w:firstLineChars="50"/>
        <w:rPr>
          <w:rFonts w:asciiTheme="minorEastAsia" w:hAnsiTheme="minorEastAsia" w:cstheme="minorEastAsia"/>
          <w:sz w:val="21"/>
        </w:rPr>
      </w:pPr>
      <w:r>
        <w:rPr>
          <w:rFonts w:hint="eastAsia" w:asciiTheme="minorEastAsia" w:hAnsiTheme="minorEastAsia" w:cstheme="minorEastAsia"/>
          <w:sz w:val="21"/>
        </w:rPr>
        <w:t>2.1 本合同金额为（大写）：_______________________________元人民币（¥_____元）。</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2.2 本合同总金额包括乙方提供的服务及其他有关的为完成本项目发生的所有费用，招标文件中另有规定的除外。</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2.3 在招标文件未列明，而乙方认为履行本合同必需的费用也包含在合同总金额中。</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2.4 本合同总金额还包含乙方提供的伴随服务/售后服务费用。</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招标采购时的价格水平做相应的调减，并据此签订补充合同；除上述情况外，本合同执行期间合同总金额不变。</w:t>
      </w:r>
    </w:p>
    <w:p>
      <w:pPr>
        <w:pStyle w:val="13"/>
        <w:snapToGrid w:val="0"/>
        <w:spacing w:line="360" w:lineRule="auto"/>
        <w:ind w:firstLine="422"/>
        <w:rPr>
          <w:rFonts w:asciiTheme="minorEastAsia" w:hAnsiTheme="minorEastAsia" w:cstheme="minorEastAsia"/>
          <w:b/>
          <w:bCs/>
          <w:sz w:val="21"/>
        </w:rPr>
      </w:pPr>
      <w:r>
        <w:rPr>
          <w:rFonts w:hint="eastAsia" w:asciiTheme="minorEastAsia" w:hAnsiTheme="minorEastAsia" w:cstheme="minorEastAsia"/>
          <w:b/>
          <w:bCs/>
          <w:sz w:val="21"/>
        </w:rPr>
        <w:t>3、组成本合同的有关文件</w:t>
      </w:r>
    </w:p>
    <w:p>
      <w:pPr>
        <w:pStyle w:val="13"/>
        <w:snapToGrid w:val="0"/>
        <w:spacing w:line="360" w:lineRule="auto"/>
        <w:ind w:left="315" w:leftChars="150" w:firstLine="105" w:firstLineChars="50"/>
        <w:rPr>
          <w:rFonts w:asciiTheme="minorEastAsia" w:hAnsiTheme="minorEastAsia" w:cstheme="minorEastAsia"/>
          <w:sz w:val="21"/>
        </w:rPr>
      </w:pPr>
      <w:r>
        <w:rPr>
          <w:rFonts w:hint="eastAsia" w:asciiTheme="minorEastAsia" w:hAnsiTheme="minorEastAsia" w:cstheme="minorEastAsia"/>
          <w:sz w:val="21"/>
        </w:rPr>
        <w:t>3.1乙方应按招标文件规定的时间向甲方提供服务的有关技术资料。</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3.2 没有甲方事先书面同意，乙方不得将由甲方提供的有关合同或任何合同条文或资料提供给任何其他人。即使向履行本合同有关的人员提供，也应注意保密并限于履行合同的必需范围。</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3.3 关于本项目采购的招投标文件或与本次采购活动方式相适应的文件及有关附件是本合同不可分割的组成部分，这些文件包括但不限于：</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（1）投标响应文件；</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（2）投标报价文件；</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 xml:space="preserve">（3）项目组人员表   </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（4）技术参数、商务条款响应及偏离表；</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（5）服务承诺；</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（6）中标通知书；</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 xml:space="preserve">（7）甲乙双方补充协议； </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（8）乙方投标时提供的响应文件。</w:t>
      </w:r>
    </w:p>
    <w:p>
      <w:pPr>
        <w:pStyle w:val="13"/>
        <w:snapToGrid w:val="0"/>
        <w:spacing w:line="360" w:lineRule="auto"/>
        <w:ind w:left="315" w:leftChars="150" w:firstLine="105" w:firstLineChars="50"/>
        <w:rPr>
          <w:rFonts w:asciiTheme="minorEastAsia" w:hAnsiTheme="minorEastAsia" w:cstheme="minorEastAsia"/>
          <w:b/>
          <w:bCs/>
          <w:color w:val="auto"/>
          <w:sz w:val="21"/>
          <w:highlight w:val="none"/>
        </w:rPr>
      </w:pPr>
      <w:r>
        <w:rPr>
          <w:rFonts w:hint="eastAsia" w:asciiTheme="minorEastAsia" w:hAnsiTheme="minorEastAsia" w:cstheme="minorEastAsia"/>
          <w:b/>
          <w:bCs/>
          <w:color w:val="auto"/>
          <w:sz w:val="21"/>
          <w:highlight w:val="none"/>
        </w:rPr>
        <w:t>4、知识产权保证</w:t>
      </w:r>
    </w:p>
    <w:p>
      <w:pPr>
        <w:autoSpaceDE w:val="0"/>
        <w:autoSpaceDN w:val="0"/>
        <w:snapToGrid w:val="0"/>
        <w:spacing w:line="360"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乙方保证甲方在使用、接受本合同服务或其任何一部分时，不受第三方提出侵犯其专利权、版权、商标权和工业设计权等知识产权的起诉。一旦出现侵权，由乙方负全部责任。</w:t>
      </w:r>
    </w:p>
    <w:p>
      <w:pPr>
        <w:pStyle w:val="13"/>
        <w:snapToGrid w:val="0"/>
        <w:spacing w:line="360" w:lineRule="auto"/>
        <w:ind w:firstLine="422"/>
        <w:rPr>
          <w:rFonts w:asciiTheme="minorEastAsia" w:hAnsiTheme="minorEastAsia" w:cstheme="minorEastAsia"/>
          <w:b/>
          <w:bCs/>
          <w:color w:val="auto"/>
          <w:sz w:val="21"/>
          <w:highlight w:val="none"/>
        </w:rPr>
      </w:pPr>
      <w:r>
        <w:rPr>
          <w:rFonts w:hint="eastAsia" w:asciiTheme="minorEastAsia" w:hAnsiTheme="minorEastAsia" w:cstheme="minorEastAsia"/>
          <w:b/>
          <w:bCs/>
          <w:color w:val="auto"/>
          <w:sz w:val="21"/>
          <w:highlight w:val="none"/>
        </w:rPr>
        <w:t>5、产权保证</w:t>
      </w:r>
    </w:p>
    <w:p>
      <w:pPr>
        <w:autoSpaceDE w:val="0"/>
        <w:autoSpaceDN w:val="0"/>
        <w:snapToGrid w:val="0"/>
        <w:spacing w:line="360"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乙方保证所交付的服务和服务所涉及的物品所有权无任何抵押、查封等权利瑕疵。</w:t>
      </w:r>
    </w:p>
    <w:p>
      <w:pPr>
        <w:pStyle w:val="13"/>
        <w:snapToGrid w:val="0"/>
        <w:spacing w:line="360" w:lineRule="auto"/>
        <w:ind w:left="315" w:leftChars="150" w:firstLine="105" w:firstLineChars="50"/>
        <w:rPr>
          <w:rFonts w:asciiTheme="minorEastAsia" w:hAnsiTheme="minorEastAsia" w:cstheme="minorEastAsia"/>
          <w:b/>
          <w:bCs/>
          <w:color w:val="auto"/>
          <w:sz w:val="21"/>
          <w:highlight w:val="none"/>
        </w:rPr>
      </w:pPr>
      <w:r>
        <w:rPr>
          <w:rFonts w:hint="eastAsia" w:asciiTheme="minorEastAsia" w:hAnsiTheme="minorEastAsia" w:cstheme="minorEastAsia"/>
          <w:b/>
          <w:bCs/>
          <w:color w:val="auto"/>
          <w:sz w:val="21"/>
          <w:highlight w:val="none"/>
        </w:rPr>
        <w:t>6、履约保证金</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本项目履约保证金为合同额的</w:t>
      </w:r>
      <w:r>
        <w:rPr>
          <w:rFonts w:hint="eastAsia" w:asciiTheme="minorEastAsia" w:hAnsiTheme="minorEastAsia" w:cstheme="minorEastAsia"/>
          <w:color w:val="auto"/>
          <w:sz w:val="21"/>
          <w:highlight w:val="none"/>
          <w:lang w:val="en-US" w:eastAsia="zh-CN"/>
        </w:rPr>
        <w:t>10</w:t>
      </w:r>
      <w:r>
        <w:rPr>
          <w:rFonts w:hint="eastAsia" w:asciiTheme="minorEastAsia" w:hAnsiTheme="minorEastAsia" w:cstheme="minorEastAsia"/>
          <w:color w:val="auto"/>
          <w:sz w:val="21"/>
          <w:highlight w:val="none"/>
        </w:rPr>
        <w:t>%，乙方应在签订合同之日前缴纳给甲方。履约保证金退还时间：服务期结束后15个工作日内无息退还。未能按合同及招标文件要求提供服务的将扣除履约保证金。</w:t>
      </w:r>
    </w:p>
    <w:p>
      <w:pPr>
        <w:pStyle w:val="13"/>
        <w:snapToGrid w:val="0"/>
        <w:spacing w:line="360" w:lineRule="auto"/>
        <w:ind w:left="315" w:leftChars="150" w:firstLine="105" w:firstLineChars="50"/>
        <w:rPr>
          <w:rFonts w:asciiTheme="minorEastAsia" w:hAnsiTheme="minorEastAsia" w:cstheme="minorEastAsia"/>
          <w:b/>
          <w:bCs/>
          <w:color w:val="auto"/>
          <w:sz w:val="21"/>
          <w:highlight w:val="none"/>
        </w:rPr>
      </w:pPr>
      <w:r>
        <w:rPr>
          <w:rFonts w:hint="eastAsia" w:asciiTheme="minorEastAsia" w:hAnsiTheme="minorEastAsia" w:cstheme="minorEastAsia"/>
          <w:b/>
          <w:bCs/>
          <w:color w:val="auto"/>
          <w:sz w:val="21"/>
          <w:highlight w:val="none"/>
        </w:rPr>
        <w:t>7、转包或分包</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7.1 本合同禁止转包，本合同范围的服务，应由乙方直接提供的，不得转让他人提供。</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7.2 经甲方同意，乙方可以依法采取分包方式履行合同，但是分包方式履行的，乙方应就采购项目向甲方负全责。</w:t>
      </w:r>
    </w:p>
    <w:p>
      <w:pPr>
        <w:pStyle w:val="13"/>
        <w:snapToGrid w:val="0"/>
        <w:spacing w:line="360" w:lineRule="auto"/>
        <w:ind w:left="315" w:leftChars="150" w:firstLine="105" w:firstLineChars="50"/>
        <w:rPr>
          <w:rFonts w:asciiTheme="minorEastAsia" w:hAnsiTheme="minorEastAsia" w:cstheme="minorEastAsia"/>
          <w:b/>
          <w:bCs/>
          <w:color w:val="auto"/>
          <w:sz w:val="21"/>
          <w:highlight w:val="none"/>
        </w:rPr>
      </w:pPr>
      <w:r>
        <w:rPr>
          <w:rFonts w:hint="eastAsia" w:asciiTheme="minorEastAsia" w:hAnsiTheme="minorEastAsia" w:cstheme="minorEastAsia"/>
          <w:b/>
          <w:bCs/>
          <w:color w:val="auto"/>
          <w:sz w:val="21"/>
          <w:highlight w:val="none"/>
        </w:rPr>
        <w:t>8、免费维保期</w:t>
      </w:r>
    </w:p>
    <w:p>
      <w:pPr>
        <w:pStyle w:val="13"/>
        <w:snapToGrid w:val="0"/>
        <w:spacing w:line="360" w:lineRule="auto"/>
        <w:ind w:left="315" w:leftChars="150" w:firstLine="105" w:firstLineChars="50"/>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8.1 免费维保期</w:t>
      </w:r>
      <w:r>
        <w:rPr>
          <w:rFonts w:hint="eastAsia" w:asciiTheme="minorEastAsia" w:hAnsiTheme="minorEastAsia" w:cstheme="minorEastAsia"/>
          <w:color w:val="auto"/>
          <w:sz w:val="21"/>
          <w:highlight w:val="none"/>
          <w:u w:val="single"/>
        </w:rPr>
        <w:t xml:space="preserve">      </w:t>
      </w:r>
      <w:r>
        <w:rPr>
          <w:rFonts w:hint="eastAsia" w:asciiTheme="minorEastAsia" w:hAnsiTheme="minorEastAsia" w:cstheme="minorEastAsia"/>
          <w:color w:val="auto"/>
          <w:sz w:val="21"/>
          <w:highlight w:val="none"/>
        </w:rPr>
        <w:t>年。（自验收合格之日起计）</w:t>
      </w:r>
    </w:p>
    <w:p>
      <w:pPr>
        <w:pStyle w:val="13"/>
        <w:snapToGrid w:val="0"/>
        <w:spacing w:line="360" w:lineRule="auto"/>
        <w:ind w:left="315" w:leftChars="150" w:firstLine="105" w:firstLineChars="50"/>
        <w:rPr>
          <w:rFonts w:asciiTheme="minorEastAsia" w:hAnsiTheme="minorEastAsia" w:cstheme="minorEastAsia"/>
          <w:b/>
          <w:bCs/>
          <w:color w:val="auto"/>
          <w:sz w:val="21"/>
          <w:highlight w:val="none"/>
        </w:rPr>
      </w:pPr>
      <w:r>
        <w:rPr>
          <w:rFonts w:hint="eastAsia" w:asciiTheme="minorEastAsia" w:hAnsiTheme="minorEastAsia" w:cstheme="minorEastAsia"/>
          <w:b/>
          <w:bCs/>
          <w:color w:val="auto"/>
          <w:sz w:val="21"/>
          <w:highlight w:val="none"/>
        </w:rPr>
        <w:t>9、交付期、交付方式及交付地点</w:t>
      </w:r>
    </w:p>
    <w:p>
      <w:pPr>
        <w:pStyle w:val="13"/>
        <w:snapToGrid w:val="0"/>
        <w:spacing w:line="360" w:lineRule="auto"/>
        <w:rPr>
          <w:rFonts w:asciiTheme="minorEastAsia" w:hAnsiTheme="minorEastAsia" w:cstheme="minorEastAsia"/>
          <w:bCs/>
          <w:color w:val="auto"/>
          <w:sz w:val="21"/>
          <w:highlight w:val="none"/>
        </w:rPr>
      </w:pPr>
      <w:r>
        <w:rPr>
          <w:rFonts w:hint="eastAsia" w:asciiTheme="minorEastAsia" w:hAnsiTheme="minorEastAsia" w:cstheme="minorEastAsia"/>
          <w:bCs/>
          <w:color w:val="auto"/>
          <w:sz w:val="21"/>
          <w:highlight w:val="none"/>
        </w:rPr>
        <w:t>9.1 交付期：</w:t>
      </w:r>
      <w:r>
        <w:rPr>
          <w:rFonts w:hint="eastAsia" w:asciiTheme="minorEastAsia" w:hAnsiTheme="minorEastAsia" w:cstheme="minorEastAsia"/>
          <w:color w:val="auto"/>
          <w:sz w:val="21"/>
          <w:highlight w:val="none"/>
        </w:rPr>
        <w:t>_________</w:t>
      </w:r>
    </w:p>
    <w:p>
      <w:pPr>
        <w:pStyle w:val="13"/>
        <w:snapToGrid w:val="0"/>
        <w:spacing w:line="360" w:lineRule="auto"/>
        <w:rPr>
          <w:rFonts w:asciiTheme="minorEastAsia" w:hAnsiTheme="minorEastAsia" w:cstheme="minorEastAsia"/>
          <w:bCs/>
          <w:color w:val="auto"/>
          <w:sz w:val="21"/>
          <w:highlight w:val="none"/>
        </w:rPr>
      </w:pPr>
      <w:r>
        <w:rPr>
          <w:rFonts w:hint="eastAsia" w:asciiTheme="minorEastAsia" w:hAnsiTheme="minorEastAsia" w:cstheme="minorEastAsia"/>
          <w:bCs/>
          <w:color w:val="auto"/>
          <w:sz w:val="21"/>
          <w:highlight w:val="none"/>
        </w:rPr>
        <w:t>9.2 交付方式：</w:t>
      </w:r>
      <w:r>
        <w:rPr>
          <w:rFonts w:hint="eastAsia" w:asciiTheme="minorEastAsia" w:hAnsiTheme="minorEastAsia" w:cstheme="minorEastAsia"/>
          <w:color w:val="auto"/>
          <w:sz w:val="21"/>
          <w:highlight w:val="none"/>
        </w:rPr>
        <w:t>_________</w:t>
      </w:r>
    </w:p>
    <w:p>
      <w:pPr>
        <w:pStyle w:val="13"/>
        <w:snapToGrid w:val="0"/>
        <w:spacing w:line="360" w:lineRule="auto"/>
        <w:rPr>
          <w:rFonts w:asciiTheme="minorEastAsia" w:hAnsiTheme="minorEastAsia" w:cstheme="minorEastAsia"/>
          <w:b/>
          <w:color w:val="auto"/>
          <w:sz w:val="21"/>
          <w:highlight w:val="none"/>
        </w:rPr>
      </w:pPr>
      <w:r>
        <w:rPr>
          <w:rFonts w:hint="eastAsia" w:asciiTheme="minorEastAsia" w:hAnsiTheme="minorEastAsia" w:cstheme="minorEastAsia"/>
          <w:bCs/>
          <w:color w:val="auto"/>
          <w:sz w:val="21"/>
          <w:highlight w:val="none"/>
        </w:rPr>
        <w:t>9.3 交付地点：</w:t>
      </w:r>
      <w:r>
        <w:rPr>
          <w:rFonts w:hint="eastAsia" w:asciiTheme="minorEastAsia" w:hAnsiTheme="minorEastAsia" w:cstheme="minorEastAsia"/>
          <w:color w:val="auto"/>
          <w:sz w:val="21"/>
          <w:highlight w:val="none"/>
        </w:rPr>
        <w:t>_________</w:t>
      </w:r>
    </w:p>
    <w:p>
      <w:pPr>
        <w:pStyle w:val="13"/>
        <w:snapToGrid w:val="0"/>
        <w:spacing w:line="360" w:lineRule="auto"/>
        <w:ind w:left="315" w:leftChars="150" w:firstLine="105" w:firstLineChars="50"/>
        <w:rPr>
          <w:rFonts w:asciiTheme="minorEastAsia" w:hAnsiTheme="minorEastAsia" w:cstheme="minorEastAsia"/>
          <w:b/>
          <w:bCs/>
          <w:color w:val="auto"/>
          <w:sz w:val="21"/>
          <w:highlight w:val="none"/>
        </w:rPr>
      </w:pPr>
      <w:r>
        <w:rPr>
          <w:rFonts w:hint="eastAsia" w:asciiTheme="minorEastAsia" w:hAnsiTheme="minorEastAsia" w:cstheme="minorEastAsia"/>
          <w:b/>
          <w:bCs/>
          <w:color w:val="auto"/>
          <w:sz w:val="21"/>
          <w:highlight w:val="none"/>
        </w:rPr>
        <w:t>10、货款支付</w:t>
      </w:r>
    </w:p>
    <w:p>
      <w:pPr>
        <w:autoSpaceDE w:val="0"/>
        <w:autoSpaceDN w:val="0"/>
        <w:snapToGrid w:val="0"/>
        <w:spacing w:line="360"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10.1 本合同项下所有款项均以人民币支付。 </w:t>
      </w:r>
    </w:p>
    <w:p>
      <w:pPr>
        <w:autoSpaceDE w:val="0"/>
        <w:autoSpaceDN w:val="0"/>
        <w:snapToGrid w:val="0"/>
        <w:spacing w:line="360"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10.2 本合同项下的采购资金由甲方支付，付款前乙方向甲方开具发票。</w:t>
      </w:r>
    </w:p>
    <w:p>
      <w:pPr>
        <w:snapToGrid w:val="0"/>
        <w:spacing w:line="360" w:lineRule="auto"/>
        <w:rPr>
          <w:rFonts w:asciiTheme="minorEastAsia" w:hAnsiTheme="minorEastAsia" w:cstheme="minorEastAsia"/>
          <w:color w:val="auto"/>
          <w:szCs w:val="21"/>
          <w:highlight w:val="none"/>
          <w:shd w:val="clear" w:color="auto" w:fill="auto"/>
        </w:rPr>
      </w:pPr>
      <w:r>
        <w:rPr>
          <w:rFonts w:hint="eastAsia" w:asciiTheme="minorEastAsia" w:hAnsiTheme="minorEastAsia" w:cstheme="minorEastAsia"/>
          <w:color w:val="auto"/>
          <w:szCs w:val="21"/>
          <w:highlight w:val="none"/>
          <w:shd w:val="clear" w:color="auto" w:fill="auto"/>
        </w:rPr>
        <w:t>10.3 甲方付款方式：服务期从</w:t>
      </w:r>
      <w:r>
        <w:rPr>
          <w:rFonts w:hint="eastAsia" w:asciiTheme="minorEastAsia" w:hAnsiTheme="minorEastAsia" w:cstheme="minorEastAsia"/>
          <w:color w:val="auto"/>
          <w:szCs w:val="21"/>
          <w:highlight w:val="none"/>
          <w:shd w:val="clear" w:color="auto" w:fill="auto"/>
          <w:lang w:val="en-US" w:eastAsia="zh-CN"/>
        </w:rPr>
        <w:t>驻场人员和相关工具部署到位</w:t>
      </w:r>
      <w:r>
        <w:rPr>
          <w:rFonts w:hint="eastAsia" w:asciiTheme="minorEastAsia" w:hAnsiTheme="minorEastAsia" w:cstheme="minorEastAsia"/>
          <w:color w:val="auto"/>
          <w:szCs w:val="21"/>
          <w:highlight w:val="none"/>
          <w:shd w:val="clear" w:color="auto" w:fill="auto"/>
        </w:rPr>
        <w:t>起计算，服务期第一年第一个月内甲方支付合同总价的</w:t>
      </w:r>
      <w:r>
        <w:rPr>
          <w:rFonts w:hint="eastAsia" w:asciiTheme="minorEastAsia" w:hAnsiTheme="minorEastAsia" w:cstheme="minorEastAsia"/>
          <w:color w:val="auto"/>
          <w:szCs w:val="21"/>
          <w:highlight w:val="none"/>
          <w:shd w:val="clear" w:color="auto" w:fill="auto"/>
          <w:lang w:val="en-US" w:eastAsia="zh-CN"/>
        </w:rPr>
        <w:t>20</w:t>
      </w:r>
      <w:r>
        <w:rPr>
          <w:rFonts w:hint="eastAsia" w:asciiTheme="minorEastAsia" w:hAnsiTheme="minorEastAsia" w:cstheme="minorEastAsia"/>
          <w:color w:val="auto"/>
          <w:szCs w:val="21"/>
          <w:highlight w:val="none"/>
          <w:shd w:val="clear" w:color="auto" w:fill="auto"/>
        </w:rPr>
        <w:t>%；第二年第一个月内甲方支付合同总价的</w:t>
      </w:r>
      <w:r>
        <w:rPr>
          <w:rFonts w:hint="eastAsia" w:asciiTheme="minorEastAsia" w:hAnsiTheme="minorEastAsia" w:cstheme="minorEastAsia"/>
          <w:color w:val="auto"/>
          <w:szCs w:val="21"/>
          <w:highlight w:val="none"/>
          <w:shd w:val="clear" w:color="auto" w:fill="auto"/>
          <w:lang w:val="en-US" w:eastAsia="zh-CN"/>
        </w:rPr>
        <w:t>40</w:t>
      </w:r>
      <w:r>
        <w:rPr>
          <w:rFonts w:hint="eastAsia" w:asciiTheme="minorEastAsia" w:hAnsiTheme="minorEastAsia" w:cstheme="minorEastAsia"/>
          <w:color w:val="auto"/>
          <w:szCs w:val="21"/>
          <w:highlight w:val="none"/>
          <w:shd w:val="clear" w:color="auto" w:fill="auto"/>
        </w:rPr>
        <w:t>%；服务期满后一个月内完成验收，项目验收后，甲方支付合同总价的40%。每次付款前（第一年除外），对乙方进行考核，通过考核后支付费用。考核不通过的不支付当年费用。</w:t>
      </w:r>
    </w:p>
    <w:p>
      <w:pPr>
        <w:pStyle w:val="13"/>
        <w:snapToGrid w:val="0"/>
        <w:spacing w:line="360" w:lineRule="auto"/>
        <w:ind w:left="315" w:leftChars="150" w:firstLine="105" w:firstLineChars="50"/>
        <w:rPr>
          <w:rFonts w:asciiTheme="minorEastAsia" w:hAnsiTheme="minorEastAsia" w:cstheme="minorEastAsia"/>
          <w:b/>
          <w:bCs/>
          <w:color w:val="auto"/>
          <w:sz w:val="21"/>
          <w:highlight w:val="none"/>
        </w:rPr>
      </w:pPr>
      <w:r>
        <w:rPr>
          <w:rFonts w:hint="eastAsia" w:asciiTheme="minorEastAsia" w:hAnsiTheme="minorEastAsia" w:cstheme="minorEastAsia"/>
          <w:b/>
          <w:bCs/>
          <w:color w:val="auto"/>
          <w:sz w:val="21"/>
          <w:highlight w:val="none"/>
        </w:rPr>
        <w:t>11、税费</w:t>
      </w:r>
    </w:p>
    <w:p>
      <w:pPr>
        <w:pStyle w:val="13"/>
        <w:snapToGrid w:val="0"/>
        <w:spacing w:line="360" w:lineRule="auto"/>
        <w:rPr>
          <w:rFonts w:asciiTheme="minorEastAsia" w:hAnsiTheme="minorEastAsia" w:cstheme="minorEastAsia"/>
          <w:b/>
          <w:bCs/>
          <w:color w:val="auto"/>
          <w:sz w:val="21"/>
          <w:highlight w:val="none"/>
        </w:rPr>
      </w:pPr>
      <w:r>
        <w:rPr>
          <w:rFonts w:hint="eastAsia" w:asciiTheme="minorEastAsia" w:hAnsiTheme="minorEastAsia" w:cstheme="minorEastAsia"/>
          <w:color w:val="auto"/>
          <w:sz w:val="21"/>
          <w:highlight w:val="none"/>
        </w:rPr>
        <w:t>本合同执行中相关的一切税费均由乙方负担。</w:t>
      </w:r>
    </w:p>
    <w:p>
      <w:pPr>
        <w:pStyle w:val="13"/>
        <w:snapToGrid w:val="0"/>
        <w:spacing w:line="360" w:lineRule="auto"/>
        <w:ind w:left="315" w:leftChars="150" w:firstLine="105" w:firstLineChars="50"/>
        <w:rPr>
          <w:rFonts w:asciiTheme="minorEastAsia" w:hAnsiTheme="minorEastAsia" w:cstheme="minorEastAsia"/>
          <w:b/>
          <w:bCs/>
          <w:color w:val="auto"/>
          <w:sz w:val="21"/>
          <w:highlight w:val="none"/>
        </w:rPr>
      </w:pPr>
      <w:r>
        <w:rPr>
          <w:rFonts w:hint="eastAsia" w:asciiTheme="minorEastAsia" w:hAnsiTheme="minorEastAsia" w:cstheme="minorEastAsia"/>
          <w:b/>
          <w:bCs/>
          <w:color w:val="auto"/>
          <w:sz w:val="21"/>
          <w:highlight w:val="none"/>
        </w:rPr>
        <w:t>12、质量保证及售后服务</w:t>
      </w:r>
    </w:p>
    <w:p>
      <w:pPr>
        <w:snapToGrid w:val="0"/>
        <w:spacing w:line="360"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12.1 乙方应按招标文件规定及响应文件承诺的技术性能、技术要求、质量标准向甲方提供服务；若无特殊说明，则按国家有关部门最新颁布的标准及规范为准。</w:t>
      </w:r>
    </w:p>
    <w:p>
      <w:pPr>
        <w:snapToGrid w:val="0"/>
        <w:spacing w:line="360"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12.2乙方应保证其提供的服务是全面和规范的，并完全符合招投标文件。如因乙方提供的服务有瑕疵造成甲方损失的，所需费用由乙方承担。</w:t>
      </w:r>
    </w:p>
    <w:p>
      <w:pPr>
        <w:snapToGrid w:val="0"/>
        <w:spacing w:line="360"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12.3 如在使用过程中发生质量问题，乙方在接到甲方通知后在1小时内到达甲方现场。</w:t>
      </w:r>
    </w:p>
    <w:p>
      <w:pPr>
        <w:snapToGrid w:val="0"/>
        <w:spacing w:line="360"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12.4 免费维保期内，乙方应对所提供服务出现的质量及安全问题负责处理解决并承担一切费用。</w:t>
      </w:r>
    </w:p>
    <w:p>
      <w:pPr>
        <w:pStyle w:val="13"/>
        <w:snapToGrid w:val="0"/>
        <w:spacing w:line="360" w:lineRule="auto"/>
        <w:ind w:left="315" w:leftChars="150" w:firstLine="105" w:firstLineChars="50"/>
        <w:rPr>
          <w:rFonts w:asciiTheme="minorEastAsia" w:hAnsiTheme="minorEastAsia" w:cstheme="minorEastAsia"/>
          <w:b/>
          <w:bCs/>
          <w:color w:val="auto"/>
          <w:sz w:val="21"/>
          <w:highlight w:val="none"/>
        </w:rPr>
      </w:pPr>
      <w:r>
        <w:rPr>
          <w:rFonts w:hint="eastAsia" w:asciiTheme="minorEastAsia" w:hAnsiTheme="minorEastAsia" w:cstheme="minorEastAsia"/>
          <w:b/>
          <w:bCs/>
          <w:color w:val="auto"/>
          <w:sz w:val="21"/>
          <w:highlight w:val="none"/>
        </w:rPr>
        <w:t>13、交付和验收</w:t>
      </w:r>
    </w:p>
    <w:p>
      <w:pPr>
        <w:snapToGrid w:val="0"/>
        <w:spacing w:line="360"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13.1 乙方应当在合同签订后，按照招标文件要求提供项目</w:t>
      </w:r>
      <w:r>
        <w:rPr>
          <w:rFonts w:asciiTheme="minorEastAsia" w:hAnsiTheme="minorEastAsia" w:cstheme="minorEastAsia"/>
          <w:color w:val="auto"/>
          <w:szCs w:val="21"/>
          <w:highlight w:val="none"/>
        </w:rPr>
        <w:t>服务人员</w:t>
      </w:r>
      <w:r>
        <w:rPr>
          <w:rFonts w:hint="eastAsia" w:asciiTheme="minorEastAsia" w:hAnsiTheme="minorEastAsia" w:cstheme="minorEastAsia"/>
          <w:color w:val="auto"/>
          <w:szCs w:val="21"/>
          <w:highlight w:val="none"/>
        </w:rPr>
        <w:t>和</w:t>
      </w:r>
      <w:r>
        <w:rPr>
          <w:rFonts w:asciiTheme="minorEastAsia" w:hAnsiTheme="minorEastAsia" w:cstheme="minorEastAsia"/>
          <w:color w:val="auto"/>
          <w:szCs w:val="21"/>
          <w:highlight w:val="none"/>
        </w:rPr>
        <w:t>相关服务工具</w:t>
      </w:r>
      <w:r>
        <w:rPr>
          <w:rFonts w:hint="eastAsia" w:asciiTheme="minorEastAsia" w:hAnsiTheme="minorEastAsia" w:cstheme="minorEastAsia"/>
          <w:color w:val="auto"/>
          <w:szCs w:val="21"/>
          <w:highlight w:val="none"/>
        </w:rPr>
        <w:t>，开始进行服务交付。服务</w:t>
      </w:r>
      <w:r>
        <w:rPr>
          <w:rFonts w:asciiTheme="minorEastAsia" w:hAnsiTheme="minorEastAsia" w:cstheme="minorEastAsia"/>
          <w:color w:val="auto"/>
          <w:szCs w:val="21"/>
          <w:highlight w:val="none"/>
        </w:rPr>
        <w:t>期结束后，</w:t>
      </w:r>
      <w:r>
        <w:rPr>
          <w:rFonts w:hint="eastAsia" w:asciiTheme="minorEastAsia" w:hAnsiTheme="minorEastAsia" w:cstheme="minorEastAsia"/>
          <w:color w:val="auto"/>
          <w:szCs w:val="21"/>
          <w:highlight w:val="none"/>
        </w:rPr>
        <w:t>乙方须</w:t>
      </w:r>
      <w:r>
        <w:rPr>
          <w:rFonts w:asciiTheme="minorEastAsia" w:hAnsiTheme="minorEastAsia" w:cstheme="minorEastAsia"/>
          <w:color w:val="auto"/>
          <w:szCs w:val="21"/>
          <w:highlight w:val="none"/>
        </w:rPr>
        <w:t>按照招标文件要求，</w:t>
      </w:r>
      <w:r>
        <w:rPr>
          <w:rFonts w:hint="eastAsia" w:asciiTheme="minorEastAsia" w:hAnsiTheme="minorEastAsia" w:cstheme="minorEastAsia"/>
          <w:color w:val="auto"/>
          <w:szCs w:val="21"/>
          <w:highlight w:val="none"/>
        </w:rPr>
        <w:t>提供</w:t>
      </w:r>
      <w:r>
        <w:rPr>
          <w:rFonts w:asciiTheme="minorEastAsia" w:hAnsiTheme="minorEastAsia" w:cstheme="minorEastAsia"/>
          <w:color w:val="auto"/>
          <w:szCs w:val="21"/>
          <w:highlight w:val="none"/>
        </w:rPr>
        <w:t>所有招标文件内要求的</w:t>
      </w:r>
      <w:r>
        <w:rPr>
          <w:rFonts w:hint="eastAsia" w:asciiTheme="minorEastAsia" w:hAnsiTheme="minorEastAsia" w:cstheme="minorEastAsia"/>
          <w:color w:val="auto"/>
          <w:szCs w:val="21"/>
          <w:highlight w:val="none"/>
        </w:rPr>
        <w:t>服务交付</w:t>
      </w:r>
      <w:r>
        <w:rPr>
          <w:rFonts w:asciiTheme="minorEastAsia" w:hAnsiTheme="minorEastAsia" w:cstheme="minorEastAsia"/>
          <w:color w:val="auto"/>
          <w:szCs w:val="21"/>
          <w:highlight w:val="none"/>
        </w:rPr>
        <w:t>成果，</w:t>
      </w:r>
      <w:r>
        <w:rPr>
          <w:rFonts w:hint="eastAsia" w:asciiTheme="minorEastAsia" w:hAnsiTheme="minorEastAsia" w:cstheme="minorEastAsia"/>
          <w:color w:val="auto"/>
          <w:szCs w:val="21"/>
          <w:highlight w:val="none"/>
        </w:rPr>
        <w:t>甲方须在</w:t>
      </w:r>
      <w:r>
        <w:rPr>
          <w:rFonts w:hint="eastAsia" w:asciiTheme="minorEastAsia" w:hAnsiTheme="minorEastAsia" w:cstheme="minorEastAsia"/>
          <w:color w:val="auto"/>
          <w:szCs w:val="21"/>
          <w:highlight w:val="none"/>
          <w:u w:val="single"/>
        </w:rPr>
        <w:t xml:space="preserve"> </w:t>
      </w:r>
      <w:r>
        <w:rPr>
          <w:rFonts w:hint="eastAsia" w:asciiTheme="minorEastAsia" w:hAnsiTheme="minorEastAsia" w:cstheme="minorEastAsia"/>
          <w:color w:val="auto"/>
          <w:szCs w:val="21"/>
          <w:highlight w:val="none"/>
          <w:u w:val="single"/>
          <w:lang w:val="en-US" w:eastAsia="zh-CN"/>
        </w:rPr>
        <w:t>15</w:t>
      </w:r>
      <w:r>
        <w:rPr>
          <w:rFonts w:asciiTheme="minorEastAsia" w:hAnsiTheme="minorEastAsia" w:cstheme="minorEastAsia"/>
          <w:color w:val="auto"/>
          <w:szCs w:val="21"/>
          <w:highlight w:val="none"/>
          <w:u w:val="single"/>
        </w:rPr>
        <w:t xml:space="preserve"> </w:t>
      </w:r>
      <w:r>
        <w:rPr>
          <w:rFonts w:hint="eastAsia" w:asciiTheme="minorEastAsia" w:hAnsiTheme="minorEastAsia" w:cstheme="minorEastAsia"/>
          <w:color w:val="auto"/>
          <w:szCs w:val="21"/>
          <w:highlight w:val="none"/>
        </w:rPr>
        <w:t>工作日之</w:t>
      </w:r>
      <w:r>
        <w:rPr>
          <w:rFonts w:asciiTheme="minorEastAsia" w:hAnsiTheme="minorEastAsia" w:cstheme="minorEastAsia"/>
          <w:color w:val="auto"/>
          <w:szCs w:val="21"/>
          <w:highlight w:val="none"/>
        </w:rPr>
        <w:t>内</w:t>
      </w:r>
      <w:r>
        <w:rPr>
          <w:rFonts w:hint="eastAsia" w:asciiTheme="minorEastAsia" w:hAnsiTheme="minorEastAsia" w:cstheme="minorEastAsia"/>
          <w:color w:val="auto"/>
          <w:szCs w:val="21"/>
          <w:highlight w:val="none"/>
        </w:rPr>
        <w:t>做最终验收。</w:t>
      </w:r>
    </w:p>
    <w:p>
      <w:pPr>
        <w:snapToGrid w:val="0"/>
        <w:spacing w:line="360" w:lineRule="auto"/>
        <w:rPr>
          <w:rFonts w:asciiTheme="minorEastAsia" w:hAnsiTheme="minorEastAsia" w:cstheme="minorEastAsia"/>
          <w:color w:val="auto"/>
          <w:szCs w:val="21"/>
          <w:highlight w:val="none"/>
        </w:rPr>
      </w:pPr>
      <w:r>
        <w:rPr>
          <w:rFonts w:asciiTheme="minorEastAsia" w:hAnsiTheme="minorEastAsia" w:cstheme="minorEastAsia"/>
          <w:color w:val="auto"/>
          <w:szCs w:val="21"/>
          <w:highlight w:val="none"/>
        </w:rPr>
        <w:t>13.2</w:t>
      </w:r>
      <w:r>
        <w:rPr>
          <w:rFonts w:hint="eastAsia" w:asciiTheme="minorEastAsia" w:hAnsiTheme="minorEastAsia" w:cstheme="minorEastAsia"/>
          <w:color w:val="auto"/>
          <w:szCs w:val="21"/>
          <w:highlight w:val="none"/>
        </w:rPr>
        <w:t>在验收前，乙方应作出全面检查和对验收文件进行整理，并列出清单，作为甲方初验收和使用的技术条件依据，检验的结果交甲方。</w:t>
      </w:r>
    </w:p>
    <w:p>
      <w:pPr>
        <w:snapToGrid w:val="0"/>
        <w:spacing w:line="360"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13.3 验收标准：按乙方投标文件的承诺，并不低于国家相关标准。</w:t>
      </w:r>
    </w:p>
    <w:p>
      <w:pPr>
        <w:snapToGrid w:val="0"/>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highlight w:val="none"/>
        </w:rPr>
        <w:t>13.4对技术复杂的服务内容，甲方可请国家认可的专业检测机构参与初步验收及最终验收，并由其出具专业</w:t>
      </w:r>
      <w:r>
        <w:rPr>
          <w:rFonts w:asciiTheme="minorEastAsia" w:hAnsiTheme="minorEastAsia" w:cstheme="minorEastAsia"/>
          <w:color w:val="auto"/>
          <w:szCs w:val="21"/>
          <w:highlight w:val="none"/>
        </w:rPr>
        <w:t>的</w:t>
      </w:r>
      <w:r>
        <w:rPr>
          <w:rFonts w:hint="eastAsia" w:asciiTheme="minorEastAsia" w:hAnsiTheme="minorEastAsia" w:cstheme="minorEastAsia"/>
          <w:color w:val="auto"/>
          <w:szCs w:val="21"/>
          <w:highlight w:val="none"/>
        </w:rPr>
        <w:t>报告。验收时乙</w:t>
      </w:r>
      <w:r>
        <w:rPr>
          <w:rFonts w:hint="eastAsia" w:asciiTheme="minorEastAsia" w:hAnsiTheme="minorEastAsia" w:cstheme="minorEastAsia"/>
          <w:color w:val="auto"/>
          <w:szCs w:val="21"/>
        </w:rPr>
        <w:t>方必须在现场，验收完毕后作出验收结果报告；若聘请第三方中立机构验收，验收费用由甲乙双方协商解决。</w:t>
      </w:r>
    </w:p>
    <w:p>
      <w:pPr>
        <w:snapToGrid w:val="0"/>
        <w:spacing w:line="360" w:lineRule="auto"/>
        <w:rPr>
          <w:rFonts w:asciiTheme="minorEastAsia" w:hAnsiTheme="minorEastAsia" w:cstheme="minorEastAsia"/>
          <w:color w:val="auto"/>
          <w:szCs w:val="21"/>
          <w:u w:val="single"/>
        </w:rPr>
      </w:pPr>
      <w:r>
        <w:rPr>
          <w:rFonts w:hint="eastAsia" w:asciiTheme="minorEastAsia" w:hAnsiTheme="minorEastAsia" w:cstheme="minorEastAsia"/>
          <w:color w:val="auto"/>
          <w:szCs w:val="21"/>
        </w:rPr>
        <w:t>13.5 甲乙双方关于验收的其他约定：</w:t>
      </w:r>
      <w:r>
        <w:rPr>
          <w:rFonts w:hint="eastAsia" w:asciiTheme="minorEastAsia" w:hAnsiTheme="minorEastAsia" w:cstheme="minorEastAsia"/>
          <w:color w:val="auto"/>
          <w:szCs w:val="21"/>
          <w:u w:val="single"/>
        </w:rPr>
        <w:t xml:space="preserve">                           </w:t>
      </w:r>
      <w:r>
        <w:rPr>
          <w:rFonts w:hint="eastAsia" w:asciiTheme="minorEastAsia" w:hAnsiTheme="minorEastAsia" w:cstheme="minorEastAsia"/>
          <w:color w:val="auto"/>
          <w:szCs w:val="21"/>
        </w:rPr>
        <w:t>。</w:t>
      </w:r>
    </w:p>
    <w:p>
      <w:pPr>
        <w:pStyle w:val="13"/>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14、包装、发运及运输</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color w:val="auto"/>
          <w:sz w:val="21"/>
        </w:rPr>
        <w:t>14.1 乙方应对其提供的服务所涉及物品在发运前对其进行满足运输距离、防潮、防震、</w:t>
      </w:r>
      <w:r>
        <w:rPr>
          <w:rFonts w:hint="eastAsia" w:asciiTheme="minorEastAsia" w:hAnsiTheme="minorEastAsia" w:cstheme="minorEastAsia"/>
          <w:sz w:val="21"/>
        </w:rPr>
        <w:t>防锈和防破损装卸等要求包装，以保证安全运达甲方指定地点。</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14.2 乙方交付时，使用说明书、检验证明书、随配附件和工具以及清单一并附于内。</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14.4 服务在交付甲方前发生的风险均由乙方负责。</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14.5 服务在规定的交付期限内由乙方送达甲方指定的地点。</w:t>
      </w:r>
    </w:p>
    <w:p>
      <w:pPr>
        <w:pStyle w:val="13"/>
        <w:snapToGrid w:val="0"/>
        <w:spacing w:line="360" w:lineRule="auto"/>
        <w:ind w:left="315" w:leftChars="150" w:firstLine="105" w:firstLineChars="50"/>
        <w:rPr>
          <w:rFonts w:asciiTheme="minorEastAsia" w:hAnsiTheme="minorEastAsia" w:cstheme="minorEastAsia"/>
          <w:b/>
          <w:bCs/>
          <w:sz w:val="21"/>
        </w:rPr>
      </w:pPr>
      <w:r>
        <w:rPr>
          <w:rFonts w:hint="eastAsia" w:asciiTheme="minorEastAsia" w:hAnsiTheme="minorEastAsia" w:cstheme="minorEastAsia"/>
          <w:b/>
          <w:bCs/>
          <w:sz w:val="21"/>
        </w:rPr>
        <w:t>15、违约责任</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15.1 甲方无正当理由拒绝初验收和终验收服务项目的，甲方应按未付服务项目款金额每日万分之五向乙方支付违约金。</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15.2 甲方无故逾期验收和无故逾期办理款项支付手续的，甲方应按逾期付款金额每日万分之五向乙方支付违约金。</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15.3乙方违约，在消除违约情形前，应按本合同项目总额每日万分之五向甲方支付违约金，甲方可以从待付款项中扣除。</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15.4乙方因逾期交付服务项目或因其他违约行为，导致甲方解除合同的，乙方应向甲方支付合同总值5%的违约金，如造成甲方损失超过违约金的，超出部分由乙方继续承担赔偿责任。</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15.6合同生效后，发现乙方投标属虚假承诺，或经权威部门监测提供的服务不能满足招标文件要求，造成合同无法继续履行的，乙方履约保证金不予退还外，还应向甲方支付不少于合同总价</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%赔偿金。</w:t>
      </w:r>
    </w:p>
    <w:p>
      <w:pPr>
        <w:pStyle w:val="13"/>
        <w:snapToGrid w:val="0"/>
        <w:spacing w:line="360" w:lineRule="auto"/>
        <w:ind w:firstLine="422"/>
        <w:rPr>
          <w:rFonts w:asciiTheme="minorEastAsia" w:hAnsiTheme="minorEastAsia" w:cstheme="minorEastAsia"/>
          <w:b/>
          <w:bCs/>
          <w:sz w:val="21"/>
        </w:rPr>
      </w:pPr>
      <w:r>
        <w:rPr>
          <w:rFonts w:hint="eastAsia" w:asciiTheme="minorEastAsia" w:hAnsiTheme="minorEastAsia" w:cstheme="minorEastAsia"/>
          <w:b/>
          <w:bCs/>
          <w:sz w:val="21"/>
        </w:rPr>
        <w:t>16、不可抗力事件处理</w:t>
      </w:r>
    </w:p>
    <w:p>
      <w:pPr>
        <w:pStyle w:val="13"/>
        <w:snapToGrid w:val="0"/>
        <w:spacing w:line="360" w:lineRule="auto"/>
        <w:rPr>
          <w:rFonts w:asciiTheme="minorEastAsia" w:hAnsiTheme="minorEastAsia" w:cstheme="minorEastAsia"/>
          <w:sz w:val="21"/>
        </w:rPr>
      </w:pPr>
      <w:r>
        <w:rPr>
          <w:rFonts w:hint="eastAsia" w:asciiTheme="minorEastAsia" w:hAnsiTheme="minorEastAsia" w:cstheme="minorEastAsia"/>
          <w:sz w:val="21"/>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3"/>
        <w:snapToGrid w:val="0"/>
        <w:spacing w:line="360" w:lineRule="auto"/>
        <w:rPr>
          <w:rFonts w:asciiTheme="minorEastAsia" w:hAnsiTheme="minorEastAsia" w:cstheme="minorEastAsia"/>
          <w:color w:val="auto"/>
          <w:sz w:val="21"/>
        </w:rPr>
      </w:pPr>
      <w:r>
        <w:rPr>
          <w:rFonts w:hint="eastAsia" w:asciiTheme="minorEastAsia" w:hAnsiTheme="minorEastAsia" w:cstheme="minorEastAsia"/>
          <w:sz w:val="21"/>
        </w:rPr>
        <w:t>16.2不可抗力事件发生后，应立即通知对方，并寄送有关权威机构出具的证明。除甲</w:t>
      </w:r>
      <w:r>
        <w:rPr>
          <w:rFonts w:hint="eastAsia" w:asciiTheme="minorEastAsia" w:hAnsiTheme="minorEastAsia" w:cstheme="minorEastAsia"/>
          <w:color w:val="auto"/>
          <w:sz w:val="21"/>
        </w:rPr>
        <w:t>方书面另行要求外，乙方应尽实际可能继续履行合同义务，以及寻求采取合理的方案履行不受不可抗力影响的其他事项。若不可抗力事件延续120天以上，双方应通过友好协商，确定是否继续履行合同。</w:t>
      </w:r>
    </w:p>
    <w:p>
      <w:pPr>
        <w:pStyle w:val="13"/>
        <w:snapToGrid w:val="0"/>
        <w:spacing w:line="360" w:lineRule="auto"/>
        <w:ind w:left="315" w:leftChars="150" w:firstLine="105" w:firstLineChars="50"/>
        <w:rPr>
          <w:rFonts w:asciiTheme="minorEastAsia" w:hAnsiTheme="minorEastAsia" w:cstheme="minorEastAsia"/>
          <w:b/>
          <w:bCs/>
          <w:color w:val="auto"/>
          <w:sz w:val="21"/>
        </w:rPr>
      </w:pPr>
      <w:r>
        <w:rPr>
          <w:rFonts w:hint="eastAsia" w:asciiTheme="minorEastAsia" w:hAnsiTheme="minorEastAsia" w:cstheme="minorEastAsia"/>
          <w:b/>
          <w:bCs/>
          <w:color w:val="auto"/>
          <w:sz w:val="21"/>
        </w:rPr>
        <w:t>17、争议解决</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rPr>
        <w:t>17.1 因服务的品质质量问题发生争议的，可在国家认可的质量检测机构对服务内容质</w:t>
      </w:r>
      <w:r>
        <w:rPr>
          <w:rFonts w:hint="eastAsia" w:asciiTheme="minorEastAsia" w:hAnsiTheme="minorEastAsia" w:cstheme="minorEastAsia"/>
          <w:sz w:val="21"/>
        </w:rPr>
        <w:t>量进行鉴定。服务符合标准的，鉴定费由甲方承担；服务项目不符合质量标准的，鉴定费由</w:t>
      </w:r>
      <w:r>
        <w:rPr>
          <w:rFonts w:hint="eastAsia" w:asciiTheme="minorEastAsia" w:hAnsiTheme="minorEastAsia" w:cstheme="minorEastAsia"/>
          <w:color w:val="auto"/>
          <w:sz w:val="21"/>
          <w:highlight w:val="none"/>
        </w:rPr>
        <w:t>乙方承担。</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17.2 因履行本合同引起的或与本合同有关的争议，甲、乙双方应首先通过友好协商解决；如果协商不能解决争议，甲乙双方同意采取下列两种方式的第</w:t>
      </w:r>
      <w:r>
        <w:rPr>
          <w:rFonts w:hint="eastAsia" w:asciiTheme="minorEastAsia" w:hAnsiTheme="minorEastAsia" w:cstheme="minorEastAsia"/>
          <w:color w:val="auto"/>
          <w:sz w:val="21"/>
          <w:highlight w:val="none"/>
          <w:u w:val="single"/>
        </w:rPr>
        <w:t>（  ）</w:t>
      </w:r>
      <w:r>
        <w:rPr>
          <w:rFonts w:hint="eastAsia" w:asciiTheme="minorEastAsia" w:hAnsiTheme="minorEastAsia" w:cstheme="minorEastAsia"/>
          <w:color w:val="auto"/>
          <w:sz w:val="21"/>
          <w:highlight w:val="none"/>
        </w:rPr>
        <w:t>种方式解决争议：</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（1）向甲方所在地有管辖权的人民法院提起诉讼，适用中华人民共和国法律；</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（2）向扬州仲裁委员会按其仲裁规则申请仲裁。</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17.3 若甲乙双方任何一方都没有选择解除合同的，为避免扩大损失，在诉讼或仲裁期间，双方应继续履行。</w:t>
      </w:r>
    </w:p>
    <w:p>
      <w:pPr>
        <w:pStyle w:val="13"/>
        <w:snapToGrid w:val="0"/>
        <w:spacing w:line="360" w:lineRule="auto"/>
        <w:ind w:left="315" w:leftChars="150" w:firstLine="105" w:firstLineChars="50"/>
        <w:rPr>
          <w:rFonts w:asciiTheme="minorEastAsia" w:hAnsiTheme="minorEastAsia" w:cstheme="minorEastAsia"/>
          <w:b/>
          <w:bCs/>
          <w:color w:val="auto"/>
          <w:sz w:val="21"/>
          <w:highlight w:val="none"/>
        </w:rPr>
      </w:pPr>
      <w:r>
        <w:rPr>
          <w:rFonts w:hint="eastAsia" w:asciiTheme="minorEastAsia" w:hAnsiTheme="minorEastAsia" w:cstheme="minorEastAsia"/>
          <w:b/>
          <w:bCs/>
          <w:color w:val="auto"/>
          <w:sz w:val="21"/>
          <w:highlight w:val="none"/>
        </w:rPr>
        <w:t>18、合同其它</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18.1 乙方应诚实信用，严格按照招标文件要求和投标承诺履行合同，不向甲方进行商业贿赂或者提供不正当利益。</w:t>
      </w:r>
    </w:p>
    <w:p>
      <w:pPr>
        <w:pStyle w:val="13"/>
        <w:snapToGrid w:val="0"/>
        <w:spacing w:line="360" w:lineRule="auto"/>
        <w:rPr>
          <w:rFonts w:asciiTheme="minorEastAsia" w:hAnsiTheme="minorEastAsia" w:cstheme="minorEastAsia"/>
          <w:color w:val="auto"/>
          <w:sz w:val="21"/>
          <w:highlight w:val="none"/>
          <w:u w:val="single"/>
        </w:rPr>
      </w:pPr>
      <w:r>
        <w:rPr>
          <w:rFonts w:hint="eastAsia" w:asciiTheme="minorEastAsia" w:hAnsiTheme="minorEastAsia" w:cstheme="minorEastAsia"/>
          <w:color w:val="auto"/>
          <w:sz w:val="21"/>
          <w:highlight w:val="none"/>
        </w:rPr>
        <w:t>18.2 合同经双方法定代表人或授权代表签字并加盖单位公章后生效。</w:t>
      </w:r>
    </w:p>
    <w:p>
      <w:pPr>
        <w:pStyle w:val="13"/>
        <w:snapToGrid w:val="0"/>
        <w:spacing w:line="360" w:lineRule="auto"/>
        <w:rPr>
          <w:rFonts w:asciiTheme="minorEastAsia" w:hAnsiTheme="minorEastAsia" w:cstheme="minorEastAsia"/>
          <w:color w:val="auto"/>
          <w:sz w:val="21"/>
          <w:highlight w:val="none"/>
          <w:u w:val="single"/>
        </w:rPr>
      </w:pPr>
      <w:r>
        <w:rPr>
          <w:rFonts w:hint="eastAsia" w:asciiTheme="minorEastAsia" w:hAnsiTheme="minorEastAsia" w:cstheme="minorEastAsia"/>
          <w:color w:val="auto"/>
          <w:sz w:val="21"/>
          <w:highlight w:val="none"/>
        </w:rPr>
        <w:t>18.2本合同未尽事宜，遵照《合同法》有关条文执行。</w:t>
      </w:r>
    </w:p>
    <w:p>
      <w:pPr>
        <w:pStyle w:val="13"/>
        <w:snapToGrid w:val="0"/>
        <w:spacing w:line="360" w:lineRule="auto"/>
        <w:rPr>
          <w:rFonts w:asciiTheme="minorEastAsia" w:hAnsiTheme="minorEastAsia" w:cstheme="minorEastAsia"/>
          <w:color w:val="auto"/>
          <w:sz w:val="21"/>
          <w:highlight w:val="none"/>
        </w:rPr>
      </w:pPr>
      <w:r>
        <w:rPr>
          <w:rFonts w:hint="eastAsia" w:asciiTheme="minorEastAsia" w:hAnsiTheme="minorEastAsia" w:cstheme="minorEastAsia"/>
          <w:color w:val="auto"/>
          <w:sz w:val="21"/>
          <w:highlight w:val="none"/>
        </w:rPr>
        <w:t>18.3 本合同正本一式四份，具有同等法律效力，甲方、乙方各执两份。</w:t>
      </w:r>
    </w:p>
    <w:p>
      <w:pPr>
        <w:pStyle w:val="13"/>
        <w:snapToGrid w:val="0"/>
        <w:spacing w:line="360" w:lineRule="auto"/>
        <w:ind w:left="420" w:hanging="420" w:hangingChars="200"/>
        <w:rPr>
          <w:rFonts w:asciiTheme="minorEastAsia" w:hAnsiTheme="minorEastAsia" w:cstheme="minorEastAsia"/>
          <w:sz w:val="21"/>
        </w:rPr>
      </w:pPr>
    </w:p>
    <w:p>
      <w:pPr>
        <w:pStyle w:val="13"/>
        <w:snapToGrid w:val="0"/>
        <w:spacing w:line="360" w:lineRule="auto"/>
        <w:ind w:left="420" w:hanging="420" w:hangingChars="200"/>
        <w:rPr>
          <w:rFonts w:asciiTheme="minorEastAsia" w:hAnsiTheme="minorEastAsia" w:cstheme="minorEastAsia"/>
          <w:sz w:val="21"/>
        </w:rPr>
      </w:pPr>
      <w:r>
        <w:rPr>
          <w:rFonts w:hint="eastAsia" w:asciiTheme="minorEastAsia" w:hAnsiTheme="minorEastAsia" w:cstheme="minorEastAsia"/>
          <w:sz w:val="21"/>
        </w:rPr>
        <w:t xml:space="preserve">  甲方：</w:t>
      </w:r>
      <w:r>
        <w:rPr>
          <w:rFonts w:hint="eastAsia" w:asciiTheme="minorEastAsia" w:hAnsiTheme="minorEastAsia" w:cstheme="minorEastAsia"/>
          <w:color w:val="000000"/>
          <w:sz w:val="21"/>
        </w:rPr>
        <w:t xml:space="preserve">扬州市民卡有限责任公司                </w:t>
      </w:r>
      <w:r>
        <w:rPr>
          <w:rFonts w:hint="eastAsia" w:asciiTheme="minorEastAsia" w:hAnsiTheme="minorEastAsia" w:cstheme="minorEastAsia"/>
          <w:sz w:val="21"/>
        </w:rPr>
        <w:t xml:space="preserve">乙方： </w:t>
      </w:r>
    </w:p>
    <w:p>
      <w:pPr>
        <w:pStyle w:val="13"/>
        <w:snapToGrid w:val="0"/>
        <w:spacing w:line="360" w:lineRule="auto"/>
        <w:ind w:firstLine="0" w:firstLineChars="0"/>
        <w:rPr>
          <w:rFonts w:asciiTheme="minorEastAsia" w:hAnsiTheme="minorEastAsia" w:cstheme="minorEastAsia"/>
          <w:sz w:val="21"/>
        </w:rPr>
      </w:pPr>
      <w:r>
        <w:rPr>
          <w:rFonts w:hint="eastAsia" w:asciiTheme="minorEastAsia" w:hAnsiTheme="minorEastAsia" w:cstheme="minorEastAsia"/>
          <w:sz w:val="21"/>
        </w:rPr>
        <w:t xml:space="preserve">  地址：</w:t>
      </w:r>
      <w:r>
        <w:rPr>
          <w:rFonts w:hint="eastAsia" w:asciiTheme="minorEastAsia" w:hAnsiTheme="minorEastAsia" w:cstheme="minorEastAsia"/>
          <w:sz w:val="21"/>
        </w:rPr>
        <w:tab/>
      </w:r>
      <w:r>
        <w:rPr>
          <w:rFonts w:hint="eastAsia" w:asciiTheme="minorEastAsia" w:hAnsiTheme="minorEastAsia" w:cstheme="minorEastAsia"/>
          <w:sz w:val="21"/>
        </w:rPr>
        <w:tab/>
      </w:r>
      <w:r>
        <w:rPr>
          <w:rFonts w:hint="eastAsia" w:asciiTheme="minorEastAsia" w:hAnsiTheme="minorEastAsia" w:cstheme="minorEastAsia"/>
          <w:sz w:val="21"/>
        </w:rPr>
        <w:tab/>
      </w:r>
      <w:r>
        <w:rPr>
          <w:rFonts w:hint="eastAsia" w:asciiTheme="minorEastAsia" w:hAnsiTheme="minorEastAsia" w:cstheme="minorEastAsia"/>
          <w:sz w:val="21"/>
        </w:rPr>
        <w:tab/>
      </w:r>
      <w:r>
        <w:rPr>
          <w:rFonts w:hint="eastAsia" w:asciiTheme="minorEastAsia" w:hAnsiTheme="minorEastAsia" w:cstheme="minorEastAsia"/>
          <w:sz w:val="21"/>
        </w:rPr>
        <w:t xml:space="preserve">                         地址： </w:t>
      </w:r>
    </w:p>
    <w:p>
      <w:pPr>
        <w:pStyle w:val="13"/>
        <w:snapToGrid w:val="0"/>
        <w:spacing w:line="360" w:lineRule="auto"/>
        <w:ind w:firstLine="0" w:firstLineChars="0"/>
        <w:rPr>
          <w:rFonts w:asciiTheme="minorEastAsia" w:hAnsiTheme="minorEastAsia" w:cstheme="minorEastAsia"/>
          <w:sz w:val="21"/>
        </w:rPr>
      </w:pPr>
      <w:r>
        <w:rPr>
          <w:rFonts w:hint="eastAsia" w:asciiTheme="minorEastAsia" w:hAnsiTheme="minorEastAsia" w:cstheme="minorEastAsia"/>
          <w:sz w:val="21"/>
        </w:rPr>
        <w:t xml:space="preserve">  法定代表人或授权代表：                      法定代表人或授权代表：</w:t>
      </w:r>
    </w:p>
    <w:p>
      <w:pPr>
        <w:pStyle w:val="13"/>
        <w:snapToGrid w:val="0"/>
        <w:spacing w:line="360" w:lineRule="auto"/>
        <w:ind w:firstLine="0" w:firstLineChars="0"/>
        <w:rPr>
          <w:rFonts w:asciiTheme="minorEastAsia" w:hAnsiTheme="minorEastAsia" w:cstheme="minorEastAsia"/>
          <w:sz w:val="21"/>
        </w:rPr>
      </w:pPr>
      <w:r>
        <w:rPr>
          <w:rFonts w:hint="eastAsia" w:asciiTheme="minorEastAsia" w:hAnsiTheme="minorEastAsia" w:cstheme="minorEastAsia"/>
          <w:sz w:val="21"/>
        </w:rPr>
        <w:t xml:space="preserve">  联系电话：                                  联系电话：</w:t>
      </w:r>
    </w:p>
    <w:p>
      <w:pPr>
        <w:pStyle w:val="13"/>
        <w:snapToGrid w:val="0"/>
        <w:spacing w:line="360" w:lineRule="auto"/>
        <w:ind w:firstLine="210" w:firstLineChars="100"/>
        <w:rPr>
          <w:rFonts w:asciiTheme="minorEastAsia" w:hAnsiTheme="minorEastAsia" w:cstheme="minorEastAsia"/>
          <w:sz w:val="21"/>
        </w:rPr>
      </w:pPr>
      <w:r>
        <w:rPr>
          <w:rFonts w:hint="eastAsia" w:asciiTheme="minorEastAsia" w:hAnsiTheme="minorEastAsia" w:cstheme="minorEastAsia"/>
          <w:sz w:val="21"/>
        </w:rPr>
        <w:t>日期：      年    月    日                  日期：      年    月    日</w:t>
      </w:r>
    </w:p>
    <w:p>
      <w:pPr>
        <w:pStyle w:val="4"/>
        <w:snapToGrid w:val="0"/>
        <w:spacing w:before="0" w:after="0" w:line="360" w:lineRule="auto"/>
        <w:rPr>
          <w:rFonts w:asciiTheme="minorEastAsia" w:hAnsiTheme="minorEastAsia" w:eastAsiaTheme="minorEastAsia" w:cstheme="minorEastAsia"/>
        </w:rPr>
      </w:pPr>
      <w:bookmarkStart w:id="109" w:name="_Toc21291"/>
      <w:r>
        <w:rPr>
          <w:rFonts w:hint="eastAsia" w:asciiTheme="minorEastAsia" w:hAnsiTheme="minorEastAsia" w:eastAsiaTheme="minorEastAsia" w:cstheme="minorEastAsia"/>
        </w:rPr>
        <w:br w:type="column"/>
      </w:r>
      <w:r>
        <w:rPr>
          <w:rFonts w:hint="eastAsia" w:asciiTheme="minorEastAsia" w:hAnsiTheme="minorEastAsia" w:eastAsiaTheme="minorEastAsia" w:cstheme="minorEastAsia"/>
        </w:rPr>
        <w:t>第五章 项目需求</w:t>
      </w:r>
      <w:bookmarkEnd w:id="109"/>
    </w:p>
    <w:p>
      <w:pPr>
        <w:snapToGrid w:val="0"/>
        <w:spacing w:line="360" w:lineRule="auto"/>
        <w:ind w:firstLine="0" w:firstLineChars="0"/>
        <w:rPr>
          <w:rFonts w:asciiTheme="minorEastAsia" w:hAnsiTheme="minorEastAsia" w:cstheme="minorEastAsia"/>
          <w:b/>
          <w:bCs/>
          <w:szCs w:val="21"/>
        </w:rPr>
      </w:pPr>
      <w:r>
        <w:rPr>
          <w:rFonts w:hint="eastAsia" w:asciiTheme="minorEastAsia" w:hAnsiTheme="minorEastAsia" w:cstheme="minorEastAsia"/>
          <w:b/>
          <w:bCs/>
          <w:szCs w:val="21"/>
        </w:rPr>
        <w:t>一、项目概况</w:t>
      </w:r>
    </w:p>
    <w:p>
      <w:pPr>
        <w:snapToGrid w:val="0"/>
        <w:spacing w:line="360" w:lineRule="auto"/>
        <w:rPr>
          <w:rFonts w:asciiTheme="minorEastAsia" w:hAnsiTheme="minorEastAsia" w:cstheme="minorEastAsia"/>
          <w:color w:val="000000"/>
          <w:sz w:val="21"/>
          <w:szCs w:val="21"/>
          <w:highlight w:val="none"/>
        </w:rPr>
      </w:pPr>
      <w:r>
        <w:rPr>
          <w:rFonts w:hint="eastAsia" w:asciiTheme="minorEastAsia" w:hAnsiTheme="minorEastAsia" w:cstheme="minorEastAsia"/>
          <w:szCs w:val="21"/>
        </w:rPr>
        <w:t>项目名称：</w:t>
      </w:r>
      <w:r>
        <w:rPr>
          <w:rFonts w:hint="eastAsia" w:asciiTheme="minorEastAsia" w:hAnsiTheme="minorEastAsia" w:cstheme="minorEastAsia"/>
          <w:bCs/>
          <w:szCs w:val="21"/>
        </w:rPr>
        <w:t>扬州市民卡有限责任公司“我的扬州APP”安全保障产品及服务采购</w:t>
      </w:r>
      <w:r>
        <w:rPr>
          <w:rFonts w:hint="eastAsia" w:asciiTheme="minorEastAsia" w:hAnsiTheme="minorEastAsia" w:cstheme="minorEastAsia"/>
          <w:szCs w:val="21"/>
        </w:rPr>
        <w:tab/>
      </w:r>
      <w:r>
        <w:rPr>
          <w:rFonts w:hint="eastAsia" w:asciiTheme="minorEastAsia" w:hAnsiTheme="minorEastAsia" w:cstheme="minorEastAsia"/>
          <w:szCs w:val="21"/>
        </w:rPr>
        <w:tab/>
      </w:r>
      <w:r>
        <w:rPr>
          <w:rFonts w:hint="eastAsia" w:asciiTheme="minorEastAsia" w:hAnsiTheme="minorEastAsia" w:cstheme="minorEastAsia"/>
          <w:szCs w:val="21"/>
        </w:rPr>
        <w:t>招标内容：</w:t>
      </w:r>
      <w:r>
        <w:rPr>
          <w:rFonts w:hint="eastAsia" w:asciiTheme="minorEastAsia" w:hAnsiTheme="minorEastAsia" w:cstheme="minorEastAsia"/>
          <w:bCs/>
          <w:szCs w:val="21"/>
        </w:rPr>
        <w:t>“我的扬州APP”安全服务，</w:t>
      </w:r>
      <w:r>
        <w:rPr>
          <w:rFonts w:hint="eastAsia" w:asciiTheme="minorEastAsia" w:hAnsiTheme="minorEastAsia" w:cstheme="minorEastAsia"/>
          <w:color w:val="000000"/>
          <w:szCs w:val="21"/>
        </w:rPr>
        <w:t>以购买服务的方式采购两年的安全服务。要求配置的项目服务团队，项目服务团队不少于3人，第一年服务需要提供一名现场驻场人员，第二年不需要提供驻场人员。投标人在在服务期内完成包括安全架构设计、安全管理体系咨询服务、安全开发规范、基线评估、策略优化、漏扫及渗透评估、安全运维、新系统上线安全检查、互联网资产发现、安全事件应急处置、重要时期安全保障、安全事件预警通报、应</w:t>
      </w:r>
      <w:r>
        <w:rPr>
          <w:rFonts w:hint="eastAsia" w:asciiTheme="minorEastAsia" w:hAnsiTheme="minorEastAsia" w:cstheme="minorEastAsia"/>
          <w:color w:val="000000"/>
          <w:sz w:val="21"/>
          <w:szCs w:val="21"/>
        </w:rPr>
        <w:t>急演练服务、培训服务、全流量风险分析、APP应用加固服务等安全服务项目，接受采购人</w:t>
      </w:r>
      <w:r>
        <w:rPr>
          <w:rFonts w:hint="eastAsia" w:asciiTheme="minorEastAsia" w:hAnsiTheme="minorEastAsia" w:cstheme="minorEastAsia"/>
          <w:color w:val="000000"/>
          <w:sz w:val="21"/>
          <w:szCs w:val="21"/>
          <w:highlight w:val="none"/>
        </w:rPr>
        <w:t>的考核。</w:t>
      </w:r>
    </w:p>
    <w:p>
      <w:pPr>
        <w:snapToGrid w:val="0"/>
        <w:spacing w:line="360" w:lineRule="auto"/>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招标控制价：本分包招标控制价为</w:t>
      </w:r>
      <w:r>
        <w:rPr>
          <w:rFonts w:hint="eastAsia" w:asciiTheme="minorEastAsia" w:hAnsiTheme="minorEastAsia" w:cstheme="minorEastAsia"/>
          <w:kern w:val="0"/>
          <w:sz w:val="21"/>
          <w:szCs w:val="21"/>
          <w:highlight w:val="none"/>
          <w:lang w:val="en-US" w:eastAsia="zh-CN"/>
        </w:rPr>
        <w:t>162</w:t>
      </w:r>
      <w:r>
        <w:rPr>
          <w:rFonts w:hint="eastAsia" w:asciiTheme="minorEastAsia" w:hAnsiTheme="minorEastAsia" w:cstheme="minorEastAsia"/>
          <w:kern w:val="0"/>
          <w:sz w:val="21"/>
          <w:szCs w:val="21"/>
          <w:highlight w:val="none"/>
        </w:rPr>
        <w:t>万元，投标报价超过者按否决投标处理。</w:t>
      </w:r>
    </w:p>
    <w:p>
      <w:pPr>
        <w:pStyle w:val="2"/>
        <w:snapToGrid w:val="0"/>
        <w:ind w:firstLine="420"/>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服务地点：</w:t>
      </w:r>
      <w:r>
        <w:rPr>
          <w:rFonts w:hint="eastAsia" w:asciiTheme="minorEastAsia" w:hAnsiTheme="minorEastAsia" w:cstheme="minorEastAsia"/>
          <w:kern w:val="0"/>
          <w:sz w:val="21"/>
          <w:szCs w:val="21"/>
          <w:highlight w:val="none"/>
          <w:lang w:val="en-US" w:eastAsia="zh-CN"/>
        </w:rPr>
        <w:t>扬州信息产业园2期15号楼二楼</w:t>
      </w:r>
      <w:r>
        <w:rPr>
          <w:rFonts w:hint="eastAsia" w:asciiTheme="minorEastAsia" w:hAnsiTheme="minorEastAsia" w:cstheme="minorEastAsia"/>
          <w:kern w:val="0"/>
          <w:sz w:val="21"/>
          <w:szCs w:val="21"/>
          <w:highlight w:val="none"/>
        </w:rPr>
        <w:t>。</w:t>
      </w:r>
    </w:p>
    <w:p>
      <w:pPr>
        <w:pStyle w:val="28"/>
        <w:snapToGrid w:val="0"/>
        <w:spacing w:line="360" w:lineRule="auto"/>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二、技术要求</w:t>
      </w:r>
    </w:p>
    <w:p>
      <w:pPr>
        <w:pStyle w:val="52"/>
        <w:snapToGrid w:val="0"/>
        <w:spacing w:before="0" w:line="360" w:lineRule="auto"/>
        <w:ind w:firstLine="422"/>
        <w:jc w:val="both"/>
        <w:rPr>
          <w:rFonts w:asciiTheme="minorEastAsia" w:hAnsiTheme="minorEastAsia" w:cstheme="minorEastAsia"/>
          <w:b w:val="0"/>
          <w:bCs/>
          <w:sz w:val="21"/>
          <w:szCs w:val="21"/>
        </w:rPr>
      </w:pPr>
      <w:r>
        <w:rPr>
          <w:rFonts w:hint="eastAsia" w:asciiTheme="minorEastAsia" w:hAnsiTheme="minorEastAsia" w:cstheme="minorEastAsia"/>
          <w:b w:val="0"/>
          <w:bCs/>
          <w:sz w:val="21"/>
          <w:szCs w:val="21"/>
        </w:rPr>
        <w:t>本项目服务期为两年，具体服务内容及要求：</w:t>
      </w:r>
    </w:p>
    <w:p>
      <w:pPr>
        <w:snapToGrid w:val="0"/>
        <w:spacing w:line="360" w:lineRule="auto"/>
        <w:ind w:firstLine="422"/>
        <w:rPr>
          <w:rFonts w:asciiTheme="minorEastAsia" w:hAnsiTheme="minorEastAsia" w:cstheme="minorEastAsia"/>
          <w:sz w:val="21"/>
          <w:szCs w:val="21"/>
        </w:rPr>
      </w:pPr>
      <w:r>
        <w:rPr>
          <w:rFonts w:hint="eastAsia" w:asciiTheme="minorEastAsia" w:hAnsiTheme="minorEastAsia" w:cstheme="minorEastAsia"/>
          <w:b/>
          <w:sz w:val="21"/>
          <w:szCs w:val="21"/>
        </w:rPr>
        <w:t>1、安全架构设计</w:t>
      </w:r>
    </w:p>
    <w:p>
      <w:pPr>
        <w:pStyle w:val="52"/>
        <w:snapToGrid w:val="0"/>
        <w:spacing w:before="0" w:line="360" w:lineRule="auto"/>
        <w:ind w:firstLine="420"/>
        <w:rPr>
          <w:rFonts w:asciiTheme="minorEastAsia" w:hAnsiTheme="minorEastAsia" w:cstheme="minorEastAsia"/>
          <w:sz w:val="21"/>
          <w:szCs w:val="21"/>
        </w:rPr>
      </w:pPr>
      <w:r>
        <w:rPr>
          <w:rFonts w:hint="eastAsia" w:asciiTheme="minorEastAsia" w:hAnsiTheme="minorEastAsia" w:cstheme="minorEastAsia"/>
          <w:color w:val="000000"/>
          <w:sz w:val="21"/>
          <w:szCs w:val="21"/>
        </w:rPr>
        <w:t>服务要求：参照安全法律法规、行业相关标准，结合扬州市民卡公司</w:t>
      </w:r>
      <w:r>
        <w:rPr>
          <w:rFonts w:hint="eastAsia" w:asciiTheme="minorEastAsia" w:hAnsiTheme="minorEastAsia" w:cstheme="minorEastAsia"/>
          <w:sz w:val="21"/>
          <w:szCs w:val="21"/>
        </w:rPr>
        <w:t>具体的网络以及业务实际情况，配合信息中心进行安全架构设计。通过安全架构设计打造积极防御能力，探索整体安全运营最佳实践，既符合现阶段实际情况又符合未来发展的需要</w:t>
      </w:r>
      <w:r>
        <w:rPr>
          <w:rFonts w:hint="eastAsia" w:asciiTheme="minorEastAsia" w:hAnsiTheme="minorEastAsia" w:cstheme="minorEastAsia"/>
          <w:sz w:val="21"/>
          <w:szCs w:val="21"/>
          <w:lang w:eastAsia="zh-CN"/>
        </w:rPr>
        <w:t>。</w:t>
      </w:r>
      <w:r>
        <w:rPr>
          <w:rFonts w:hint="eastAsia" w:asciiTheme="minorEastAsia" w:hAnsiTheme="minorEastAsia" w:cstheme="minorEastAsia"/>
          <w:color w:val="000000"/>
          <w:sz w:val="21"/>
          <w:szCs w:val="21"/>
        </w:rPr>
        <w:t>协助扬州市民卡公司</w:t>
      </w:r>
      <w:r>
        <w:rPr>
          <w:rFonts w:hint="eastAsia" w:asciiTheme="minorEastAsia" w:hAnsiTheme="minorEastAsia" w:cstheme="minorEastAsia"/>
          <w:color w:val="000000"/>
          <w:sz w:val="21"/>
          <w:szCs w:val="21"/>
          <w:lang w:val="en-US" w:eastAsia="zh-CN"/>
        </w:rPr>
        <w:t>开展</w:t>
      </w:r>
      <w:r>
        <w:rPr>
          <w:rFonts w:hint="eastAsia" w:asciiTheme="minorEastAsia" w:hAnsiTheme="minorEastAsia" w:cstheme="minorEastAsia"/>
          <w:color w:val="000000"/>
          <w:sz w:val="21"/>
          <w:szCs w:val="21"/>
        </w:rPr>
        <w:t>等级保护第三级测评。</w:t>
      </w:r>
      <w:r>
        <w:rPr>
          <w:rFonts w:hint="eastAsia" w:asciiTheme="minorEastAsia" w:hAnsiTheme="minorEastAsia" w:cstheme="minorEastAsia"/>
          <w:sz w:val="21"/>
          <w:szCs w:val="21"/>
        </w:rPr>
        <w:t xml:space="preserve"> </w:t>
      </w:r>
    </w:p>
    <w:p>
      <w:pPr>
        <w:pStyle w:val="52"/>
        <w:snapToGrid w:val="0"/>
        <w:spacing w:before="0" w:line="360" w:lineRule="auto"/>
        <w:ind w:firstLine="42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rPr>
        <w:t>服务交付：根据采购方实际需求编制并提交《安全架构设计方案》</w:t>
      </w:r>
      <w:r>
        <w:rPr>
          <w:rFonts w:hint="eastAsia" w:asciiTheme="minorEastAsia" w:hAnsiTheme="minorEastAsia" w:cstheme="minorEastAsia"/>
          <w:color w:val="000000"/>
          <w:sz w:val="21"/>
          <w:szCs w:val="21"/>
          <w:lang w:eastAsia="zh-CN"/>
        </w:rPr>
        <w:t>。</w:t>
      </w:r>
    </w:p>
    <w:p>
      <w:pPr>
        <w:snapToGrid w:val="0"/>
        <w:spacing w:line="360" w:lineRule="auto"/>
        <w:ind w:firstLine="422"/>
        <w:rPr>
          <w:rFonts w:asciiTheme="minorEastAsia" w:hAnsiTheme="minorEastAsia" w:cstheme="minorEastAsia"/>
          <w:b/>
          <w:sz w:val="21"/>
          <w:szCs w:val="21"/>
        </w:rPr>
      </w:pPr>
      <w:r>
        <w:rPr>
          <w:rFonts w:hint="eastAsia" w:asciiTheme="minorEastAsia" w:hAnsiTheme="minorEastAsia" w:cstheme="minorEastAsia"/>
          <w:b/>
          <w:sz w:val="21"/>
          <w:szCs w:val="21"/>
        </w:rPr>
        <w:t>2、安全管理体系咨询服务</w:t>
      </w:r>
    </w:p>
    <w:p>
      <w:pPr>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服务要求：提供具有安全管理体系建设相关经验的安全咨询顾问服务，应包括组织人员管理咨询、安全管理流程咨询、安全建设管理咨询、安全运维管理咨询等。</w:t>
      </w:r>
    </w:p>
    <w:p>
      <w:pPr>
        <w:snapToGrid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服务交付：</w:t>
      </w:r>
      <w:r>
        <w:rPr>
          <w:rFonts w:hint="eastAsia" w:asciiTheme="minorEastAsia" w:hAnsiTheme="minorEastAsia" w:cstheme="minorEastAsia"/>
          <w:color w:val="000000"/>
          <w:sz w:val="21"/>
          <w:szCs w:val="21"/>
        </w:rPr>
        <w:t>根据采购方实际需求编制并提交《安全管理体系建设报告》。</w:t>
      </w:r>
    </w:p>
    <w:p>
      <w:pPr>
        <w:snapToGrid w:val="0"/>
        <w:spacing w:line="360" w:lineRule="auto"/>
        <w:ind w:firstLine="422"/>
        <w:rPr>
          <w:rFonts w:asciiTheme="minorEastAsia" w:hAnsiTheme="minorEastAsia" w:cstheme="minorEastAsia"/>
          <w:b/>
          <w:sz w:val="21"/>
          <w:szCs w:val="21"/>
        </w:rPr>
      </w:pPr>
      <w:r>
        <w:rPr>
          <w:rFonts w:hint="eastAsia" w:asciiTheme="minorEastAsia" w:hAnsiTheme="minorEastAsia" w:cstheme="minorEastAsia"/>
          <w:b/>
          <w:sz w:val="21"/>
          <w:szCs w:val="21"/>
        </w:rPr>
        <w:t>3、安全开发规范</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 w:val="21"/>
          <w:szCs w:val="21"/>
        </w:rPr>
        <w:t>服务要求：为规范软件开发商开发过程中的安全规范能力，需要制定管理规范，从开发商信誉和质量保证能力、软件开发商资质要求、代码归属关系、外包工作过程质量控制、外包方违约解决措施、上线前安全测试进行规定和约束。同时，管理规范还需包含规避与开发</w:t>
      </w:r>
      <w:r>
        <w:rPr>
          <w:rFonts w:hint="eastAsia" w:asciiTheme="minorEastAsia" w:hAnsiTheme="minorEastAsia" w:cstheme="minorEastAsia"/>
        </w:rPr>
        <w:t>人员的信息交互带来的安全风险，保障组织信息安全管理。</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服务交付：</w:t>
      </w:r>
      <w:r>
        <w:rPr>
          <w:rFonts w:hint="eastAsia" w:asciiTheme="minorEastAsia" w:hAnsiTheme="minorEastAsia" w:cstheme="minorEastAsia"/>
          <w:color w:val="000000"/>
          <w:szCs w:val="21"/>
        </w:rPr>
        <w:t>根据采购方实际需求编制并提交《</w:t>
      </w:r>
      <w:r>
        <w:rPr>
          <w:rFonts w:hint="eastAsia" w:asciiTheme="minorEastAsia" w:hAnsiTheme="minorEastAsia" w:cstheme="minorEastAsia"/>
        </w:rPr>
        <w:t>软件开发管理规范</w:t>
      </w:r>
      <w:r>
        <w:rPr>
          <w:rFonts w:hint="eastAsia" w:asciiTheme="minorEastAsia" w:hAnsiTheme="minorEastAsia" w:cstheme="minorEastAsia"/>
          <w:color w:val="000000"/>
          <w:szCs w:val="21"/>
        </w:rPr>
        <w:t>》。</w:t>
      </w:r>
    </w:p>
    <w:p>
      <w:pPr>
        <w:pStyle w:val="52"/>
        <w:snapToGrid w:val="0"/>
        <w:spacing w:before="0" w:line="360" w:lineRule="auto"/>
        <w:ind w:firstLine="422"/>
        <w:rPr>
          <w:rFonts w:asciiTheme="minorEastAsia" w:hAnsiTheme="minorEastAsia" w:cstheme="minorEastAsia"/>
          <w:b/>
          <w:sz w:val="21"/>
        </w:rPr>
      </w:pPr>
      <w:r>
        <w:rPr>
          <w:rFonts w:hint="eastAsia" w:asciiTheme="minorEastAsia" w:hAnsiTheme="minorEastAsia" w:cstheme="minorEastAsia"/>
          <w:b/>
          <w:sz w:val="21"/>
        </w:rPr>
        <w:t>4、基线评估及策略优化</w:t>
      </w:r>
    </w:p>
    <w:p>
      <w:pPr>
        <w:pStyle w:val="52"/>
        <w:snapToGrid w:val="0"/>
        <w:spacing w:before="0" w:line="360" w:lineRule="auto"/>
        <w:ind w:firstLine="420"/>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服务要求：通过“自动化工具配合人工检查”方式参考安全配置基线进行检查，主要包括网络设备、安全设备、操作系统、数据库、中间件等安全配置基线，其中重点对网内业务服务器进行安全基线检查。采用主流的安全配置核查系统或检查脚本工具，以远程登录或检查脚本工具的方式，完成检查。依据标准安全技术规范对网络设备、安全设备、操作系统、数据库以及中间件的安全配置基线要求，并结合安全评估结果，按照安全整改建议，由安全服务人员协助客户运维人员实施安全加固。最终符合安全规范保障安全运行。</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收集策略信息后，结合实际业务安全需求，对现有安全策略进行差距分析，发现策略缺失、策略冗余、策略未废止等问题，并制定相应工作方案开展策略优化工作，内容包括：访问控制策略优化、安全防护策略优化、行为审计策略优化等，通过安全策略优化完善策略可用性，提升防护能力。</w:t>
      </w:r>
    </w:p>
    <w:p>
      <w:pPr>
        <w:pStyle w:val="52"/>
        <w:snapToGrid w:val="0"/>
        <w:spacing w:before="0" w:line="360" w:lineRule="auto"/>
        <w:ind w:firstLine="420"/>
        <w:jc w:val="both"/>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服务交付：根据采购方实际需求编制并提交《安全基线检查报告》、</w:t>
      </w:r>
      <w:r>
        <w:rPr>
          <w:rFonts w:hint="eastAsia" w:asciiTheme="minorEastAsia" w:hAnsiTheme="minorEastAsia" w:cstheme="minorEastAsia"/>
          <w:sz w:val="21"/>
          <w:szCs w:val="21"/>
        </w:rPr>
        <w:t>《安全策略优化报告》</w:t>
      </w:r>
    </w:p>
    <w:p>
      <w:pPr>
        <w:pStyle w:val="52"/>
        <w:snapToGrid w:val="0"/>
        <w:spacing w:before="0" w:line="360" w:lineRule="auto"/>
        <w:ind w:firstLine="422"/>
        <w:jc w:val="both"/>
        <w:rPr>
          <w:rFonts w:asciiTheme="minorEastAsia" w:hAnsiTheme="minorEastAsia" w:cstheme="minorEastAsia"/>
          <w:b/>
          <w:sz w:val="21"/>
        </w:rPr>
      </w:pPr>
      <w:r>
        <w:rPr>
          <w:rFonts w:hint="eastAsia" w:asciiTheme="minorEastAsia" w:hAnsiTheme="minorEastAsia" w:cstheme="minorEastAsia"/>
          <w:b/>
          <w:sz w:val="21"/>
        </w:rPr>
        <w:t>5、漏扫及渗透评估</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服务要求：</w:t>
      </w:r>
      <w:r>
        <w:rPr>
          <w:rFonts w:hint="eastAsia" w:asciiTheme="minorEastAsia" w:hAnsiTheme="minorEastAsia" w:cstheme="minorEastAsia"/>
          <w:color w:val="000000"/>
          <w:szCs w:val="21"/>
        </w:rPr>
        <w:t>重点对网内业务服务器开展漏洞扫描并</w:t>
      </w:r>
      <w:r>
        <w:rPr>
          <w:rFonts w:hint="eastAsia" w:asciiTheme="minorEastAsia" w:hAnsiTheme="minorEastAsia" w:cstheme="minorEastAsia"/>
          <w:szCs w:val="21"/>
        </w:rPr>
        <w:t>采用各种手段模拟真实的安全攻击，从而发现黑客入侵信息系统的潜在可能途径。渗透测试工作以人工渗透为主，工具为辅。主要的渗透测试方法包括：信息收集、端口扫描、远程溢出、口令猜测、本地溢出、客户端攻击、中间人攻击、web脚本渗透、B/S或C/S应用程序测试、社会工程等。</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服务交付：通过以上服务，发现运行过程中存在的安全漏洞协助进行修复，编制并提交《渗透测试报告》，描述其发现的问题并给出相应的解决方案。</w:t>
      </w:r>
    </w:p>
    <w:p>
      <w:pPr>
        <w:pStyle w:val="52"/>
        <w:snapToGrid w:val="0"/>
        <w:spacing w:before="0" w:line="360" w:lineRule="auto"/>
        <w:ind w:firstLine="422"/>
        <w:rPr>
          <w:rFonts w:asciiTheme="minorEastAsia" w:hAnsiTheme="minorEastAsia" w:cstheme="minorEastAsia"/>
          <w:b/>
          <w:sz w:val="21"/>
        </w:rPr>
      </w:pPr>
      <w:r>
        <w:rPr>
          <w:rFonts w:hint="eastAsia" w:asciiTheme="minorEastAsia" w:hAnsiTheme="minorEastAsia" w:cstheme="minorEastAsia"/>
          <w:b/>
          <w:sz w:val="21"/>
        </w:rPr>
        <w:t>6、安全运维</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要求：针对扬州市民卡公司安全防护体系中的安全产品，在运行过程中所进行的一系列常态化维护工作，包括设备运行安全监测、设备运行安全审计、设备及策略备份更新等工作。通过安全产品运行维护工作的开展保障安全产品最优化运行。</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服务交付：根据采购方实际需求编制并提交《安全产品运维记录单》。</w:t>
      </w:r>
    </w:p>
    <w:p>
      <w:pPr>
        <w:pStyle w:val="52"/>
        <w:snapToGrid w:val="0"/>
        <w:spacing w:before="0" w:line="360" w:lineRule="auto"/>
        <w:ind w:firstLine="422"/>
        <w:rPr>
          <w:rFonts w:asciiTheme="minorEastAsia" w:hAnsiTheme="minorEastAsia" w:cstheme="minorEastAsia"/>
          <w:b/>
          <w:sz w:val="21"/>
        </w:rPr>
      </w:pPr>
      <w:r>
        <w:rPr>
          <w:rFonts w:hint="eastAsia" w:asciiTheme="minorEastAsia" w:hAnsiTheme="minorEastAsia" w:cstheme="minorEastAsia"/>
          <w:b/>
          <w:sz w:val="21"/>
        </w:rPr>
        <w:t>7、新系统上线安全检查</w:t>
      </w:r>
    </w:p>
    <w:p>
      <w:pPr>
        <w:snapToGrid w:val="0"/>
        <w:spacing w:line="360" w:lineRule="auto"/>
        <w:rPr>
          <w:rFonts w:asciiTheme="minorEastAsia" w:hAnsiTheme="minorEastAsia" w:cstheme="minorEastAsia"/>
        </w:rPr>
      </w:pPr>
      <w:r>
        <w:rPr>
          <w:rFonts w:hint="eastAsia" w:asciiTheme="minorEastAsia" w:hAnsiTheme="minorEastAsia" w:cstheme="minorEastAsia"/>
          <w:szCs w:val="21"/>
        </w:rPr>
        <w:t>服务要求：系统上线前首先进行代码安全检测，对业务系统开发框架、应用程序、云端程序、接口及第三方组件和应用配置等方面进行深入的分析，从而发现系统源代码存在的安全缺陷，并采用安全测试等技术手段进行漏洞验证。代码检测之后需采用各种手段模拟真实的安全攻击，从而发现黑客入侵信息系统的潜在可能途径。渗透测试工作以人工渗透为主，工具为辅助。主要的渗透测试方法包括：信息收集、端口扫描、远程溢出、口令猜测、本地溢出、云服务客户端攻击、中间人攻击、web脚本渗透、B/S或C/S应用程序测试、社会工程等。</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服务交付：本次招标市民卡中心所有系统上线安全检查，根据采购方实际需求编制并提交《代码安全检测报告》、《渗透测试报告》、《复测报告》。</w:t>
      </w:r>
    </w:p>
    <w:p>
      <w:pPr>
        <w:pStyle w:val="52"/>
        <w:snapToGrid w:val="0"/>
        <w:spacing w:before="0" w:line="360" w:lineRule="auto"/>
        <w:ind w:firstLine="420" w:firstLineChars="0"/>
        <w:rPr>
          <w:rFonts w:asciiTheme="minorEastAsia" w:hAnsiTheme="minorEastAsia" w:cstheme="minorEastAsia"/>
          <w:b/>
        </w:rPr>
      </w:pPr>
      <w:r>
        <w:rPr>
          <w:rFonts w:hint="eastAsia" w:asciiTheme="minorEastAsia" w:hAnsiTheme="minorEastAsia" w:cstheme="minorEastAsia"/>
          <w:b/>
          <w:sz w:val="21"/>
        </w:rPr>
        <w:t>8、资产发现</w:t>
      </w:r>
      <w:r>
        <w:rPr>
          <w:rFonts w:hint="eastAsia" w:asciiTheme="minorEastAsia" w:hAnsiTheme="minorEastAsia" w:cstheme="minorEastAsia"/>
          <w:b/>
        </w:rPr>
        <w:tab/>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服务要求：基于网络扫描、搜索引擎、互联网基础数据引擎以及人工服务主动探测业务应用系统在互联网上以及内网</w:t>
      </w:r>
      <w:r>
        <w:rPr>
          <w:rFonts w:asciiTheme="minorEastAsia" w:hAnsiTheme="minorEastAsia" w:cstheme="minorEastAsia"/>
          <w:szCs w:val="21"/>
        </w:rPr>
        <w:t>出口</w:t>
      </w:r>
      <w:r>
        <w:rPr>
          <w:rFonts w:hint="eastAsia" w:asciiTheme="minorEastAsia" w:hAnsiTheme="minorEastAsia" w:cstheme="minorEastAsia"/>
          <w:szCs w:val="21"/>
        </w:rPr>
        <w:t>暴露的资产，可以形成明确的资产清单，发现未知资产。通过大数据挖掘和调研的方式确定资产范围，进行主动精准探测深度发现暴露在外的IT设备、端口、应用服务等安全相关的安全资产，发现活跃资产及“僵尸”资产，由安全专家对每个业务梳理分析，结合用户反馈的业务特点，对资产重要程度、业务安全需求进行归纳，最终形成资产清单。</w:t>
      </w:r>
    </w:p>
    <w:p>
      <w:pPr>
        <w:pStyle w:val="52"/>
        <w:snapToGrid w:val="0"/>
        <w:spacing w:before="0" w:line="360" w:lineRule="auto"/>
        <w:ind w:firstLine="420"/>
        <w:rPr>
          <w:rFonts w:asciiTheme="minorEastAsia" w:hAnsiTheme="minorEastAsia" w:cstheme="minorEastAsia"/>
          <w:b/>
          <w:sz w:val="21"/>
        </w:rPr>
      </w:pPr>
      <w:r>
        <w:rPr>
          <w:rFonts w:hint="eastAsia" w:asciiTheme="minorEastAsia" w:hAnsiTheme="minorEastAsia" w:cstheme="minorEastAsia"/>
          <w:sz w:val="21"/>
          <w:szCs w:val="21"/>
        </w:rPr>
        <w:t>服务交付：投标方需交付准确的扬州市民卡公司内部资产清单，并对资产变更情况及时更新。根据采购方实际需求编制并提交《互联网资产发现报告》。</w:t>
      </w:r>
    </w:p>
    <w:p>
      <w:pPr>
        <w:pStyle w:val="52"/>
        <w:snapToGrid w:val="0"/>
        <w:spacing w:before="0" w:line="360" w:lineRule="auto"/>
        <w:ind w:firstLine="422"/>
        <w:rPr>
          <w:rFonts w:asciiTheme="minorEastAsia" w:hAnsiTheme="minorEastAsia" w:cstheme="minorEastAsia"/>
          <w:b/>
          <w:sz w:val="21"/>
          <w:szCs w:val="21"/>
        </w:rPr>
      </w:pPr>
      <w:r>
        <w:rPr>
          <w:rFonts w:hint="eastAsia" w:asciiTheme="minorEastAsia" w:hAnsiTheme="minorEastAsia" w:cstheme="minorEastAsia"/>
          <w:b/>
          <w:sz w:val="21"/>
          <w:szCs w:val="21"/>
        </w:rPr>
        <w:t>9、安全事件应急处置</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要求：基于具体的安全事件开展专家应急响应，安全事件检测、安全事件抑制、安全事件根除、安全事件恢复、安全事件总结，最终形成协调联动机制，增强应急技术能力，健全应急响应机制。安全事件处置完成，系统得到恢复。找到安全事件发生原因并提供安全解决方案。</w:t>
      </w:r>
    </w:p>
    <w:p>
      <w:pPr>
        <w:pStyle w:val="52"/>
        <w:snapToGrid w:val="0"/>
        <w:spacing w:before="0"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服务交付：根据采购方实际需求编制并提交《安全事件应急响应报告》。</w:t>
      </w:r>
    </w:p>
    <w:p>
      <w:pPr>
        <w:pStyle w:val="52"/>
        <w:snapToGrid w:val="0"/>
        <w:spacing w:before="0" w:line="360" w:lineRule="auto"/>
        <w:ind w:firstLine="400" w:firstLineChars="0"/>
        <w:rPr>
          <w:rFonts w:asciiTheme="minorEastAsia" w:hAnsiTheme="minorEastAsia" w:cstheme="minorEastAsia"/>
          <w:b/>
          <w:sz w:val="21"/>
          <w:szCs w:val="21"/>
        </w:rPr>
      </w:pPr>
      <w:r>
        <w:rPr>
          <w:rFonts w:hint="eastAsia" w:asciiTheme="minorEastAsia" w:hAnsiTheme="minorEastAsia" w:cstheme="minorEastAsia"/>
          <w:b/>
          <w:sz w:val="21"/>
          <w:szCs w:val="21"/>
        </w:rPr>
        <w:t>10、重要时期安全保障</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要求：在重点时期前对现有网络运行的服务器、终端、网络设备、安全设备、网站及应用系统等开展安全检查，从而发现硬件、软件、协议的实现或系统安全策略上的缺陷问题，对发现的问题进行相应安全整改，并在重点时期做好值守，保障安全稳定运行。</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服务交付：针对所有进行重点时期安全检查的服务器、应用、数据库、安全设备等，根据采购方实际需求进行重保安全值守，提交《重要时期安全保障总结报告》。</w:t>
      </w:r>
    </w:p>
    <w:p>
      <w:pPr>
        <w:pStyle w:val="52"/>
        <w:snapToGrid w:val="0"/>
        <w:spacing w:before="0" w:line="360" w:lineRule="auto"/>
        <w:ind w:firstLine="422"/>
        <w:jc w:val="both"/>
        <w:rPr>
          <w:rFonts w:asciiTheme="minorEastAsia" w:hAnsiTheme="minorEastAsia" w:cstheme="minorEastAsia"/>
          <w:b/>
          <w:sz w:val="21"/>
          <w:szCs w:val="21"/>
        </w:rPr>
      </w:pPr>
      <w:r>
        <w:rPr>
          <w:rFonts w:hint="eastAsia" w:asciiTheme="minorEastAsia" w:hAnsiTheme="minorEastAsia" w:cstheme="minorEastAsia"/>
          <w:b/>
          <w:sz w:val="21"/>
          <w:szCs w:val="21"/>
        </w:rPr>
        <w:t>11、安全事件预警通报</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要求：建立安全通告机制，对出现的安全问题、威胁情报信息等进行全面传达，每周以邮件形式向用户通告业内安全态势、重大舆情信息、重要系统漏洞及补丁信息等。对于紧急重大类漏洞信息，以最快时间通过邮件或电话向客户告知漏洞危害、影响范围及应对方案等信息。</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服务交付：每周通过邮件向用户推送本周安全热点，在发生重大安全事件时采用邮件方式告知。</w:t>
      </w:r>
    </w:p>
    <w:p>
      <w:pPr>
        <w:pStyle w:val="52"/>
        <w:snapToGrid w:val="0"/>
        <w:spacing w:before="0" w:line="360" w:lineRule="auto"/>
        <w:ind w:firstLine="422"/>
        <w:rPr>
          <w:rFonts w:asciiTheme="minorEastAsia" w:hAnsiTheme="minorEastAsia" w:cstheme="minorEastAsia"/>
          <w:sz w:val="21"/>
          <w:szCs w:val="21"/>
        </w:rPr>
      </w:pPr>
      <w:r>
        <w:rPr>
          <w:rFonts w:hint="eastAsia" w:asciiTheme="minorEastAsia" w:hAnsiTheme="minorEastAsia" w:cstheme="minorEastAsia"/>
          <w:b/>
          <w:sz w:val="21"/>
          <w:szCs w:val="21"/>
        </w:rPr>
        <w:t>12、培训服务</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要求：面对安全运维岗位的专业技术人员，提供有针对性开展信息安全培训，包括信息安全意识和系统运维规范等，通过理论与实践相结合，提高人员安全运维能力。提供专业的CISP培训，对甲方专业技术人员进行CISP能力提升，提高信息安全专业水平。</w:t>
      </w:r>
    </w:p>
    <w:p>
      <w:pPr>
        <w:pStyle w:val="52"/>
        <w:snapToGrid w:val="0"/>
        <w:spacing w:before="0" w:line="360" w:lineRule="auto"/>
        <w:ind w:firstLine="420" w:firstLineChars="0"/>
        <w:jc w:val="both"/>
        <w:rPr>
          <w:rFonts w:asciiTheme="minorEastAsia" w:hAnsiTheme="minorEastAsia" w:cstheme="minorEastAsia"/>
          <w:sz w:val="21"/>
          <w:szCs w:val="21"/>
        </w:rPr>
      </w:pPr>
      <w:r>
        <w:rPr>
          <w:rFonts w:hint="eastAsia" w:asciiTheme="minorEastAsia" w:hAnsiTheme="minorEastAsia" w:cstheme="minorEastAsia"/>
          <w:sz w:val="21"/>
          <w:szCs w:val="21"/>
        </w:rPr>
        <w:t>服务交付：提供两次信息安全培训，每次培训主题由采购方指定，每次不少于2小时。向采购方提供2个CISP培训名额，帮助采购方进行专业安全能力提升。</w:t>
      </w:r>
    </w:p>
    <w:p>
      <w:pPr>
        <w:snapToGrid w:val="0"/>
        <w:spacing w:line="360" w:lineRule="auto"/>
        <w:ind w:firstLine="422"/>
        <w:rPr>
          <w:rFonts w:asciiTheme="minorEastAsia" w:hAnsiTheme="minorEastAsia" w:cstheme="minorEastAsia"/>
          <w:b/>
          <w:szCs w:val="21"/>
        </w:rPr>
      </w:pPr>
      <w:r>
        <w:rPr>
          <w:rFonts w:hint="eastAsia" w:asciiTheme="minorEastAsia" w:hAnsiTheme="minorEastAsia" w:cstheme="minorEastAsia"/>
          <w:b/>
          <w:szCs w:val="21"/>
        </w:rPr>
        <w:t>13、全流量风险分析</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要求：采集全网流量数据，利用采集到的安全大数据，结合威胁情报数据，采用专业攻防思路构建分析模型，提供内部失陷主机、外部攻击、内部违规和内部风险等关键信息安全问题的周期性的检测、发现和响应服务。提升主动应对安全威胁能力，在信息安全方面构建最后一道“防火墙”。主要包括内部失陷主机检测、外部攻击检测、内部攻击检测、内部违规检测和事件分析研判溯源五大类服务。全流量风险分析服务除了提供上述服务之外，还可以建立内部的安全大数据中心服务，为后续利用大数据分析技术来开展安全分析、安全数据的基线、安全数据的深度挖掘和安全数据的审计都提供了必要的基础。</w:t>
      </w:r>
    </w:p>
    <w:p>
      <w:pPr>
        <w:snapToGrid w:val="0"/>
        <w:spacing w:line="360" w:lineRule="auto"/>
        <w:rPr>
          <w:rFonts w:asciiTheme="minorEastAsia" w:hAnsiTheme="minorEastAsia" w:cstheme="minorEastAsia"/>
          <w:szCs w:val="21"/>
          <w:highlight w:val="none"/>
        </w:rPr>
      </w:pPr>
      <w:r>
        <w:rPr>
          <w:rFonts w:hint="eastAsia" w:asciiTheme="minorEastAsia" w:hAnsiTheme="minorEastAsia" w:cstheme="minorEastAsia"/>
          <w:szCs w:val="21"/>
          <w:highlight w:val="none"/>
        </w:rPr>
        <w:t>★投标人负责提供全流量风险分析服务工作必须的信息安全大数据平台（以下简称平台）。平台所涉及的软硬件（包括软件、硬件、专用安全设备等）由投标人负责自行建设并运维。服务期限为2年。投标人必须签订保密协议，服务期满后必须将平台中所有数据进行消磁处理，避免数据外泄。（需要</w:t>
      </w:r>
      <w:r>
        <w:rPr>
          <w:rFonts w:asciiTheme="minorEastAsia" w:hAnsiTheme="minorEastAsia" w:cstheme="minorEastAsia"/>
          <w:szCs w:val="21"/>
          <w:highlight w:val="none"/>
        </w:rPr>
        <w:t>提供相应的服务承诺函，加盖投标人公章</w:t>
      </w:r>
      <w:r>
        <w:rPr>
          <w:rFonts w:hint="eastAsia" w:asciiTheme="minorEastAsia" w:hAnsiTheme="minorEastAsia" w:cstheme="minorEastAsia"/>
          <w:szCs w:val="21"/>
          <w:highlight w:val="none"/>
        </w:rPr>
        <w:t>）</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 xml:space="preserve">全流量风险分析服务工作使用的平台必须在互联网区域进行统一部署，集中进行互联网全网流量采集，集中处理关联分析。 </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全流量风险分析服务工作使用的平台应至少提供以下功能：网络流量采集功能、大数据分析及威胁情报功能。</w:t>
      </w:r>
    </w:p>
    <w:p>
      <w:pPr>
        <w:snapToGrid w:val="0"/>
        <w:spacing w:line="360" w:lineRule="auto"/>
        <w:rPr>
          <w:rFonts w:asciiTheme="minorEastAsia" w:hAnsiTheme="minorEastAsia" w:cstheme="minorEastAsia"/>
          <w:szCs w:val="21"/>
        </w:rPr>
      </w:pPr>
      <w:r>
        <w:rPr>
          <w:rFonts w:hint="eastAsia" w:asciiTheme="minorEastAsia" w:hAnsiTheme="minorEastAsia" w:cstheme="minorEastAsia"/>
        </w:rPr>
        <w:t>（1）</w:t>
      </w:r>
      <w:r>
        <w:rPr>
          <w:rFonts w:hint="eastAsia" w:asciiTheme="minorEastAsia" w:hAnsiTheme="minorEastAsia" w:cstheme="minorEastAsia"/>
          <w:szCs w:val="21"/>
        </w:rPr>
        <w:t>网络流量采集功能</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网络流量采集负责接收镜像流量，还原成流量日志，提供不少于一台网络流量硬件采集节点。要求如下：</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1）性能要求：最大并发会话≥300万，新建会话≥2万/秒，吞吐≥5Gbps。</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2）支持常见协议识别并还原网络流量，用于取证分析、威胁发现，支持：http、dns、smtp、pop3、imap、webmail、DB2、Oracle、MySQL、sql server、Sybase、SMB、FTP、SNMP、telnet、nfs等。</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3）支持常见数据库协议的识别或还原：DB2、Oracle、SQL Server、Sybase、MySQL、MongoDB、PostgreSQL等协议。</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4）支持TCP/UDP会话记录、异常流量会话记录、web访问记录、域名解析、SQL访问记录、邮件行为、登录情况、文件传输、FTP控制通道、SSL加密协商、telnet行为、IM通信等行为描述。</w:t>
      </w:r>
    </w:p>
    <w:p>
      <w:pPr>
        <w:snapToGrid w:val="0"/>
        <w:spacing w:line="360" w:lineRule="auto"/>
        <w:rPr>
          <w:rFonts w:asciiTheme="minorEastAsia" w:hAnsiTheme="minorEastAsia" w:cstheme="minorEastAsia"/>
          <w:szCs w:val="21"/>
          <w:highlight w:val="green"/>
        </w:rPr>
      </w:pPr>
      <w:r>
        <w:rPr>
          <w:rFonts w:hint="eastAsia" w:asciiTheme="minorEastAsia" w:hAnsiTheme="minorEastAsia" w:cstheme="minorEastAsia"/>
          <w:szCs w:val="21"/>
        </w:rPr>
        <w:t>5）支持自定义协议，可自定义私有协议。(提供截图加盖投标人公章）</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（2）大数据分析</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提供不少于一台大数据分析硬件节点，大数据分析及展示用于存储全量日志和结果，同时提供各种面向业务和场景的应用交互界面。要求如下：</w:t>
      </w:r>
    </w:p>
    <w:p>
      <w:pPr>
        <w:snapToGrid w:val="0"/>
        <w:spacing w:line="360" w:lineRule="auto"/>
        <w:ind w:firstLine="525" w:firstLineChars="250"/>
        <w:rPr>
          <w:rFonts w:asciiTheme="minorEastAsia" w:hAnsiTheme="minorEastAsia" w:cstheme="minorEastAsia"/>
          <w:szCs w:val="21"/>
        </w:rPr>
      </w:pPr>
      <w:r>
        <w:rPr>
          <w:rFonts w:hint="eastAsia" w:asciiTheme="minorEastAsia" w:hAnsiTheme="minorEastAsia" w:cstheme="minorEastAsia"/>
          <w:szCs w:val="21"/>
        </w:rPr>
        <w:t>1）性能要求：事件入库性能≥2万条/秒；事件查询性能TB级日志数据搜索时间≤30s。</w:t>
      </w:r>
    </w:p>
    <w:p>
      <w:pPr>
        <w:snapToGrid w:val="0"/>
        <w:spacing w:line="360" w:lineRule="auto"/>
        <w:ind w:firstLine="525" w:firstLineChars="250"/>
        <w:rPr>
          <w:rFonts w:asciiTheme="minorEastAsia" w:hAnsiTheme="minorEastAsia" w:cstheme="minorEastAsia"/>
          <w:szCs w:val="21"/>
        </w:rPr>
      </w:pPr>
      <w:r>
        <w:rPr>
          <w:rFonts w:hint="eastAsia" w:asciiTheme="minorEastAsia" w:hAnsiTheme="minorEastAsia" w:cstheme="minorEastAsia"/>
          <w:szCs w:val="21"/>
        </w:rPr>
        <w:t>2）能够存储所有采集还原后的关键流量数据。</w:t>
      </w:r>
    </w:p>
    <w:p>
      <w:pPr>
        <w:snapToGrid w:val="0"/>
        <w:spacing w:line="360" w:lineRule="auto"/>
        <w:ind w:firstLine="525" w:firstLineChars="250"/>
        <w:rPr>
          <w:rFonts w:asciiTheme="minorEastAsia" w:hAnsiTheme="minorEastAsia" w:cstheme="minorEastAsia"/>
          <w:szCs w:val="21"/>
        </w:rPr>
      </w:pPr>
      <w:r>
        <w:rPr>
          <w:rFonts w:hint="eastAsia" w:asciiTheme="minorEastAsia" w:hAnsiTheme="minorEastAsia" w:cstheme="minorEastAsia"/>
          <w:szCs w:val="21"/>
        </w:rPr>
        <w:t>3）流量日志至少包含异常报文、域名解析、文件传输、邮件行为、Web访问、登录动作、FTP控制通道、数据库操作、LDAP行为、SSL加密协商等流量行为日志，并可按照以上应用协议的各个关键字段搜索日志。</w:t>
      </w:r>
    </w:p>
    <w:p>
      <w:pPr>
        <w:snapToGrid w:val="0"/>
        <w:spacing w:line="360" w:lineRule="auto"/>
        <w:ind w:firstLine="525" w:firstLineChars="250"/>
        <w:rPr>
          <w:rFonts w:asciiTheme="minorEastAsia" w:hAnsiTheme="minorEastAsia" w:cstheme="minorEastAsia"/>
          <w:szCs w:val="21"/>
        </w:rPr>
      </w:pPr>
      <w:r>
        <w:rPr>
          <w:rFonts w:hint="eastAsia" w:asciiTheme="minorEastAsia" w:hAnsiTheme="minorEastAsia" w:cstheme="minorEastAsia"/>
          <w:szCs w:val="21"/>
        </w:rPr>
        <w:t>4）流量日志记录至少包含以下字段：时间、IP、MAC、IP地理位置、端口、域名、HTTP头信息、SQL语句、邮件收件人和发件人、文件名、文件MD5、应用层payload前100字节、协议。(提供截图加盖投标人公章）</w:t>
      </w:r>
    </w:p>
    <w:p>
      <w:pPr>
        <w:snapToGrid w:val="0"/>
        <w:spacing w:line="360" w:lineRule="auto"/>
        <w:ind w:firstLine="525" w:firstLineChars="250"/>
        <w:rPr>
          <w:rFonts w:asciiTheme="minorEastAsia" w:hAnsiTheme="minorEastAsia" w:cstheme="minorEastAsia"/>
          <w:szCs w:val="21"/>
        </w:rPr>
      </w:pPr>
      <w:r>
        <w:rPr>
          <w:rFonts w:hint="eastAsia" w:asciiTheme="minorEastAsia" w:hAnsiTheme="minorEastAsia" w:cstheme="minorEastAsia"/>
          <w:szCs w:val="21"/>
        </w:rPr>
        <w:t>5）可以搜索文件访问行为，并展示还原流量中文件的MD5和文件名。(提供截图加盖投标人公章）</w:t>
      </w:r>
    </w:p>
    <w:p>
      <w:pPr>
        <w:snapToGrid w:val="0"/>
        <w:spacing w:line="360" w:lineRule="auto"/>
        <w:ind w:firstLine="525" w:firstLineChars="250"/>
        <w:rPr>
          <w:rFonts w:asciiTheme="minorEastAsia" w:hAnsiTheme="minorEastAsia" w:cstheme="minorEastAsia"/>
          <w:szCs w:val="21"/>
        </w:rPr>
      </w:pPr>
      <w:r>
        <w:rPr>
          <w:rFonts w:hint="eastAsia" w:asciiTheme="minorEastAsia" w:hAnsiTheme="minorEastAsia" w:cstheme="minorEastAsia"/>
          <w:szCs w:val="21"/>
        </w:rPr>
        <w:t>6）网络攻击引擎支持多种DDoS检测：SYN FLOOD、NTP放大、DNS放大、CC拒绝服务攻击、Udpflood、http flood、Pingflood、Dnsreqflood、Dnsreplyflood、ACK_FLOOD、PSH_ACK_FLOOD、ACK_FIN_FLOOD等。</w:t>
      </w:r>
    </w:p>
    <w:p>
      <w:pPr>
        <w:snapToGrid w:val="0"/>
        <w:spacing w:line="360" w:lineRule="auto"/>
        <w:ind w:firstLine="525" w:firstLineChars="250"/>
        <w:rPr>
          <w:rFonts w:asciiTheme="minorEastAsia" w:hAnsiTheme="minorEastAsia" w:cstheme="minorEastAsia"/>
          <w:szCs w:val="21"/>
        </w:rPr>
      </w:pPr>
      <w:r>
        <w:rPr>
          <w:rFonts w:hint="eastAsia" w:asciiTheme="minorEastAsia" w:hAnsiTheme="minorEastAsia" w:cstheme="minorEastAsia"/>
          <w:szCs w:val="21"/>
        </w:rPr>
        <w:t>7）基于WEB攻击检测技术，检测类型包含SQL注入、跨站脚本攻击、文件写入、文件下载、文件上传、文件读取、文件包含、弱口令、权限许可和访问控制、配置不当/错误、目录遍历、默认配置不当、命令执行、敏感信息/重要文件泄露、逻辑/设计错误、跨站请求伪造、后门程序、非法授权访问/权限绕过、代码执行、URL跳转、系统/服务配置不当等等，告警事件能标记主机攻陷状态是否失陷。</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8）攻击结果：威胁检测告警能够直接体现攻击结果即企图、成功、失陷。(提供截图加盖投标人公章）</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9）能够对告警进行深层次分析，分析内容包含：基本信息、主机详情、威胁情报详情、投递的恶意样本、在主机上运行的恶意样本、外联C&amp;C服务器域名、C&amp;C服务器会话记录、C&amp;C服务器传送文件、受到的攻击等。</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10）支持语义分析检测，提升未知威胁检测能力。(提供截图加盖投标人公章）</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（3）威胁情报</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具备国内目前一流的信息安全威胁情报大数据，为扬州市市民卡公司提供可信及时的威胁情报服务。要求如下：</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1）支持威胁情报实时匹配检测和自定义威胁情报。</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2）支持基于威胁情报的威胁检测，检测类型包含APT事件、僵尸网络、勒索软件、流氓推广、窃密木马、网络蠕虫、远控木马、黑市工具、其他恶意软件，并可自定义威胁情报。(提供截图加盖投标人公章）</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3）支持与云端威胁情报中心联动，可对攻击IP、C&amp;C域名和恶意样本MD5进行一键搜索，查看基本信息、相关样本、关联URL、可视化分析、域名解析、注册信息、关联域名、数字证书等。（提供截图加盖投标人公章）</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服务交付：每季度进行一次全流量风险分析，分析提交《全流量风险分析报告》。</w:t>
      </w:r>
    </w:p>
    <w:p>
      <w:pPr>
        <w:snapToGrid w:val="0"/>
        <w:spacing w:line="360" w:lineRule="auto"/>
        <w:ind w:firstLine="422"/>
        <w:rPr>
          <w:rFonts w:asciiTheme="minorEastAsia" w:hAnsiTheme="minorEastAsia" w:cstheme="minorEastAsia"/>
          <w:b/>
          <w:szCs w:val="21"/>
        </w:rPr>
      </w:pPr>
      <w:r>
        <w:rPr>
          <w:rFonts w:hint="eastAsia" w:asciiTheme="minorEastAsia" w:hAnsiTheme="minorEastAsia" w:cstheme="minorEastAsia"/>
          <w:b/>
          <w:szCs w:val="21"/>
        </w:rPr>
        <w:t>14、APP应用加固服务</w:t>
      </w:r>
    </w:p>
    <w:p>
      <w:pPr>
        <w:pStyle w:val="52"/>
        <w:snapToGrid w:val="0"/>
        <w:spacing w:before="0" w:line="360" w:lineRule="auto"/>
        <w:ind w:firstLine="435" w:firstLineChars="0"/>
        <w:jc w:val="both"/>
        <w:rPr>
          <w:rFonts w:asciiTheme="minorEastAsia" w:hAnsiTheme="minorEastAsia" w:cstheme="minorEastAsia"/>
          <w:sz w:val="21"/>
          <w:szCs w:val="21"/>
        </w:rPr>
      </w:pPr>
      <w:r>
        <w:rPr>
          <w:rFonts w:hint="eastAsia" w:asciiTheme="minorEastAsia" w:hAnsiTheme="minorEastAsia" w:cstheme="minorEastAsia"/>
          <w:sz w:val="21"/>
          <w:szCs w:val="21"/>
        </w:rPr>
        <w:t>服务要求：</w:t>
      </w:r>
    </w:p>
    <w:p>
      <w:pPr>
        <w:pStyle w:val="52"/>
        <w:snapToGrid w:val="0"/>
        <w:spacing w:before="0"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本次APP加固针对Android APP、IOS进行应用安全加固的服务，服务要求如下：</w:t>
      </w:r>
    </w:p>
    <w:p>
      <w:pPr>
        <w:pStyle w:val="52"/>
        <w:snapToGrid w:val="0"/>
        <w:spacing w:before="0"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（1）Android APP应用安全加固服务，具体要求如下：</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15"/>
        <w:gridCol w:w="1106"/>
        <w:gridCol w:w="158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46" w:type="dxa"/>
            <w:vAlign w:val="center"/>
          </w:tcPr>
          <w:p>
            <w:pPr>
              <w:ind w:firstLine="0" w:firstLineChars="0"/>
              <w:rPr>
                <w:rFonts w:ascii="宋体" w:hAnsi="宋体"/>
                <w:b/>
                <w:color w:val="000000"/>
              </w:rPr>
            </w:pPr>
            <w:r>
              <w:rPr>
                <w:rFonts w:hint="eastAsia" w:ascii="宋体" w:hAnsi="宋体"/>
                <w:b/>
                <w:color w:val="000000"/>
              </w:rPr>
              <w:t>序号</w:t>
            </w:r>
          </w:p>
        </w:tc>
        <w:tc>
          <w:tcPr>
            <w:tcW w:w="915" w:type="dxa"/>
            <w:vAlign w:val="center"/>
          </w:tcPr>
          <w:p>
            <w:pPr>
              <w:ind w:firstLine="0" w:firstLineChars="0"/>
              <w:rPr>
                <w:rFonts w:ascii="宋体" w:hAnsi="宋体"/>
                <w:b/>
                <w:color w:val="000000"/>
              </w:rPr>
            </w:pPr>
            <w:r>
              <w:rPr>
                <w:rFonts w:hint="eastAsia" w:ascii="宋体" w:hAnsi="宋体"/>
                <w:b/>
                <w:color w:val="000000"/>
              </w:rPr>
              <w:t>服务能力</w:t>
            </w:r>
          </w:p>
        </w:tc>
        <w:tc>
          <w:tcPr>
            <w:tcW w:w="1106" w:type="dxa"/>
            <w:vAlign w:val="center"/>
          </w:tcPr>
          <w:p>
            <w:pPr>
              <w:ind w:firstLine="0" w:firstLineChars="0"/>
              <w:jc w:val="center"/>
              <w:rPr>
                <w:rFonts w:ascii="宋体" w:hAnsi="宋体"/>
                <w:b/>
                <w:color w:val="000000"/>
              </w:rPr>
            </w:pPr>
            <w:r>
              <w:rPr>
                <w:rFonts w:hint="eastAsia" w:ascii="宋体" w:hAnsi="宋体"/>
                <w:b/>
                <w:color w:val="000000"/>
              </w:rPr>
              <w:t>服务能力项</w:t>
            </w:r>
          </w:p>
        </w:tc>
        <w:tc>
          <w:tcPr>
            <w:tcW w:w="1586" w:type="dxa"/>
            <w:vAlign w:val="center"/>
          </w:tcPr>
          <w:p>
            <w:pPr>
              <w:ind w:left="0" w:leftChars="0" w:firstLine="0" w:firstLineChars="0"/>
              <w:jc w:val="both"/>
              <w:rPr>
                <w:rFonts w:ascii="宋体" w:hAnsi="宋体"/>
                <w:b/>
                <w:color w:val="000000"/>
              </w:rPr>
            </w:pPr>
            <w:r>
              <w:rPr>
                <w:rFonts w:hint="eastAsia" w:ascii="宋体" w:hAnsi="宋体"/>
                <w:b/>
                <w:color w:val="000000"/>
              </w:rPr>
              <w:t>服务能力细项</w:t>
            </w:r>
          </w:p>
        </w:tc>
        <w:tc>
          <w:tcPr>
            <w:tcW w:w="4586" w:type="dxa"/>
            <w:vAlign w:val="center"/>
          </w:tcPr>
          <w:p>
            <w:pPr>
              <w:ind w:firstLine="422"/>
              <w:jc w:val="center"/>
              <w:rPr>
                <w:rFonts w:ascii="宋体" w:hAnsi="宋体"/>
                <w:b/>
                <w:color w:val="000000"/>
              </w:rPr>
            </w:pPr>
            <w:r>
              <w:rPr>
                <w:rFonts w:hint="eastAsia" w:ascii="宋体" w:hAnsi="宋体"/>
                <w:b/>
                <w:color w:val="000000"/>
              </w:rPr>
              <w:t>服务能力描述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restart"/>
            <w:vAlign w:val="center"/>
          </w:tcPr>
          <w:p>
            <w:pPr>
              <w:jc w:val="center"/>
              <w:rPr>
                <w:rFonts w:ascii="宋体" w:hAnsi="宋体"/>
                <w:color w:val="000000"/>
              </w:rPr>
            </w:pPr>
            <w:r>
              <w:rPr>
                <w:rFonts w:hint="eastAsia" w:ascii="宋体" w:hAnsi="宋体"/>
                <w:color w:val="000000"/>
              </w:rPr>
              <w:t>1</w:t>
            </w:r>
          </w:p>
        </w:tc>
        <w:tc>
          <w:tcPr>
            <w:tcW w:w="915" w:type="dxa"/>
            <w:vMerge w:val="restart"/>
            <w:vAlign w:val="center"/>
          </w:tcPr>
          <w:p>
            <w:pPr>
              <w:ind w:firstLine="0" w:firstLineChars="0"/>
              <w:rPr>
                <w:rFonts w:ascii="宋体" w:hAnsi="宋体"/>
                <w:color w:val="000000"/>
              </w:rPr>
            </w:pPr>
            <w:r>
              <w:rPr>
                <w:rFonts w:hint="eastAsia" w:ascii="宋体" w:hAnsi="宋体"/>
                <w:color w:val="000000"/>
              </w:rPr>
              <w:t>反编译保护</w:t>
            </w:r>
          </w:p>
        </w:tc>
        <w:tc>
          <w:tcPr>
            <w:tcW w:w="1106" w:type="dxa"/>
            <w:vMerge w:val="restart"/>
            <w:vAlign w:val="center"/>
          </w:tcPr>
          <w:p>
            <w:pPr>
              <w:ind w:firstLine="0" w:firstLineChars="0"/>
              <w:jc w:val="center"/>
              <w:rPr>
                <w:rFonts w:ascii="宋体" w:hAnsi="宋体"/>
                <w:color w:val="000000"/>
              </w:rPr>
            </w:pPr>
            <w:r>
              <w:rPr>
                <w:rFonts w:hint="eastAsia" w:ascii="宋体" w:hAnsi="宋体"/>
                <w:color w:val="000000"/>
              </w:rPr>
              <w:t>DEX反编译保护</w:t>
            </w:r>
          </w:p>
        </w:tc>
        <w:tc>
          <w:tcPr>
            <w:tcW w:w="1586" w:type="dxa"/>
            <w:vAlign w:val="center"/>
          </w:tcPr>
          <w:p>
            <w:pPr>
              <w:ind w:firstLine="0" w:firstLineChars="0"/>
              <w:jc w:val="center"/>
              <w:rPr>
                <w:rFonts w:ascii="宋体" w:hAnsi="宋体"/>
                <w:color w:val="000000"/>
              </w:rPr>
            </w:pPr>
            <w:r>
              <w:rPr>
                <w:rFonts w:hint="eastAsia" w:ascii="宋体" w:hAnsi="宋体"/>
                <w:color w:val="000000"/>
              </w:rPr>
              <w:t>加固壳防反编译（防baksmali）</w:t>
            </w:r>
          </w:p>
        </w:tc>
        <w:tc>
          <w:tcPr>
            <w:tcW w:w="4586" w:type="dxa"/>
            <w:vAlign w:val="center"/>
          </w:tcPr>
          <w:p>
            <w:pPr>
              <w:rPr>
                <w:rFonts w:ascii="宋体" w:hAnsi="宋体"/>
                <w:color w:val="000000"/>
              </w:rPr>
            </w:pPr>
            <w:r>
              <w:rPr>
                <w:rFonts w:hint="eastAsia" w:ascii="宋体" w:hAnsi="宋体"/>
                <w:color w:val="000000"/>
              </w:rPr>
              <w:t>具备当使用第三方工具对APP的</w:t>
            </w:r>
            <w:r>
              <w:rPr>
                <w:rFonts w:ascii="宋体" w:hAnsi="宋体"/>
                <w:color w:val="000000"/>
              </w:rPr>
              <w:t>加固壳</w:t>
            </w:r>
            <w:r>
              <w:rPr>
                <w:rFonts w:hint="eastAsia" w:ascii="宋体" w:hAnsi="宋体"/>
                <w:color w:val="000000"/>
              </w:rPr>
              <w:t>进行反编译操作时，使用过程中报错能力。防止第三方进行恶意的脱壳后，获取加固壳保护的源代码。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AndroidManifest.xml 防反编译</w:t>
            </w:r>
          </w:p>
        </w:tc>
        <w:tc>
          <w:tcPr>
            <w:tcW w:w="4586" w:type="dxa"/>
            <w:vAlign w:val="center"/>
          </w:tcPr>
          <w:p>
            <w:pPr>
              <w:rPr>
                <w:rFonts w:ascii="宋体" w:hAnsi="宋体"/>
                <w:color w:val="000000"/>
              </w:rPr>
            </w:pPr>
            <w:r>
              <w:rPr>
                <w:rFonts w:hint="eastAsia" w:ascii="宋体" w:hAnsi="宋体"/>
                <w:color w:val="000000"/>
              </w:rPr>
              <w:t>具备当使用第三方工具进行反编译，无法看到源代码的能力。</w:t>
            </w:r>
          </w:p>
          <w:p>
            <w:pPr>
              <w:rPr>
                <w:rFonts w:ascii="宋体" w:hAnsi="宋体"/>
                <w:color w:val="000000"/>
              </w:rPr>
            </w:pPr>
            <w:r>
              <w:rPr>
                <w:rFonts w:hint="eastAsia" w:ascii="宋体" w:hAnsi="宋体"/>
                <w:color w:val="000000"/>
              </w:rPr>
              <w:t>对AndroidManifest.xml进行加密，使其无法被反编译而看到源代码，保护核心代码不被逆向分析。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DEX文件加壳保护</w:t>
            </w:r>
          </w:p>
        </w:tc>
        <w:tc>
          <w:tcPr>
            <w:tcW w:w="4586" w:type="dxa"/>
            <w:vAlign w:val="center"/>
          </w:tcPr>
          <w:p>
            <w:pPr>
              <w:rPr>
                <w:rFonts w:ascii="宋体" w:hAnsi="宋体"/>
                <w:color w:val="000000"/>
              </w:rPr>
            </w:pPr>
            <w:r>
              <w:rPr>
                <w:rFonts w:hint="eastAsia" w:ascii="宋体" w:hAnsi="宋体"/>
                <w:color w:val="000000"/>
              </w:rPr>
              <w:t>具备当使用第三方工具对APK进行反编译，无法看到APK源代码，有效防止针对 APK 的静态反编译的能力。</w:t>
            </w:r>
          </w:p>
          <w:p>
            <w:pPr>
              <w:rPr>
                <w:rFonts w:ascii="宋体" w:hAnsi="宋体"/>
                <w:color w:val="000000"/>
              </w:rPr>
            </w:pPr>
            <w:r>
              <w:rPr>
                <w:rFonts w:hint="eastAsia" w:ascii="宋体" w:hAnsi="宋体"/>
                <w:color w:val="000000"/>
              </w:rPr>
              <w:t>对DEX文件进行加壳处理，能够防止ida等逆向工具对DEX的逆向分析。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DEX分离保护</w:t>
            </w:r>
          </w:p>
        </w:tc>
        <w:tc>
          <w:tcPr>
            <w:tcW w:w="4586" w:type="dxa"/>
            <w:vAlign w:val="center"/>
          </w:tcPr>
          <w:p>
            <w:pPr>
              <w:tabs>
                <w:tab w:val="left" w:pos="6676"/>
              </w:tabs>
              <w:rPr>
                <w:rFonts w:ascii="宋体" w:hAnsi="宋体"/>
                <w:color w:val="000000"/>
              </w:rPr>
            </w:pPr>
            <w:r>
              <w:rPr>
                <w:rFonts w:hint="eastAsia" w:ascii="宋体" w:hAnsi="宋体"/>
                <w:color w:val="000000"/>
              </w:rPr>
              <w:t>具备当使用第三方工具对APK进行反编译，无法获取具体方法。加固技术可以使加密粒度变小，从文件级加密改进为方法、函数级加密。按需加密，可以根据需要、APK 自身特点，灵活配置需要加密的内容。动态解密，只有在某方法被用到时才进行解密，无法从内存中整体dump 源代码。内存不连续存储，解密后的代码被分割、打散存放在不同的内存区域，确保解密后的代码安全。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DEX VMP保护</w:t>
            </w:r>
          </w:p>
        </w:tc>
        <w:tc>
          <w:tcPr>
            <w:tcW w:w="4586" w:type="dxa"/>
            <w:vAlign w:val="center"/>
          </w:tcPr>
          <w:p>
            <w:pPr>
              <w:tabs>
                <w:tab w:val="left" w:pos="6676"/>
              </w:tabs>
              <w:rPr>
                <w:rFonts w:ascii="宋体" w:hAnsi="宋体"/>
                <w:color w:val="000000"/>
              </w:rPr>
            </w:pPr>
            <w:r>
              <w:rPr>
                <w:rFonts w:hint="eastAsia" w:ascii="宋体" w:hAnsi="宋体"/>
                <w:color w:val="000000"/>
              </w:rPr>
              <w:t>具备当对DEX核心函数进行VMP保护，保护核心代码不被反编译。加固时将由编译器</w:t>
            </w:r>
            <w:r>
              <w:rPr>
                <w:rFonts w:ascii="Heiti SC" w:hAnsi="Heiti SC" w:eastAsia="Heiti SC" w:cs="Heiti SC"/>
                <w:color w:val="000000"/>
              </w:rPr>
              <w:t>⽣</w:t>
            </w:r>
            <w:r>
              <w:rPr>
                <w:rFonts w:hint="eastAsia" w:ascii="宋体" w:hAnsi="宋体"/>
                <w:color w:val="000000"/>
              </w:rPr>
              <w:t>成的本机代码(Native Code)转换成自定义虚拟机指令，虚拟化的指令转换是随机化，壳的作者也不能够轻易的进行脱壳，同时向后兼容，保证 Android 未来版本的良好兼容效果。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restart"/>
            <w:vAlign w:val="center"/>
          </w:tcPr>
          <w:p>
            <w:pPr>
              <w:ind w:firstLine="0" w:firstLineChars="0"/>
              <w:jc w:val="center"/>
              <w:rPr>
                <w:rFonts w:ascii="宋体" w:hAnsi="宋体"/>
                <w:color w:val="000000"/>
              </w:rPr>
            </w:pPr>
            <w:r>
              <w:rPr>
                <w:rFonts w:hint="eastAsia" w:ascii="宋体" w:hAnsi="宋体"/>
                <w:color w:val="000000"/>
              </w:rPr>
              <w:t>SO反编译保护</w:t>
            </w:r>
          </w:p>
        </w:tc>
        <w:tc>
          <w:tcPr>
            <w:tcW w:w="1586" w:type="dxa"/>
            <w:vAlign w:val="center"/>
          </w:tcPr>
          <w:p>
            <w:pPr>
              <w:ind w:firstLine="0" w:firstLineChars="0"/>
              <w:jc w:val="center"/>
              <w:rPr>
                <w:rFonts w:ascii="宋体" w:hAnsi="宋体"/>
                <w:color w:val="000000"/>
              </w:rPr>
            </w:pPr>
            <w:r>
              <w:rPr>
                <w:rFonts w:hint="eastAsia" w:ascii="宋体" w:hAnsi="宋体"/>
                <w:color w:val="000000"/>
              </w:rPr>
              <w:t>SO库加壳保护</w:t>
            </w:r>
          </w:p>
        </w:tc>
        <w:tc>
          <w:tcPr>
            <w:tcW w:w="4586" w:type="dxa"/>
            <w:vAlign w:val="center"/>
          </w:tcPr>
          <w:p>
            <w:pPr>
              <w:tabs>
                <w:tab w:val="left" w:pos="6676"/>
              </w:tabs>
              <w:rPr>
                <w:rFonts w:ascii="宋体" w:hAnsi="宋体"/>
                <w:color w:val="000000"/>
              </w:rPr>
            </w:pPr>
            <w:r>
              <w:rPr>
                <w:rFonts w:hint="eastAsia" w:ascii="宋体" w:hAnsi="宋体"/>
                <w:color w:val="000000"/>
              </w:rPr>
              <w:t>具备当使用第三方工具对APK中的SO文件进行反编译，无法获取导出函数效果。对SO库文件elf结构进行加壳处理，隐藏SO库中外部函数。能够防止ida等逆向工具对SO库的逆向分析。同时对ELF进行动态清除，有效防止对内存数据的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SO库字符串加密</w:t>
            </w:r>
          </w:p>
        </w:tc>
        <w:tc>
          <w:tcPr>
            <w:tcW w:w="4586" w:type="dxa"/>
            <w:vAlign w:val="center"/>
          </w:tcPr>
          <w:p>
            <w:pPr>
              <w:tabs>
                <w:tab w:val="left" w:pos="6676"/>
              </w:tabs>
              <w:rPr>
                <w:rFonts w:ascii="宋体" w:hAnsi="宋体"/>
                <w:color w:val="000000"/>
              </w:rPr>
            </w:pPr>
            <w:r>
              <w:rPr>
                <w:rFonts w:hint="eastAsia" w:ascii="宋体" w:hAnsi="宋体"/>
                <w:color w:val="000000"/>
              </w:rPr>
              <w:t>具备当使用第三方工具对APK中的SO文件进行反编译，打开字符串表看到字符串被加密或隐藏。高强度深度加密，有效防止各类工具的静态反编译。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SO库防第三方应用调用</w:t>
            </w:r>
          </w:p>
        </w:tc>
        <w:tc>
          <w:tcPr>
            <w:tcW w:w="4586" w:type="dxa"/>
            <w:vAlign w:val="center"/>
          </w:tcPr>
          <w:p>
            <w:pPr>
              <w:tabs>
                <w:tab w:val="left" w:pos="6676"/>
              </w:tabs>
              <w:rPr>
                <w:rFonts w:ascii="宋体" w:hAnsi="宋体"/>
                <w:color w:val="000000"/>
              </w:rPr>
            </w:pPr>
            <w:r>
              <w:rPr>
                <w:rFonts w:hint="eastAsia" w:ascii="宋体" w:hAnsi="宋体"/>
                <w:color w:val="000000"/>
              </w:rPr>
              <w:t>具备当使用第三方DEMO应用对APK中的SO文件进行调用，不能被正常调用执行。SO 同 APP 的绑定，保证了 SO 文件无法被复制到其他应用中使用。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restart"/>
            <w:vAlign w:val="center"/>
          </w:tcPr>
          <w:p>
            <w:pPr>
              <w:jc w:val="center"/>
              <w:rPr>
                <w:rFonts w:ascii="宋体" w:hAnsi="宋体"/>
                <w:color w:val="000000"/>
              </w:rPr>
            </w:pPr>
            <w:r>
              <w:rPr>
                <w:rFonts w:hint="eastAsia" w:ascii="宋体" w:hAnsi="宋体"/>
                <w:color w:val="000000"/>
              </w:rPr>
              <w:t>2</w:t>
            </w:r>
          </w:p>
        </w:tc>
        <w:tc>
          <w:tcPr>
            <w:tcW w:w="915" w:type="dxa"/>
            <w:vMerge w:val="restart"/>
            <w:vAlign w:val="center"/>
          </w:tcPr>
          <w:p>
            <w:pPr>
              <w:ind w:firstLine="0" w:firstLineChars="0"/>
              <w:rPr>
                <w:rFonts w:ascii="宋体" w:hAnsi="宋体"/>
                <w:color w:val="000000"/>
              </w:rPr>
            </w:pPr>
            <w:r>
              <w:rPr>
                <w:rFonts w:hint="eastAsia" w:ascii="宋体" w:hAnsi="宋体"/>
                <w:color w:val="000000"/>
              </w:rPr>
              <w:t>防调试保护</w:t>
            </w:r>
          </w:p>
        </w:tc>
        <w:tc>
          <w:tcPr>
            <w:tcW w:w="1106" w:type="dxa"/>
            <w:vMerge w:val="restart"/>
            <w:vAlign w:val="center"/>
          </w:tcPr>
          <w:p>
            <w:pPr>
              <w:ind w:firstLine="0" w:firstLineChars="0"/>
              <w:rPr>
                <w:rFonts w:ascii="宋体" w:hAnsi="宋体"/>
                <w:color w:val="000000"/>
              </w:rPr>
            </w:pPr>
            <w:r>
              <w:rPr>
                <w:rFonts w:hint="eastAsia" w:ascii="宋体" w:hAnsi="宋体"/>
                <w:color w:val="000000"/>
              </w:rPr>
              <w:t>防调试保护</w:t>
            </w:r>
          </w:p>
        </w:tc>
        <w:tc>
          <w:tcPr>
            <w:tcW w:w="1586" w:type="dxa"/>
            <w:vAlign w:val="center"/>
          </w:tcPr>
          <w:p>
            <w:pPr>
              <w:ind w:firstLine="0" w:firstLineChars="0"/>
              <w:jc w:val="center"/>
              <w:rPr>
                <w:rFonts w:ascii="宋体" w:hAnsi="宋体"/>
                <w:color w:val="000000"/>
              </w:rPr>
            </w:pPr>
            <w:r>
              <w:rPr>
                <w:rFonts w:hint="eastAsia" w:ascii="宋体" w:hAnsi="宋体"/>
                <w:color w:val="000000"/>
              </w:rPr>
              <w:t>防线程调试</w:t>
            </w:r>
          </w:p>
        </w:tc>
        <w:tc>
          <w:tcPr>
            <w:tcW w:w="4586" w:type="dxa"/>
            <w:vAlign w:val="center"/>
          </w:tcPr>
          <w:p>
            <w:pPr>
              <w:tabs>
                <w:tab w:val="left" w:pos="6676"/>
              </w:tabs>
              <w:rPr>
                <w:rFonts w:ascii="宋体" w:hAnsi="宋体"/>
                <w:color w:val="000000"/>
              </w:rPr>
            </w:pPr>
            <w:r>
              <w:rPr>
                <w:rFonts w:hint="eastAsia" w:ascii="宋体" w:hAnsi="宋体"/>
                <w:color w:val="000000"/>
              </w:rPr>
              <w:t>具备当监控主进程的附加线程的运行状态，不能被基于ptrace的动态调试工具如GDB所动态跟踪调试。同时做到对系统开销小，对应用体验无影响。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防进程调试</w:t>
            </w:r>
          </w:p>
        </w:tc>
        <w:tc>
          <w:tcPr>
            <w:tcW w:w="4586" w:type="dxa"/>
            <w:vAlign w:val="center"/>
          </w:tcPr>
          <w:p>
            <w:pPr>
              <w:tabs>
                <w:tab w:val="left" w:pos="6676"/>
              </w:tabs>
              <w:rPr>
                <w:rFonts w:ascii="宋体" w:hAnsi="宋体"/>
                <w:color w:val="000000"/>
              </w:rPr>
            </w:pPr>
            <w:r>
              <w:rPr>
                <w:rFonts w:hint="eastAsia" w:ascii="宋体" w:hAnsi="宋体"/>
                <w:color w:val="000000"/>
              </w:rPr>
              <w:t>具备当使用第三方工具对运行中的APK进行附加到进程调试，查看附加调试失败程序退出的效果。防止通过进程调试的方式对加固后APP进行调试攻击。加固后APP在被进程调试时，将自动退出自身运行。如：ida进程附着调试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防jdwp调试</w:t>
            </w:r>
          </w:p>
        </w:tc>
        <w:tc>
          <w:tcPr>
            <w:tcW w:w="4586" w:type="dxa"/>
            <w:vAlign w:val="center"/>
          </w:tcPr>
          <w:p>
            <w:pPr>
              <w:tabs>
                <w:tab w:val="left" w:pos="6676"/>
              </w:tabs>
              <w:rPr>
                <w:rFonts w:ascii="宋体" w:hAnsi="宋体"/>
                <w:color w:val="000000"/>
              </w:rPr>
            </w:pPr>
            <w:r>
              <w:rPr>
                <w:rFonts w:hint="eastAsia" w:ascii="宋体" w:hAnsi="宋体"/>
                <w:color w:val="000000"/>
              </w:rPr>
              <w:t>具备支持在Dalvik和ART两种运行模式下，不能对运行时的应用程序通过jdwp对java层代码进行跟踪调试。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防内存代码注入</w:t>
            </w:r>
          </w:p>
        </w:tc>
        <w:tc>
          <w:tcPr>
            <w:tcW w:w="4586" w:type="dxa"/>
            <w:vAlign w:val="center"/>
          </w:tcPr>
          <w:p>
            <w:pPr>
              <w:tabs>
                <w:tab w:val="left" w:pos="6676"/>
              </w:tabs>
              <w:rPr>
                <w:rFonts w:ascii="宋体" w:hAnsi="宋体"/>
                <w:color w:val="000000"/>
              </w:rPr>
            </w:pPr>
            <w:r>
              <w:rPr>
                <w:rFonts w:hint="eastAsia" w:ascii="宋体" w:hAnsi="宋体"/>
                <w:color w:val="000000"/>
              </w:rPr>
              <w:t>具备当使用第三方工具把指定的SO注入到APK进程中，查看注入失败程序退出的效果。通过对主流注入工具进程及关键特征做监测，防御动态注入攻击。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防内存dump</w:t>
            </w:r>
          </w:p>
        </w:tc>
        <w:tc>
          <w:tcPr>
            <w:tcW w:w="4586" w:type="dxa"/>
            <w:vAlign w:val="center"/>
          </w:tcPr>
          <w:p>
            <w:pPr>
              <w:tabs>
                <w:tab w:val="left" w:pos="6676"/>
              </w:tabs>
              <w:rPr>
                <w:rFonts w:ascii="宋体" w:hAnsi="宋体"/>
                <w:color w:val="000000"/>
              </w:rPr>
            </w:pPr>
            <w:r>
              <w:rPr>
                <w:rFonts w:hint="eastAsia" w:ascii="宋体" w:hAnsi="宋体"/>
                <w:color w:val="000000"/>
              </w:rPr>
              <w:t>具备当使用第三方工具附加到运行中的APK进程，并对内存dump，查看dump失败程序退出的效果。APP在运行时，会在内存中释放源码。黑客可以利用dump命令将源码导出。该加密项防止黑客导出源码。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防内存数据读取</w:t>
            </w:r>
          </w:p>
        </w:tc>
        <w:tc>
          <w:tcPr>
            <w:tcW w:w="4586" w:type="dxa"/>
            <w:vAlign w:val="center"/>
          </w:tcPr>
          <w:p>
            <w:pPr>
              <w:rPr>
                <w:rFonts w:ascii="宋体" w:hAnsi="宋体"/>
                <w:color w:val="000000"/>
              </w:rPr>
            </w:pPr>
            <w:r>
              <w:rPr>
                <w:rFonts w:hint="eastAsia" w:ascii="宋体" w:hAnsi="宋体"/>
                <w:color w:val="000000"/>
              </w:rPr>
              <w:t>具备当使用内存修改器对运行中的APK的内存数据进行查看操作，查看内存数据失败序退出效果。以反调试保护为基础，同时针对关键函数及环节做监控，借助于轮询查看，主动侦测等方法，保护移动 APP 在运行时的安全。保护内存数据不被读取。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防内存数据修改</w:t>
            </w:r>
          </w:p>
        </w:tc>
        <w:tc>
          <w:tcPr>
            <w:tcW w:w="4586" w:type="dxa"/>
            <w:vAlign w:val="center"/>
          </w:tcPr>
          <w:p>
            <w:pPr>
              <w:rPr>
                <w:rFonts w:ascii="宋体" w:hAnsi="宋体"/>
                <w:color w:val="000000"/>
              </w:rPr>
            </w:pPr>
            <w:r>
              <w:rPr>
                <w:rFonts w:hint="eastAsia" w:ascii="宋体" w:hAnsi="宋体"/>
                <w:color w:val="000000"/>
              </w:rPr>
              <w:t>具备当使用内存修改器对运行中的APK的内存数据进行修改操作，修改内存数据失败程序退出效果。以反调试保护为基础，同时针对关键函数及环节做监控，借助于轮询查看，主动侦测等方法，保护移动 APP 在运行时的安全，同时保护内存数据不被修改。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restart"/>
            <w:vAlign w:val="center"/>
          </w:tcPr>
          <w:p>
            <w:pPr>
              <w:jc w:val="center"/>
              <w:rPr>
                <w:rFonts w:ascii="宋体" w:hAnsi="宋体"/>
                <w:color w:val="000000"/>
              </w:rPr>
            </w:pPr>
            <w:r>
              <w:rPr>
                <w:rFonts w:hint="eastAsia" w:ascii="宋体" w:hAnsi="宋体"/>
                <w:color w:val="000000"/>
              </w:rPr>
              <w:t>3</w:t>
            </w:r>
          </w:p>
        </w:tc>
        <w:tc>
          <w:tcPr>
            <w:tcW w:w="915" w:type="dxa"/>
            <w:vMerge w:val="restart"/>
            <w:vAlign w:val="center"/>
          </w:tcPr>
          <w:p>
            <w:pPr>
              <w:ind w:firstLine="0" w:firstLineChars="0"/>
              <w:rPr>
                <w:rFonts w:ascii="宋体" w:hAnsi="宋体"/>
                <w:color w:val="000000"/>
              </w:rPr>
            </w:pPr>
            <w:r>
              <w:rPr>
                <w:rFonts w:hint="eastAsia" w:ascii="宋体" w:hAnsi="宋体"/>
                <w:color w:val="000000"/>
              </w:rPr>
              <w:t>数据保护</w:t>
            </w:r>
          </w:p>
        </w:tc>
        <w:tc>
          <w:tcPr>
            <w:tcW w:w="1106" w:type="dxa"/>
            <w:vMerge w:val="restart"/>
            <w:vAlign w:val="center"/>
          </w:tcPr>
          <w:p>
            <w:pPr>
              <w:ind w:left="0" w:leftChars="0" w:firstLine="0" w:firstLineChars="0"/>
              <w:rPr>
                <w:rFonts w:ascii="宋体" w:hAnsi="宋体"/>
                <w:color w:val="000000"/>
              </w:rPr>
            </w:pPr>
            <w:r>
              <w:rPr>
                <w:rFonts w:hint="eastAsia" w:ascii="宋体" w:hAnsi="宋体"/>
                <w:color w:val="000000"/>
              </w:rPr>
              <w:t>数据保护</w:t>
            </w:r>
          </w:p>
        </w:tc>
        <w:tc>
          <w:tcPr>
            <w:tcW w:w="1586" w:type="dxa"/>
            <w:vAlign w:val="center"/>
          </w:tcPr>
          <w:p>
            <w:pPr>
              <w:ind w:firstLine="0" w:firstLineChars="0"/>
              <w:jc w:val="center"/>
              <w:rPr>
                <w:rFonts w:ascii="宋体" w:hAnsi="宋体"/>
                <w:color w:val="000000"/>
              </w:rPr>
            </w:pPr>
            <w:r>
              <w:rPr>
                <w:rFonts w:hint="eastAsia" w:ascii="宋体" w:hAnsi="宋体"/>
                <w:color w:val="000000"/>
              </w:rPr>
              <w:t>Aesset资源文件加密</w:t>
            </w:r>
          </w:p>
        </w:tc>
        <w:tc>
          <w:tcPr>
            <w:tcW w:w="4586" w:type="dxa"/>
            <w:vAlign w:val="center"/>
          </w:tcPr>
          <w:p>
            <w:pPr>
              <w:rPr>
                <w:rFonts w:ascii="宋体" w:hAnsi="宋体"/>
                <w:color w:val="000000"/>
              </w:rPr>
            </w:pPr>
            <w:r>
              <w:rPr>
                <w:rFonts w:hint="eastAsia" w:ascii="宋体" w:hAnsi="宋体"/>
                <w:color w:val="000000"/>
              </w:rPr>
              <w:t>需针对APP文件中的Aesset资源文件进行透明加密，开发者无需在代码里面实现任何数据加密解密操作，在系统层运行动态数据加解密功能时将自动加解密所有数据。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res资源文件加密</w:t>
            </w:r>
          </w:p>
        </w:tc>
        <w:tc>
          <w:tcPr>
            <w:tcW w:w="4586" w:type="dxa"/>
            <w:vAlign w:val="center"/>
          </w:tcPr>
          <w:p>
            <w:pPr>
              <w:rPr>
                <w:rFonts w:ascii="宋体" w:hAnsi="宋体"/>
                <w:color w:val="000000"/>
              </w:rPr>
            </w:pPr>
            <w:r>
              <w:rPr>
                <w:rFonts w:hint="eastAsia" w:ascii="宋体" w:hAnsi="宋体"/>
                <w:color w:val="000000"/>
              </w:rPr>
              <w:t>需针对APP文件中的res资源文件进行透明加密，开发者无需在代码里面实现任何数据加密解密操作，在系统层运行动态数据加解密功能时将自动加解密所有数据。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raw资源文件加密</w:t>
            </w:r>
          </w:p>
        </w:tc>
        <w:tc>
          <w:tcPr>
            <w:tcW w:w="4586" w:type="dxa"/>
            <w:vAlign w:val="center"/>
          </w:tcPr>
          <w:p>
            <w:pPr>
              <w:rPr>
                <w:rFonts w:ascii="宋体" w:hAnsi="宋体"/>
                <w:color w:val="000000"/>
              </w:rPr>
            </w:pPr>
            <w:r>
              <w:rPr>
                <w:rFonts w:hint="eastAsia" w:ascii="宋体" w:hAnsi="宋体"/>
                <w:color w:val="000000"/>
              </w:rPr>
              <w:t>需针对APP文件中的raw资源文件进行透明加密，开发者无需在代码里面实现任何数据加密解密操作，在系统层运行动态数据加解密功能时将自动加解密所有数据。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SSL证书加密</w:t>
            </w:r>
          </w:p>
        </w:tc>
        <w:tc>
          <w:tcPr>
            <w:tcW w:w="4586" w:type="dxa"/>
            <w:vAlign w:val="center"/>
          </w:tcPr>
          <w:p>
            <w:pPr>
              <w:rPr>
                <w:rFonts w:ascii="宋体" w:hAnsi="宋体"/>
                <w:color w:val="000000"/>
              </w:rPr>
            </w:pPr>
            <w:r>
              <w:rPr>
                <w:rFonts w:hint="eastAsia" w:ascii="宋体" w:hAnsi="宋体"/>
                <w:color w:val="000000"/>
              </w:rPr>
              <w:t>需针对APP文件中的SSL证书进行透明加密，开发者无需在代码里面实现任何数据加密解密操作，在系统层运行动态数据加解密功能时将自动加解密所有数据。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本地sharepference数据加密</w:t>
            </w:r>
          </w:p>
        </w:tc>
        <w:tc>
          <w:tcPr>
            <w:tcW w:w="4586" w:type="dxa"/>
            <w:vAlign w:val="center"/>
          </w:tcPr>
          <w:p>
            <w:pPr>
              <w:rPr>
                <w:rFonts w:ascii="宋体" w:hAnsi="宋体"/>
                <w:color w:val="000000"/>
              </w:rPr>
            </w:pPr>
            <w:r>
              <w:rPr>
                <w:rFonts w:hint="eastAsia" w:ascii="宋体" w:hAnsi="宋体"/>
                <w:color w:val="000000"/>
              </w:rPr>
              <w:t>需针对APP文件中的sharepference数据进行透明加密，开发者无需在代码里面实现任何数据加密解密操作，在系统层运行动态数据加解密功能时将自动加解密所有数据。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数据库文件加密</w:t>
            </w:r>
          </w:p>
        </w:tc>
        <w:tc>
          <w:tcPr>
            <w:tcW w:w="4586" w:type="dxa"/>
            <w:vAlign w:val="center"/>
          </w:tcPr>
          <w:p>
            <w:pPr>
              <w:rPr>
                <w:rFonts w:ascii="宋体" w:hAnsi="宋体"/>
                <w:color w:val="000000"/>
              </w:rPr>
            </w:pPr>
            <w:r>
              <w:rPr>
                <w:rFonts w:hint="eastAsia" w:ascii="宋体" w:hAnsi="宋体"/>
                <w:color w:val="000000"/>
              </w:rPr>
              <w:t>需针对APP文件中的数据库文件进行透明加密，开发者无需在代码里面实现任何数据加密解密操作，在系统层运行动态数据加解密功能时将自动加解密所有数据。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防日志泄露</w:t>
            </w:r>
          </w:p>
        </w:tc>
        <w:tc>
          <w:tcPr>
            <w:tcW w:w="4586" w:type="dxa"/>
            <w:vAlign w:val="center"/>
          </w:tcPr>
          <w:p>
            <w:pPr>
              <w:rPr>
                <w:rFonts w:ascii="宋体" w:hAnsi="宋体"/>
                <w:color w:val="000000"/>
              </w:rPr>
            </w:pPr>
            <w:r>
              <w:rPr>
                <w:rFonts w:hint="eastAsia" w:ascii="宋体" w:hAnsi="宋体"/>
                <w:color w:val="000000"/>
              </w:rPr>
              <w:t>需针对APP文件中生成的日志文件进行加密，防止攻击者通过hook系统日志输出函数，进行日志输出函数的调用和执行，造成日志信息泄漏。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本地databases目录数据库加密</w:t>
            </w:r>
          </w:p>
        </w:tc>
        <w:tc>
          <w:tcPr>
            <w:tcW w:w="4586" w:type="dxa"/>
            <w:vAlign w:val="center"/>
          </w:tcPr>
          <w:p>
            <w:pPr>
              <w:rPr>
                <w:rFonts w:ascii="宋体" w:hAnsi="宋体"/>
                <w:color w:val="000000"/>
              </w:rPr>
            </w:pPr>
            <w:r>
              <w:rPr>
                <w:rFonts w:hint="eastAsia" w:ascii="宋体" w:hAnsi="宋体"/>
                <w:color w:val="000000"/>
              </w:rPr>
              <w:t>需针对APP文件中的本地databases目录数据库进行透明加密，开发者无需在代码里面实现任何数据加密解密操作，在系统层运行动态数据加解密功能时将自动加解密所有数据。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restart"/>
            <w:vAlign w:val="center"/>
          </w:tcPr>
          <w:p>
            <w:pPr>
              <w:jc w:val="center"/>
              <w:rPr>
                <w:rFonts w:ascii="宋体" w:hAnsi="宋体"/>
                <w:color w:val="000000"/>
              </w:rPr>
            </w:pPr>
            <w:r>
              <w:rPr>
                <w:rFonts w:hint="eastAsia" w:ascii="宋体" w:hAnsi="宋体"/>
                <w:color w:val="000000"/>
              </w:rPr>
              <w:t>4</w:t>
            </w:r>
          </w:p>
        </w:tc>
        <w:tc>
          <w:tcPr>
            <w:tcW w:w="915" w:type="dxa"/>
            <w:vMerge w:val="restart"/>
            <w:vAlign w:val="center"/>
          </w:tcPr>
          <w:p>
            <w:pPr>
              <w:ind w:firstLine="0" w:firstLineChars="0"/>
              <w:rPr>
                <w:rFonts w:ascii="宋体" w:hAnsi="宋体"/>
                <w:color w:val="000000"/>
              </w:rPr>
            </w:pPr>
            <w:r>
              <w:rPr>
                <w:rFonts w:hint="eastAsia" w:ascii="宋体" w:hAnsi="宋体"/>
                <w:color w:val="000000"/>
              </w:rPr>
              <w:t>防篡改保护</w:t>
            </w:r>
          </w:p>
        </w:tc>
        <w:tc>
          <w:tcPr>
            <w:tcW w:w="1106" w:type="dxa"/>
            <w:vMerge w:val="restart"/>
            <w:vAlign w:val="center"/>
          </w:tcPr>
          <w:p>
            <w:pPr>
              <w:ind w:firstLine="0" w:firstLineChars="0"/>
              <w:rPr>
                <w:rFonts w:ascii="宋体" w:hAnsi="宋体"/>
                <w:color w:val="000000"/>
              </w:rPr>
            </w:pPr>
            <w:r>
              <w:rPr>
                <w:rFonts w:hint="eastAsia" w:ascii="宋体" w:hAnsi="宋体"/>
                <w:color w:val="000000"/>
              </w:rPr>
              <w:t>完整性校验</w:t>
            </w:r>
          </w:p>
        </w:tc>
        <w:tc>
          <w:tcPr>
            <w:tcW w:w="1586" w:type="dxa"/>
            <w:vAlign w:val="center"/>
          </w:tcPr>
          <w:p>
            <w:pPr>
              <w:ind w:firstLine="0" w:firstLineChars="0"/>
              <w:jc w:val="center"/>
              <w:rPr>
                <w:rFonts w:ascii="宋体" w:hAnsi="宋体"/>
                <w:color w:val="000000"/>
              </w:rPr>
            </w:pPr>
            <w:r>
              <w:rPr>
                <w:rFonts w:hint="eastAsia" w:ascii="宋体" w:hAnsi="宋体"/>
                <w:color w:val="000000"/>
              </w:rPr>
              <w:t>Aesset资源防篡改</w:t>
            </w:r>
          </w:p>
        </w:tc>
        <w:tc>
          <w:tcPr>
            <w:tcW w:w="4586" w:type="dxa"/>
            <w:vAlign w:val="center"/>
          </w:tcPr>
          <w:p>
            <w:pPr>
              <w:rPr>
                <w:rFonts w:ascii="宋体" w:hAnsi="宋体"/>
                <w:color w:val="000000"/>
              </w:rPr>
            </w:pPr>
            <w:r>
              <w:rPr>
                <w:rFonts w:hint="eastAsia" w:ascii="宋体" w:hAnsi="宋体"/>
                <w:color w:val="000000"/>
              </w:rPr>
              <w:t>需针对APP安装包Aesset资源内容做交叉校验，并且校验数据及校验代码应进行加密保护，及时检测APP中需保护的Aesset资源文件是否被篡改，当检测到Aesset资源被篡改时会弹框提示用户并自动退出。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res资源防篡改</w:t>
            </w:r>
          </w:p>
        </w:tc>
        <w:tc>
          <w:tcPr>
            <w:tcW w:w="4586" w:type="dxa"/>
            <w:vAlign w:val="center"/>
          </w:tcPr>
          <w:p>
            <w:pPr>
              <w:rPr>
                <w:rFonts w:ascii="宋体" w:hAnsi="宋体"/>
                <w:color w:val="000000"/>
              </w:rPr>
            </w:pPr>
            <w:r>
              <w:rPr>
                <w:rFonts w:hint="eastAsia" w:ascii="宋体" w:hAnsi="宋体"/>
                <w:color w:val="000000"/>
              </w:rPr>
              <w:t>需针对APP安装包res资源文件内容做交叉校验，并且校验数据及校验代码应进行加密保护，及时检测APP中需保护的res资源文件是否被篡改，当检测到res资源被篡改时会弹框提示用户并自动退出。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raw资源防篡改</w:t>
            </w:r>
          </w:p>
        </w:tc>
        <w:tc>
          <w:tcPr>
            <w:tcW w:w="4586" w:type="dxa"/>
            <w:vAlign w:val="center"/>
          </w:tcPr>
          <w:p>
            <w:pPr>
              <w:rPr>
                <w:rFonts w:ascii="宋体" w:hAnsi="宋体"/>
                <w:color w:val="000000"/>
              </w:rPr>
            </w:pPr>
            <w:r>
              <w:rPr>
                <w:rFonts w:hint="eastAsia" w:ascii="宋体" w:hAnsi="宋体"/>
                <w:color w:val="000000"/>
              </w:rPr>
              <w:t>需针对APP安装包raw资源文件内容做交叉校验，并且校验数据及校验代码应进行加密保护，及时检测APP中需保护的Aes资源文件是否被篡改，当检测到Aesset资源被篡改时会弹框提示用户并自动退出。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配置文件防篡改</w:t>
            </w:r>
          </w:p>
        </w:tc>
        <w:tc>
          <w:tcPr>
            <w:tcW w:w="4586" w:type="dxa"/>
            <w:vAlign w:val="center"/>
          </w:tcPr>
          <w:p>
            <w:pPr>
              <w:rPr>
                <w:rFonts w:ascii="宋体" w:hAnsi="宋体"/>
                <w:color w:val="000000"/>
              </w:rPr>
            </w:pPr>
            <w:r>
              <w:rPr>
                <w:rFonts w:hint="eastAsia" w:ascii="宋体" w:hAnsi="宋体"/>
                <w:color w:val="000000"/>
              </w:rPr>
              <w:t>需针对APP安装包配置文件内容做交叉校验，并且校验数据及校验代码应进行加密保护，及时检测APP中需保护的配置文件是否被篡改，当检测到配置文件被篡改时会弹框提示用户并自动退出。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H5代码文件防篡改</w:t>
            </w:r>
          </w:p>
        </w:tc>
        <w:tc>
          <w:tcPr>
            <w:tcW w:w="4586" w:type="dxa"/>
            <w:vAlign w:val="center"/>
          </w:tcPr>
          <w:p>
            <w:pPr>
              <w:rPr>
                <w:rFonts w:ascii="宋体" w:hAnsi="宋体"/>
                <w:color w:val="000000"/>
              </w:rPr>
            </w:pPr>
            <w:r>
              <w:rPr>
                <w:rFonts w:hint="eastAsia" w:ascii="宋体" w:hAnsi="宋体"/>
                <w:color w:val="000000"/>
              </w:rPr>
              <w:t>需针对APP安装包H5代码文件内容做交叉校验，并且校验数据及校验代码应进行加密保护，及时检测APP中需保护的H5代码文件是否被篡改，当检测到H5代码文件被篡改时会弹框提示用户并自动退出。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color w:val="000000"/>
              </w:rPr>
            </w:pPr>
            <w:r>
              <w:rPr>
                <w:rFonts w:hint="eastAsia" w:ascii="宋体" w:hAnsi="宋体"/>
                <w:color w:val="000000"/>
              </w:rPr>
              <w:t>签名被篡改</w:t>
            </w:r>
          </w:p>
        </w:tc>
        <w:tc>
          <w:tcPr>
            <w:tcW w:w="4586" w:type="dxa"/>
            <w:vAlign w:val="center"/>
          </w:tcPr>
          <w:p>
            <w:pPr>
              <w:rPr>
                <w:rFonts w:ascii="宋体" w:hAnsi="宋体"/>
                <w:color w:val="000000"/>
              </w:rPr>
            </w:pPr>
            <w:r>
              <w:rPr>
                <w:rFonts w:hint="eastAsia" w:ascii="宋体" w:hAnsi="宋体"/>
                <w:color w:val="000000"/>
              </w:rPr>
              <w:t>需针对APP安装包签名文件内容做交叉校验，并且校验数据及校验代码应进行加密保护，及时检测APP中需保护的签名文件是否被篡改，当检测到签名文件被篡改时会弹框提示用户并自动退出。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846" w:type="dxa"/>
            <w:vMerge w:val="restart"/>
            <w:vAlign w:val="center"/>
          </w:tcPr>
          <w:p>
            <w:pPr>
              <w:jc w:val="center"/>
              <w:rPr>
                <w:rFonts w:ascii="宋体" w:hAnsi="宋体"/>
                <w:color w:val="000000"/>
              </w:rPr>
            </w:pPr>
            <w:r>
              <w:rPr>
                <w:rFonts w:hint="eastAsia" w:ascii="宋体" w:hAnsi="宋体"/>
                <w:color w:val="000000"/>
              </w:rPr>
              <w:t>5</w:t>
            </w:r>
          </w:p>
        </w:tc>
        <w:tc>
          <w:tcPr>
            <w:tcW w:w="915" w:type="dxa"/>
            <w:vMerge w:val="restart"/>
            <w:vAlign w:val="center"/>
          </w:tcPr>
          <w:p>
            <w:pPr>
              <w:ind w:firstLine="0" w:firstLineChars="0"/>
              <w:rPr>
                <w:rFonts w:ascii="宋体" w:hAnsi="宋体"/>
                <w:color w:val="000000"/>
              </w:rPr>
            </w:pPr>
            <w:r>
              <w:rPr>
                <w:rFonts w:hint="eastAsia" w:ascii="宋体" w:hAnsi="宋体"/>
                <w:color w:val="000000"/>
              </w:rPr>
              <w:t>加固兼容性及稳定性保证</w:t>
            </w:r>
          </w:p>
        </w:tc>
        <w:tc>
          <w:tcPr>
            <w:tcW w:w="1106" w:type="dxa"/>
            <w:vMerge w:val="restart"/>
            <w:vAlign w:val="center"/>
          </w:tcPr>
          <w:p>
            <w:pPr>
              <w:ind w:left="0" w:leftChars="0" w:firstLine="0" w:firstLineChars="0"/>
              <w:jc w:val="both"/>
              <w:rPr>
                <w:rFonts w:ascii="宋体" w:hAnsi="宋体"/>
                <w:color w:val="000000"/>
              </w:rPr>
            </w:pPr>
            <w:r>
              <w:rPr>
                <w:rFonts w:hint="eastAsia" w:ascii="宋体" w:hAnsi="宋体"/>
                <w:color w:val="000000"/>
              </w:rPr>
              <w:t>兼容性</w:t>
            </w:r>
          </w:p>
        </w:tc>
        <w:tc>
          <w:tcPr>
            <w:tcW w:w="1586" w:type="dxa"/>
            <w:vAlign w:val="center"/>
          </w:tcPr>
          <w:p>
            <w:pPr>
              <w:ind w:firstLine="0" w:firstLineChars="0"/>
              <w:jc w:val="center"/>
              <w:rPr>
                <w:rFonts w:ascii="宋体" w:hAnsi="宋体"/>
              </w:rPr>
            </w:pPr>
            <w:r>
              <w:rPr>
                <w:rFonts w:hint="eastAsia" w:ascii="宋体" w:hAnsi="宋体"/>
              </w:rPr>
              <w:t>兼容CPU</w:t>
            </w:r>
          </w:p>
        </w:tc>
        <w:tc>
          <w:tcPr>
            <w:tcW w:w="4586" w:type="dxa"/>
            <w:vAlign w:val="center"/>
          </w:tcPr>
          <w:p>
            <w:pPr>
              <w:rPr>
                <w:rFonts w:ascii="宋体" w:hAnsi="宋体"/>
              </w:rPr>
            </w:pPr>
            <w:r>
              <w:rPr>
                <w:rFonts w:hint="eastAsia" w:ascii="宋体" w:hAnsi="宋体"/>
              </w:rPr>
              <w:t>加固需具兼容X86-32位CPU、X86-64位CPU、ARM-32位CPU、ARM-64位CPU。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rPr>
            </w:pPr>
            <w:r>
              <w:rPr>
                <w:rFonts w:hint="eastAsia" w:ascii="宋体" w:hAnsi="宋体"/>
              </w:rPr>
              <w:t>兼容Android ART模式、Dalvik模式</w:t>
            </w:r>
          </w:p>
        </w:tc>
        <w:tc>
          <w:tcPr>
            <w:tcW w:w="4586" w:type="dxa"/>
            <w:vAlign w:val="center"/>
          </w:tcPr>
          <w:p>
            <w:pPr>
              <w:rPr>
                <w:rFonts w:ascii="宋体" w:hAnsi="宋体"/>
              </w:rPr>
            </w:pPr>
            <w:r>
              <w:rPr>
                <w:rFonts w:hint="eastAsia" w:ascii="宋体" w:hAnsi="宋体"/>
              </w:rPr>
              <w:t>加固需具支持Android ART模式、Dalvik模式上运行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rPr>
            </w:pPr>
            <w:r>
              <w:rPr>
                <w:rFonts w:hint="eastAsia" w:ascii="宋体" w:hAnsi="宋体"/>
              </w:rPr>
              <w:t>兼容Android2.1及以上操作系统</w:t>
            </w:r>
          </w:p>
        </w:tc>
        <w:tc>
          <w:tcPr>
            <w:tcW w:w="4586" w:type="dxa"/>
            <w:vAlign w:val="center"/>
          </w:tcPr>
          <w:p>
            <w:pPr>
              <w:rPr>
                <w:rFonts w:ascii="宋体" w:hAnsi="宋体"/>
              </w:rPr>
            </w:pPr>
            <w:r>
              <w:rPr>
                <w:rFonts w:hint="eastAsia" w:ascii="宋体" w:hAnsi="宋体"/>
              </w:rPr>
              <w:t>加固需具支持Android2.1~7.1以及最新android操作系统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rPr>
            </w:pPr>
            <w:r>
              <w:rPr>
                <w:rFonts w:hint="eastAsia" w:ascii="宋体" w:hAnsi="宋体"/>
              </w:rPr>
              <w:t>兼容各定制化ROM厂商系统</w:t>
            </w:r>
          </w:p>
        </w:tc>
        <w:tc>
          <w:tcPr>
            <w:tcW w:w="4586" w:type="dxa"/>
            <w:vAlign w:val="center"/>
          </w:tcPr>
          <w:p>
            <w:pPr>
              <w:rPr>
                <w:rFonts w:ascii="宋体" w:hAnsi="宋体"/>
              </w:rPr>
            </w:pPr>
            <w:r>
              <w:rPr>
                <w:rFonts w:hint="eastAsia" w:ascii="宋体" w:hAnsi="宋体"/>
              </w:rPr>
              <w:t>加固需具兼容市场主流品牌及其ROM系统，如小米、华为、魅族、YunOS、锤子、联想、OPPO、VIVO及海外机型等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restart"/>
            <w:vAlign w:val="center"/>
          </w:tcPr>
          <w:p>
            <w:pPr>
              <w:ind w:left="0" w:leftChars="0" w:firstLine="0" w:firstLineChars="0"/>
              <w:jc w:val="both"/>
              <w:rPr>
                <w:rFonts w:ascii="宋体" w:hAnsi="宋体"/>
                <w:color w:val="000000"/>
              </w:rPr>
            </w:pPr>
            <w:r>
              <w:rPr>
                <w:rFonts w:hint="eastAsia" w:ascii="宋体" w:hAnsi="宋体"/>
                <w:color w:val="000000"/>
              </w:rPr>
              <w:t>稳定性</w:t>
            </w:r>
          </w:p>
        </w:tc>
        <w:tc>
          <w:tcPr>
            <w:tcW w:w="1586" w:type="dxa"/>
            <w:vAlign w:val="center"/>
          </w:tcPr>
          <w:p>
            <w:pPr>
              <w:ind w:firstLine="0" w:firstLineChars="0"/>
              <w:jc w:val="center"/>
              <w:rPr>
                <w:rFonts w:ascii="宋体" w:hAnsi="宋体"/>
              </w:rPr>
            </w:pPr>
            <w:r>
              <w:rPr>
                <w:rFonts w:hint="eastAsia" w:ascii="宋体" w:hAnsi="宋体"/>
              </w:rPr>
              <w:t>包体增量</w:t>
            </w:r>
          </w:p>
        </w:tc>
        <w:tc>
          <w:tcPr>
            <w:tcW w:w="4586" w:type="dxa"/>
            <w:vAlign w:val="center"/>
          </w:tcPr>
          <w:p>
            <w:pPr>
              <w:rPr>
                <w:rFonts w:ascii="宋体" w:hAnsi="宋体"/>
              </w:rPr>
            </w:pPr>
            <w:r>
              <w:rPr>
                <w:rFonts w:hint="eastAsia" w:ascii="宋体" w:hAnsi="宋体"/>
              </w:rPr>
              <w:t>加固需具加密后包体增量2M以内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both"/>
              <w:rPr>
                <w:rFonts w:ascii="宋体" w:hAnsi="宋体"/>
              </w:rPr>
            </w:pPr>
            <w:r>
              <w:rPr>
                <w:rFonts w:hint="eastAsia" w:ascii="宋体" w:hAnsi="宋体"/>
              </w:rPr>
              <w:t>内存占用增量</w:t>
            </w:r>
          </w:p>
        </w:tc>
        <w:tc>
          <w:tcPr>
            <w:tcW w:w="4586" w:type="dxa"/>
            <w:vAlign w:val="center"/>
          </w:tcPr>
          <w:p>
            <w:pPr>
              <w:rPr>
                <w:rFonts w:ascii="宋体" w:hAnsi="宋体"/>
              </w:rPr>
            </w:pPr>
            <w:r>
              <w:rPr>
                <w:rFonts w:hint="eastAsia" w:ascii="宋体" w:hAnsi="宋体"/>
              </w:rPr>
              <w:t>加固需具内存占用增量小于15%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rPr>
            </w:pPr>
            <w:r>
              <w:rPr>
                <w:rFonts w:hint="eastAsia" w:ascii="宋体" w:hAnsi="宋体"/>
              </w:rPr>
              <w:t>CPU占用增量</w:t>
            </w:r>
          </w:p>
        </w:tc>
        <w:tc>
          <w:tcPr>
            <w:tcW w:w="4586" w:type="dxa"/>
            <w:vAlign w:val="center"/>
          </w:tcPr>
          <w:p>
            <w:pPr>
              <w:rPr>
                <w:rFonts w:ascii="宋体" w:hAnsi="宋体"/>
              </w:rPr>
            </w:pPr>
            <w:r>
              <w:rPr>
                <w:rFonts w:hint="eastAsia" w:ascii="宋体" w:hAnsi="宋体"/>
              </w:rPr>
              <w:t>加固需具CPU增量小于5%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846" w:type="dxa"/>
            <w:vMerge w:val="continue"/>
            <w:vAlign w:val="center"/>
          </w:tcPr>
          <w:p>
            <w:pPr>
              <w:rPr>
                <w:rFonts w:ascii="宋体" w:hAnsi="宋体"/>
                <w:color w:val="000000"/>
              </w:rPr>
            </w:pPr>
          </w:p>
        </w:tc>
        <w:tc>
          <w:tcPr>
            <w:tcW w:w="915" w:type="dxa"/>
            <w:vMerge w:val="continue"/>
            <w:vAlign w:val="center"/>
          </w:tcPr>
          <w:p>
            <w:pPr>
              <w:rPr>
                <w:rFonts w:ascii="宋体" w:hAnsi="宋体"/>
                <w:color w:val="000000"/>
              </w:rPr>
            </w:pPr>
          </w:p>
        </w:tc>
        <w:tc>
          <w:tcPr>
            <w:tcW w:w="1106" w:type="dxa"/>
            <w:vMerge w:val="continue"/>
            <w:vAlign w:val="center"/>
          </w:tcPr>
          <w:p>
            <w:pPr>
              <w:jc w:val="center"/>
              <w:rPr>
                <w:rFonts w:ascii="宋体" w:hAnsi="宋体"/>
                <w:color w:val="000000"/>
              </w:rPr>
            </w:pPr>
          </w:p>
        </w:tc>
        <w:tc>
          <w:tcPr>
            <w:tcW w:w="1586" w:type="dxa"/>
            <w:vAlign w:val="center"/>
          </w:tcPr>
          <w:p>
            <w:pPr>
              <w:ind w:firstLine="0" w:firstLineChars="0"/>
              <w:jc w:val="center"/>
              <w:rPr>
                <w:rFonts w:ascii="宋体" w:hAnsi="宋体"/>
              </w:rPr>
            </w:pPr>
            <w:r>
              <w:rPr>
                <w:rFonts w:hint="eastAsia" w:ascii="宋体" w:hAnsi="宋体"/>
              </w:rPr>
              <w:t>首次启动时间增量</w:t>
            </w:r>
          </w:p>
        </w:tc>
        <w:tc>
          <w:tcPr>
            <w:tcW w:w="4586" w:type="dxa"/>
            <w:vAlign w:val="center"/>
          </w:tcPr>
          <w:p>
            <w:pPr>
              <w:rPr>
                <w:rFonts w:ascii="宋体" w:hAnsi="宋体"/>
              </w:rPr>
            </w:pPr>
            <w:r>
              <w:rPr>
                <w:rFonts w:hint="eastAsia" w:ascii="宋体" w:hAnsi="宋体"/>
              </w:rPr>
              <w:t>加固需具首次启动时间增量小于2秒</w:t>
            </w:r>
          </w:p>
        </w:tc>
      </w:tr>
    </w:tbl>
    <w:p>
      <w:pPr>
        <w:rPr>
          <w:rFonts w:ascii="宋体" w:hAnsi="宋体"/>
        </w:rPr>
      </w:pPr>
    </w:p>
    <w:p>
      <w:pPr>
        <w:pStyle w:val="52"/>
        <w:snapToGrid w:val="0"/>
        <w:spacing w:before="0"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（2）IOS APP应用安全加固服务，具体要求如下：</w:t>
      </w:r>
    </w:p>
    <w:tbl>
      <w:tblPr>
        <w:tblStyle w:val="24"/>
        <w:tblW w:w="8974" w:type="dxa"/>
        <w:tblInd w:w="94" w:type="dxa"/>
        <w:tblLayout w:type="fixed"/>
        <w:tblCellMar>
          <w:top w:w="0" w:type="dxa"/>
          <w:left w:w="108" w:type="dxa"/>
          <w:bottom w:w="0" w:type="dxa"/>
          <w:right w:w="108" w:type="dxa"/>
        </w:tblCellMar>
      </w:tblPr>
      <w:tblGrid>
        <w:gridCol w:w="723"/>
        <w:gridCol w:w="964"/>
        <w:gridCol w:w="1125"/>
        <w:gridCol w:w="6162"/>
      </w:tblGrid>
      <w:tr>
        <w:tblPrEx>
          <w:tblLayout w:type="fixed"/>
          <w:tblCellMar>
            <w:top w:w="0" w:type="dxa"/>
            <w:left w:w="108" w:type="dxa"/>
            <w:bottom w:w="0" w:type="dxa"/>
            <w:right w:w="108" w:type="dxa"/>
          </w:tblCellMar>
        </w:tblPrEx>
        <w:trPr>
          <w:trHeight w:val="300" w:hRule="atLeast"/>
        </w:trPr>
        <w:tc>
          <w:tcPr>
            <w:tcW w:w="72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000000"/>
              </w:rPr>
            </w:pPr>
            <w:r>
              <w:rPr>
                <w:rFonts w:hint="eastAsia" w:ascii="宋体" w:hAnsi="宋体"/>
                <w:color w:val="000000"/>
              </w:rPr>
              <w:t>序号</w:t>
            </w:r>
          </w:p>
        </w:tc>
        <w:tc>
          <w:tcPr>
            <w:tcW w:w="964" w:type="dxa"/>
            <w:tcBorders>
              <w:top w:val="single" w:color="auto" w:sz="4" w:space="0"/>
              <w:left w:val="nil"/>
              <w:bottom w:val="single" w:color="auto" w:sz="4" w:space="0"/>
              <w:right w:val="single" w:color="auto" w:sz="4" w:space="0"/>
            </w:tcBorders>
            <w:vAlign w:val="center"/>
          </w:tcPr>
          <w:p>
            <w:pPr>
              <w:ind w:firstLine="0" w:firstLineChars="0"/>
              <w:jc w:val="center"/>
              <w:rPr>
                <w:rFonts w:ascii="宋体" w:hAnsi="宋体"/>
                <w:color w:val="000000"/>
              </w:rPr>
            </w:pPr>
            <w:r>
              <w:rPr>
                <w:rFonts w:hint="eastAsia" w:ascii="宋体" w:hAnsi="宋体"/>
                <w:color w:val="000000"/>
              </w:rPr>
              <w:t>服务</w:t>
            </w:r>
            <w:r>
              <w:rPr>
                <w:rFonts w:ascii="宋体" w:hAnsi="宋体"/>
                <w:color w:val="000000"/>
              </w:rPr>
              <w:t>能力</w:t>
            </w:r>
          </w:p>
        </w:tc>
        <w:tc>
          <w:tcPr>
            <w:tcW w:w="1125" w:type="dxa"/>
            <w:tcBorders>
              <w:top w:val="single" w:color="auto" w:sz="4" w:space="0"/>
              <w:left w:val="nil"/>
              <w:bottom w:val="single" w:color="auto" w:sz="4" w:space="0"/>
              <w:right w:val="single" w:color="auto" w:sz="4" w:space="0"/>
            </w:tcBorders>
            <w:vAlign w:val="center"/>
          </w:tcPr>
          <w:p>
            <w:pPr>
              <w:ind w:firstLine="0" w:firstLineChars="0"/>
              <w:jc w:val="center"/>
              <w:rPr>
                <w:rFonts w:ascii="宋体" w:hAnsi="宋体"/>
                <w:color w:val="000000"/>
              </w:rPr>
            </w:pPr>
            <w:r>
              <w:rPr>
                <w:rFonts w:hint="eastAsia" w:ascii="宋体" w:hAnsi="宋体"/>
                <w:color w:val="000000"/>
              </w:rPr>
              <w:t>服务</w:t>
            </w:r>
            <w:r>
              <w:rPr>
                <w:rFonts w:ascii="宋体" w:hAnsi="宋体"/>
                <w:color w:val="000000"/>
              </w:rPr>
              <w:t>能力</w:t>
            </w:r>
            <w:r>
              <w:rPr>
                <w:rFonts w:hint="eastAsia" w:ascii="宋体" w:hAnsi="宋体"/>
                <w:color w:val="000000"/>
              </w:rPr>
              <w:t>细项</w:t>
            </w:r>
          </w:p>
        </w:tc>
        <w:tc>
          <w:tcPr>
            <w:tcW w:w="6162" w:type="dxa"/>
            <w:tcBorders>
              <w:top w:val="single" w:color="auto" w:sz="4" w:space="0"/>
              <w:left w:val="nil"/>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服务</w:t>
            </w:r>
            <w:r>
              <w:rPr>
                <w:rFonts w:ascii="宋体" w:hAnsi="宋体"/>
                <w:color w:val="000000"/>
              </w:rPr>
              <w:t>能力</w:t>
            </w:r>
            <w:r>
              <w:rPr>
                <w:rFonts w:hint="eastAsia" w:ascii="宋体" w:hAnsi="宋体"/>
                <w:color w:val="000000"/>
              </w:rPr>
              <w:t>描述</w:t>
            </w:r>
          </w:p>
        </w:tc>
      </w:tr>
      <w:tr>
        <w:tblPrEx>
          <w:tblLayout w:type="fixed"/>
          <w:tblCellMar>
            <w:top w:w="0" w:type="dxa"/>
            <w:left w:w="108" w:type="dxa"/>
            <w:bottom w:w="0" w:type="dxa"/>
            <w:right w:w="108" w:type="dxa"/>
          </w:tblCellMar>
        </w:tblPrEx>
        <w:trPr>
          <w:cantSplit/>
          <w:trHeight w:val="560" w:hRule="atLeast"/>
        </w:trPr>
        <w:tc>
          <w:tcPr>
            <w:tcW w:w="723" w:type="dxa"/>
            <w:vMerge w:val="restart"/>
            <w:tcBorders>
              <w:top w:val="nil"/>
              <w:left w:val="single" w:color="auto" w:sz="4" w:space="0"/>
              <w:bottom w:val="nil"/>
              <w:right w:val="single" w:color="auto" w:sz="4" w:space="0"/>
            </w:tcBorders>
            <w:vAlign w:val="center"/>
          </w:tcPr>
          <w:p>
            <w:pPr>
              <w:jc w:val="center"/>
              <w:rPr>
                <w:rFonts w:ascii="宋体" w:hAnsi="宋体"/>
                <w:color w:val="000000"/>
              </w:rPr>
            </w:pPr>
            <w:r>
              <w:rPr>
                <w:rFonts w:hint="eastAsia" w:ascii="宋体" w:hAnsi="宋体"/>
                <w:color w:val="000000"/>
              </w:rPr>
              <w:t>1</w:t>
            </w:r>
          </w:p>
        </w:tc>
        <w:tc>
          <w:tcPr>
            <w:tcW w:w="964" w:type="dxa"/>
            <w:vMerge w:val="restart"/>
            <w:tcBorders>
              <w:top w:val="nil"/>
              <w:left w:val="single" w:color="auto" w:sz="4" w:space="0"/>
              <w:bottom w:val="nil"/>
              <w:right w:val="single" w:color="auto" w:sz="4" w:space="0"/>
            </w:tcBorders>
            <w:vAlign w:val="center"/>
          </w:tcPr>
          <w:p>
            <w:pPr>
              <w:ind w:firstLine="0" w:firstLineChars="0"/>
              <w:rPr>
                <w:rFonts w:ascii="宋体" w:hAnsi="宋体"/>
                <w:color w:val="000000"/>
              </w:rPr>
            </w:pPr>
            <w:r>
              <w:rPr>
                <w:rFonts w:hint="eastAsia" w:ascii="宋体" w:hAnsi="宋体"/>
                <w:color w:val="000000"/>
              </w:rPr>
              <w:t>APP保护</w:t>
            </w: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color w:val="000000"/>
              </w:rPr>
            </w:pPr>
            <w:r>
              <w:rPr>
                <w:rFonts w:hint="eastAsia" w:ascii="宋体" w:hAnsi="宋体"/>
                <w:color w:val="000000"/>
              </w:rPr>
              <w:t>源对源混淆</w:t>
            </w:r>
          </w:p>
        </w:tc>
        <w:tc>
          <w:tcPr>
            <w:tcW w:w="6162" w:type="dxa"/>
            <w:tcBorders>
              <w:top w:val="nil"/>
              <w:left w:val="nil"/>
              <w:bottom w:val="single" w:color="auto" w:sz="4" w:space="0"/>
              <w:right w:val="single" w:color="auto" w:sz="4" w:space="0"/>
            </w:tcBorders>
            <w:vAlign w:val="center"/>
          </w:tcPr>
          <w:p>
            <w:pPr>
              <w:rPr>
                <w:rFonts w:ascii="宋体" w:hAnsi="宋体"/>
                <w:color w:val="000000"/>
              </w:rPr>
            </w:pPr>
            <w:r>
              <w:rPr>
                <w:rFonts w:hint="eastAsia" w:ascii="宋体" w:hAnsi="宋体"/>
                <w:color w:val="000000"/>
              </w:rPr>
              <w:t>IOS加固需实现源码级混淆，混淆后可直接查看混淆结果以及判定混淆结果是否有效。</w:t>
            </w:r>
          </w:p>
        </w:tc>
      </w:tr>
      <w:tr>
        <w:tblPrEx>
          <w:tblLayout w:type="fixed"/>
          <w:tblCellMar>
            <w:top w:w="0" w:type="dxa"/>
            <w:left w:w="108" w:type="dxa"/>
            <w:bottom w:w="0" w:type="dxa"/>
            <w:right w:w="108" w:type="dxa"/>
          </w:tblCellMar>
        </w:tblPrEx>
        <w:trPr>
          <w:cantSplit/>
          <w:trHeight w:val="560" w:hRule="atLeast"/>
        </w:trPr>
        <w:tc>
          <w:tcPr>
            <w:tcW w:w="723"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964"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color w:val="000000"/>
              </w:rPr>
            </w:pPr>
            <w:r>
              <w:rPr>
                <w:rFonts w:hint="eastAsia" w:ascii="宋体" w:hAnsi="宋体"/>
                <w:color w:val="000000"/>
              </w:rPr>
              <w:t>控制流平坦化</w:t>
            </w:r>
          </w:p>
        </w:tc>
        <w:tc>
          <w:tcPr>
            <w:tcW w:w="6162" w:type="dxa"/>
            <w:tcBorders>
              <w:top w:val="nil"/>
              <w:left w:val="nil"/>
              <w:bottom w:val="single" w:color="auto" w:sz="4" w:space="0"/>
              <w:right w:val="single" w:color="auto" w:sz="4" w:space="0"/>
            </w:tcBorders>
            <w:vAlign w:val="center"/>
          </w:tcPr>
          <w:p>
            <w:pPr>
              <w:rPr>
                <w:rFonts w:ascii="宋体" w:hAnsi="宋体"/>
                <w:color w:val="000000"/>
              </w:rPr>
            </w:pPr>
            <w:r>
              <w:rPr>
                <w:rFonts w:hint="eastAsia" w:ascii="宋体" w:hAnsi="宋体"/>
                <w:color w:val="000000"/>
              </w:rPr>
              <w:t>IOS加固需在保证不改变源代码功能的前提下，转换控制流语句，隐藏程序原始的层析结构，增强逻辑可分析难度。</w:t>
            </w:r>
          </w:p>
        </w:tc>
      </w:tr>
      <w:tr>
        <w:tblPrEx>
          <w:tblLayout w:type="fixed"/>
          <w:tblCellMar>
            <w:top w:w="0" w:type="dxa"/>
            <w:left w:w="108" w:type="dxa"/>
            <w:bottom w:w="0" w:type="dxa"/>
            <w:right w:w="108" w:type="dxa"/>
          </w:tblCellMar>
        </w:tblPrEx>
        <w:trPr>
          <w:cantSplit/>
          <w:trHeight w:val="840" w:hRule="atLeast"/>
        </w:trPr>
        <w:tc>
          <w:tcPr>
            <w:tcW w:w="723"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964"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color w:val="000000"/>
              </w:rPr>
            </w:pPr>
            <w:r>
              <w:rPr>
                <w:rFonts w:hint="eastAsia" w:ascii="宋体" w:hAnsi="宋体"/>
                <w:color w:val="000000"/>
              </w:rPr>
              <w:t>不透明谓词</w:t>
            </w:r>
          </w:p>
        </w:tc>
        <w:tc>
          <w:tcPr>
            <w:tcW w:w="6162" w:type="dxa"/>
            <w:tcBorders>
              <w:top w:val="nil"/>
              <w:left w:val="nil"/>
              <w:bottom w:val="single" w:color="auto" w:sz="4" w:space="0"/>
              <w:right w:val="single" w:color="auto" w:sz="4" w:space="0"/>
            </w:tcBorders>
            <w:vAlign w:val="center"/>
          </w:tcPr>
          <w:p>
            <w:pPr>
              <w:rPr>
                <w:rFonts w:ascii="宋体" w:hAnsi="宋体"/>
                <w:color w:val="000000"/>
              </w:rPr>
            </w:pPr>
            <w:r>
              <w:rPr>
                <w:rFonts w:hint="eastAsia" w:ascii="宋体" w:hAnsi="宋体"/>
                <w:color w:val="000000"/>
              </w:rPr>
              <w:t>IOS加固需随机确定控制块的执行顺序，使逆向工具不能得到跳转逻辑，攻击者也难以通过静态分析得到真实的分支跳转值。达到模糊程序控制逻辑、隐藏程序控制流。</w:t>
            </w:r>
          </w:p>
        </w:tc>
      </w:tr>
      <w:tr>
        <w:tblPrEx>
          <w:tblLayout w:type="fixed"/>
          <w:tblCellMar>
            <w:top w:w="0" w:type="dxa"/>
            <w:left w:w="108" w:type="dxa"/>
            <w:bottom w:w="0" w:type="dxa"/>
            <w:right w:w="108" w:type="dxa"/>
          </w:tblCellMar>
        </w:tblPrEx>
        <w:trPr>
          <w:cantSplit/>
          <w:trHeight w:val="560" w:hRule="atLeast"/>
        </w:trPr>
        <w:tc>
          <w:tcPr>
            <w:tcW w:w="723"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964"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color w:val="000000"/>
              </w:rPr>
            </w:pPr>
            <w:r>
              <w:rPr>
                <w:rFonts w:hint="eastAsia" w:ascii="宋体" w:hAnsi="宋体"/>
                <w:color w:val="000000"/>
              </w:rPr>
              <w:t>代码中字符串加密</w:t>
            </w:r>
          </w:p>
        </w:tc>
        <w:tc>
          <w:tcPr>
            <w:tcW w:w="6162" w:type="dxa"/>
            <w:tcBorders>
              <w:top w:val="nil"/>
              <w:left w:val="nil"/>
              <w:bottom w:val="single" w:color="auto" w:sz="4" w:space="0"/>
              <w:right w:val="single" w:color="auto" w:sz="4" w:space="0"/>
            </w:tcBorders>
            <w:vAlign w:val="center"/>
          </w:tcPr>
          <w:p>
            <w:pPr>
              <w:rPr>
                <w:rFonts w:ascii="宋体" w:hAnsi="宋体"/>
                <w:color w:val="000000"/>
              </w:rPr>
            </w:pPr>
            <w:r>
              <w:rPr>
                <w:rFonts w:hint="eastAsia" w:ascii="宋体" w:hAnsi="宋体"/>
                <w:color w:val="000000"/>
              </w:rPr>
              <w:t>IOS加固需对代码中字符串类型数据进行加密处理。防止通过文字搜索的方式进行关键代码定位。</w:t>
            </w:r>
          </w:p>
        </w:tc>
      </w:tr>
      <w:tr>
        <w:tblPrEx>
          <w:tblLayout w:type="fixed"/>
          <w:tblCellMar>
            <w:top w:w="0" w:type="dxa"/>
            <w:left w:w="108" w:type="dxa"/>
            <w:bottom w:w="0" w:type="dxa"/>
            <w:right w:w="108" w:type="dxa"/>
          </w:tblCellMar>
        </w:tblPrEx>
        <w:trPr>
          <w:cantSplit/>
          <w:trHeight w:val="840" w:hRule="atLeast"/>
        </w:trPr>
        <w:tc>
          <w:tcPr>
            <w:tcW w:w="723"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964"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color w:val="000000"/>
              </w:rPr>
            </w:pPr>
            <w:r>
              <w:rPr>
                <w:rFonts w:hint="eastAsia" w:ascii="宋体" w:hAnsi="宋体"/>
                <w:color w:val="000000"/>
              </w:rPr>
              <w:t>防调试保护</w:t>
            </w:r>
          </w:p>
        </w:tc>
        <w:tc>
          <w:tcPr>
            <w:tcW w:w="6162" w:type="dxa"/>
            <w:tcBorders>
              <w:top w:val="nil"/>
              <w:left w:val="nil"/>
              <w:bottom w:val="single" w:color="auto" w:sz="4" w:space="0"/>
              <w:right w:val="single" w:color="auto" w:sz="4" w:space="0"/>
            </w:tcBorders>
            <w:vAlign w:val="center"/>
          </w:tcPr>
          <w:p>
            <w:pPr>
              <w:rPr>
                <w:rFonts w:ascii="宋体" w:hAnsi="宋体"/>
              </w:rPr>
            </w:pPr>
            <w:r>
              <w:rPr>
                <w:rFonts w:hint="eastAsia" w:ascii="宋体" w:hAnsi="宋体"/>
              </w:rPr>
              <w:t>IOS加固需对抗主流调试工具和手段，避免动态分析执行中的代码。调试器在工程文件多个地方插入防调代码，在程序执行过程中当检查到程序处于被调试状态后会触发闪退，从而阻止调试的进行。</w:t>
            </w:r>
          </w:p>
        </w:tc>
      </w:tr>
      <w:tr>
        <w:tblPrEx>
          <w:tblLayout w:type="fixed"/>
          <w:tblCellMar>
            <w:top w:w="0" w:type="dxa"/>
            <w:left w:w="108" w:type="dxa"/>
            <w:bottom w:w="0" w:type="dxa"/>
            <w:right w:w="108" w:type="dxa"/>
          </w:tblCellMar>
        </w:tblPrEx>
        <w:trPr>
          <w:cantSplit/>
          <w:trHeight w:val="840" w:hRule="atLeast"/>
        </w:trPr>
        <w:tc>
          <w:tcPr>
            <w:tcW w:w="723"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964"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color w:val="000000"/>
              </w:rPr>
            </w:pPr>
            <w:r>
              <w:rPr>
                <w:rFonts w:hint="eastAsia" w:ascii="宋体" w:hAnsi="宋体"/>
                <w:color w:val="000000"/>
              </w:rPr>
              <w:t>完整性保护</w:t>
            </w:r>
          </w:p>
        </w:tc>
        <w:tc>
          <w:tcPr>
            <w:tcW w:w="6162" w:type="dxa"/>
            <w:tcBorders>
              <w:top w:val="nil"/>
              <w:left w:val="nil"/>
              <w:bottom w:val="single" w:color="auto" w:sz="4" w:space="0"/>
              <w:right w:val="single" w:color="auto" w:sz="4" w:space="0"/>
            </w:tcBorders>
            <w:vAlign w:val="center"/>
          </w:tcPr>
          <w:p>
            <w:pPr>
              <w:rPr>
                <w:rFonts w:ascii="宋体" w:hAnsi="宋体"/>
              </w:rPr>
            </w:pPr>
            <w:r>
              <w:rPr>
                <w:rFonts w:hint="eastAsia" w:ascii="宋体" w:hAnsi="宋体"/>
              </w:rPr>
              <w:t>IOS加固需针对需执行代码进行完整性校验，防止代码被篡改。如果被保护的代码段被篡改，无论是重新打包还是在调试时篡改内存，都会触发闪退，阻止程序继续执行。</w:t>
            </w:r>
          </w:p>
        </w:tc>
      </w:tr>
      <w:tr>
        <w:tblPrEx>
          <w:tblLayout w:type="fixed"/>
          <w:tblCellMar>
            <w:top w:w="0" w:type="dxa"/>
            <w:left w:w="108" w:type="dxa"/>
            <w:bottom w:w="0" w:type="dxa"/>
            <w:right w:w="108" w:type="dxa"/>
          </w:tblCellMar>
        </w:tblPrEx>
        <w:trPr>
          <w:cantSplit/>
          <w:trHeight w:val="840" w:hRule="atLeast"/>
        </w:trPr>
        <w:tc>
          <w:tcPr>
            <w:tcW w:w="723"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964"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color w:val="000000"/>
              </w:rPr>
            </w:pPr>
            <w:r>
              <w:rPr>
                <w:rFonts w:hint="eastAsia" w:ascii="宋体" w:hAnsi="宋体"/>
                <w:color w:val="000000"/>
              </w:rPr>
              <w:t>防</w:t>
            </w:r>
            <w:r>
              <w:rPr>
                <w:rFonts w:ascii="宋体" w:hAnsi="宋体"/>
                <w:color w:val="000000"/>
              </w:rPr>
              <w:t>hook保护</w:t>
            </w:r>
          </w:p>
        </w:tc>
        <w:tc>
          <w:tcPr>
            <w:tcW w:w="6162" w:type="dxa"/>
            <w:tcBorders>
              <w:top w:val="nil"/>
              <w:left w:val="nil"/>
              <w:bottom w:val="single" w:color="auto" w:sz="4" w:space="0"/>
              <w:right w:val="single" w:color="auto" w:sz="4" w:space="0"/>
            </w:tcBorders>
            <w:vAlign w:val="center"/>
          </w:tcPr>
          <w:p>
            <w:pPr>
              <w:rPr>
                <w:rFonts w:ascii="宋体" w:hAnsi="宋体"/>
              </w:rPr>
            </w:pPr>
            <w:r>
              <w:rPr>
                <w:rFonts w:hint="eastAsia" w:ascii="宋体" w:hAnsi="宋体"/>
              </w:rPr>
              <w:t>IOS加固需对抗主流的HOOK工具，如Inline Hook和Swizzling Hook工具，防止hook工具对iOS应用的hook注入攻击。</w:t>
            </w:r>
          </w:p>
        </w:tc>
      </w:tr>
      <w:tr>
        <w:tblPrEx>
          <w:tblLayout w:type="fixed"/>
          <w:tblCellMar>
            <w:top w:w="0" w:type="dxa"/>
            <w:left w:w="108" w:type="dxa"/>
            <w:bottom w:w="0" w:type="dxa"/>
            <w:right w:w="108" w:type="dxa"/>
          </w:tblCellMar>
        </w:tblPrEx>
        <w:trPr>
          <w:cantSplit/>
          <w:trHeight w:val="560" w:hRule="atLeast"/>
        </w:trPr>
        <w:tc>
          <w:tcPr>
            <w:tcW w:w="723"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964"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color w:val="000000"/>
              </w:rPr>
            </w:pPr>
            <w:r>
              <w:rPr>
                <w:rFonts w:hint="eastAsia" w:ascii="宋体" w:hAnsi="宋体"/>
                <w:color w:val="000000"/>
              </w:rPr>
              <w:t>良好兼容性</w:t>
            </w:r>
          </w:p>
        </w:tc>
        <w:tc>
          <w:tcPr>
            <w:tcW w:w="6162" w:type="dxa"/>
            <w:tcBorders>
              <w:top w:val="nil"/>
              <w:left w:val="nil"/>
              <w:bottom w:val="single" w:color="auto" w:sz="4" w:space="0"/>
              <w:right w:val="single" w:color="auto" w:sz="4" w:space="0"/>
            </w:tcBorders>
            <w:vAlign w:val="center"/>
          </w:tcPr>
          <w:p>
            <w:pPr>
              <w:rPr>
                <w:rFonts w:ascii="宋体" w:hAnsi="宋体"/>
              </w:rPr>
            </w:pPr>
            <w:r>
              <w:rPr>
                <w:rFonts w:hint="eastAsia" w:ascii="宋体" w:hAnsi="宋体"/>
              </w:rPr>
              <w:t>IOS加固需兼容常用的集成开发工具版本（xcode 7/xcode 8/xcode 9等）。</w:t>
            </w:r>
          </w:p>
        </w:tc>
      </w:tr>
      <w:tr>
        <w:tblPrEx>
          <w:tblLayout w:type="fixed"/>
          <w:tblCellMar>
            <w:top w:w="0" w:type="dxa"/>
            <w:left w:w="108" w:type="dxa"/>
            <w:bottom w:w="0" w:type="dxa"/>
            <w:right w:w="108" w:type="dxa"/>
          </w:tblCellMar>
        </w:tblPrEx>
        <w:trPr>
          <w:cantSplit/>
          <w:trHeight w:val="560" w:hRule="atLeast"/>
        </w:trPr>
        <w:tc>
          <w:tcPr>
            <w:tcW w:w="723"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964"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color w:val="000000"/>
              </w:rPr>
            </w:pPr>
            <w:r>
              <w:rPr>
                <w:rFonts w:hint="eastAsia" w:ascii="宋体" w:hAnsi="宋体"/>
                <w:color w:val="000000"/>
              </w:rPr>
              <w:t>系统开销低</w:t>
            </w:r>
          </w:p>
        </w:tc>
        <w:tc>
          <w:tcPr>
            <w:tcW w:w="6162" w:type="dxa"/>
            <w:tcBorders>
              <w:top w:val="nil"/>
              <w:left w:val="nil"/>
              <w:bottom w:val="single" w:color="auto" w:sz="4" w:space="0"/>
              <w:right w:val="single" w:color="auto" w:sz="4" w:space="0"/>
            </w:tcBorders>
            <w:vAlign w:val="center"/>
          </w:tcPr>
          <w:p>
            <w:pPr>
              <w:rPr>
                <w:rFonts w:ascii="宋体" w:hAnsi="宋体"/>
              </w:rPr>
            </w:pPr>
            <w:r>
              <w:rPr>
                <w:rFonts w:hint="eastAsia" w:ascii="宋体" w:hAnsi="宋体"/>
              </w:rPr>
              <w:t>IOS加固需具备系统混淆增量少，对原程序执行开销无影响的特点。</w:t>
            </w:r>
          </w:p>
        </w:tc>
      </w:tr>
      <w:tr>
        <w:tblPrEx>
          <w:tblLayout w:type="fixed"/>
          <w:tblCellMar>
            <w:top w:w="0" w:type="dxa"/>
            <w:left w:w="108" w:type="dxa"/>
            <w:bottom w:w="0" w:type="dxa"/>
            <w:right w:w="108" w:type="dxa"/>
          </w:tblCellMar>
        </w:tblPrEx>
        <w:trPr>
          <w:cantSplit/>
          <w:trHeight w:val="560" w:hRule="atLeast"/>
        </w:trPr>
        <w:tc>
          <w:tcPr>
            <w:tcW w:w="723"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964" w:type="dxa"/>
            <w:vMerge w:val="continue"/>
            <w:tcBorders>
              <w:top w:val="nil"/>
              <w:left w:val="single" w:color="auto" w:sz="4" w:space="0"/>
              <w:bottom w:val="nil"/>
              <w:right w:val="single" w:color="auto" w:sz="4" w:space="0"/>
            </w:tcBorders>
            <w:vAlign w:val="center"/>
          </w:tcPr>
          <w:p>
            <w:pPr>
              <w:rPr>
                <w:rFonts w:ascii="宋体" w:hAnsi="宋体"/>
                <w:color w:val="000000"/>
              </w:rPr>
            </w:pP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rPr>
            </w:pPr>
            <w:r>
              <w:rPr>
                <w:rFonts w:hint="eastAsia" w:ascii="宋体" w:hAnsi="宋体"/>
              </w:rPr>
              <w:t>代码多样性</w:t>
            </w:r>
          </w:p>
        </w:tc>
        <w:tc>
          <w:tcPr>
            <w:tcW w:w="6162" w:type="dxa"/>
            <w:tcBorders>
              <w:top w:val="nil"/>
              <w:left w:val="nil"/>
              <w:bottom w:val="single" w:color="auto" w:sz="4" w:space="0"/>
              <w:right w:val="single" w:color="auto" w:sz="4" w:space="0"/>
            </w:tcBorders>
            <w:vAlign w:val="center"/>
          </w:tcPr>
          <w:p>
            <w:pPr>
              <w:rPr>
                <w:rFonts w:ascii="宋体" w:hAnsi="宋体"/>
              </w:rPr>
            </w:pPr>
            <w:r>
              <w:rPr>
                <w:rFonts w:hint="eastAsia" w:ascii="宋体" w:hAnsi="宋体"/>
              </w:rPr>
              <w:t>IOS加固需具备代码混淆结果具有差异性，混淆器在插入不透明谓词和冗余代码时使用随机数，使攻击者更加难以发现代码混淆规律。</w:t>
            </w:r>
          </w:p>
        </w:tc>
      </w:tr>
      <w:tr>
        <w:tblPrEx>
          <w:tblLayout w:type="fixed"/>
          <w:tblCellMar>
            <w:top w:w="0" w:type="dxa"/>
            <w:left w:w="108" w:type="dxa"/>
            <w:bottom w:w="0" w:type="dxa"/>
            <w:right w:w="108" w:type="dxa"/>
          </w:tblCellMar>
        </w:tblPrEx>
        <w:trPr>
          <w:cantSplit/>
          <w:trHeight w:val="560" w:hRule="atLeast"/>
        </w:trPr>
        <w:tc>
          <w:tcPr>
            <w:tcW w:w="72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w:t>
            </w:r>
          </w:p>
        </w:tc>
        <w:tc>
          <w:tcPr>
            <w:tcW w:w="96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olor w:val="000000"/>
              </w:rPr>
            </w:pPr>
            <w:r>
              <w:rPr>
                <w:rFonts w:hint="eastAsia" w:ascii="宋体" w:hAnsi="宋体"/>
                <w:color w:val="000000"/>
              </w:rPr>
              <w:t>系统支持</w:t>
            </w: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rPr>
            </w:pPr>
            <w:r>
              <w:rPr>
                <w:rFonts w:hint="eastAsia" w:ascii="宋体" w:hAnsi="宋体"/>
              </w:rPr>
              <w:t>部署方式</w:t>
            </w:r>
          </w:p>
        </w:tc>
        <w:tc>
          <w:tcPr>
            <w:tcW w:w="6162" w:type="dxa"/>
            <w:tcBorders>
              <w:top w:val="nil"/>
              <w:left w:val="nil"/>
              <w:bottom w:val="single" w:color="auto" w:sz="4" w:space="0"/>
              <w:right w:val="single" w:color="auto" w:sz="4" w:space="0"/>
            </w:tcBorders>
            <w:vAlign w:val="center"/>
          </w:tcPr>
          <w:p>
            <w:pPr>
              <w:rPr>
                <w:rFonts w:ascii="宋体" w:hAnsi="宋体"/>
              </w:rPr>
            </w:pPr>
            <w:r>
              <w:rPr>
                <w:rFonts w:hint="eastAsia" w:ascii="宋体" w:hAnsi="宋体"/>
              </w:rPr>
              <w:t>IOS加固的部署方式需支持云服务</w:t>
            </w:r>
            <w:r>
              <w:rPr>
                <w:rFonts w:ascii="宋体" w:hAnsi="宋体"/>
              </w:rPr>
              <w:t>和</w:t>
            </w:r>
            <w:r>
              <w:rPr>
                <w:rFonts w:hint="eastAsia" w:ascii="宋体" w:hAnsi="宋体"/>
              </w:rPr>
              <w:t>客户本地部署（macmini）。</w:t>
            </w:r>
          </w:p>
        </w:tc>
      </w:tr>
      <w:tr>
        <w:tblPrEx>
          <w:tblLayout w:type="fixed"/>
          <w:tblCellMar>
            <w:top w:w="0" w:type="dxa"/>
            <w:left w:w="108" w:type="dxa"/>
            <w:bottom w:w="0" w:type="dxa"/>
            <w:right w:w="108" w:type="dxa"/>
          </w:tblCellMar>
        </w:tblPrEx>
        <w:trPr>
          <w:cantSplit/>
          <w:trHeight w:val="560"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rPr>
            </w:pPr>
            <w:r>
              <w:rPr>
                <w:rFonts w:hint="eastAsia" w:ascii="宋体" w:hAnsi="宋体"/>
              </w:rPr>
              <w:t>支持语言</w:t>
            </w:r>
          </w:p>
        </w:tc>
        <w:tc>
          <w:tcPr>
            <w:tcW w:w="6162" w:type="dxa"/>
            <w:tcBorders>
              <w:top w:val="nil"/>
              <w:left w:val="nil"/>
              <w:bottom w:val="single" w:color="auto" w:sz="4" w:space="0"/>
              <w:right w:val="single" w:color="auto" w:sz="4" w:space="0"/>
            </w:tcBorders>
            <w:vAlign w:val="center"/>
          </w:tcPr>
          <w:p>
            <w:pPr>
              <w:rPr>
                <w:rFonts w:ascii="宋体" w:hAnsi="宋体"/>
              </w:rPr>
            </w:pPr>
            <w:r>
              <w:rPr>
                <w:rFonts w:hint="eastAsia" w:ascii="宋体" w:hAnsi="宋体"/>
              </w:rPr>
              <w:t>IOS加固需支持多种开发语言，包含但不限于以下：C/C++/Objective-C。</w:t>
            </w:r>
          </w:p>
        </w:tc>
      </w:tr>
      <w:tr>
        <w:tblPrEx>
          <w:tblLayout w:type="fixed"/>
          <w:tblCellMar>
            <w:top w:w="0" w:type="dxa"/>
            <w:left w:w="108" w:type="dxa"/>
            <w:bottom w:w="0" w:type="dxa"/>
            <w:right w:w="108" w:type="dxa"/>
          </w:tblCellMar>
        </w:tblPrEx>
        <w:trPr>
          <w:cantSplit/>
          <w:trHeight w:val="840"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p>
        </w:tc>
        <w:tc>
          <w:tcPr>
            <w:tcW w:w="1125" w:type="dxa"/>
            <w:tcBorders>
              <w:top w:val="nil"/>
              <w:left w:val="nil"/>
              <w:bottom w:val="single" w:color="auto" w:sz="4" w:space="0"/>
              <w:right w:val="single" w:color="auto" w:sz="4" w:space="0"/>
            </w:tcBorders>
            <w:vAlign w:val="center"/>
          </w:tcPr>
          <w:p>
            <w:pPr>
              <w:ind w:left="0" w:leftChars="0" w:firstLine="0" w:firstLineChars="0"/>
              <w:jc w:val="both"/>
              <w:rPr>
                <w:rFonts w:ascii="宋体" w:hAnsi="宋体"/>
                <w:color w:val="000000"/>
              </w:rPr>
            </w:pPr>
            <w:r>
              <w:rPr>
                <w:rFonts w:hint="eastAsia" w:ascii="宋体" w:hAnsi="宋体"/>
                <w:color w:val="000000"/>
              </w:rPr>
              <w:t>支持的开发平台</w:t>
            </w:r>
          </w:p>
        </w:tc>
        <w:tc>
          <w:tcPr>
            <w:tcW w:w="6162" w:type="dxa"/>
            <w:tcBorders>
              <w:top w:val="nil"/>
              <w:left w:val="nil"/>
              <w:bottom w:val="single" w:color="auto" w:sz="4" w:space="0"/>
              <w:right w:val="single" w:color="auto" w:sz="4" w:space="0"/>
            </w:tcBorders>
            <w:vAlign w:val="center"/>
          </w:tcPr>
          <w:p>
            <w:pPr>
              <w:rPr>
                <w:rFonts w:ascii="宋体" w:hAnsi="宋体"/>
                <w:color w:val="000000"/>
              </w:rPr>
            </w:pPr>
            <w:r>
              <w:rPr>
                <w:rFonts w:hint="eastAsia" w:ascii="宋体" w:hAnsi="宋体"/>
                <w:color w:val="000000"/>
              </w:rPr>
              <w:t>IOS加固需支持Windows：Android NDK工程、支持Mac OS X：Xcode IOS工程、Android NDK工程、支持Ubuntu：Android NDK工程等操作系统。</w:t>
            </w:r>
          </w:p>
        </w:tc>
      </w:tr>
    </w:tbl>
    <w:p>
      <w:pPr>
        <w:pStyle w:val="2"/>
        <w:ind w:firstLine="0" w:firstLineChars="0"/>
      </w:pP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服务交付：本次交付的是云端Saas服务，对“我的扬州APP”进行应用安全加固，服务期两年，加固服务次数不限。</w:t>
      </w:r>
    </w:p>
    <w:p>
      <w:pPr>
        <w:snapToGrid w:val="0"/>
        <w:spacing w:line="360" w:lineRule="auto"/>
        <w:ind w:firstLine="0" w:firstLineChars="0"/>
        <w:jc w:val="left"/>
        <w:rPr>
          <w:rFonts w:hint="eastAsia" w:asciiTheme="minorEastAsia" w:hAnsiTheme="minorEastAsia" w:cstheme="minorEastAsia"/>
          <w:b/>
          <w:bCs/>
          <w:color w:val="000000"/>
          <w:sz w:val="21"/>
          <w:szCs w:val="21"/>
          <w:lang w:eastAsia="zh-CN"/>
        </w:rPr>
      </w:pPr>
      <w:r>
        <w:rPr>
          <w:rFonts w:hint="eastAsia" w:asciiTheme="minorEastAsia" w:hAnsiTheme="minorEastAsia" w:cstheme="minorEastAsia"/>
          <w:b/>
          <w:bCs/>
          <w:color w:val="000000"/>
          <w:sz w:val="21"/>
          <w:szCs w:val="21"/>
          <w:lang w:eastAsia="zh-CN"/>
        </w:rPr>
        <w:t>三、项目团队要求</w:t>
      </w:r>
    </w:p>
    <w:p>
      <w:pPr>
        <w:snapToGrid w:val="0"/>
        <w:spacing w:line="360" w:lineRule="auto"/>
        <w:ind w:firstLine="420" w:firstLineChars="200"/>
        <w:jc w:val="left"/>
        <w:rPr>
          <w:rFonts w:hint="eastAsia" w:asciiTheme="minorEastAsia" w:hAnsiTheme="minorEastAsia" w:cstheme="minorEastAsia"/>
          <w:color w:val="000000"/>
          <w:sz w:val="21"/>
          <w:szCs w:val="21"/>
          <w:highlight w:val="none"/>
          <w:shd w:val="clear" w:color="FFFFFF" w:fill="D9D9D9"/>
          <w:lang w:eastAsia="zh-CN"/>
        </w:rPr>
      </w:pPr>
      <w:r>
        <w:rPr>
          <w:rFonts w:hint="eastAsia" w:asciiTheme="minorEastAsia" w:hAnsiTheme="minorEastAsia" w:cstheme="minorEastAsia"/>
          <w:color w:val="000000"/>
          <w:sz w:val="21"/>
          <w:szCs w:val="21"/>
          <w:highlight w:val="none"/>
          <w:lang w:eastAsia="zh-CN"/>
        </w:rPr>
        <w:t>本项目</w:t>
      </w:r>
      <w:r>
        <w:rPr>
          <w:rFonts w:hint="eastAsia" w:asciiTheme="minorEastAsia" w:hAnsiTheme="minorEastAsia" w:cstheme="minorEastAsia"/>
          <w:color w:val="000000"/>
          <w:sz w:val="21"/>
          <w:szCs w:val="21"/>
          <w:highlight w:val="none"/>
        </w:rPr>
        <w:t>要求配置的项目服务团队</w:t>
      </w:r>
      <w:r>
        <w:rPr>
          <w:rFonts w:hint="eastAsia" w:asciiTheme="minorEastAsia" w:hAnsiTheme="minorEastAsia" w:cstheme="minorEastAsia"/>
          <w:color w:val="000000"/>
          <w:sz w:val="21"/>
          <w:szCs w:val="21"/>
          <w:highlight w:val="none"/>
          <w:lang w:eastAsia="zh-CN"/>
        </w:rPr>
        <w:t>人数</w:t>
      </w:r>
      <w:r>
        <w:rPr>
          <w:rFonts w:hint="eastAsia" w:asciiTheme="minorEastAsia" w:hAnsiTheme="minorEastAsia" w:cstheme="minorEastAsia"/>
          <w:color w:val="000000"/>
          <w:sz w:val="21"/>
          <w:szCs w:val="21"/>
          <w:highlight w:val="none"/>
        </w:rPr>
        <w:t>不少于3人，其中第一年提供不少于一名运维人员进行现场驻场运维。</w:t>
      </w:r>
    </w:p>
    <w:p>
      <w:pPr>
        <w:snapToGrid w:val="0"/>
        <w:spacing w:line="360" w:lineRule="auto"/>
        <w:ind w:firstLine="420" w:firstLineChars="200"/>
        <w:jc w:val="left"/>
        <w:rPr>
          <w:rFonts w:hint="eastAsia"/>
          <w:sz w:val="21"/>
          <w:szCs w:val="21"/>
          <w:highlight w:val="none"/>
        </w:rPr>
      </w:pPr>
      <w:r>
        <w:rPr>
          <w:rFonts w:hint="eastAsia" w:asciiTheme="minorEastAsia" w:hAnsiTheme="minorEastAsia" w:cstheme="minorEastAsia"/>
          <w:sz w:val="21"/>
          <w:szCs w:val="21"/>
          <w:highlight w:val="none"/>
          <w:shd w:val="clear" w:color="FFFFFF" w:fill="D9D9D9"/>
        </w:rPr>
        <w:t>★</w:t>
      </w:r>
      <w:r>
        <w:rPr>
          <w:rFonts w:hint="eastAsia" w:asciiTheme="minorEastAsia" w:hAnsiTheme="minorEastAsia" w:cstheme="minorEastAsia"/>
          <w:sz w:val="21"/>
          <w:szCs w:val="21"/>
          <w:highlight w:val="none"/>
          <w:shd w:val="clear" w:color="FFFFFF" w:fill="D9D9D9"/>
          <w:lang w:val="en-US" w:eastAsia="zh-CN"/>
        </w:rPr>
        <w:t>运维人员</w:t>
      </w:r>
      <w:r>
        <w:rPr>
          <w:rFonts w:hint="eastAsia" w:asciiTheme="minorEastAsia" w:hAnsiTheme="minorEastAsia" w:cstheme="minorEastAsia"/>
          <w:color w:val="000000"/>
          <w:sz w:val="21"/>
          <w:szCs w:val="21"/>
          <w:highlight w:val="none"/>
          <w:shd w:val="clear" w:color="FFFFFF" w:fill="D9D9D9"/>
          <w:lang w:val="en-US" w:eastAsia="zh-CN"/>
        </w:rPr>
        <w:t>须具有CISP证书。（复印件加盖公章装订于投标文件中）</w:t>
      </w:r>
    </w:p>
    <w:p>
      <w:pPr>
        <w:snapToGrid w:val="0"/>
        <w:spacing w:line="360" w:lineRule="auto"/>
        <w:ind w:firstLine="0" w:firstLineChars="0"/>
        <w:jc w:val="left"/>
        <w:rPr>
          <w:rFonts w:asciiTheme="minorEastAsia" w:hAnsiTheme="minorEastAsia" w:cstheme="minorEastAsia"/>
          <w:b/>
          <w:bCs/>
          <w:snapToGrid w:val="0"/>
          <w:sz w:val="21"/>
          <w:szCs w:val="21"/>
          <w:highlight w:val="none"/>
        </w:rPr>
      </w:pPr>
      <w:r>
        <w:rPr>
          <w:rFonts w:hint="eastAsia" w:asciiTheme="minorEastAsia" w:hAnsiTheme="minorEastAsia" w:cstheme="minorEastAsia"/>
          <w:b/>
          <w:bCs/>
          <w:kern w:val="0"/>
          <w:sz w:val="21"/>
          <w:szCs w:val="21"/>
          <w:highlight w:val="none"/>
          <w:lang w:eastAsia="zh-CN"/>
        </w:rPr>
        <w:t>四</w:t>
      </w:r>
      <w:r>
        <w:rPr>
          <w:rFonts w:hint="eastAsia" w:asciiTheme="minorEastAsia" w:hAnsiTheme="minorEastAsia" w:cstheme="minorEastAsia"/>
          <w:b/>
          <w:bCs/>
          <w:kern w:val="0"/>
          <w:sz w:val="21"/>
          <w:szCs w:val="21"/>
          <w:highlight w:val="none"/>
        </w:rPr>
        <w:t>、</w:t>
      </w:r>
      <w:r>
        <w:rPr>
          <w:rFonts w:hint="eastAsia" w:asciiTheme="minorEastAsia" w:hAnsiTheme="minorEastAsia" w:cstheme="minorEastAsia"/>
          <w:b/>
          <w:bCs/>
          <w:snapToGrid w:val="0"/>
          <w:sz w:val="21"/>
          <w:szCs w:val="21"/>
          <w:highlight w:val="none"/>
        </w:rPr>
        <w:t>勘察现场</w:t>
      </w:r>
    </w:p>
    <w:p>
      <w:pPr>
        <w:snapToGrid w:val="0"/>
        <w:spacing w:line="360" w:lineRule="auto"/>
        <w:rPr>
          <w:rFonts w:hint="eastAsia" w:asciiTheme="minorEastAsia" w:hAnsiTheme="minorEastAsia" w:cstheme="minorEastAsia"/>
          <w:snapToGrid w:val="0"/>
          <w:szCs w:val="21"/>
          <w:highlight w:val="none"/>
        </w:rPr>
      </w:pPr>
      <w:r>
        <w:rPr>
          <w:rFonts w:hint="eastAsia" w:asciiTheme="minorEastAsia" w:hAnsiTheme="minorEastAsia" w:cstheme="minorEastAsia"/>
          <w:snapToGrid w:val="0"/>
          <w:sz w:val="21"/>
          <w:szCs w:val="21"/>
          <w:highlight w:val="none"/>
        </w:rPr>
        <w:t>1.</w:t>
      </w:r>
      <w:r>
        <w:rPr>
          <w:rFonts w:hint="eastAsia" w:asciiTheme="minorEastAsia" w:hAnsiTheme="minorEastAsia" w:cstheme="minorEastAsia"/>
          <w:kern w:val="0"/>
          <w:sz w:val="21"/>
          <w:szCs w:val="21"/>
          <w:highlight w:val="none"/>
        </w:rPr>
        <w:t>招标人</w:t>
      </w:r>
      <w:r>
        <w:rPr>
          <w:rFonts w:hint="eastAsia" w:asciiTheme="minorEastAsia" w:hAnsiTheme="minorEastAsia" w:cstheme="minorEastAsia"/>
          <w:kern w:val="0"/>
          <w:szCs w:val="21"/>
          <w:highlight w:val="none"/>
        </w:rPr>
        <w:t>不组织现场踏勘，</w:t>
      </w:r>
      <w:r>
        <w:rPr>
          <w:rFonts w:hint="eastAsia" w:asciiTheme="minorEastAsia" w:hAnsiTheme="minorEastAsia" w:cstheme="minorEastAsia"/>
          <w:szCs w:val="21"/>
          <w:highlight w:val="none"/>
        </w:rPr>
        <w:t>建议投标人自行前往现场踏勘</w:t>
      </w:r>
      <w:r>
        <w:rPr>
          <w:rFonts w:hint="eastAsia" w:asciiTheme="minorEastAsia" w:hAnsiTheme="minorEastAsia" w:cstheme="minorEastAsia"/>
          <w:snapToGrid w:val="0"/>
          <w:szCs w:val="21"/>
          <w:highlight w:val="none"/>
        </w:rPr>
        <w:t>，以获取编制投标文件和签署合同所需的所有资料。</w:t>
      </w:r>
      <w:r>
        <w:rPr>
          <w:rFonts w:hint="eastAsia" w:asciiTheme="minorEastAsia" w:hAnsiTheme="minorEastAsia" w:cstheme="minorEastAsia"/>
          <w:highlight w:val="none"/>
        </w:rPr>
        <w:t>联系人：</w:t>
      </w:r>
      <w:r>
        <w:rPr>
          <w:rFonts w:hint="eastAsia" w:asciiTheme="minorEastAsia" w:hAnsiTheme="minorEastAsia" w:cstheme="minorEastAsia"/>
          <w:color w:val="000000"/>
          <w:szCs w:val="21"/>
          <w:highlight w:val="none"/>
          <w:shd w:val="clear" w:color="auto" w:fill="FFFFFF"/>
        </w:rPr>
        <w:t>赵晨</w:t>
      </w: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rPr>
        <w:t>电话：</w:t>
      </w:r>
      <w:r>
        <w:rPr>
          <w:rFonts w:hint="eastAsia" w:asciiTheme="minorEastAsia" w:hAnsiTheme="minorEastAsia" w:cstheme="minorEastAsia"/>
          <w:color w:val="000000"/>
          <w:szCs w:val="21"/>
          <w:highlight w:val="none"/>
          <w:shd w:val="clear" w:color="auto" w:fill="FFFFFF"/>
        </w:rPr>
        <w:t>18012139001</w:t>
      </w:r>
    </w:p>
    <w:p>
      <w:pPr>
        <w:snapToGrid w:val="0"/>
        <w:spacing w:line="360" w:lineRule="auto"/>
        <w:jc w:val="left"/>
        <w:rPr>
          <w:rFonts w:asciiTheme="minorEastAsia" w:hAnsiTheme="minorEastAsia" w:cstheme="minorEastAsia"/>
          <w:snapToGrid w:val="0"/>
          <w:szCs w:val="21"/>
          <w:highlight w:val="none"/>
        </w:rPr>
      </w:pPr>
      <w:r>
        <w:rPr>
          <w:rFonts w:hint="eastAsia" w:asciiTheme="minorEastAsia" w:hAnsiTheme="minorEastAsia" w:cstheme="minorEastAsia"/>
          <w:snapToGrid w:val="0"/>
          <w:szCs w:val="21"/>
          <w:highlight w:val="none"/>
          <w:lang w:val="en-US" w:eastAsia="zh-CN"/>
        </w:rPr>
        <w:t>2.</w:t>
      </w:r>
      <w:r>
        <w:rPr>
          <w:rFonts w:hint="eastAsia" w:asciiTheme="minorEastAsia" w:hAnsiTheme="minorEastAsia" w:cstheme="minorEastAsia"/>
          <w:snapToGrid w:val="0"/>
          <w:szCs w:val="21"/>
          <w:highlight w:val="none"/>
        </w:rPr>
        <w:t>勘察现场所发生的费用由投标人承担。</w:t>
      </w:r>
    </w:p>
    <w:p>
      <w:pPr>
        <w:pStyle w:val="28"/>
        <w:snapToGrid w:val="0"/>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napToGrid w:val="0"/>
          <w:color w:val="auto"/>
          <w:sz w:val="21"/>
          <w:szCs w:val="21"/>
          <w:highlight w:val="none"/>
          <w:lang w:val="en-US" w:eastAsia="zh-CN"/>
        </w:rPr>
        <w:t>3</w:t>
      </w:r>
      <w:r>
        <w:rPr>
          <w:rFonts w:hint="eastAsia" w:asciiTheme="minorEastAsia" w:hAnsiTheme="minorEastAsia" w:eastAsiaTheme="minorEastAsia" w:cstheme="minorEastAsia"/>
          <w:snapToGrid w:val="0"/>
          <w:color w:val="auto"/>
          <w:sz w:val="21"/>
          <w:szCs w:val="21"/>
          <w:highlight w:val="none"/>
          <w:lang w:eastAsia="zh-CN"/>
        </w:rPr>
        <w:t>.招标人向投标人提供的有关项目现场的资料和数据是招标人现有的能使投标人利用</w:t>
      </w:r>
      <w:r>
        <w:rPr>
          <w:rFonts w:hint="eastAsia" w:asciiTheme="minorEastAsia" w:hAnsiTheme="minorEastAsia" w:eastAsiaTheme="minorEastAsia" w:cstheme="minorEastAsia"/>
          <w:snapToGrid w:val="0"/>
          <w:color w:val="auto"/>
          <w:sz w:val="21"/>
          <w:szCs w:val="21"/>
          <w:lang w:eastAsia="zh-CN"/>
        </w:rPr>
        <w:t>的资料。招标人对投标人由此而做出的推论、理解和结论概不负责。</w:t>
      </w: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4"/>
        <w:snapToGrid w:val="0"/>
        <w:spacing w:before="0" w:after="0" w:line="360" w:lineRule="auto"/>
        <w:rPr>
          <w:rFonts w:asciiTheme="minorEastAsia" w:hAnsiTheme="minorEastAsia" w:eastAsiaTheme="minorEastAsia" w:cstheme="minorEastAsia"/>
        </w:rPr>
      </w:pPr>
      <w:bookmarkStart w:id="110" w:name="_Toc2547"/>
      <w:r>
        <w:rPr>
          <w:rFonts w:hint="eastAsia" w:asciiTheme="minorEastAsia" w:hAnsiTheme="minorEastAsia" w:eastAsiaTheme="minorEastAsia" w:cstheme="minorEastAsia"/>
        </w:rPr>
        <w:t>第六章 投标文件格式</w:t>
      </w:r>
      <w:bookmarkEnd w:id="110"/>
    </w:p>
    <w:p>
      <w:pPr>
        <w:pStyle w:val="6"/>
        <w:snapToGrid w:val="0"/>
        <w:spacing w:before="0" w:after="0" w:line="360" w:lineRule="auto"/>
        <w:jc w:val="center"/>
        <w:rPr>
          <w:rFonts w:cstheme="minorEastAsia"/>
        </w:rPr>
      </w:pPr>
      <w:bookmarkStart w:id="111" w:name="_Toc9989"/>
      <w:r>
        <w:rPr>
          <w:rFonts w:hint="eastAsia" w:cstheme="minorEastAsia"/>
        </w:rPr>
        <w:t>封面</w:t>
      </w:r>
      <w:bookmarkEnd w:id="111"/>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正本/副本</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ind w:firstLine="960"/>
        <w:jc w:val="center"/>
        <w:rPr>
          <w:rFonts w:asciiTheme="minorEastAsia" w:hAnsiTheme="minorEastAsia" w:cstheme="minorEastAsia"/>
          <w:sz w:val="28"/>
          <w:szCs w:val="28"/>
        </w:rPr>
      </w:pPr>
      <w:r>
        <w:rPr>
          <w:rFonts w:hint="eastAsia" w:asciiTheme="minorEastAsia" w:hAnsiTheme="minorEastAsia" w:cstheme="minorEastAsia"/>
          <w:bCs/>
          <w:sz w:val="48"/>
          <w:szCs w:val="48"/>
        </w:rPr>
        <w:t>扬州市民卡有限责任公司“我的扬州APP”安全保障产品及服务采购</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ind w:left="560" w:firstLine="0" w:firstLineChars="0"/>
        <w:jc w:val="center"/>
        <w:rPr>
          <w:rFonts w:asciiTheme="minorEastAsia" w:hAnsiTheme="minorEastAsia" w:cstheme="minorEastAsia"/>
          <w:b/>
          <w:spacing w:val="160"/>
          <w:kern w:val="36"/>
          <w:sz w:val="56"/>
          <w:szCs w:val="56"/>
        </w:rPr>
      </w:pPr>
      <w:r>
        <w:rPr>
          <w:rFonts w:hint="eastAsia" w:asciiTheme="minorEastAsia" w:hAnsiTheme="minorEastAsia" w:cstheme="minorEastAsia"/>
          <w:b/>
          <w:spacing w:val="160"/>
          <w:kern w:val="36"/>
          <w:sz w:val="56"/>
          <w:szCs w:val="56"/>
        </w:rPr>
        <w:t>投标文件</w:t>
      </w:r>
    </w:p>
    <w:p>
      <w:pPr>
        <w:snapToGrid w:val="0"/>
        <w:spacing w:line="360" w:lineRule="auto"/>
        <w:ind w:firstLine="720"/>
        <w:jc w:val="center"/>
        <w:rPr>
          <w:rFonts w:asciiTheme="minorEastAsia" w:hAnsiTheme="minorEastAsia" w:cstheme="minorEastAsia"/>
        </w:rPr>
      </w:pPr>
      <w:r>
        <w:rPr>
          <w:rFonts w:hint="eastAsia" w:asciiTheme="minorEastAsia" w:hAnsiTheme="minorEastAsia" w:cstheme="minorEastAsia"/>
          <w:kern w:val="10"/>
          <w:sz w:val="36"/>
          <w:szCs w:val="36"/>
        </w:rPr>
        <w:t>编号：</w:t>
      </w:r>
      <w:r>
        <w:rPr>
          <w:rFonts w:hint="eastAsia" w:asciiTheme="minorEastAsia" w:hAnsiTheme="minorEastAsia" w:cstheme="minorEastAsia"/>
          <w:kern w:val="10"/>
          <w:sz w:val="36"/>
          <w:szCs w:val="36"/>
          <w:lang w:eastAsia="zh-CN"/>
        </w:rPr>
        <w:t>066019531692</w:t>
      </w:r>
      <w:r>
        <w:rPr>
          <w:rFonts w:hint="eastAsia" w:asciiTheme="minorEastAsia" w:hAnsiTheme="minorEastAsia" w:cstheme="minorEastAsia"/>
          <w:kern w:val="10"/>
          <w:sz w:val="36"/>
          <w:szCs w:val="36"/>
        </w:rPr>
        <w:t>/1</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（盖单位章）</w:t>
      </w:r>
    </w:p>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法定代表人（单位负责人）或其委托代理人：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jc w:val="center"/>
        <w:rPr>
          <w:rFonts w:asciiTheme="minorEastAsia" w:hAnsiTheme="minorEastAsia" w:cstheme="minorEastAsia"/>
        </w:rPr>
      </w:pP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日</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r>
        <w:rPr>
          <w:rFonts w:hint="eastAsia" w:asciiTheme="minorEastAsia" w:hAnsiTheme="minorEastAsia" w:cstheme="minorEastAsia"/>
        </w:rPr>
        <w:br w:type="page"/>
      </w:r>
    </w:p>
    <w:p>
      <w:pPr>
        <w:snapToGrid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cstheme="minorEastAsia"/>
          <w:sz w:val="36"/>
          <w:szCs w:val="36"/>
          <w:lang w:eastAsia="zh-CN"/>
        </w:rPr>
        <w:t>评分表</w:t>
      </w:r>
    </w:p>
    <w:tbl>
      <w:tblPr>
        <w:tblStyle w:val="25"/>
        <w:tblW w:w="9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50"/>
        <w:gridCol w:w="660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2" w:type="dxa"/>
            <w:gridSpan w:val="2"/>
            <w:vAlign w:val="center"/>
          </w:tcPr>
          <w:p>
            <w:pPr>
              <w:pStyle w:val="50"/>
              <w:widowControl/>
              <w:adjustRightInd w:val="0"/>
              <w:snapToGrid w:val="0"/>
              <w:spacing w:before="0" w:beforeAutospacing="0" w:after="0" w:afterAutospacing="0"/>
              <w:jc w:val="center"/>
              <w:rPr>
                <w:rFonts w:asciiTheme="minorEastAsia" w:hAnsiTheme="minorEastAsia" w:cstheme="minorEastAsia"/>
              </w:rPr>
            </w:pPr>
            <w:r>
              <w:rPr>
                <w:rFonts w:hint="eastAsia" w:ascii="宋体" w:hAnsi="宋体" w:cs="宋体"/>
                <w:color w:val="auto"/>
                <w:sz w:val="21"/>
                <w:szCs w:val="21"/>
                <w:highlight w:val="none"/>
                <w:lang w:eastAsia="zh-CN"/>
              </w:rPr>
              <w:t>评审因素</w:t>
            </w:r>
          </w:p>
        </w:tc>
        <w:tc>
          <w:tcPr>
            <w:tcW w:w="6608" w:type="dxa"/>
            <w:vAlign w:val="center"/>
          </w:tcPr>
          <w:p>
            <w:pPr>
              <w:ind w:firstLine="420" w:firstLineChars="200"/>
              <w:jc w:val="center"/>
              <w:rPr>
                <w:rFonts w:hint="eastAsia" w:asciiTheme="minorEastAsia" w:hAnsiTheme="minorEastAsia" w:cstheme="minorEastAsia"/>
              </w:rPr>
            </w:pPr>
            <w:r>
              <w:rPr>
                <w:rFonts w:hint="eastAsia" w:ascii="宋体" w:hAnsi="宋体" w:cs="宋体"/>
                <w:color w:val="auto"/>
                <w:szCs w:val="21"/>
                <w:highlight w:val="none"/>
                <w:lang w:eastAsia="zh-CN"/>
              </w:rPr>
              <w:t>评审标准</w:t>
            </w:r>
          </w:p>
        </w:tc>
        <w:tc>
          <w:tcPr>
            <w:tcW w:w="1110" w:type="dxa"/>
            <w:vAlign w:val="center"/>
          </w:tcPr>
          <w:p>
            <w:pPr>
              <w:ind w:left="0" w:leftChars="0" w:firstLine="0" w:firstLineChars="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投标文件</w:t>
            </w:r>
          </w:p>
          <w:p>
            <w:pPr>
              <w:ind w:left="0" w:leftChars="0" w:firstLine="0" w:firstLineChars="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2" w:type="dxa"/>
            <w:gridSpan w:val="2"/>
            <w:vAlign w:val="center"/>
          </w:tcPr>
          <w:p>
            <w:pPr>
              <w:pStyle w:val="50"/>
              <w:widowControl/>
              <w:adjustRightInd w:val="0"/>
              <w:snapToGrid w:val="0"/>
              <w:spacing w:before="0" w:beforeAutospacing="0" w:after="0" w:afterAutospacing="0"/>
              <w:rPr>
                <w:rFonts w:hint="eastAsia" w:asciiTheme="minorEastAsia" w:hAnsiTheme="minorEastAsia" w:cstheme="minorEastAsia"/>
              </w:rPr>
            </w:pPr>
            <w:r>
              <w:rPr>
                <w:rFonts w:hint="eastAsia" w:ascii="宋体" w:hAnsi="宋体" w:cs="宋体"/>
                <w:bCs/>
                <w:color w:val="auto"/>
                <w:sz w:val="21"/>
                <w:szCs w:val="21"/>
                <w:highlight w:val="none"/>
              </w:rPr>
              <w:t>投标报价（</w:t>
            </w:r>
            <w:r>
              <w:rPr>
                <w:rFonts w:hint="eastAsia" w:ascii="宋体" w:hAnsi="宋体" w:cs="宋体"/>
                <w:bCs/>
                <w:color w:val="auto"/>
                <w:sz w:val="21"/>
                <w:szCs w:val="21"/>
                <w:highlight w:val="none"/>
                <w:lang w:val="en-US" w:eastAsia="zh-CN"/>
              </w:rPr>
              <w:t>12</w:t>
            </w:r>
            <w:r>
              <w:rPr>
                <w:rFonts w:hint="eastAsia" w:ascii="宋体" w:hAnsi="宋体" w:cs="宋体"/>
                <w:bCs/>
                <w:color w:val="auto"/>
                <w:sz w:val="21"/>
                <w:szCs w:val="21"/>
                <w:highlight w:val="none"/>
              </w:rPr>
              <w:t>分）</w:t>
            </w:r>
          </w:p>
        </w:tc>
        <w:tc>
          <w:tcPr>
            <w:tcW w:w="6608" w:type="dxa"/>
            <w:vAlign w:val="center"/>
          </w:tcPr>
          <w:p>
            <w:pPr>
              <w:snapToGrid w:val="0"/>
              <w:ind w:firstLine="0" w:firstLineChars="0"/>
              <w:jc w:val="left"/>
              <w:rPr>
                <w:rFonts w:hint="eastAsia"/>
              </w:rPr>
            </w:pPr>
            <w:r>
              <w:rPr>
                <w:rFonts w:hint="eastAsia"/>
              </w:rPr>
              <w:t>在所有通过初步评审投标人的评标价中，投标单位≥7家时，去掉一个最高价和一个最低价，以其余评标价的</w:t>
            </w:r>
            <w:r>
              <w:rPr>
                <w:rFonts w:hint="eastAsia"/>
                <w:lang w:eastAsia="zh-CN"/>
              </w:rPr>
              <w:t>算术</w:t>
            </w:r>
            <w:r>
              <w:rPr>
                <w:rFonts w:hint="eastAsia"/>
              </w:rPr>
              <w:t>平均值为基准值；投标单位＜7家时，所有评标价的</w:t>
            </w:r>
            <w:r>
              <w:rPr>
                <w:rFonts w:hint="eastAsia"/>
                <w:lang w:eastAsia="zh-CN"/>
              </w:rPr>
              <w:t>算术</w:t>
            </w:r>
            <w:r>
              <w:rPr>
                <w:rFonts w:hint="eastAsia"/>
              </w:rPr>
              <w:t>平均值为基准值。</w:t>
            </w:r>
            <w:r>
              <w:rPr>
                <w:rFonts w:hint="eastAsia" w:ascii="宋体" w:hAnsi="宋体" w:cs="宋体"/>
                <w:color w:val="auto"/>
                <w:szCs w:val="21"/>
                <w:highlight w:val="none"/>
              </w:rPr>
              <w:t>评标价等于评标基准价的得满分</w:t>
            </w:r>
            <w:r>
              <w:rPr>
                <w:rFonts w:hint="eastAsia" w:cs="宋体"/>
                <w:color w:val="auto"/>
                <w:szCs w:val="21"/>
                <w:highlight w:val="none"/>
                <w:lang w:val="en-US" w:eastAsia="zh-CN"/>
              </w:rPr>
              <w:t>12</w:t>
            </w:r>
            <w:r>
              <w:rPr>
                <w:rFonts w:hint="eastAsia" w:ascii="宋体" w:hAnsi="宋体" w:cs="宋体"/>
                <w:color w:val="auto"/>
                <w:szCs w:val="21"/>
                <w:highlight w:val="none"/>
              </w:rPr>
              <w:t>分，每高于评标基准价一个百分点扣0.5分，每低于评标基准价一个百分点扣0.</w:t>
            </w:r>
            <w:r>
              <w:rPr>
                <w:rFonts w:hint="eastAsia" w:cs="宋体"/>
                <w:color w:val="auto"/>
                <w:szCs w:val="21"/>
                <w:highlight w:val="none"/>
                <w:lang w:val="en-US" w:eastAsia="zh-CN"/>
              </w:rPr>
              <w:t>3</w:t>
            </w:r>
            <w:r>
              <w:rPr>
                <w:rFonts w:hint="eastAsia" w:ascii="宋体" w:hAnsi="宋体" w:cs="宋体"/>
                <w:color w:val="auto"/>
                <w:szCs w:val="21"/>
                <w:highlight w:val="none"/>
              </w:rPr>
              <w:t>分，不足一个百分点的按插入法计算（小数点后保留二位）。</w:t>
            </w:r>
          </w:p>
        </w:tc>
        <w:tc>
          <w:tcPr>
            <w:tcW w:w="1110" w:type="dxa"/>
            <w:vAlign w:val="center"/>
          </w:tcPr>
          <w:p>
            <w:pPr>
              <w:snapToGrid w:val="0"/>
              <w:ind w:firstLine="0" w:firstLineChars="0"/>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商务评分标准（</w:t>
            </w:r>
            <w:r>
              <w:rPr>
                <w:rFonts w:hint="eastAsia" w:asciiTheme="minorEastAsia" w:hAnsiTheme="minorEastAsia" w:cstheme="minorEastAsia"/>
                <w:lang w:val="en-US" w:eastAsia="zh-CN"/>
              </w:rPr>
              <w:t>38</w:t>
            </w:r>
            <w:r>
              <w:rPr>
                <w:rFonts w:hint="eastAsia" w:asciiTheme="minorEastAsia" w:hAnsiTheme="minorEastAsia" w:cstheme="minorEastAsia"/>
              </w:rPr>
              <w:t>分）</w:t>
            </w:r>
          </w:p>
        </w:tc>
        <w:tc>
          <w:tcPr>
            <w:tcW w:w="1350"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管理体系认证（15分）</w:t>
            </w:r>
          </w:p>
        </w:tc>
        <w:tc>
          <w:tcPr>
            <w:tcW w:w="6608" w:type="dxa"/>
            <w:vAlign w:val="center"/>
          </w:tcPr>
          <w:p>
            <w:pPr>
              <w:snapToGrid w:val="0"/>
              <w:ind w:firstLine="0" w:firstLineChars="0"/>
              <w:rPr>
                <w:rFonts w:asciiTheme="minorEastAsia" w:hAnsiTheme="minorEastAsia" w:cstheme="minorEastAsia"/>
              </w:rPr>
            </w:pPr>
            <w:r>
              <w:rPr>
                <w:rFonts w:hint="eastAsia" w:asciiTheme="minorEastAsia" w:hAnsiTheme="minorEastAsia" w:cstheme="minorEastAsia"/>
                <w:kern w:val="0"/>
              </w:rPr>
              <w:t>投标人具有有效期内的</w:t>
            </w:r>
            <w:r>
              <w:rPr>
                <w:rFonts w:hint="eastAsia" w:asciiTheme="minorEastAsia" w:hAnsiTheme="minorEastAsia" w:cstheme="minorEastAsia"/>
                <w:kern w:val="0"/>
                <w:szCs w:val="21"/>
              </w:rPr>
              <w:t>ISO9001质量管理体系认证证书、I</w:t>
            </w:r>
            <w:r>
              <w:rPr>
                <w:rFonts w:hint="eastAsia" w:asciiTheme="minorEastAsia" w:hAnsiTheme="minorEastAsia" w:cstheme="minorEastAsia"/>
                <w:color w:val="000000"/>
                <w:szCs w:val="21"/>
              </w:rPr>
              <w:t>S020000信息技术服务管理系统认证证书、</w:t>
            </w:r>
            <w:r>
              <w:rPr>
                <w:rFonts w:hint="eastAsia" w:asciiTheme="minorEastAsia" w:hAnsiTheme="minorEastAsia" w:cstheme="minorEastAsia"/>
                <w:szCs w:val="21"/>
              </w:rPr>
              <w:t>中国信息安全测评中心颁发的信息安全服务资质（安全工程类三级或以上）、中国信息安全认证中心ISCCC颁发的信息系统安全运维服务资质（一级），</w:t>
            </w:r>
            <w:r>
              <w:rPr>
                <w:rFonts w:hint="eastAsia" w:asciiTheme="minorEastAsia" w:hAnsiTheme="minorEastAsia" w:cstheme="minorEastAsia"/>
                <w:szCs w:val="21"/>
                <w:highlight w:val="none"/>
                <w:lang w:eastAsia="zh-CN"/>
              </w:rPr>
              <w:t>全部满足</w:t>
            </w:r>
            <w:r>
              <w:rPr>
                <w:rFonts w:hint="eastAsia" w:asciiTheme="minorEastAsia" w:hAnsiTheme="minorEastAsia" w:cstheme="minorEastAsia"/>
                <w:color w:val="000000"/>
                <w:szCs w:val="21"/>
                <w:highlight w:val="none"/>
              </w:rPr>
              <w:t>得15分，</w:t>
            </w:r>
            <w:r>
              <w:rPr>
                <w:rFonts w:hint="eastAsia" w:asciiTheme="minorEastAsia" w:hAnsiTheme="minorEastAsia" w:cstheme="minorEastAsia"/>
                <w:color w:val="000000"/>
                <w:szCs w:val="21"/>
                <w:highlight w:val="none"/>
                <w:lang w:eastAsia="zh-CN"/>
              </w:rPr>
              <w:t>部分满足</w:t>
            </w:r>
            <w:r>
              <w:rPr>
                <w:rFonts w:hint="eastAsia" w:asciiTheme="minorEastAsia" w:hAnsiTheme="minorEastAsia" w:cstheme="minorEastAsia"/>
                <w:color w:val="000000"/>
                <w:szCs w:val="21"/>
                <w:highlight w:val="none"/>
              </w:rPr>
              <w:t>得10分，全部不满足不得分</w:t>
            </w:r>
            <w:r>
              <w:rPr>
                <w:rFonts w:hint="eastAsia" w:asciiTheme="minorEastAsia" w:hAnsiTheme="minorEastAsia" w:cstheme="minorEastAsia"/>
                <w:szCs w:val="21"/>
              </w:rPr>
              <w:t>。（证书复印件加盖投标人公</w:t>
            </w:r>
            <w:r>
              <w:rPr>
                <w:rFonts w:hint="eastAsia" w:asciiTheme="minorEastAsia" w:hAnsiTheme="minorEastAsia" w:cstheme="minorEastAsia"/>
                <w:color w:val="000000"/>
                <w:szCs w:val="21"/>
              </w:rPr>
              <w:t>章装订于投标文件中）</w:t>
            </w:r>
          </w:p>
        </w:tc>
        <w:tc>
          <w:tcPr>
            <w:tcW w:w="1110" w:type="dxa"/>
            <w:vAlign w:val="center"/>
          </w:tcPr>
          <w:p>
            <w:pPr>
              <w:ind w:firstLine="0" w:firstLineChars="0"/>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vAlign w:val="center"/>
          </w:tcPr>
          <w:p>
            <w:pPr>
              <w:snapToGrid w:val="0"/>
              <w:ind w:firstLine="0" w:firstLineChars="0"/>
              <w:jc w:val="center"/>
              <w:rPr>
                <w:rFonts w:asciiTheme="minorEastAsia" w:hAnsiTheme="minorEastAsia" w:cstheme="minorEastAsia"/>
              </w:rPr>
            </w:pPr>
          </w:p>
        </w:tc>
        <w:tc>
          <w:tcPr>
            <w:tcW w:w="1350"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szCs w:val="21"/>
              </w:rPr>
              <w:t>服务能力（</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分）</w:t>
            </w:r>
          </w:p>
        </w:tc>
        <w:tc>
          <w:tcPr>
            <w:tcW w:w="6608" w:type="dxa"/>
            <w:vAlign w:val="center"/>
          </w:tcPr>
          <w:p>
            <w:pPr>
              <w:snapToGrid w:val="0"/>
              <w:ind w:firstLine="0" w:firstLineChars="0"/>
              <w:jc w:val="left"/>
              <w:rPr>
                <w:rFonts w:asciiTheme="minorEastAsia" w:hAnsiTheme="minorEastAsia" w:cstheme="minorEastAsia"/>
                <w:kern w:val="0"/>
              </w:rPr>
            </w:pPr>
            <w:r>
              <w:rPr>
                <w:rFonts w:hint="eastAsia" w:asciiTheme="minorEastAsia" w:hAnsiTheme="minorEastAsia" w:cstheme="minorEastAsia"/>
                <w:szCs w:val="21"/>
              </w:rPr>
              <w:t>投标人</w:t>
            </w:r>
            <w:r>
              <w:rPr>
                <w:rFonts w:hint="eastAsia" w:asciiTheme="minorEastAsia" w:hAnsiTheme="minorEastAsia" w:cstheme="minorEastAsia"/>
                <w:szCs w:val="21"/>
                <w:lang w:eastAsia="zh-CN"/>
              </w:rPr>
              <w:t>为</w:t>
            </w:r>
            <w:r>
              <w:rPr>
                <w:rFonts w:hint="eastAsia" w:asciiTheme="minorEastAsia" w:hAnsiTheme="minorEastAsia" w:cstheme="minorEastAsia"/>
                <w:szCs w:val="21"/>
              </w:rPr>
              <w:t>CNCERT/CC网络安全应急服务支撑单位（国家级）、 CNNVD技术支撑单位（一级）</w:t>
            </w:r>
            <w:r>
              <w:rPr>
                <w:rFonts w:hint="eastAsia" w:asciiTheme="minorEastAsia" w:hAnsiTheme="minorEastAsia" w:cstheme="minorEastAsia"/>
                <w:szCs w:val="21"/>
                <w:lang w:eastAsia="zh-CN"/>
              </w:rPr>
              <w:t>，</w:t>
            </w:r>
            <w:r>
              <w:rPr>
                <w:rFonts w:hint="eastAsia" w:asciiTheme="minorEastAsia" w:hAnsiTheme="minorEastAsia" w:cstheme="minorEastAsia"/>
                <w:szCs w:val="21"/>
              </w:rPr>
              <w:t>每</w:t>
            </w:r>
            <w:r>
              <w:rPr>
                <w:rFonts w:hint="eastAsia" w:asciiTheme="minorEastAsia" w:hAnsiTheme="minorEastAsia" w:cstheme="minorEastAsia"/>
                <w:color w:val="000000"/>
                <w:szCs w:val="21"/>
              </w:rPr>
              <w:t>项得</w:t>
            </w:r>
            <w:r>
              <w:rPr>
                <w:rFonts w:hint="eastAsia" w:asciiTheme="minorEastAsia" w:hAnsiTheme="minorEastAsia" w:cstheme="minorEastAsia"/>
                <w:color w:val="000000"/>
                <w:szCs w:val="21"/>
                <w:lang w:val="en-US" w:eastAsia="zh-CN"/>
              </w:rPr>
              <w:t>2</w:t>
            </w:r>
            <w:r>
              <w:rPr>
                <w:rFonts w:hint="eastAsia" w:asciiTheme="minorEastAsia" w:hAnsiTheme="minorEastAsia" w:cstheme="minorEastAsia"/>
                <w:color w:val="000000"/>
                <w:szCs w:val="21"/>
              </w:rPr>
              <w:t>分，最高得</w:t>
            </w:r>
            <w:r>
              <w:rPr>
                <w:rFonts w:hint="eastAsia" w:asciiTheme="minorEastAsia" w:hAnsiTheme="minorEastAsia" w:cstheme="minorEastAsia"/>
                <w:color w:val="000000"/>
                <w:szCs w:val="21"/>
                <w:lang w:val="en-US" w:eastAsia="zh-CN"/>
              </w:rPr>
              <w:t>4</w:t>
            </w:r>
            <w:r>
              <w:rPr>
                <w:rFonts w:hint="eastAsia" w:asciiTheme="minorEastAsia" w:hAnsiTheme="minorEastAsia" w:cstheme="minorEastAsia"/>
                <w:color w:val="000000"/>
                <w:szCs w:val="21"/>
              </w:rPr>
              <w:t>分。</w:t>
            </w:r>
            <w:r>
              <w:rPr>
                <w:rFonts w:hint="eastAsia" w:asciiTheme="minorEastAsia" w:hAnsiTheme="minorEastAsia" w:cstheme="minorEastAsia"/>
                <w:szCs w:val="21"/>
              </w:rPr>
              <w:t>（证书复印件加盖投标人公</w:t>
            </w:r>
            <w:r>
              <w:rPr>
                <w:rFonts w:hint="eastAsia" w:asciiTheme="minorEastAsia" w:hAnsiTheme="minorEastAsia" w:cstheme="minorEastAsia"/>
                <w:color w:val="000000"/>
                <w:szCs w:val="21"/>
              </w:rPr>
              <w:t>章装订于投标文件中）</w:t>
            </w:r>
          </w:p>
        </w:tc>
        <w:tc>
          <w:tcPr>
            <w:tcW w:w="1110" w:type="dxa"/>
            <w:vAlign w:val="center"/>
          </w:tcPr>
          <w:p>
            <w:pPr>
              <w:snapToGrid w:val="0"/>
              <w:ind w:firstLine="0" w:firstLineChars="0"/>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752" w:type="dxa"/>
            <w:vMerge w:val="continue"/>
            <w:vAlign w:val="center"/>
          </w:tcPr>
          <w:p>
            <w:pPr>
              <w:snapToGrid w:val="0"/>
              <w:ind w:firstLine="0" w:firstLineChars="0"/>
              <w:jc w:val="center"/>
              <w:rPr>
                <w:rFonts w:asciiTheme="minorEastAsia" w:hAnsiTheme="minorEastAsia" w:cstheme="minorEastAsia"/>
              </w:rPr>
            </w:pPr>
          </w:p>
        </w:tc>
        <w:tc>
          <w:tcPr>
            <w:tcW w:w="1350" w:type="dxa"/>
            <w:vAlign w:val="center"/>
          </w:tcPr>
          <w:p>
            <w:pPr>
              <w:snapToGrid w:val="0"/>
              <w:ind w:firstLine="0" w:firstLineChars="0"/>
              <w:rPr>
                <w:rFonts w:asciiTheme="minorEastAsia" w:hAnsiTheme="minorEastAsia" w:cstheme="minorEastAsia"/>
                <w:szCs w:val="21"/>
              </w:rPr>
            </w:pPr>
            <w:r>
              <w:rPr>
                <w:rFonts w:hint="eastAsia" w:asciiTheme="minorEastAsia" w:hAnsiTheme="minorEastAsia" w:cstheme="minorEastAsia"/>
                <w:color w:val="000000"/>
                <w:szCs w:val="21"/>
              </w:rPr>
              <w:t>投标人漏洞挖掘能力（</w:t>
            </w:r>
            <w:r>
              <w:rPr>
                <w:rFonts w:hint="eastAsia" w:asciiTheme="minorEastAsia" w:hAnsiTheme="minorEastAsia" w:cstheme="minorEastAsia"/>
                <w:color w:val="000000"/>
                <w:szCs w:val="21"/>
                <w:lang w:val="en-US" w:eastAsia="zh-CN"/>
              </w:rPr>
              <w:t>5</w:t>
            </w:r>
            <w:r>
              <w:rPr>
                <w:rFonts w:hint="eastAsia" w:asciiTheme="minorEastAsia" w:hAnsiTheme="minorEastAsia" w:cstheme="minorEastAsia"/>
                <w:color w:val="000000"/>
                <w:szCs w:val="21"/>
              </w:rPr>
              <w:t>分）</w:t>
            </w:r>
          </w:p>
        </w:tc>
        <w:tc>
          <w:tcPr>
            <w:tcW w:w="6608" w:type="dxa"/>
            <w:vAlign w:val="center"/>
          </w:tcPr>
          <w:p>
            <w:pPr>
              <w:snapToGrid w:val="0"/>
              <w:ind w:firstLine="0" w:firstLineChars="0"/>
              <w:rPr>
                <w:rFonts w:asciiTheme="minorEastAsia" w:hAnsiTheme="minorEastAsia" w:cstheme="minorEastAsia"/>
                <w:szCs w:val="21"/>
              </w:rPr>
            </w:pPr>
            <w:r>
              <w:rPr>
                <w:rFonts w:hint="eastAsia" w:asciiTheme="minorEastAsia" w:hAnsiTheme="minorEastAsia" w:cstheme="minorEastAsia"/>
                <w:color w:val="000000"/>
                <w:szCs w:val="21"/>
              </w:rPr>
              <w:t>投标人具备向国家信息安全漏洞共</w:t>
            </w:r>
            <w:r>
              <w:rPr>
                <w:rFonts w:hint="eastAsia" w:asciiTheme="minorEastAsia" w:hAnsiTheme="minorEastAsia" w:cstheme="minorEastAsia"/>
                <w:szCs w:val="21"/>
              </w:rPr>
              <w:t>享平台CNVD提交漏洞的能力，根据各投标人2018全年度成员单位工作贡献排名，第</w:t>
            </w:r>
            <w:r>
              <w:rPr>
                <w:rFonts w:hint="eastAsia" w:asciiTheme="minorEastAsia" w:hAnsiTheme="minorEastAsia" w:cstheme="minorEastAsia"/>
                <w:color w:val="000000"/>
                <w:szCs w:val="21"/>
              </w:rPr>
              <w:t>一至二名得</w:t>
            </w:r>
            <w:r>
              <w:rPr>
                <w:rFonts w:hint="eastAsia" w:asciiTheme="minorEastAsia" w:hAnsiTheme="minorEastAsia" w:cstheme="minorEastAsia"/>
                <w:color w:val="000000"/>
                <w:szCs w:val="21"/>
                <w:lang w:val="en-US" w:eastAsia="zh-CN"/>
              </w:rPr>
              <w:t>5</w:t>
            </w:r>
            <w:r>
              <w:rPr>
                <w:rFonts w:hint="eastAsia" w:asciiTheme="minorEastAsia" w:hAnsiTheme="minorEastAsia" w:cstheme="minorEastAsia"/>
                <w:color w:val="000000"/>
                <w:szCs w:val="21"/>
              </w:rPr>
              <w:t>分，第三至六名得</w:t>
            </w:r>
            <w:r>
              <w:rPr>
                <w:rFonts w:hint="eastAsia" w:asciiTheme="minorEastAsia" w:hAnsiTheme="minorEastAsia" w:cstheme="minorEastAsia"/>
                <w:color w:val="000000"/>
                <w:szCs w:val="21"/>
                <w:lang w:val="en-US" w:eastAsia="zh-CN"/>
              </w:rPr>
              <w:t>3</w:t>
            </w:r>
            <w:r>
              <w:rPr>
                <w:rFonts w:hint="eastAsia" w:asciiTheme="minorEastAsia" w:hAnsiTheme="minorEastAsia" w:cstheme="minorEastAsia"/>
                <w:color w:val="000000"/>
                <w:szCs w:val="21"/>
              </w:rPr>
              <w:t>分，其他不得分。（CNVD官网截图加盖投标人公章装订于投标文件中）</w:t>
            </w:r>
          </w:p>
        </w:tc>
        <w:tc>
          <w:tcPr>
            <w:tcW w:w="1110" w:type="dxa"/>
            <w:vAlign w:val="center"/>
          </w:tcPr>
          <w:p>
            <w:pPr>
              <w:ind w:firstLine="0" w:firstLineChars="0"/>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752" w:type="dxa"/>
            <w:vMerge w:val="continue"/>
            <w:vAlign w:val="center"/>
          </w:tcPr>
          <w:p>
            <w:pPr>
              <w:snapToGrid w:val="0"/>
              <w:ind w:firstLine="0" w:firstLineChars="0"/>
              <w:jc w:val="center"/>
              <w:rPr>
                <w:rFonts w:asciiTheme="minorEastAsia" w:hAnsiTheme="minorEastAsia" w:cstheme="minorEastAsia"/>
              </w:rPr>
            </w:pPr>
          </w:p>
        </w:tc>
        <w:tc>
          <w:tcPr>
            <w:tcW w:w="1350" w:type="dxa"/>
            <w:vAlign w:val="center"/>
          </w:tcPr>
          <w:p>
            <w:pPr>
              <w:snapToGrid w:val="0"/>
              <w:ind w:firstLine="0" w:firstLineChars="0"/>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人员资质（4分）</w:t>
            </w:r>
          </w:p>
        </w:tc>
        <w:tc>
          <w:tcPr>
            <w:tcW w:w="6608" w:type="dxa"/>
            <w:vAlign w:val="center"/>
          </w:tcPr>
          <w:p>
            <w:pPr>
              <w:snapToGrid w:val="0"/>
              <w:ind w:firstLine="0" w:firstLineChars="0"/>
              <w:jc w:val="left"/>
              <w:rPr>
                <w:rFonts w:hint="eastAsia" w:ascii="宋体" w:hAnsi="宋体" w:cs="宋体"/>
                <w:color w:val="000000"/>
                <w:szCs w:val="21"/>
              </w:rPr>
            </w:pPr>
            <w:r>
              <w:rPr>
                <w:rFonts w:hint="eastAsia" w:asciiTheme="minorEastAsia" w:hAnsiTheme="minorEastAsia" w:cstheme="minorEastAsia"/>
                <w:color w:val="000000"/>
                <w:szCs w:val="21"/>
              </w:rPr>
              <w:t>提供不少于3人的项目服务团队，其中项目经理同时</w:t>
            </w:r>
            <w:r>
              <w:rPr>
                <w:rFonts w:hint="eastAsia" w:asciiTheme="minorEastAsia" w:hAnsiTheme="minorEastAsia" w:cstheme="minorEastAsia"/>
                <w:szCs w:val="21"/>
              </w:rPr>
              <w:t>具有CISP证书和PMP证书得2分</w:t>
            </w:r>
            <w:r>
              <w:rPr>
                <w:rFonts w:hint="eastAsia" w:asciiTheme="minorEastAsia" w:hAnsiTheme="minorEastAsia" w:cstheme="minorEastAsia"/>
                <w:szCs w:val="21"/>
                <w:lang w:eastAsia="zh-CN"/>
              </w:rPr>
              <w:t>，</w:t>
            </w:r>
            <w:r>
              <w:rPr>
                <w:rFonts w:hint="eastAsia" w:asciiTheme="minorEastAsia" w:hAnsiTheme="minorEastAsia" w:cstheme="minorEastAsia"/>
                <w:color w:val="000000"/>
                <w:szCs w:val="21"/>
              </w:rPr>
              <w:t>技术负责人同时</w:t>
            </w:r>
            <w:r>
              <w:rPr>
                <w:rFonts w:hint="eastAsia" w:asciiTheme="minorEastAsia" w:hAnsiTheme="minorEastAsia" w:cstheme="minorEastAsia"/>
                <w:szCs w:val="21"/>
              </w:rPr>
              <w:t>具有</w:t>
            </w:r>
            <w:r>
              <w:rPr>
                <w:rFonts w:hint="eastAsia" w:asciiTheme="minorEastAsia" w:hAnsiTheme="minorEastAsia" w:cstheme="minorEastAsia"/>
                <w:color w:val="000000"/>
                <w:szCs w:val="21"/>
              </w:rPr>
              <w:t>CISP证书和CISP-PTE证书得2分。</w:t>
            </w:r>
            <w:r>
              <w:rPr>
                <w:rFonts w:hint="eastAsia" w:asciiTheme="minorEastAsia" w:hAnsiTheme="minorEastAsia" w:cstheme="minorEastAsia"/>
                <w:szCs w:val="21"/>
              </w:rPr>
              <w:t>（证书及投标人近6个月为项目经理、技术负责人、运维人员缴纳社保的证明材料复印件加盖投标人公章</w:t>
            </w:r>
            <w:r>
              <w:rPr>
                <w:rFonts w:hint="eastAsia" w:asciiTheme="minorEastAsia" w:hAnsiTheme="minorEastAsia" w:cstheme="minorEastAsia"/>
                <w:color w:val="000000"/>
                <w:szCs w:val="21"/>
              </w:rPr>
              <w:t>装订于投标文件中</w:t>
            </w:r>
            <w:r>
              <w:rPr>
                <w:rFonts w:hint="eastAsia" w:asciiTheme="minorEastAsia" w:hAnsiTheme="minorEastAsia" w:cstheme="minorEastAsia"/>
                <w:szCs w:val="21"/>
              </w:rPr>
              <w:t>；项目经理和技术负责人不得为同一人）</w:t>
            </w:r>
          </w:p>
        </w:tc>
        <w:tc>
          <w:tcPr>
            <w:tcW w:w="1110" w:type="dxa"/>
            <w:vAlign w:val="center"/>
          </w:tcPr>
          <w:p>
            <w:pPr>
              <w:ind w:firstLine="0" w:firstLineChars="0"/>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752" w:type="dxa"/>
            <w:vMerge w:val="continue"/>
            <w:vAlign w:val="center"/>
          </w:tcPr>
          <w:p>
            <w:pPr>
              <w:snapToGrid w:val="0"/>
              <w:ind w:firstLine="0" w:firstLineChars="0"/>
              <w:jc w:val="center"/>
              <w:rPr>
                <w:rFonts w:asciiTheme="minorEastAsia" w:hAnsiTheme="minorEastAsia" w:cstheme="minorEastAsia"/>
              </w:rPr>
            </w:pPr>
          </w:p>
        </w:tc>
        <w:tc>
          <w:tcPr>
            <w:tcW w:w="1350" w:type="dxa"/>
            <w:vAlign w:val="center"/>
          </w:tcPr>
          <w:p>
            <w:pPr>
              <w:snapToGrid w:val="0"/>
              <w:ind w:firstLine="0" w:firstLineChars="0"/>
              <w:jc w:val="center"/>
              <w:rPr>
                <w:rFonts w:hint="eastAsia" w:asciiTheme="minorEastAsia" w:hAnsiTheme="minorEastAsia" w:cstheme="minorEastAsia"/>
                <w:color w:val="000000"/>
                <w:szCs w:val="21"/>
              </w:rPr>
            </w:pPr>
            <w:r>
              <w:rPr>
                <w:rFonts w:hint="eastAsia" w:asciiTheme="minorEastAsia" w:hAnsiTheme="minorEastAsia" w:cstheme="minorEastAsia"/>
              </w:rPr>
              <w:t>业绩（10分）</w:t>
            </w:r>
          </w:p>
        </w:tc>
        <w:tc>
          <w:tcPr>
            <w:tcW w:w="6608" w:type="dxa"/>
            <w:vAlign w:val="center"/>
          </w:tcPr>
          <w:p>
            <w:pPr>
              <w:snapToGrid w:val="0"/>
              <w:ind w:firstLine="0" w:firstLineChars="0"/>
              <w:jc w:val="left"/>
              <w:rPr>
                <w:rFonts w:hint="eastAsia" w:ascii="宋体" w:hAnsi="宋体" w:cs="宋体"/>
                <w:color w:val="000000"/>
                <w:szCs w:val="21"/>
              </w:rPr>
            </w:pPr>
            <w:r>
              <w:rPr>
                <w:rFonts w:hint="eastAsia" w:asciiTheme="minorEastAsia" w:hAnsiTheme="minorEastAsia" w:cstheme="minorEastAsia"/>
                <w:color w:val="000000"/>
                <w:szCs w:val="21"/>
              </w:rPr>
              <w:t>投标人提供2016年（</w:t>
            </w:r>
            <w:r>
              <w:rPr>
                <w:rFonts w:hint="eastAsia" w:asciiTheme="minorEastAsia" w:hAnsiTheme="minorEastAsia" w:cstheme="minorEastAsia"/>
                <w:szCs w:val="21"/>
              </w:rPr>
              <w:t>以合同签订时间为准</w:t>
            </w:r>
            <w:r>
              <w:rPr>
                <w:rFonts w:hint="eastAsia" w:asciiTheme="minorEastAsia" w:hAnsiTheme="minorEastAsia" w:cstheme="minorEastAsia"/>
                <w:color w:val="000000"/>
                <w:szCs w:val="21"/>
              </w:rPr>
              <w:t>）以来不超过3个安全服务项目成功案例，案例合同中应明确反映出“安全服务”、“安全运维”、“渗透测试”</w:t>
            </w:r>
            <w:r>
              <w:rPr>
                <w:rFonts w:hint="eastAsia" w:asciiTheme="minorEastAsia" w:hAnsiTheme="minorEastAsia" w:cstheme="minorEastAsia"/>
                <w:color w:val="000000"/>
                <w:szCs w:val="21"/>
                <w:lang w:eastAsia="zh-CN"/>
              </w:rPr>
              <w:t>、“大数据分析”、“态势感知”</w:t>
            </w:r>
            <w:r>
              <w:rPr>
                <w:rFonts w:hint="eastAsia" w:asciiTheme="minorEastAsia" w:hAnsiTheme="minorEastAsia" w:cstheme="minorEastAsia"/>
                <w:color w:val="000000"/>
                <w:szCs w:val="21"/>
              </w:rPr>
              <w:t>等内容（至少包括其中一项），按照各有效投标人提供案例总金额大小排名，第一名10分，第二名7分，第三名5分，其他不得分。</w:t>
            </w:r>
            <w:r>
              <w:rPr>
                <w:rFonts w:hint="eastAsia" w:asciiTheme="minorEastAsia" w:hAnsiTheme="minorEastAsia" w:cstheme="minorEastAsia"/>
                <w:szCs w:val="21"/>
              </w:rPr>
              <w:t>[合同复印件加盖投标人公章装订于投标文件中，</w:t>
            </w:r>
            <w:r>
              <w:rPr>
                <w:rFonts w:hint="eastAsia" w:asciiTheme="minorEastAsia" w:hAnsiTheme="minorEastAsia" w:cstheme="minorEastAsia"/>
                <w:szCs w:val="21"/>
                <w:highlight w:val="none"/>
              </w:rPr>
              <w:t>金额以合同金额为准（</w:t>
            </w:r>
            <w:r>
              <w:rPr>
                <w:rFonts w:hint="eastAsia" w:asciiTheme="minorEastAsia" w:hAnsiTheme="minorEastAsia" w:cstheme="minorEastAsia"/>
                <w:color w:val="000000"/>
                <w:szCs w:val="21"/>
                <w:highlight w:val="none"/>
              </w:rPr>
              <w:t>如合同中包含产品，则应有产品金额，计算时做相应扣除</w:t>
            </w:r>
            <w:r>
              <w:rPr>
                <w:rFonts w:hint="eastAsia" w:asciiTheme="minorEastAsia" w:hAnsiTheme="minorEastAsia" w:cstheme="minorEastAsia"/>
                <w:szCs w:val="21"/>
                <w:highlight w:val="none"/>
              </w:rPr>
              <w:t>]</w:t>
            </w:r>
          </w:p>
        </w:tc>
        <w:tc>
          <w:tcPr>
            <w:tcW w:w="1110" w:type="dxa"/>
            <w:vAlign w:val="center"/>
          </w:tcPr>
          <w:p>
            <w:pPr>
              <w:ind w:firstLine="0" w:firstLineChars="0"/>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技术评分标准（</w:t>
            </w:r>
            <w:r>
              <w:rPr>
                <w:rFonts w:hint="eastAsia" w:asciiTheme="minorEastAsia" w:hAnsiTheme="minorEastAsia" w:cstheme="minorEastAsia"/>
                <w:lang w:val="en-US" w:eastAsia="zh-CN"/>
              </w:rPr>
              <w:t>50</w:t>
            </w:r>
            <w:r>
              <w:rPr>
                <w:rFonts w:hint="eastAsia" w:asciiTheme="minorEastAsia" w:hAnsiTheme="minorEastAsia" w:cstheme="minorEastAsia"/>
              </w:rPr>
              <w:t>分）</w:t>
            </w:r>
          </w:p>
        </w:tc>
        <w:tc>
          <w:tcPr>
            <w:tcW w:w="1350"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技术方案（28分）</w:t>
            </w:r>
          </w:p>
        </w:tc>
        <w:tc>
          <w:tcPr>
            <w:tcW w:w="6608"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rPr>
              <w:t>根据投标人在（1）安全架构设计（2）安全管理体系咨询服务（3）安全开发规范（4）基线评估及策略优化（5）漏扫及渗透评估（6）安全运维（7）新系统上线安全检查（8）互联网资产发现（9）安全事件应急处置（10）重要时期安全保障（11）安全事件预警通报（12）培训服务（13）全流量风险分析（14）APP应用加固服务中的职责、任务、分工及方案完善性、技术可行性综合打分，每项优得</w:t>
            </w:r>
            <w:r>
              <w:rPr>
                <w:rFonts w:hint="eastAsia" w:asciiTheme="minorEastAsia" w:hAnsiTheme="minorEastAsia" w:cstheme="minorEastAsia"/>
                <w:kern w:val="0"/>
              </w:rPr>
              <w:t>（1，2]</w:t>
            </w:r>
            <w:r>
              <w:rPr>
                <w:rFonts w:hint="eastAsia" w:asciiTheme="minorEastAsia" w:hAnsiTheme="minorEastAsia" w:cstheme="minorEastAsia"/>
              </w:rPr>
              <w:t>，</w:t>
            </w:r>
            <w:r>
              <w:rPr>
                <w:rFonts w:hint="eastAsia" w:asciiTheme="minorEastAsia" w:hAnsiTheme="minorEastAsia" w:cstheme="minorEastAsia"/>
                <w:kern w:val="0"/>
              </w:rPr>
              <w:t>一般得（0，1]分，差得0分。</w:t>
            </w:r>
            <w:r>
              <w:rPr>
                <w:rFonts w:hint="eastAsia" w:asciiTheme="minorEastAsia" w:hAnsiTheme="minorEastAsia" w:cstheme="minorEastAsia"/>
              </w:rPr>
              <w:t>本项满分28分。</w:t>
            </w:r>
          </w:p>
        </w:tc>
        <w:tc>
          <w:tcPr>
            <w:tcW w:w="1110" w:type="dxa"/>
            <w:vAlign w:val="center"/>
          </w:tcPr>
          <w:p>
            <w:pPr>
              <w:snapToGrid w:val="0"/>
              <w:ind w:firstLine="0" w:firstLineChars="0"/>
              <w:jc w:val="left"/>
              <w:rPr>
                <w:rFonts w:hint="eastAsia"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vAlign w:val="center"/>
          </w:tcPr>
          <w:p>
            <w:pPr>
              <w:snapToGrid w:val="0"/>
              <w:ind w:firstLine="0" w:firstLineChars="0"/>
              <w:jc w:val="center"/>
              <w:rPr>
                <w:rFonts w:asciiTheme="minorEastAsia" w:hAnsiTheme="minorEastAsia" w:cstheme="minorEastAsia"/>
              </w:rPr>
            </w:pPr>
          </w:p>
        </w:tc>
        <w:tc>
          <w:tcPr>
            <w:tcW w:w="1350"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rPr>
              <w:t>全流量分析服务工具响应度（10分）</w:t>
            </w:r>
          </w:p>
        </w:tc>
        <w:tc>
          <w:tcPr>
            <w:tcW w:w="6608" w:type="dxa"/>
            <w:vAlign w:val="center"/>
          </w:tcPr>
          <w:p>
            <w:pPr>
              <w:snapToGrid w:val="0"/>
              <w:ind w:firstLine="0" w:firstLineChars="0"/>
              <w:jc w:val="left"/>
              <w:rPr>
                <w:rFonts w:hint="eastAsia"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lang w:eastAsia="zh-CN"/>
              </w:rPr>
              <w:t>对</w:t>
            </w:r>
            <w:r>
              <w:rPr>
                <w:rFonts w:hint="eastAsia" w:asciiTheme="minorEastAsia" w:hAnsiTheme="minorEastAsia" w:cstheme="minorEastAsia"/>
              </w:rPr>
              <w:t>招标文件技术要求</w:t>
            </w:r>
            <w:r>
              <w:rPr>
                <w:rFonts w:asciiTheme="minorEastAsia" w:hAnsiTheme="minorEastAsia" w:cstheme="minorEastAsia"/>
              </w:rPr>
              <w:t>第</w:t>
            </w:r>
            <w:r>
              <w:rPr>
                <w:rFonts w:hint="eastAsia" w:asciiTheme="minorEastAsia" w:hAnsiTheme="minorEastAsia" w:cstheme="minorEastAsia"/>
                <w:lang w:val="en-US" w:eastAsia="zh-CN"/>
              </w:rPr>
              <w:t>13</w:t>
            </w:r>
            <w:r>
              <w:rPr>
                <w:rFonts w:asciiTheme="minorEastAsia" w:hAnsiTheme="minorEastAsia" w:cstheme="minorEastAsia"/>
              </w:rPr>
              <w:t>条</w:t>
            </w:r>
            <w:r>
              <w:rPr>
                <w:rFonts w:hint="eastAsia" w:asciiTheme="minorEastAsia" w:hAnsiTheme="minorEastAsia" w:cstheme="minorEastAsia"/>
              </w:rPr>
              <w:t>全流量风险分析</w:t>
            </w:r>
            <w:r>
              <w:rPr>
                <w:rFonts w:hint="eastAsia" w:asciiTheme="minorEastAsia" w:hAnsiTheme="minorEastAsia" w:cstheme="minorEastAsia"/>
                <w:lang w:eastAsia="zh-CN"/>
              </w:rPr>
              <w:t>的响应程度</w:t>
            </w:r>
            <w:r>
              <w:rPr>
                <w:rFonts w:hint="eastAsia" w:asciiTheme="minorEastAsia" w:hAnsiTheme="minorEastAsia" w:cstheme="minorEastAsia"/>
              </w:rPr>
              <w:t>，</w:t>
            </w:r>
            <w:r>
              <w:rPr>
                <w:rFonts w:hint="eastAsia" w:asciiTheme="minorEastAsia" w:hAnsiTheme="minorEastAsia" w:cstheme="minorEastAsia"/>
                <w:lang w:eastAsia="zh-CN"/>
              </w:rPr>
              <w:t>满足</w:t>
            </w:r>
            <w:r>
              <w:rPr>
                <w:rFonts w:hint="eastAsia" w:asciiTheme="minorEastAsia" w:hAnsiTheme="minorEastAsia" w:cstheme="minorEastAsia"/>
              </w:rPr>
              <w:t>所有的技术参数指标得10分。打</w:t>
            </w:r>
            <w:r>
              <w:rPr>
                <w:rFonts w:hint="eastAsia" w:asciiTheme="minorEastAsia" w:hAnsiTheme="minorEastAsia" w:cstheme="minorEastAsia"/>
                <w:szCs w:val="21"/>
              </w:rPr>
              <w:t>★</w:t>
            </w:r>
            <w:r>
              <w:rPr>
                <w:rFonts w:hint="eastAsia" w:asciiTheme="minorEastAsia" w:hAnsiTheme="minorEastAsia" w:cstheme="minorEastAsia"/>
              </w:rPr>
              <w:t>项为</w:t>
            </w:r>
            <w:r>
              <w:rPr>
                <w:rFonts w:asciiTheme="minorEastAsia" w:hAnsiTheme="minorEastAsia" w:cstheme="minorEastAsia"/>
              </w:rPr>
              <w:t>必须满足项，不满足</w:t>
            </w:r>
            <w:r>
              <w:rPr>
                <w:rFonts w:hint="eastAsia" w:asciiTheme="minorEastAsia" w:hAnsiTheme="minorEastAsia" w:cstheme="minorEastAsia"/>
                <w:lang w:eastAsia="zh-CN"/>
              </w:rPr>
              <w:t>则按否决投</w:t>
            </w:r>
            <w:r>
              <w:rPr>
                <w:rFonts w:asciiTheme="minorEastAsia" w:hAnsiTheme="minorEastAsia" w:cstheme="minorEastAsia"/>
              </w:rPr>
              <w:t>标</w:t>
            </w:r>
            <w:r>
              <w:rPr>
                <w:rFonts w:hint="eastAsia" w:asciiTheme="minorEastAsia" w:hAnsiTheme="minorEastAsia" w:cstheme="minorEastAsia"/>
                <w:lang w:eastAsia="zh-CN"/>
              </w:rPr>
              <w:t>处理</w:t>
            </w:r>
            <w:r>
              <w:rPr>
                <w:rFonts w:asciiTheme="minorEastAsia" w:hAnsiTheme="minorEastAsia" w:cstheme="minorEastAsia"/>
              </w:rPr>
              <w:t>。</w:t>
            </w:r>
            <w:r>
              <w:rPr>
                <w:rFonts w:hint="eastAsia" w:asciiTheme="minorEastAsia" w:hAnsiTheme="minorEastAsia" w:cstheme="minorEastAsia"/>
                <w:lang w:eastAsia="zh-CN"/>
              </w:rPr>
              <w:t>其余项</w:t>
            </w:r>
            <w:r>
              <w:rPr>
                <w:rFonts w:hint="eastAsia" w:asciiTheme="minorEastAsia" w:hAnsiTheme="minorEastAsia" w:cstheme="minorEastAsia"/>
              </w:rPr>
              <w:t>有负偏离的每项扣1分，10分扣完为止。</w:t>
            </w:r>
          </w:p>
        </w:tc>
        <w:tc>
          <w:tcPr>
            <w:tcW w:w="1110" w:type="dxa"/>
            <w:vAlign w:val="center"/>
          </w:tcPr>
          <w:p>
            <w:pPr>
              <w:snapToGrid w:val="0"/>
              <w:ind w:firstLine="0" w:firstLineChars="0"/>
              <w:jc w:val="left"/>
              <w:rPr>
                <w:rFonts w:hint="eastAsia"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vAlign w:val="center"/>
          </w:tcPr>
          <w:p>
            <w:pPr>
              <w:snapToGrid w:val="0"/>
              <w:ind w:firstLine="0" w:firstLineChars="0"/>
              <w:jc w:val="center"/>
              <w:rPr>
                <w:rFonts w:asciiTheme="minorEastAsia" w:hAnsiTheme="minorEastAsia" w:cstheme="minorEastAsia"/>
              </w:rPr>
            </w:pPr>
          </w:p>
        </w:tc>
        <w:tc>
          <w:tcPr>
            <w:tcW w:w="1350" w:type="dxa"/>
            <w:vAlign w:val="center"/>
          </w:tcPr>
          <w:p>
            <w:pPr>
              <w:snapToGrid w:val="0"/>
              <w:ind w:firstLine="0" w:firstLineChars="0"/>
              <w:jc w:val="center"/>
              <w:rPr>
                <w:rFonts w:asciiTheme="minorEastAsia" w:hAnsiTheme="minorEastAsia" w:cstheme="minorEastAsia"/>
              </w:rPr>
            </w:pPr>
            <w:r>
              <w:rPr>
                <w:rFonts w:hint="eastAsia" w:asciiTheme="minorEastAsia" w:hAnsiTheme="minorEastAsia" w:cstheme="minorEastAsia"/>
                <w:color w:val="000000"/>
                <w:szCs w:val="21"/>
              </w:rPr>
              <w:t>整体方案合理性（12分）</w:t>
            </w:r>
          </w:p>
        </w:tc>
        <w:tc>
          <w:tcPr>
            <w:tcW w:w="6608" w:type="dxa"/>
            <w:vAlign w:val="center"/>
          </w:tcPr>
          <w:p>
            <w:pPr>
              <w:snapToGrid w:val="0"/>
              <w:ind w:firstLine="0" w:firstLineChars="0"/>
              <w:jc w:val="left"/>
              <w:rPr>
                <w:rFonts w:asciiTheme="minorEastAsia" w:hAnsiTheme="minorEastAsia" w:cstheme="minorEastAsia"/>
              </w:rPr>
            </w:pPr>
            <w:r>
              <w:rPr>
                <w:rFonts w:hint="eastAsia" w:asciiTheme="minorEastAsia" w:hAnsiTheme="minorEastAsia" w:cstheme="minorEastAsia"/>
                <w:szCs w:val="21"/>
              </w:rPr>
              <w:t>根据投标人的项目实施方案，</w:t>
            </w:r>
            <w:r>
              <w:rPr>
                <w:rFonts w:hint="eastAsia" w:asciiTheme="minorEastAsia" w:hAnsiTheme="minorEastAsia" w:cstheme="minorEastAsia"/>
                <w:szCs w:val="21"/>
                <w:lang w:val="zh-TW"/>
              </w:rPr>
              <w:t>包括</w:t>
            </w:r>
            <w:r>
              <w:rPr>
                <w:rFonts w:hint="eastAsia" w:asciiTheme="minorEastAsia" w:hAnsiTheme="minorEastAsia" w:cstheme="minorEastAsia"/>
                <w:szCs w:val="21"/>
                <w:lang w:val="zh-TW" w:eastAsia="zh-TW"/>
              </w:rPr>
              <w:t>项目组织架构、项目实施计划及时间进度安排、验收方案、售后服务方案</w:t>
            </w:r>
            <w:r>
              <w:rPr>
                <w:rFonts w:hint="eastAsia" w:asciiTheme="minorEastAsia" w:hAnsiTheme="minorEastAsia" w:cstheme="minorEastAsia"/>
                <w:szCs w:val="21"/>
                <w:lang w:val="zh-TW"/>
              </w:rPr>
              <w:t>等综合打分。</w:t>
            </w:r>
            <w:r>
              <w:rPr>
                <w:rFonts w:hint="eastAsia" w:asciiTheme="minorEastAsia" w:hAnsiTheme="minorEastAsia" w:cstheme="minorEastAsia"/>
              </w:rPr>
              <w:t>优得</w:t>
            </w:r>
            <w:r>
              <w:rPr>
                <w:rFonts w:hint="eastAsia" w:asciiTheme="minorEastAsia" w:hAnsiTheme="minorEastAsia" w:cstheme="minorEastAsia"/>
                <w:kern w:val="0"/>
              </w:rPr>
              <w:t>（10，12]</w:t>
            </w:r>
            <w:r>
              <w:rPr>
                <w:rFonts w:hint="eastAsia" w:asciiTheme="minorEastAsia" w:hAnsiTheme="minorEastAsia" w:cstheme="minorEastAsia"/>
              </w:rPr>
              <w:t>，</w:t>
            </w:r>
            <w:r>
              <w:rPr>
                <w:rFonts w:hint="eastAsia" w:asciiTheme="minorEastAsia" w:hAnsiTheme="minorEastAsia" w:cstheme="minorEastAsia"/>
                <w:kern w:val="0"/>
              </w:rPr>
              <w:t>良得（8，10]分，中得（4，8]分，差得（0，4]分，无不得分</w:t>
            </w:r>
            <w:r>
              <w:rPr>
                <w:rFonts w:hint="eastAsia" w:asciiTheme="minorEastAsia" w:hAnsiTheme="minorEastAsia" w:cstheme="minorEastAsia"/>
                <w:szCs w:val="21"/>
                <w:lang w:val="zh-TW" w:eastAsia="zh-TW"/>
              </w:rPr>
              <w:t>。</w:t>
            </w:r>
          </w:p>
        </w:tc>
        <w:tc>
          <w:tcPr>
            <w:tcW w:w="1110" w:type="dxa"/>
            <w:vAlign w:val="center"/>
          </w:tcPr>
          <w:p>
            <w:pPr>
              <w:snapToGrid w:val="0"/>
              <w:ind w:firstLine="0" w:firstLineChars="0"/>
              <w:jc w:val="left"/>
              <w:rPr>
                <w:rFonts w:hint="eastAsia" w:ascii="宋体" w:hAnsi="宋体" w:cs="宋体"/>
                <w:color w:val="000000"/>
                <w:szCs w:val="21"/>
                <w:lang w:bidi="ar"/>
              </w:rPr>
            </w:pPr>
          </w:p>
        </w:tc>
      </w:tr>
    </w:tbl>
    <w:p>
      <w:pPr>
        <w:rPr>
          <w:rFonts w:hint="eastAsia" w:cstheme="minorEastAsia"/>
        </w:rPr>
      </w:pPr>
      <w:r>
        <w:rPr>
          <w:rFonts w:hint="eastAsia" w:cstheme="minorEastAsia"/>
        </w:rPr>
        <w:br w:type="page"/>
      </w:r>
    </w:p>
    <w:p>
      <w:pPr>
        <w:pStyle w:val="6"/>
        <w:snapToGrid w:val="0"/>
        <w:spacing w:before="0" w:after="0" w:line="360" w:lineRule="auto"/>
        <w:jc w:val="center"/>
        <w:rPr>
          <w:rFonts w:cstheme="minorEastAsia"/>
        </w:rPr>
      </w:pPr>
      <w:bookmarkStart w:id="112" w:name="_Toc29950"/>
      <w:r>
        <w:rPr>
          <w:rFonts w:hint="eastAsia" w:cstheme="minorEastAsia"/>
        </w:rPr>
        <w:t>目录</w:t>
      </w:r>
      <w:bookmarkEnd w:id="112"/>
    </w:p>
    <w:p>
      <w:pPr>
        <w:pStyle w:val="43"/>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（投标人应详细编写目录并自动生成页码）</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6"/>
        <w:snapToGrid w:val="0"/>
        <w:spacing w:before="0" w:after="0" w:line="360" w:lineRule="auto"/>
        <w:jc w:val="center"/>
        <w:rPr>
          <w:rFonts w:cstheme="minorEastAsia"/>
        </w:rPr>
      </w:pPr>
      <w:bookmarkStart w:id="113" w:name="_Toc7994"/>
      <w:r>
        <w:rPr>
          <w:rFonts w:hint="eastAsia" w:cstheme="minorEastAsia"/>
        </w:rPr>
        <w:t>一、投标函</w:t>
      </w:r>
      <w:bookmarkEnd w:id="113"/>
    </w:p>
    <w:p>
      <w:pPr>
        <w:snapToGrid w:val="0"/>
        <w:spacing w:line="360" w:lineRule="auto"/>
        <w:ind w:firstLine="0" w:firstLineChars="0"/>
        <w:rPr>
          <w:rFonts w:asciiTheme="minorEastAsia" w:hAnsiTheme="minorEastAsia" w:cstheme="minorEastAsia"/>
        </w:rPr>
      </w:pPr>
      <w:r>
        <w:rPr>
          <w:rFonts w:hint="eastAsia" w:asciiTheme="minorEastAsia" w:hAnsiTheme="minorEastAsia" w:cstheme="minorEastAsia"/>
          <w:color w:val="000000"/>
          <w:szCs w:val="21"/>
          <w:u w:val="single"/>
        </w:rPr>
        <w:t>扬州市民卡有限责任公司</w:t>
      </w:r>
      <w:r>
        <w:rPr>
          <w:rFonts w:hint="eastAsia" w:asciiTheme="minorEastAsia" w:hAnsiTheme="minorEastAsia" w:cstheme="minorEastAsia"/>
        </w:rPr>
        <w:t>（招标人名称）：</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1．我方已仔细研究了</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（项目名称）项目招标文件的全部内容，愿意以人民币（大写）</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）的投标总报价提供</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（设备名称/服务），并按合同约定履行义务。</w:t>
      </w:r>
    </w:p>
    <w:p>
      <w:pPr>
        <w:snapToGrid w:val="0"/>
        <w:spacing w:line="360" w:lineRule="auto"/>
        <w:rPr>
          <w:rFonts w:asciiTheme="minorEastAsia" w:hAnsiTheme="minorEastAsia" w:cstheme="minorEastAsia"/>
        </w:rPr>
      </w:pPr>
      <w:r>
        <w:rPr>
          <w:rFonts w:hint="eastAsia" w:asciiTheme="minorEastAsia" w:hAnsiTheme="minorEastAsia" w:cstheme="minorEastAsia"/>
        </w:rPr>
        <w:t>2．我方的投标文件包括下列内容：</w:t>
      </w:r>
    </w:p>
    <w:p>
      <w:pPr>
        <w:snapToGrid w:val="0"/>
        <w:spacing w:line="360" w:lineRule="auto"/>
        <w:rPr>
          <w:rFonts w:asciiTheme="minorEastAsia" w:hAnsiTheme="minorEastAsia" w:cstheme="minorEastAsia"/>
        </w:rPr>
      </w:pPr>
      <w:r>
        <w:rPr>
          <w:rFonts w:hint="eastAsia" w:asciiTheme="minorEastAsia" w:hAnsiTheme="minorEastAsia" w:cstheme="minorEastAsia"/>
        </w:rPr>
        <w:t>（1）投标函；</w:t>
      </w:r>
    </w:p>
    <w:p>
      <w:pPr>
        <w:snapToGrid w:val="0"/>
        <w:spacing w:line="360" w:lineRule="auto"/>
        <w:rPr>
          <w:rFonts w:asciiTheme="minorEastAsia" w:hAnsiTheme="minorEastAsia" w:cstheme="minorEastAsia"/>
        </w:rPr>
      </w:pPr>
      <w:r>
        <w:rPr>
          <w:rFonts w:hint="eastAsia" w:asciiTheme="minorEastAsia" w:hAnsiTheme="minorEastAsia" w:cstheme="minorEastAsia"/>
        </w:rPr>
        <w:t>（2）法定代表人（单位负责人）身份证明</w:t>
      </w:r>
    </w:p>
    <w:p>
      <w:pPr>
        <w:snapToGrid w:val="0"/>
        <w:spacing w:line="360" w:lineRule="auto"/>
        <w:rPr>
          <w:rFonts w:asciiTheme="minorEastAsia" w:hAnsiTheme="minorEastAsia" w:cstheme="minorEastAsia"/>
        </w:rPr>
      </w:pPr>
      <w:r>
        <w:rPr>
          <w:rFonts w:hint="eastAsia" w:asciiTheme="minorEastAsia" w:hAnsiTheme="minorEastAsia" w:cstheme="minorEastAsia"/>
        </w:rPr>
        <w:t>（3）授权委托书；</w:t>
      </w:r>
    </w:p>
    <w:p>
      <w:pPr>
        <w:snapToGrid w:val="0"/>
        <w:spacing w:line="360" w:lineRule="auto"/>
        <w:rPr>
          <w:rFonts w:asciiTheme="minorEastAsia" w:hAnsiTheme="minorEastAsia" w:cstheme="minorEastAsia"/>
        </w:rPr>
      </w:pPr>
      <w:r>
        <w:rPr>
          <w:rFonts w:hint="eastAsia" w:asciiTheme="minorEastAsia" w:hAnsiTheme="minorEastAsia" w:cstheme="minorEastAsia"/>
        </w:rPr>
        <w:t>（4）投标保证金；</w:t>
      </w:r>
    </w:p>
    <w:p>
      <w:pPr>
        <w:snapToGrid w:val="0"/>
        <w:spacing w:line="360" w:lineRule="auto"/>
        <w:rPr>
          <w:rFonts w:asciiTheme="minorEastAsia" w:hAnsiTheme="minorEastAsia" w:cstheme="minorEastAsia"/>
        </w:rPr>
      </w:pPr>
      <w:r>
        <w:rPr>
          <w:rFonts w:hint="eastAsia" w:asciiTheme="minorEastAsia" w:hAnsiTheme="minorEastAsia" w:cstheme="minorEastAsia"/>
        </w:rPr>
        <w:t>（5）商务和技术偏差表；</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（6）报价表；</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（7）资格审查资料；</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（8）近年完成的类似项目情况表；</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（9）投标设备技术性能指标的详细描述；</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（10）技术支持资料；</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（11）技术服务和质保期服务计划；</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（12）其他资料。</w:t>
      </w:r>
    </w:p>
    <w:p>
      <w:pPr>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投标文件的上述组成部分如存在内容不一致的，以投标函为准。</w:t>
      </w:r>
    </w:p>
    <w:p>
      <w:pPr>
        <w:snapToGrid w:val="0"/>
        <w:spacing w:line="360" w:lineRule="auto"/>
        <w:rPr>
          <w:rFonts w:asciiTheme="minorEastAsia" w:hAnsiTheme="minorEastAsia" w:cstheme="minorEastAsia"/>
        </w:rPr>
      </w:pPr>
      <w:r>
        <w:rPr>
          <w:rFonts w:hint="eastAsia" w:asciiTheme="minorEastAsia" w:hAnsiTheme="minorEastAsia" w:cstheme="minorEastAsia"/>
          <w:szCs w:val="21"/>
        </w:rPr>
        <w:t>3．我方承</w:t>
      </w:r>
      <w:r>
        <w:rPr>
          <w:rFonts w:hint="eastAsia" w:asciiTheme="minorEastAsia" w:hAnsiTheme="minorEastAsia" w:cstheme="minorEastAsia"/>
        </w:rPr>
        <w:t>诺除商务和技术偏差表列出的偏差外，我方响应招标文件的全部要求。</w:t>
      </w:r>
    </w:p>
    <w:p>
      <w:pPr>
        <w:snapToGrid w:val="0"/>
        <w:spacing w:line="360" w:lineRule="auto"/>
        <w:rPr>
          <w:rFonts w:asciiTheme="minorEastAsia" w:hAnsiTheme="minorEastAsia" w:cstheme="minorEastAsia"/>
        </w:rPr>
      </w:pPr>
      <w:r>
        <w:rPr>
          <w:rFonts w:hint="eastAsia" w:asciiTheme="minorEastAsia" w:hAnsiTheme="minorEastAsia" w:cstheme="minorEastAsia"/>
        </w:rPr>
        <w:t>4．我方承诺在招标文件规定的投标有效期内不撤销投标文件。</w:t>
      </w:r>
    </w:p>
    <w:p>
      <w:pPr>
        <w:snapToGrid w:val="0"/>
        <w:spacing w:line="360" w:lineRule="auto"/>
        <w:rPr>
          <w:rFonts w:asciiTheme="minorEastAsia" w:hAnsiTheme="minorEastAsia" w:cstheme="minorEastAsia"/>
        </w:rPr>
      </w:pPr>
      <w:r>
        <w:rPr>
          <w:rFonts w:hint="eastAsia" w:asciiTheme="minorEastAsia" w:hAnsiTheme="minorEastAsia" w:cstheme="minorEastAsia"/>
        </w:rPr>
        <w:t>5．如我方中标，我方承诺：</w:t>
      </w:r>
    </w:p>
    <w:p>
      <w:pPr>
        <w:snapToGrid w:val="0"/>
        <w:spacing w:line="360" w:lineRule="auto"/>
        <w:rPr>
          <w:rFonts w:asciiTheme="minorEastAsia" w:hAnsiTheme="minorEastAsia" w:cstheme="minorEastAsia"/>
        </w:rPr>
      </w:pPr>
      <w:r>
        <w:rPr>
          <w:rFonts w:hint="eastAsia" w:asciiTheme="minorEastAsia" w:hAnsiTheme="minorEastAsia" w:cstheme="minorEastAsia"/>
        </w:rPr>
        <w:t>（1）在收到中标通知书后，在中标通知书规定的期限内与你方签订合同；</w:t>
      </w:r>
    </w:p>
    <w:p>
      <w:pPr>
        <w:snapToGrid w:val="0"/>
        <w:spacing w:line="360" w:lineRule="auto"/>
        <w:rPr>
          <w:rFonts w:asciiTheme="minorEastAsia" w:hAnsiTheme="minorEastAsia" w:cstheme="minorEastAsia"/>
        </w:rPr>
      </w:pPr>
      <w:r>
        <w:rPr>
          <w:rFonts w:hint="eastAsia" w:asciiTheme="minorEastAsia" w:hAnsiTheme="minorEastAsia" w:cstheme="minorEastAsia"/>
        </w:rPr>
        <w:t>（2）在签订合同时不向你方提出附加条件；</w:t>
      </w:r>
    </w:p>
    <w:p>
      <w:pPr>
        <w:snapToGrid w:val="0"/>
        <w:spacing w:line="360" w:lineRule="auto"/>
        <w:rPr>
          <w:rFonts w:asciiTheme="minorEastAsia" w:hAnsiTheme="minorEastAsia" w:cstheme="minorEastAsia"/>
        </w:rPr>
      </w:pPr>
      <w:r>
        <w:rPr>
          <w:rFonts w:hint="eastAsia" w:asciiTheme="minorEastAsia" w:hAnsiTheme="minorEastAsia" w:cstheme="minorEastAsia"/>
        </w:rPr>
        <w:t>（3）按照招标文件要求提交履约保证金；</w:t>
      </w:r>
    </w:p>
    <w:p>
      <w:pPr>
        <w:snapToGrid w:val="0"/>
        <w:spacing w:line="360" w:lineRule="auto"/>
        <w:rPr>
          <w:rFonts w:asciiTheme="minorEastAsia" w:hAnsiTheme="minorEastAsia" w:cstheme="minorEastAsia"/>
        </w:rPr>
      </w:pPr>
      <w:r>
        <w:rPr>
          <w:rFonts w:hint="eastAsia" w:asciiTheme="minorEastAsia" w:hAnsiTheme="minorEastAsia" w:cstheme="minorEastAsia"/>
        </w:rPr>
        <w:t>（4）在合同约定的期限内完成合同规定的全部义务。</w:t>
      </w:r>
    </w:p>
    <w:p>
      <w:pPr>
        <w:snapToGrid w:val="0"/>
        <w:spacing w:line="360" w:lineRule="auto"/>
        <w:rPr>
          <w:rFonts w:asciiTheme="minorEastAsia" w:hAnsiTheme="minorEastAsia" w:cstheme="minorEastAsia"/>
        </w:rPr>
      </w:pPr>
      <w:r>
        <w:rPr>
          <w:rFonts w:hint="eastAsia" w:asciiTheme="minorEastAsia" w:hAnsiTheme="minorEastAsia" w:cstheme="minorEastAsia"/>
        </w:rPr>
        <w:t>6．我方在此声明，所递交的投标文件及有关资料内容完整、真实和准确，且不存在第二章 “投标人须知”第1.4.3项规定的任何一种情形。</w:t>
      </w:r>
    </w:p>
    <w:p>
      <w:pPr>
        <w:snapToGrid w:val="0"/>
        <w:spacing w:line="360" w:lineRule="auto"/>
        <w:rPr>
          <w:rFonts w:asciiTheme="minorEastAsia" w:hAnsiTheme="minorEastAsia" w:cstheme="minorEastAsia"/>
        </w:rPr>
      </w:pPr>
      <w:r>
        <w:rPr>
          <w:rFonts w:hint="eastAsia" w:asciiTheme="minorEastAsia" w:hAnsiTheme="minorEastAsia" w:cstheme="minorEastAsia"/>
        </w:rPr>
        <w:t>7．投标保证金的递交情况：</w:t>
      </w:r>
      <w:r>
        <w:rPr>
          <w:rFonts w:hint="eastAsia" w:asciiTheme="minorEastAsia" w:hAnsiTheme="minorEastAsia" w:cstheme="minorEastAsia"/>
          <w:u w:val="single"/>
        </w:rPr>
        <w:t xml:space="preserve">    </w:t>
      </w:r>
      <w:r>
        <w:rPr>
          <w:rFonts w:hint="eastAsia" w:asciiTheme="minorEastAsia" w:hAnsiTheme="minorEastAsia" w:cstheme="minorEastAsia"/>
        </w:rPr>
        <w:t>（形式）</w:t>
      </w:r>
      <w:r>
        <w:rPr>
          <w:rFonts w:hint="eastAsia" w:asciiTheme="minorEastAsia" w:hAnsiTheme="minorEastAsia" w:cstheme="minorEastAsia"/>
          <w:u w:val="single"/>
        </w:rPr>
        <w:t xml:space="preserve">         </w:t>
      </w:r>
      <w:r>
        <w:rPr>
          <w:rFonts w:hint="eastAsia" w:asciiTheme="minorEastAsia" w:hAnsiTheme="minorEastAsia" w:cstheme="minorEastAsia"/>
        </w:rPr>
        <w:t>（金额）。</w:t>
      </w:r>
    </w:p>
    <w:p>
      <w:pPr>
        <w:numPr>
          <w:ilvl w:val="0"/>
          <w:numId w:val="6"/>
        </w:numPr>
        <w:snapToGrid w:val="0"/>
        <w:spacing w:line="360" w:lineRule="auto"/>
        <w:rPr>
          <w:rFonts w:asciiTheme="minorEastAsia" w:hAnsiTheme="minorEastAsia" w:cstheme="minorEastAsia"/>
        </w:rPr>
      </w:pPr>
      <w:r>
        <w:rPr>
          <w:rFonts w:hint="eastAsia" w:asciiTheme="minorEastAsia" w:hAnsiTheme="minorEastAsia" w:cstheme="minorEastAsia"/>
          <w:u w:val="single"/>
        </w:rPr>
        <w:t xml:space="preserve">          </w:t>
      </w:r>
      <w:r>
        <w:rPr>
          <w:rFonts w:hint="eastAsia" w:asciiTheme="minorEastAsia" w:hAnsiTheme="minorEastAsia" w:cstheme="minorEastAsia"/>
        </w:rPr>
        <w:t>其他补充说明）。</w:t>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（盖单位章）</w:t>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法定代表人（单位负责人）或其委托代理人：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地</w:t>
      </w:r>
      <w:r>
        <w:rPr>
          <w:rFonts w:hint="eastAsia" w:asciiTheme="minorEastAsia" w:hAnsiTheme="minorEastAsia" w:cstheme="minorEastAsia"/>
        </w:rPr>
        <w:tab/>
      </w:r>
      <w:r>
        <w:rPr>
          <w:rFonts w:hint="eastAsia" w:asciiTheme="minorEastAsia" w:hAnsiTheme="minorEastAsia" w:cstheme="minorEastAsia"/>
        </w:rPr>
        <w:t xml:space="preserve">址：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网</w:t>
      </w:r>
      <w:r>
        <w:rPr>
          <w:rFonts w:hint="eastAsia" w:asciiTheme="minorEastAsia" w:hAnsiTheme="minorEastAsia" w:cstheme="minorEastAsia"/>
        </w:rPr>
        <w:tab/>
      </w:r>
      <w:r>
        <w:rPr>
          <w:rFonts w:hint="eastAsia" w:asciiTheme="minorEastAsia" w:hAnsiTheme="minorEastAsia" w:cstheme="minorEastAsia"/>
        </w:rPr>
        <w:t xml:space="preserve">址：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电</w:t>
      </w:r>
      <w:r>
        <w:rPr>
          <w:rFonts w:hint="eastAsia" w:asciiTheme="minorEastAsia" w:hAnsiTheme="minorEastAsia" w:cstheme="minorEastAsia"/>
        </w:rPr>
        <w:tab/>
      </w:r>
      <w:r>
        <w:rPr>
          <w:rFonts w:hint="eastAsia" w:asciiTheme="minorEastAsia" w:hAnsiTheme="minorEastAsia" w:cstheme="minorEastAsia"/>
        </w:rPr>
        <w:t xml:space="preserve">话：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传</w:t>
      </w:r>
      <w:r>
        <w:rPr>
          <w:rFonts w:hint="eastAsia" w:asciiTheme="minorEastAsia" w:hAnsiTheme="minorEastAsia" w:cstheme="minorEastAsia"/>
        </w:rPr>
        <w:tab/>
      </w:r>
      <w:r>
        <w:rPr>
          <w:rFonts w:hint="eastAsia" w:asciiTheme="minorEastAsia" w:hAnsiTheme="minorEastAsia" w:cstheme="minorEastAsia"/>
        </w:rPr>
        <w:t xml:space="preserve">真： </w:t>
      </w:r>
      <w:r>
        <w:rPr>
          <w:rFonts w:hint="eastAsia" w:asciiTheme="minorEastAsia" w:hAnsiTheme="minorEastAsia" w:cstheme="minorEastAsia"/>
        </w:rPr>
        <w:tab/>
      </w:r>
    </w:p>
    <w:p>
      <w:pPr>
        <w:snapToGrid w:val="0"/>
        <w:spacing w:line="360" w:lineRule="auto"/>
        <w:ind w:firstLine="2940" w:firstLineChars="1400"/>
        <w:rPr>
          <w:rFonts w:asciiTheme="minorEastAsia" w:hAnsiTheme="minorEastAsia" w:cstheme="minorEastAsia"/>
        </w:rPr>
      </w:pPr>
      <w:r>
        <w:rPr>
          <w:rFonts w:hint="eastAsia" w:asciiTheme="minorEastAsia" w:hAnsiTheme="minorEastAsia" w:cstheme="minorEastAsia"/>
        </w:rPr>
        <w:t xml:space="preserve">邮政编码： </w:t>
      </w:r>
      <w:r>
        <w:rPr>
          <w:rFonts w:hint="eastAsia" w:asciiTheme="minorEastAsia" w:hAnsiTheme="minorEastAsia" w:cstheme="minorEastAsia"/>
        </w:rPr>
        <w:tab/>
      </w:r>
    </w:p>
    <w:p>
      <w:pPr>
        <w:snapToGrid w:val="0"/>
        <w:spacing w:line="360" w:lineRule="auto"/>
        <w:ind w:firstLine="6510" w:firstLineChars="3100"/>
        <w:rPr>
          <w:rFonts w:asciiTheme="minorEastAsia" w:hAnsiTheme="minorEastAsia" w:cstheme="minorEastAsia"/>
        </w:rPr>
      </w:pPr>
      <w:r>
        <w:rPr>
          <w:rFonts w:hint="eastAsia" w:asciiTheme="minorEastAsia" w:hAnsiTheme="minorEastAsia" w:cstheme="minorEastAsia"/>
        </w:rPr>
        <w:t xml:space="preserve"> </w:t>
      </w:r>
      <w:r>
        <w:rPr>
          <w:rFonts w:hint="eastAsia" w:asciiTheme="minorEastAsia" w:hAnsiTheme="minorEastAsia" w:cstheme="minorEastAsia"/>
        </w:rPr>
        <w:tab/>
      </w: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 xml:space="preserve">日 </w:t>
      </w:r>
      <w:r>
        <w:rPr>
          <w:rFonts w:hint="eastAsia" w:asciiTheme="minorEastAsia" w:hAnsiTheme="minorEastAsia" w:cstheme="minorEastAsia"/>
        </w:rPr>
        <w:br w:type="page"/>
      </w:r>
    </w:p>
    <w:p>
      <w:pPr>
        <w:pStyle w:val="6"/>
        <w:snapToGrid w:val="0"/>
        <w:spacing w:before="0" w:after="0" w:line="360" w:lineRule="auto"/>
        <w:jc w:val="center"/>
        <w:rPr>
          <w:rFonts w:cstheme="minorEastAsia"/>
        </w:rPr>
      </w:pPr>
      <w:bookmarkStart w:id="114" w:name="_Toc6397"/>
      <w:r>
        <w:rPr>
          <w:rFonts w:hint="eastAsia" w:cstheme="minorEastAsia"/>
        </w:rPr>
        <w:t>二、法定代表人（单位负责人）身份证明</w:t>
      </w:r>
      <w:bookmarkEnd w:id="114"/>
    </w:p>
    <w:p>
      <w:pPr>
        <w:snapToGrid w:val="0"/>
        <w:spacing w:line="360" w:lineRule="auto"/>
        <w:rPr>
          <w:rFonts w:asciiTheme="minorEastAsia" w:hAnsiTheme="minorEastAsia" w:cstheme="minorEastAsia"/>
          <w:u w:val="single"/>
        </w:rPr>
      </w:pPr>
      <w:r>
        <w:rPr>
          <w:rFonts w:hint="eastAsia" w:asciiTheme="minorEastAsia" w:hAnsiTheme="minorEastAsia" w:cstheme="minorEastAsia"/>
        </w:rPr>
        <w:t>投标人名称：</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姓名：</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性别：</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年龄：</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职务：</w:t>
      </w:r>
      <w:r>
        <w:rPr>
          <w:rFonts w:hint="eastAsia" w:asciiTheme="minorEastAsia" w:hAnsiTheme="minorEastAsia" w:cstheme="minorEastAsia"/>
          <w:u w:val="single"/>
        </w:rPr>
        <w:t xml:space="preserve">     </w:t>
      </w:r>
      <w:r>
        <w:rPr>
          <w:rFonts w:hint="eastAsia" w:asciiTheme="minorEastAsia" w:hAnsiTheme="minorEastAsia" w:cstheme="minorEastAsia"/>
        </w:rPr>
        <w:t xml:space="preserve"> </w:t>
      </w:r>
      <w:r>
        <w:rPr>
          <w:rFonts w:hint="eastAsia" w:asciiTheme="minorEastAsia" w:hAnsiTheme="minorEastAsia" w:cstheme="minorEastAsia"/>
        </w:rPr>
        <w:tab/>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系</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（投标人名称）的法定代表人（单位负责人）。</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特此证明。</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附：法定代表人（单位负责人）身份证原件复印件或扫描件。</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注：本身份证明需由投标人加盖单位公章。</w:t>
      </w:r>
    </w:p>
    <w:p>
      <w:pPr>
        <w:snapToGrid w:val="0"/>
        <w:spacing w:line="360" w:lineRule="auto"/>
        <w:rPr>
          <w:rFonts w:asciiTheme="minorEastAsia" w:hAnsiTheme="minorEastAsia" w:cstheme="minorEastAsia"/>
        </w:rPr>
      </w:pPr>
    </w:p>
    <w:p>
      <w:pPr>
        <w:snapToGrid w:val="0"/>
        <w:spacing w:line="360" w:lineRule="auto"/>
        <w:ind w:firstLine="4830" w:firstLineChars="2300"/>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（单位公章）</w:t>
      </w:r>
    </w:p>
    <w:p>
      <w:pPr>
        <w:snapToGrid w:val="0"/>
        <w:spacing w:line="360" w:lineRule="auto"/>
        <w:rPr>
          <w:rFonts w:asciiTheme="minorEastAsia" w:hAnsiTheme="minorEastAsia" w:cstheme="minorEastAsia"/>
        </w:rPr>
      </w:pPr>
    </w:p>
    <w:p>
      <w:pPr>
        <w:snapToGrid w:val="0"/>
        <w:spacing w:line="360" w:lineRule="auto"/>
        <w:ind w:firstLine="5670" w:firstLineChars="2700"/>
        <w:rPr>
          <w:rFonts w:asciiTheme="minorEastAsia" w:hAnsiTheme="minorEastAsia" w:cstheme="minorEastAsia"/>
        </w:rPr>
      </w:pPr>
      <w:r>
        <w:rPr>
          <w:rFonts w:hint="eastAsia" w:asciiTheme="minorEastAsia" w:hAnsiTheme="minorEastAsia" w:cstheme="minorEastAsia"/>
        </w:rPr>
        <w:t xml:space="preserve"> </w:t>
      </w:r>
      <w:r>
        <w:rPr>
          <w:rFonts w:hint="eastAsia" w:asciiTheme="minorEastAsia" w:hAnsiTheme="minorEastAsia" w:cstheme="minorEastAsia"/>
        </w:rPr>
        <w:tab/>
      </w: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日</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pStyle w:val="6"/>
        <w:snapToGrid w:val="0"/>
        <w:spacing w:before="0" w:after="0" w:line="360" w:lineRule="auto"/>
        <w:jc w:val="center"/>
        <w:rPr>
          <w:rFonts w:cstheme="minorEastAsia"/>
        </w:rPr>
      </w:pPr>
      <w:r>
        <w:rPr>
          <w:rFonts w:hint="eastAsia" w:cstheme="minorEastAsia"/>
        </w:rPr>
        <w:br w:type="page"/>
      </w:r>
    </w:p>
    <w:p>
      <w:pPr>
        <w:pStyle w:val="6"/>
        <w:snapToGrid w:val="0"/>
        <w:spacing w:before="0" w:after="0" w:line="360" w:lineRule="auto"/>
        <w:jc w:val="center"/>
        <w:rPr>
          <w:rFonts w:cstheme="minorEastAsia"/>
        </w:rPr>
      </w:pPr>
      <w:bookmarkStart w:id="115" w:name="_Toc25471"/>
      <w:r>
        <w:rPr>
          <w:rFonts w:hint="eastAsia" w:cstheme="minorEastAsia"/>
        </w:rPr>
        <w:t>三、授权委托书</w:t>
      </w:r>
      <w:bookmarkEnd w:id="115"/>
    </w:p>
    <w:p>
      <w:pPr>
        <w:snapToGrid w:val="0"/>
        <w:spacing w:line="360" w:lineRule="auto"/>
        <w:rPr>
          <w:rFonts w:asciiTheme="minorEastAsia" w:hAnsiTheme="minorEastAsia" w:cstheme="minorEastAsia"/>
        </w:rPr>
      </w:pPr>
      <w:r>
        <w:rPr>
          <w:rFonts w:hint="eastAsia" w:asciiTheme="minorEastAsia" w:hAnsiTheme="minorEastAsia" w:cstheme="minorEastAsia"/>
        </w:rPr>
        <w:t>本人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（姓名）系</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u w:val="single"/>
        </w:rPr>
        <w:t xml:space="preserve">      </w:t>
      </w:r>
      <w:r>
        <w:rPr>
          <w:rFonts w:hint="eastAsia" w:asciiTheme="minorEastAsia" w:hAnsiTheme="minorEastAsia" w:cstheme="minorEastAsia"/>
        </w:rPr>
        <w:t>（投标人名称）的法定代表人（单位负责人），现委托</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（姓名）为我方代理人。代理人根据授权，以我方名义签署、澄清确认、递交、撤回、修改设备采购招标项目投标文件、签订合同和处理有关事宜，其法律 后果由我方承担。</w:t>
      </w:r>
    </w:p>
    <w:p>
      <w:pPr>
        <w:snapToGrid w:val="0"/>
        <w:spacing w:line="360" w:lineRule="auto"/>
        <w:rPr>
          <w:rFonts w:asciiTheme="minorEastAsia" w:hAnsiTheme="minorEastAsia" w:cstheme="minorEastAsia"/>
        </w:rPr>
      </w:pPr>
      <w:r>
        <w:rPr>
          <w:rFonts w:hint="eastAsia" w:asciiTheme="minorEastAsia" w:hAnsiTheme="minorEastAsia" w:cstheme="minorEastAsia"/>
        </w:rPr>
        <w:t>委托期限：</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w:t>
      </w:r>
    </w:p>
    <w:p>
      <w:pPr>
        <w:snapToGrid w:val="0"/>
        <w:spacing w:line="360" w:lineRule="auto"/>
        <w:rPr>
          <w:rFonts w:asciiTheme="minorEastAsia" w:hAnsiTheme="minorEastAsia" w:cstheme="minorEastAsia"/>
        </w:rPr>
      </w:pPr>
      <w:r>
        <w:rPr>
          <w:rFonts w:hint="eastAsia" w:asciiTheme="minorEastAsia" w:hAnsiTheme="minorEastAsia" w:cstheme="minorEastAsia"/>
        </w:rPr>
        <w:t>代理人无转委托权。</w:t>
      </w:r>
    </w:p>
    <w:p>
      <w:pPr>
        <w:snapToGrid w:val="0"/>
        <w:spacing w:line="360" w:lineRule="auto"/>
        <w:rPr>
          <w:rFonts w:asciiTheme="minorEastAsia" w:hAnsiTheme="minorEastAsia" w:cstheme="minorEastAsia"/>
        </w:rPr>
      </w:pPr>
      <w:r>
        <w:rPr>
          <w:rFonts w:hint="eastAsia" w:asciiTheme="minorEastAsia" w:hAnsiTheme="minorEastAsia" w:cstheme="minorEastAsia"/>
        </w:rPr>
        <w:t>附：法定代表人（单位负责人）身份证原件复印件或扫描件及委托代理人身份证原件复印件或扫描件</w:t>
      </w:r>
    </w:p>
    <w:tbl>
      <w:tblPr>
        <w:tblStyle w:val="25"/>
        <w:tblW w:w="61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5" w:hRule="atLeast"/>
          <w:jc w:val="center"/>
        </w:trPr>
        <w:tc>
          <w:tcPr>
            <w:tcW w:w="3144" w:type="dxa"/>
            <w:vAlign w:val="center"/>
          </w:tcPr>
          <w:p>
            <w:pPr>
              <w:pStyle w:val="28"/>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法定代表人（单位负责人）</w:t>
            </w:r>
          </w:p>
          <w:p>
            <w:pPr>
              <w:pStyle w:val="28"/>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身份证</w:t>
            </w:r>
            <w:r>
              <w:rPr>
                <w:rFonts w:hint="eastAsia" w:asciiTheme="minorEastAsia" w:hAnsiTheme="minorEastAsia" w:eastAsiaTheme="minorEastAsia" w:cstheme="minorEastAsia"/>
                <w:sz w:val="21"/>
                <w:szCs w:val="21"/>
                <w:lang w:eastAsia="zh-CN"/>
              </w:rPr>
              <w:t>正面</w:t>
            </w:r>
          </w:p>
        </w:tc>
        <w:tc>
          <w:tcPr>
            <w:tcW w:w="3005" w:type="dxa"/>
            <w:vAlign w:val="center"/>
          </w:tcPr>
          <w:p>
            <w:pPr>
              <w:pStyle w:val="28"/>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法定代表人（单位负责人）</w:t>
            </w:r>
          </w:p>
          <w:p>
            <w:pPr>
              <w:pStyle w:val="28"/>
              <w:snapToGrid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w:t>
            </w:r>
            <w:r>
              <w:rPr>
                <w:rFonts w:hint="eastAsia" w:asciiTheme="minorEastAsia" w:hAnsiTheme="minorEastAsia" w:eastAsiaTheme="minorEastAsia" w:cstheme="minorEastAsia"/>
                <w:sz w:val="21"/>
                <w:szCs w:val="21"/>
                <w:lang w:eastAsia="zh-CN"/>
              </w:rPr>
              <w:t>反面</w:t>
            </w:r>
          </w:p>
        </w:tc>
      </w:tr>
    </w:tbl>
    <w:p>
      <w:pPr>
        <w:pStyle w:val="28"/>
        <w:snapToGrid w:val="0"/>
        <w:spacing w:line="360" w:lineRule="auto"/>
        <w:rPr>
          <w:rFonts w:asciiTheme="minorEastAsia" w:hAnsiTheme="minorEastAsia" w:eastAsiaTheme="minorEastAsia" w:cstheme="minorEastAsia"/>
        </w:rPr>
      </w:pPr>
    </w:p>
    <w:tbl>
      <w:tblPr>
        <w:tblStyle w:val="25"/>
        <w:tblW w:w="61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5" w:hRule="atLeast"/>
          <w:jc w:val="center"/>
        </w:trPr>
        <w:tc>
          <w:tcPr>
            <w:tcW w:w="3144" w:type="dxa"/>
            <w:vAlign w:val="center"/>
          </w:tcPr>
          <w:p>
            <w:pPr>
              <w:pStyle w:val="28"/>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w:t>
            </w:r>
          </w:p>
          <w:p>
            <w:pPr>
              <w:pStyle w:val="28"/>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身份证正面</w:t>
            </w:r>
          </w:p>
        </w:tc>
        <w:tc>
          <w:tcPr>
            <w:tcW w:w="3005" w:type="dxa"/>
            <w:vAlign w:val="center"/>
          </w:tcPr>
          <w:p>
            <w:pPr>
              <w:pStyle w:val="28"/>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w:t>
            </w:r>
          </w:p>
          <w:p>
            <w:pPr>
              <w:pStyle w:val="28"/>
              <w:snapToGrid w:val="0"/>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身份证反面</w:t>
            </w:r>
          </w:p>
        </w:tc>
      </w:tr>
    </w:tbl>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注：本授权委托书需由投标人加盖单位公章并由其法定代表人（单位负责人）和委托代理人签字。</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投标人：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（单位公章）</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法定代表人（单位负责人）：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委托代理人：</w:t>
      </w:r>
      <w:r>
        <w:rPr>
          <w:rFonts w:hint="eastAsia" w:asciiTheme="minorEastAsia" w:hAnsiTheme="minorEastAsia" w:cstheme="minorEastAsia"/>
          <w:u w:val="single"/>
        </w:rPr>
        <w:t xml:space="preserve">       </w:t>
      </w:r>
      <w:r>
        <w:rPr>
          <w:rFonts w:hint="eastAsia" w:asciiTheme="minorEastAsia" w:hAnsiTheme="minorEastAsia" w:cstheme="minorEastAsia"/>
          <w:u w:val="single"/>
        </w:rPr>
        <w:tab/>
      </w:r>
      <w:r>
        <w:rPr>
          <w:rFonts w:hint="eastAsia" w:asciiTheme="minorEastAsia" w:hAnsiTheme="minorEastAsia" w:cstheme="minorEastAsia"/>
        </w:rPr>
        <w:t>（签字）</w:t>
      </w:r>
    </w:p>
    <w:p>
      <w:pPr>
        <w:snapToGrid w:val="0"/>
        <w:spacing w:line="360" w:lineRule="auto"/>
        <w:ind w:firstLine="3990" w:firstLineChars="1900"/>
        <w:rPr>
          <w:rFonts w:asciiTheme="minorEastAsia" w:hAnsiTheme="minorEastAsia" w:cstheme="minorEastAsia"/>
        </w:rPr>
      </w:pPr>
      <w:r>
        <w:rPr>
          <w:rFonts w:hint="eastAsia" w:asciiTheme="minorEastAsia" w:hAnsiTheme="minorEastAsia" w:cstheme="minorEastAsia"/>
        </w:rPr>
        <w:tab/>
      </w:r>
      <w:r>
        <w:rPr>
          <w:rFonts w:hint="eastAsia" w:asciiTheme="minorEastAsia" w:hAnsiTheme="minorEastAsia" w:cstheme="minorEastAsia"/>
        </w:rPr>
        <w:t xml:space="preserve">年 </w:t>
      </w:r>
      <w:r>
        <w:rPr>
          <w:rFonts w:hint="eastAsia" w:asciiTheme="minorEastAsia" w:hAnsiTheme="minorEastAsia" w:cstheme="minorEastAsia"/>
        </w:rPr>
        <w:tab/>
      </w:r>
      <w:r>
        <w:rPr>
          <w:rFonts w:hint="eastAsia" w:asciiTheme="minorEastAsia" w:hAnsiTheme="minorEastAsia" w:cstheme="minorEastAsia"/>
        </w:rPr>
        <w:t xml:space="preserve">月 </w:t>
      </w:r>
      <w:r>
        <w:rPr>
          <w:rFonts w:hint="eastAsia" w:asciiTheme="minorEastAsia" w:hAnsiTheme="minorEastAsia" w:cstheme="minorEastAsia"/>
        </w:rPr>
        <w:tab/>
      </w:r>
      <w:r>
        <w:rPr>
          <w:rFonts w:hint="eastAsia" w:asciiTheme="minorEastAsia" w:hAnsiTheme="minorEastAsia" w:cstheme="minorEastAsia"/>
        </w:rPr>
        <w:t>日</w:t>
      </w:r>
    </w:p>
    <w:p>
      <w:pPr>
        <w:pStyle w:val="6"/>
        <w:snapToGrid w:val="0"/>
        <w:spacing w:before="0" w:after="0" w:line="360" w:lineRule="auto"/>
        <w:jc w:val="center"/>
        <w:rPr>
          <w:rFonts w:cstheme="minorEastAsia"/>
        </w:rPr>
      </w:pPr>
      <w:bookmarkStart w:id="116" w:name="_Toc14596"/>
      <w:r>
        <w:rPr>
          <w:rFonts w:hint="eastAsia" w:cstheme="minorEastAsia"/>
        </w:rPr>
        <w:t>四、投标保证金</w:t>
      </w:r>
      <w:bookmarkEnd w:id="116"/>
    </w:p>
    <w:p>
      <w:pPr>
        <w:snapToGrid w:val="0"/>
        <w:spacing w:line="360" w:lineRule="auto"/>
        <w:rPr>
          <w:rFonts w:asciiTheme="minorEastAsia" w:hAnsiTheme="minorEastAsia" w:cstheme="minorEastAsia"/>
        </w:rPr>
      </w:pPr>
    </w:p>
    <w:p>
      <w:pPr>
        <w:widowControl/>
        <w:snapToGrid w:val="0"/>
        <w:spacing w:line="360" w:lineRule="auto"/>
        <w:rPr>
          <w:rFonts w:asciiTheme="minorEastAsia" w:hAnsiTheme="minorEastAsia" w:cstheme="minorEastAsia"/>
        </w:rPr>
      </w:pPr>
      <w:r>
        <w:rPr>
          <w:rFonts w:hint="eastAsia" w:asciiTheme="minorEastAsia" w:hAnsiTheme="minorEastAsia" w:cstheme="minorEastAsia"/>
        </w:rPr>
        <w:t>注释：</w:t>
      </w:r>
    </w:p>
    <w:p>
      <w:pPr>
        <w:widowControl/>
        <w:snapToGrid w:val="0"/>
        <w:spacing w:line="360" w:lineRule="auto"/>
        <w:rPr>
          <w:rFonts w:asciiTheme="minorEastAsia" w:hAnsiTheme="minorEastAsia" w:cstheme="minorEastAsia"/>
        </w:rPr>
      </w:pPr>
      <w:r>
        <w:rPr>
          <w:rFonts w:hint="eastAsia" w:asciiTheme="minorEastAsia" w:hAnsiTheme="minorEastAsia" w:cstheme="minorEastAsia"/>
        </w:rPr>
        <w:t>1.投标保证金递交形式及其他要求，见投标人须知前附表。</w:t>
      </w:r>
    </w:p>
    <w:p>
      <w:pPr>
        <w:widowControl/>
        <w:snapToGrid w:val="0"/>
        <w:spacing w:line="360" w:lineRule="auto"/>
        <w:rPr>
          <w:rFonts w:asciiTheme="minorEastAsia" w:hAnsiTheme="minorEastAsia" w:cstheme="minorEastAsia"/>
        </w:rPr>
      </w:pPr>
      <w:r>
        <w:rPr>
          <w:rFonts w:hint="eastAsia" w:asciiTheme="minorEastAsia" w:hAnsiTheme="minorEastAsia" w:cstheme="minorEastAsia"/>
        </w:rPr>
        <w:t>2.投标人应将投标保证金电汇凭证复印件贴在本页。</w:t>
      </w:r>
    </w:p>
    <w:p>
      <w:pPr>
        <w:snapToGrid w:val="0"/>
        <w:spacing w:line="360" w:lineRule="auto"/>
        <w:ind w:firstLine="5250" w:firstLineChars="2500"/>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r>
        <w:rPr>
          <w:rFonts w:hint="eastAsia" w:asciiTheme="minorEastAsia" w:hAnsiTheme="minorEastAsia" w:cstheme="minorEastAsia"/>
        </w:rPr>
        <w:br w:type="page"/>
      </w:r>
    </w:p>
    <w:p>
      <w:pPr>
        <w:pStyle w:val="6"/>
        <w:snapToGrid w:val="0"/>
        <w:spacing w:before="0" w:after="0" w:line="360" w:lineRule="auto"/>
        <w:jc w:val="center"/>
        <w:rPr>
          <w:rFonts w:cstheme="minorEastAsia"/>
        </w:rPr>
      </w:pPr>
      <w:bookmarkStart w:id="117" w:name="_Toc17413"/>
      <w:r>
        <w:rPr>
          <w:rFonts w:hint="eastAsia" w:cstheme="minorEastAsia"/>
        </w:rPr>
        <w:t>五、商务和技术偏差表</w:t>
      </w:r>
      <w:bookmarkEnd w:id="117"/>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41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序号</w:t>
            </w:r>
          </w:p>
        </w:tc>
        <w:tc>
          <w:tcPr>
            <w:tcW w:w="2410"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招标文件章节及条款号</w:t>
            </w:r>
          </w:p>
        </w:tc>
        <w:tc>
          <w:tcPr>
            <w:tcW w:w="2410"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投标文件章节及条款号</w:t>
            </w:r>
          </w:p>
        </w:tc>
        <w:tc>
          <w:tcPr>
            <w:tcW w:w="2891"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1</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2</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3</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4</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5</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asciiTheme="minorEastAsia" w:hAnsiTheme="minorEastAsia" w:cstheme="minorEastAsia"/>
                <w:bCs/>
              </w:rPr>
            </w:pPr>
            <w:r>
              <w:rPr>
                <w:rFonts w:hint="eastAsia" w:asciiTheme="minorEastAsia" w:hAnsiTheme="minorEastAsia" w:cstheme="minorEastAsia"/>
                <w:bCs/>
              </w:rPr>
              <w:t>……</w:t>
            </w: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410" w:type="dxa"/>
            <w:vAlign w:val="center"/>
          </w:tcPr>
          <w:p>
            <w:pPr>
              <w:snapToGrid w:val="0"/>
              <w:spacing w:line="360" w:lineRule="auto"/>
              <w:ind w:firstLine="0" w:firstLineChars="0"/>
              <w:jc w:val="center"/>
              <w:rPr>
                <w:rFonts w:asciiTheme="minorEastAsia" w:hAnsiTheme="minorEastAsia" w:cstheme="minorEastAsia"/>
                <w:bCs/>
              </w:rPr>
            </w:pPr>
          </w:p>
        </w:tc>
        <w:tc>
          <w:tcPr>
            <w:tcW w:w="2891" w:type="dxa"/>
            <w:vAlign w:val="center"/>
          </w:tcPr>
          <w:p>
            <w:pPr>
              <w:snapToGrid w:val="0"/>
              <w:spacing w:line="360" w:lineRule="auto"/>
              <w:ind w:firstLine="0" w:firstLineChars="0"/>
              <w:jc w:val="center"/>
              <w:rPr>
                <w:rFonts w:asciiTheme="minorEastAsia" w:hAnsiTheme="minorEastAsia" w:cstheme="minorEastAsia"/>
                <w:bCs/>
              </w:rPr>
            </w:pPr>
          </w:p>
        </w:tc>
      </w:tr>
    </w:tbl>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r>
        <w:rPr>
          <w:rFonts w:hint="eastAsia" w:asciiTheme="minorEastAsia" w:hAnsiTheme="minorEastAsia" w:cstheme="minorEastAsia"/>
        </w:rPr>
        <w:t>投标人保证：除商务和技术偏差表列出的偏差外，投标人响应招标文件的全部要求。</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pStyle w:val="6"/>
        <w:snapToGrid w:val="0"/>
        <w:spacing w:before="0" w:after="0" w:line="360" w:lineRule="auto"/>
        <w:jc w:val="center"/>
        <w:rPr>
          <w:rFonts w:cstheme="minorEastAsia"/>
        </w:rPr>
      </w:pPr>
      <w:r>
        <w:rPr>
          <w:rFonts w:hint="eastAsia" w:cstheme="minorEastAsia"/>
        </w:rPr>
        <w:br w:type="page"/>
      </w:r>
    </w:p>
    <w:p>
      <w:pPr>
        <w:pStyle w:val="6"/>
        <w:snapToGrid w:val="0"/>
        <w:spacing w:before="0" w:after="0" w:line="360" w:lineRule="auto"/>
        <w:jc w:val="center"/>
        <w:rPr>
          <w:rFonts w:cstheme="minorEastAsia"/>
        </w:rPr>
      </w:pPr>
      <w:bookmarkStart w:id="118" w:name="_Toc16452"/>
      <w:r>
        <w:rPr>
          <w:rFonts w:hint="eastAsia" w:cstheme="minorEastAsia"/>
        </w:rPr>
        <w:t>六、报价表</w:t>
      </w:r>
      <w:bookmarkEnd w:id="118"/>
    </w:p>
    <w:tbl>
      <w:tblPr>
        <w:tblStyle w:val="24"/>
        <w:tblW w:w="8734" w:type="dxa"/>
        <w:jc w:val="center"/>
        <w:tblInd w:w="0" w:type="dxa"/>
        <w:tblLayout w:type="fixed"/>
        <w:tblCellMar>
          <w:top w:w="0" w:type="dxa"/>
          <w:left w:w="30" w:type="dxa"/>
          <w:bottom w:w="0" w:type="dxa"/>
          <w:right w:w="30" w:type="dxa"/>
        </w:tblCellMar>
      </w:tblPr>
      <w:tblGrid>
        <w:gridCol w:w="546"/>
        <w:gridCol w:w="2321"/>
        <w:gridCol w:w="1184"/>
        <w:gridCol w:w="1565"/>
        <w:gridCol w:w="1564"/>
        <w:gridCol w:w="1554"/>
      </w:tblGrid>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序号</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b/>
                <w:kern w:val="0"/>
                <w:szCs w:val="21"/>
              </w:rPr>
              <w:t>安全服务描述</w:t>
            </w:r>
          </w:p>
        </w:tc>
        <w:tc>
          <w:tcPr>
            <w:tcW w:w="1184" w:type="dxa"/>
            <w:tcBorders>
              <w:top w:val="single" w:color="auto" w:sz="6" w:space="0"/>
              <w:left w:val="single" w:color="auto" w:sz="6" w:space="0"/>
              <w:bottom w:val="single" w:color="auto" w:sz="6" w:space="0"/>
              <w:right w:val="single" w:color="auto" w:sz="6" w:space="0"/>
            </w:tcBorders>
            <w:vAlign w:val="center"/>
          </w:tcPr>
          <w:p>
            <w:pPr>
              <w:spacing w:line="276" w:lineRule="auto"/>
              <w:ind w:firstLine="422"/>
              <w:rPr>
                <w:rFonts w:asciiTheme="minorEastAsia" w:hAnsiTheme="minorEastAsia" w:cstheme="minorEastAsia"/>
              </w:rPr>
            </w:pPr>
            <w:r>
              <w:rPr>
                <w:rFonts w:hint="eastAsia" w:asciiTheme="minorEastAsia" w:hAnsiTheme="minorEastAsia" w:cstheme="minorEastAsia"/>
                <w:b/>
                <w:szCs w:val="21"/>
              </w:rPr>
              <w:t>数量</w:t>
            </w:r>
          </w:p>
        </w:tc>
        <w:tc>
          <w:tcPr>
            <w:tcW w:w="1565" w:type="dxa"/>
            <w:tcBorders>
              <w:top w:val="single" w:color="auto" w:sz="6" w:space="0"/>
              <w:left w:val="single" w:color="auto" w:sz="6" w:space="0"/>
              <w:bottom w:val="single" w:color="auto" w:sz="6" w:space="0"/>
              <w:right w:val="single" w:color="auto" w:sz="6" w:space="0"/>
            </w:tcBorders>
            <w:vAlign w:val="center"/>
          </w:tcPr>
          <w:p>
            <w:pPr>
              <w:spacing w:line="276" w:lineRule="auto"/>
              <w:ind w:firstLine="422"/>
              <w:rPr>
                <w:rFonts w:asciiTheme="minorEastAsia" w:hAnsiTheme="minorEastAsia" w:cstheme="minorEastAsia"/>
              </w:rPr>
            </w:pPr>
            <w:r>
              <w:rPr>
                <w:rFonts w:hint="eastAsia" w:asciiTheme="minorEastAsia" w:hAnsiTheme="minorEastAsia" w:cstheme="minorEastAsia"/>
                <w:b/>
                <w:szCs w:val="21"/>
              </w:rPr>
              <w:t>单价（</w:t>
            </w:r>
            <w:r>
              <w:rPr>
                <w:rFonts w:hint="eastAsia" w:asciiTheme="minorEastAsia" w:hAnsiTheme="minorEastAsia" w:cstheme="minorEastAsia"/>
              </w:rPr>
              <w:t>万</w:t>
            </w:r>
            <w:r>
              <w:rPr>
                <w:rFonts w:hint="eastAsia" w:asciiTheme="minorEastAsia" w:hAnsiTheme="minorEastAsia" w:cstheme="minorEastAsia"/>
                <w:b/>
                <w:szCs w:val="21"/>
              </w:rPr>
              <w:t>元）</w:t>
            </w:r>
          </w:p>
        </w:tc>
        <w:tc>
          <w:tcPr>
            <w:tcW w:w="1564" w:type="dxa"/>
            <w:tcBorders>
              <w:top w:val="single" w:color="auto" w:sz="6" w:space="0"/>
              <w:left w:val="single" w:color="auto" w:sz="6" w:space="0"/>
              <w:bottom w:val="single" w:color="auto" w:sz="6" w:space="0"/>
              <w:right w:val="single" w:color="auto" w:sz="6" w:space="0"/>
            </w:tcBorders>
            <w:vAlign w:val="center"/>
          </w:tcPr>
          <w:p>
            <w:pPr>
              <w:spacing w:line="276" w:lineRule="auto"/>
              <w:ind w:firstLine="422"/>
              <w:rPr>
                <w:rFonts w:asciiTheme="minorEastAsia" w:hAnsiTheme="minorEastAsia" w:cstheme="minorEastAsia"/>
              </w:rPr>
            </w:pPr>
            <w:r>
              <w:rPr>
                <w:rFonts w:hint="eastAsia" w:asciiTheme="minorEastAsia" w:hAnsiTheme="minorEastAsia" w:cstheme="minorEastAsia"/>
                <w:b/>
                <w:szCs w:val="21"/>
              </w:rPr>
              <w:t>总价（</w:t>
            </w:r>
            <w:r>
              <w:rPr>
                <w:rFonts w:hint="eastAsia" w:asciiTheme="minorEastAsia" w:hAnsiTheme="minorEastAsia" w:cstheme="minorEastAsia"/>
              </w:rPr>
              <w:t>万</w:t>
            </w:r>
            <w:r>
              <w:rPr>
                <w:rFonts w:hint="eastAsia" w:asciiTheme="minorEastAsia" w:hAnsiTheme="minorEastAsia" w:cstheme="minorEastAsia"/>
                <w:b/>
                <w:szCs w:val="21"/>
              </w:rPr>
              <w:t>元）</w:t>
            </w:r>
          </w:p>
        </w:tc>
        <w:tc>
          <w:tcPr>
            <w:tcW w:w="155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备注</w:t>
            </w:r>
          </w:p>
        </w:tc>
      </w:tr>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1</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r>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2</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r>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3</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r>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r>
              <w:rPr>
                <w:rFonts w:hint="eastAsia" w:asciiTheme="minorEastAsia" w:hAnsiTheme="minorEastAsia" w:cstheme="minorEastAsia"/>
              </w:rPr>
              <w:t>4</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asciiTheme="minorEastAsia" w:hAnsiTheme="minorEastAsia" w:cstheme="minorEastAsia"/>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r>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tcPr>
          <w:p>
            <w:pPr>
              <w:snapToGrid w:val="0"/>
              <w:spacing w:line="360" w:lineRule="auto"/>
              <w:ind w:firstLine="0" w:firstLineChars="0"/>
              <w:rPr>
                <w:rFonts w:asciiTheme="minorEastAsia" w:hAnsiTheme="minorEastAsia" w:cstheme="minorEastAsia"/>
              </w:rPr>
            </w:pPr>
            <w:r>
              <w:rPr>
                <w:rFonts w:hint="eastAsia" w:asciiTheme="minorEastAsia" w:hAnsiTheme="minorEastAsia" w:cstheme="minorEastAsia"/>
              </w:rPr>
              <w:t>……</w:t>
            </w:r>
          </w:p>
        </w:tc>
        <w:tc>
          <w:tcPr>
            <w:tcW w:w="2321" w:type="dxa"/>
            <w:tcBorders>
              <w:top w:val="single" w:color="auto" w:sz="6" w:space="0"/>
              <w:left w:val="single" w:color="auto" w:sz="6" w:space="0"/>
              <w:bottom w:val="single" w:color="auto" w:sz="6" w:space="0"/>
              <w:right w:val="single" w:color="auto" w:sz="6" w:space="0"/>
            </w:tcBorders>
          </w:tcPr>
          <w:p>
            <w:pPr>
              <w:snapToGrid w:val="0"/>
              <w:spacing w:line="360" w:lineRule="auto"/>
              <w:rPr>
                <w:rFonts w:asciiTheme="minorEastAsia" w:hAnsiTheme="minorEastAsia" w:cstheme="minorEastAsia"/>
              </w:rPr>
            </w:pPr>
            <w:r>
              <w:rPr>
                <w:rFonts w:hint="eastAsia" w:asciiTheme="minorEastAsia" w:hAnsiTheme="minorEastAsia" w:cstheme="minorEastAsia"/>
              </w:rPr>
              <w:t>……</w:t>
            </w: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rPr>
                <w:rFonts w:asciiTheme="minorEastAsia" w:hAnsiTheme="minorEastAsia" w:cstheme="minorEastAsia"/>
              </w:rPr>
            </w:pPr>
          </w:p>
        </w:tc>
      </w:tr>
      <w:tr>
        <w:tblPrEx>
          <w:tblLayout w:type="fixed"/>
          <w:tblCellMar>
            <w:top w:w="0" w:type="dxa"/>
            <w:left w:w="30" w:type="dxa"/>
            <w:bottom w:w="0" w:type="dxa"/>
            <w:right w:w="30" w:type="dxa"/>
          </w:tblCellMar>
        </w:tblPrEx>
        <w:trPr>
          <w:trHeight w:val="90" w:hRule="atLeast"/>
          <w:jc w:val="center"/>
        </w:trPr>
        <w:tc>
          <w:tcPr>
            <w:tcW w:w="5616" w:type="dxa"/>
            <w:gridSpan w:val="4"/>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Theme="minorEastAsia" w:hAnsiTheme="minorEastAsia" w:cstheme="minorEastAsia"/>
              </w:rPr>
            </w:pPr>
            <w:r>
              <w:rPr>
                <w:rFonts w:hint="eastAsia" w:asciiTheme="minorEastAsia" w:hAnsiTheme="minorEastAsia" w:cstheme="minorEastAsia"/>
              </w:rPr>
              <w:t>合计报价（万元）（为本表序号1+2+3+4+…之和）</w:t>
            </w:r>
          </w:p>
        </w:tc>
        <w:tc>
          <w:tcPr>
            <w:tcW w:w="156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Theme="minorEastAsia" w:hAnsiTheme="minorEastAsia" w:cstheme="minorEastAsia"/>
              </w:rPr>
            </w:pPr>
          </w:p>
        </w:tc>
        <w:tc>
          <w:tcPr>
            <w:tcW w:w="155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Theme="minorEastAsia" w:hAnsiTheme="minorEastAsia" w:cstheme="minorEastAsia"/>
              </w:rPr>
            </w:pPr>
          </w:p>
        </w:tc>
      </w:tr>
    </w:tbl>
    <w:p>
      <w:pPr>
        <w:snapToGrid w:val="0"/>
        <w:spacing w:line="360" w:lineRule="auto"/>
        <w:rPr>
          <w:rFonts w:asciiTheme="minorEastAsia" w:hAnsiTheme="minorEastAsia" w:cstheme="minorEastAsia"/>
          <w:u w:val="single"/>
        </w:rPr>
      </w:pPr>
      <w:r>
        <w:rPr>
          <w:rFonts w:hint="eastAsia" w:asciiTheme="minorEastAsia" w:hAnsiTheme="minorEastAsia" w:cstheme="minorEastAsia"/>
        </w:rPr>
        <w:t>*服务地点：</w:t>
      </w:r>
      <w:r>
        <w:rPr>
          <w:rFonts w:hint="eastAsia" w:asciiTheme="minorEastAsia" w:hAnsiTheme="minorEastAsia" w:cstheme="minorEastAsia"/>
          <w:u w:val="single"/>
        </w:rPr>
        <w:t xml:space="preserve">                      </w:t>
      </w:r>
    </w:p>
    <w:p>
      <w:pPr>
        <w:snapToGrid w:val="0"/>
        <w:spacing w:line="360" w:lineRule="auto"/>
        <w:rPr>
          <w:rFonts w:asciiTheme="minorEastAsia" w:hAnsiTheme="minorEastAsia" w:cstheme="minorEastAsia"/>
          <w:u w:val="single"/>
        </w:rPr>
      </w:pPr>
      <w:r>
        <w:rPr>
          <w:rFonts w:hint="eastAsia" w:asciiTheme="minorEastAsia" w:hAnsiTheme="minorEastAsia" w:cstheme="minorEastAsia"/>
        </w:rPr>
        <w:t>*服务期：</w:t>
      </w:r>
      <w:r>
        <w:rPr>
          <w:rFonts w:hint="eastAsia" w:asciiTheme="minorEastAsia" w:hAnsiTheme="minorEastAsia" w:cstheme="minorEastAsia"/>
          <w:u w:val="single"/>
        </w:rPr>
        <w:t xml:space="preserve">                </w:t>
      </w:r>
    </w:p>
    <w:p>
      <w:pPr>
        <w:snapToGrid w:val="0"/>
        <w:spacing w:line="360" w:lineRule="auto"/>
        <w:rPr>
          <w:rFonts w:asciiTheme="minorEastAsia" w:hAnsiTheme="minorEastAsia" w:cstheme="minorEastAsia"/>
          <w:u w:val="single"/>
        </w:rPr>
      </w:pPr>
    </w:p>
    <w:p>
      <w:pPr>
        <w:snapToGrid w:val="0"/>
        <w:spacing w:line="360" w:lineRule="auto"/>
        <w:rPr>
          <w:rFonts w:asciiTheme="minorEastAsia" w:hAnsiTheme="minorEastAsia" w:cstheme="minorEastAsia"/>
          <w:u w:val="single"/>
        </w:rPr>
      </w:pP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p>
      <w:pPr>
        <w:pStyle w:val="6"/>
        <w:snapToGrid w:val="0"/>
        <w:spacing w:before="0" w:after="0" w:line="360" w:lineRule="auto"/>
        <w:jc w:val="center"/>
        <w:rPr>
          <w:rFonts w:cstheme="minorEastAsia"/>
        </w:rPr>
      </w:pPr>
      <w:bookmarkStart w:id="119" w:name="_Toc29679"/>
      <w:r>
        <w:rPr>
          <w:rFonts w:hint="eastAsia" w:cstheme="minorEastAsia"/>
        </w:rPr>
        <w:t>七、资格审查资料</w:t>
      </w:r>
      <w:bookmarkEnd w:id="119"/>
    </w:p>
    <w:p>
      <w:pPr>
        <w:pStyle w:val="7"/>
        <w:snapToGrid w:val="0"/>
        <w:spacing w:before="0" w:after="0" w:line="360" w:lineRule="auto"/>
        <w:rPr>
          <w:rFonts w:cstheme="minorEastAsia"/>
        </w:rPr>
      </w:pPr>
      <w:bookmarkStart w:id="120" w:name="_Toc7972"/>
      <w:bookmarkStart w:id="121" w:name="_Toc503983072"/>
      <w:bookmarkStart w:id="122" w:name="_Toc2405"/>
      <w:bookmarkStart w:id="123" w:name="_Toc506205344"/>
      <w:r>
        <w:rPr>
          <w:rFonts w:hint="eastAsia" w:cstheme="minorEastAsia"/>
        </w:rPr>
        <w:t>（一）基本情况表</w:t>
      </w:r>
      <w:bookmarkEnd w:id="120"/>
    </w:p>
    <w:tbl>
      <w:tblPr>
        <w:tblStyle w:val="25"/>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179"/>
        <w:gridCol w:w="1341"/>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投标人名称</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注册资金</w:t>
            </w:r>
          </w:p>
        </w:tc>
        <w:tc>
          <w:tcPr>
            <w:tcW w:w="2520" w:type="dxa"/>
            <w:gridSpan w:val="2"/>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成立时间</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注册地址</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邮政编码</w:t>
            </w:r>
          </w:p>
        </w:tc>
        <w:tc>
          <w:tcPr>
            <w:tcW w:w="2520" w:type="dxa"/>
            <w:gridSpan w:val="2"/>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员工总数</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Merge w:val="restart"/>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联系方式</w:t>
            </w:r>
          </w:p>
        </w:tc>
        <w:tc>
          <w:tcPr>
            <w:tcW w:w="1179"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联系人</w:t>
            </w:r>
          </w:p>
        </w:tc>
        <w:tc>
          <w:tcPr>
            <w:tcW w:w="1341" w:type="dxa"/>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电话</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Merge w:val="continue"/>
            <w:vAlign w:val="center"/>
          </w:tcPr>
          <w:p>
            <w:pPr>
              <w:spacing w:line="312" w:lineRule="auto"/>
              <w:ind w:firstLine="0" w:firstLineChars="0"/>
              <w:jc w:val="center"/>
              <w:rPr>
                <w:rFonts w:asciiTheme="minorEastAsia" w:hAnsiTheme="minorEastAsia" w:cstheme="minorEastAsia"/>
              </w:rPr>
            </w:pPr>
          </w:p>
        </w:tc>
        <w:tc>
          <w:tcPr>
            <w:tcW w:w="1179"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网址</w:t>
            </w:r>
          </w:p>
        </w:tc>
        <w:tc>
          <w:tcPr>
            <w:tcW w:w="1341" w:type="dxa"/>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传真</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法定代表人</w:t>
            </w:r>
          </w:p>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（单位负责人）</w:t>
            </w:r>
          </w:p>
        </w:tc>
        <w:tc>
          <w:tcPr>
            <w:tcW w:w="1179"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姓名</w:t>
            </w:r>
          </w:p>
        </w:tc>
        <w:tc>
          <w:tcPr>
            <w:tcW w:w="1341" w:type="dxa"/>
            <w:vAlign w:val="center"/>
          </w:tcPr>
          <w:p>
            <w:pPr>
              <w:spacing w:line="312" w:lineRule="auto"/>
              <w:ind w:firstLine="0" w:firstLineChars="0"/>
              <w:jc w:val="center"/>
              <w:rPr>
                <w:rFonts w:asciiTheme="minorEastAsia" w:hAnsiTheme="minorEastAsia" w:cstheme="minorEastAsia"/>
              </w:rPr>
            </w:pPr>
          </w:p>
        </w:tc>
        <w:tc>
          <w:tcPr>
            <w:tcW w:w="170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电话</w:t>
            </w:r>
          </w:p>
        </w:tc>
        <w:tc>
          <w:tcPr>
            <w:tcW w:w="1706" w:type="dxa"/>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投标人须知要求投标人需具有的各类资质证书</w:t>
            </w:r>
          </w:p>
        </w:tc>
        <w:tc>
          <w:tcPr>
            <w:tcW w:w="5932" w:type="dxa"/>
            <w:gridSpan w:val="4"/>
            <w:vAlign w:val="center"/>
          </w:tcPr>
          <w:p>
            <w:pPr>
              <w:spacing w:line="312" w:lineRule="auto"/>
              <w:ind w:firstLine="0" w:firstLineChars="0"/>
              <w:rPr>
                <w:rFonts w:asciiTheme="minorEastAsia" w:hAnsiTheme="minorEastAsia" w:cstheme="minorEastAsia"/>
              </w:rPr>
            </w:pPr>
            <w:r>
              <w:rPr>
                <w:rFonts w:hint="eastAsia" w:asciiTheme="minorEastAsia" w:hAnsiTheme="minorEastAsia" w:cstheme="minorEastAsia"/>
              </w:rPr>
              <w:t>类型：</w:t>
            </w:r>
            <w:r>
              <w:rPr>
                <w:rFonts w:hint="eastAsia" w:asciiTheme="minorEastAsia" w:hAnsiTheme="minorEastAsia" w:cstheme="minorEastAsia"/>
              </w:rPr>
              <w:tab/>
            </w:r>
            <w:r>
              <w:rPr>
                <w:rFonts w:hint="eastAsia" w:asciiTheme="minorEastAsia" w:hAnsiTheme="minorEastAsia" w:cstheme="minorEastAsia"/>
              </w:rPr>
              <w:t>等级：</w:t>
            </w:r>
            <w:r>
              <w:rPr>
                <w:rFonts w:hint="eastAsia" w:asciiTheme="minorEastAsia" w:hAnsiTheme="minorEastAsia" w:cstheme="minorEastAsia"/>
              </w:rPr>
              <w:tab/>
            </w:r>
            <w:r>
              <w:rPr>
                <w:rFonts w:hint="eastAsia" w:asciiTheme="minorEastAsia" w:hAnsiTheme="minorEastAsia" w:cstheme="minorEastAsia"/>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基本账户开户银行</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基本账户银行账号</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近三年营业额</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投标人关联企业情况（包括但不限于与投标人法定代表人（单位负责人）为同一人或者存在控股、管理关系的不同单位）</w:t>
            </w:r>
          </w:p>
        </w:tc>
        <w:tc>
          <w:tcPr>
            <w:tcW w:w="5932" w:type="dxa"/>
            <w:gridSpan w:val="4"/>
            <w:vAlign w:val="center"/>
          </w:tcPr>
          <w:p>
            <w:pPr>
              <w:wordWrap w:val="0"/>
              <w:topLinePunct/>
              <w:snapToGrid w:val="0"/>
              <w:spacing w:line="312" w:lineRule="auto"/>
              <w:jc w:val="left"/>
              <w:textAlignment w:val="top"/>
              <w:rPr>
                <w:rFonts w:asciiTheme="minorEastAsia" w:hAnsiTheme="minorEastAsia" w:cstheme="minorEastAsia"/>
                <w:kern w:val="0"/>
                <w:szCs w:val="21"/>
              </w:rPr>
            </w:pPr>
            <w:r>
              <w:rPr>
                <w:rFonts w:hint="eastAsia" w:asciiTheme="minorEastAsia" w:hAnsiTheme="minorEastAsia" w:cstheme="minorEastAsia"/>
                <w:kern w:val="0"/>
                <w:szCs w:val="21"/>
              </w:rPr>
              <w:t>投标人应提供关联企业情况，包括：</w:t>
            </w:r>
          </w:p>
          <w:p>
            <w:pPr>
              <w:shd w:val="clear" w:color="auto" w:fill="FFFFFF"/>
              <w:wordWrap w:val="0"/>
              <w:topLinePunct/>
              <w:snapToGrid w:val="0"/>
              <w:spacing w:line="312" w:lineRule="auto"/>
              <w:jc w:val="left"/>
              <w:textAlignment w:val="top"/>
              <w:rPr>
                <w:rFonts w:asciiTheme="minorEastAsia" w:hAnsiTheme="minorEastAsia" w:cstheme="minorEastAsia"/>
                <w:kern w:val="0"/>
                <w:szCs w:val="21"/>
                <w:shd w:val="clear" w:color="auto" w:fill="FFFFFF"/>
                <w:lang w:bidi="ar"/>
              </w:rPr>
            </w:pPr>
            <w:r>
              <w:rPr>
                <w:rFonts w:hint="eastAsia" w:asciiTheme="minorEastAsia" w:hAnsiTheme="minorEastAsia" w:cstheme="minorEastAsia"/>
                <w:kern w:val="0"/>
                <w:szCs w:val="21"/>
                <w:shd w:val="clear" w:color="auto" w:fill="FFFFFF"/>
                <w:lang w:bidi="ar"/>
              </w:rPr>
              <w:t>（1）投标人的所有股东名称及相应股权（出资额）比例；如投标人为上市公司，投标人应提供股权占公司股份总数</w:t>
            </w:r>
            <w:r>
              <w:rPr>
                <w:rFonts w:hint="eastAsia" w:asciiTheme="minorEastAsia" w:hAnsiTheme="minorEastAsia" w:cstheme="minorEastAsia"/>
                <w:kern w:val="0"/>
                <w:szCs w:val="21"/>
                <w:u w:val="single"/>
                <w:shd w:val="clear" w:color="auto" w:fill="FFFFFF"/>
                <w:lang w:bidi="ar"/>
              </w:rPr>
              <w:t>10</w:t>
            </w:r>
            <w:r>
              <w:rPr>
                <w:rFonts w:hint="eastAsia" w:asciiTheme="minorEastAsia" w:hAnsiTheme="minorEastAsia" w:cstheme="minorEastAsia"/>
                <w:kern w:val="0"/>
                <w:szCs w:val="21"/>
                <w:shd w:val="clear" w:color="auto" w:fill="FFFFFF"/>
                <w:lang w:bidi="ar"/>
              </w:rPr>
              <w:t xml:space="preserve">%以上的所有股东名称及相应股权比例； </w:t>
            </w:r>
          </w:p>
          <w:p>
            <w:pPr>
              <w:shd w:val="clear" w:color="auto" w:fill="FFFFFF"/>
              <w:wordWrap w:val="0"/>
              <w:topLinePunct/>
              <w:snapToGrid w:val="0"/>
              <w:spacing w:line="312" w:lineRule="auto"/>
              <w:jc w:val="left"/>
              <w:textAlignment w:val="top"/>
              <w:rPr>
                <w:rFonts w:asciiTheme="minorEastAsia" w:hAnsiTheme="minorEastAsia" w:cstheme="minorEastAsia"/>
                <w:kern w:val="0"/>
                <w:szCs w:val="21"/>
              </w:rPr>
            </w:pPr>
            <w:r>
              <w:rPr>
                <w:rFonts w:hint="eastAsia" w:asciiTheme="minorEastAsia" w:hAnsiTheme="minorEastAsia" w:cstheme="minorEastAsia"/>
                <w:kern w:val="0"/>
                <w:szCs w:val="21"/>
                <w:shd w:val="clear" w:color="auto" w:fill="FFFFFF"/>
                <w:lang w:bidi="ar"/>
              </w:rPr>
              <w:t>（2）投标人投资（控股）或管理的下属企业名称、持有股权（出资额）比例；</w:t>
            </w:r>
          </w:p>
          <w:p>
            <w:pPr>
              <w:spacing w:line="312" w:lineRule="auto"/>
              <w:ind w:firstLine="0" w:firstLineChars="0"/>
              <w:jc w:val="left"/>
              <w:rPr>
                <w:rFonts w:asciiTheme="minorEastAsia" w:hAnsiTheme="minorEastAsia" w:cstheme="minorEastAsia"/>
              </w:rPr>
            </w:pPr>
            <w:r>
              <w:rPr>
                <w:rFonts w:hint="eastAsia" w:asciiTheme="minorEastAsia" w:hAnsiTheme="minorEastAsia" w:cstheme="minorEastAsia"/>
                <w:kern w:val="0"/>
                <w:szCs w:val="21"/>
                <w:shd w:val="clear" w:color="auto" w:fill="FFFFFF"/>
                <w:lang w:bidi="ar"/>
              </w:rPr>
              <w:t>（3）与投标人单位负责人（即法定代表人）为同一人的其他单位名称。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投标产品制造商名称</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投标人须知要求投标产品制造商需具有的资质证书</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asciiTheme="minorEastAsia" w:hAnsiTheme="minorEastAsia" w:cstheme="minorEastAsia"/>
              </w:rPr>
            </w:pPr>
            <w:r>
              <w:rPr>
                <w:rFonts w:hint="eastAsia" w:asciiTheme="minorEastAsia" w:hAnsiTheme="minorEastAsia" w:cstheme="minorEastAsia"/>
              </w:rPr>
              <w:t>备注</w:t>
            </w:r>
          </w:p>
        </w:tc>
        <w:tc>
          <w:tcPr>
            <w:tcW w:w="5932" w:type="dxa"/>
            <w:gridSpan w:val="4"/>
            <w:vAlign w:val="center"/>
          </w:tcPr>
          <w:p>
            <w:pPr>
              <w:spacing w:line="312" w:lineRule="auto"/>
              <w:ind w:firstLine="0" w:firstLineChars="0"/>
              <w:jc w:val="center"/>
              <w:rPr>
                <w:rFonts w:asciiTheme="minorEastAsia" w:hAnsiTheme="minorEastAsia" w:cstheme="minorEastAsia"/>
              </w:rPr>
            </w:pPr>
          </w:p>
        </w:tc>
      </w:tr>
    </w:tbl>
    <w:p>
      <w:pPr>
        <w:snapToGrid w:val="0"/>
        <w:spacing w:line="360" w:lineRule="auto"/>
        <w:rPr>
          <w:rFonts w:asciiTheme="minorEastAsia" w:hAnsiTheme="minorEastAsia" w:cstheme="minorEastAsia"/>
        </w:rPr>
      </w:pPr>
      <w:r>
        <w:rPr>
          <w:rFonts w:hint="eastAsia" w:asciiTheme="minorEastAsia" w:hAnsiTheme="minorEastAsia" w:cstheme="minorEastAsia"/>
        </w:rPr>
        <w:t>注：1.投标人应根据投标人须知第3.5.1项的要求在本表后附相关证明材料。</w:t>
      </w:r>
    </w:p>
    <w:p>
      <w:pPr>
        <w:snapToGrid w:val="0"/>
        <w:spacing w:line="360" w:lineRule="auto"/>
        <w:rPr>
          <w:rFonts w:asciiTheme="minorEastAsia" w:hAnsiTheme="minorEastAsia" w:cstheme="minorEastAsia"/>
        </w:rPr>
      </w:pPr>
      <w:r>
        <w:rPr>
          <w:rFonts w:hint="eastAsia" w:asciiTheme="minorEastAsia" w:hAnsiTheme="minorEastAsia" w:cstheme="minorEastAsia"/>
        </w:rPr>
        <w:t>2.如果投标人须知第1.4.1项对投标产品制造商的资质提出了要求，投标人应根据投标人须知第3.5.1项的要求在本表后附相关资质证书复印件。</w:t>
      </w:r>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snapToGrid w:val="0"/>
        <w:spacing w:line="360" w:lineRule="auto"/>
        <w:rPr>
          <w:rFonts w:asciiTheme="minorEastAsia" w:hAnsiTheme="minorEastAsia" w:cstheme="minorEastAsia"/>
        </w:rPr>
      </w:pPr>
    </w:p>
    <w:p>
      <w:pPr>
        <w:snapToGrid w:val="0"/>
        <w:spacing w:line="360" w:lineRule="auto"/>
        <w:ind w:firstLine="0" w:firstLineChars="0"/>
        <w:jc w:val="center"/>
        <w:rPr>
          <w:rFonts w:asciiTheme="minorEastAsia" w:hAnsiTheme="minorEastAsia" w:cstheme="minorEastAsia"/>
        </w:rPr>
      </w:pPr>
    </w:p>
    <w:bookmarkEnd w:id="121"/>
    <w:bookmarkEnd w:id="122"/>
    <w:bookmarkEnd w:id="123"/>
    <w:p>
      <w:pPr>
        <w:pStyle w:val="7"/>
        <w:snapToGrid w:val="0"/>
        <w:spacing w:before="0" w:after="0" w:line="360" w:lineRule="auto"/>
        <w:rPr>
          <w:rFonts w:cstheme="minorEastAsia"/>
        </w:rPr>
      </w:pPr>
      <w:bookmarkStart w:id="124" w:name="_Toc16148"/>
      <w:bookmarkStart w:id="125" w:name="_Toc19609"/>
      <w:r>
        <w:rPr>
          <w:rFonts w:hint="eastAsia" w:cstheme="minorEastAsia"/>
        </w:rPr>
        <w:t>（二）法人资格证明</w:t>
      </w:r>
      <w:bookmarkEnd w:id="124"/>
      <w:bookmarkEnd w:id="125"/>
    </w:p>
    <w:p>
      <w:pPr>
        <w:snapToGrid w:val="0"/>
        <w:spacing w:line="360" w:lineRule="auto"/>
        <w:rPr>
          <w:rFonts w:asciiTheme="minorEastAsia" w:hAnsiTheme="minorEastAsia" w:cstheme="minorEastAsia"/>
        </w:rPr>
      </w:pPr>
      <w:r>
        <w:rPr>
          <w:rFonts w:hint="eastAsia" w:asciiTheme="minorEastAsia" w:hAnsiTheme="minorEastAsia" w:cstheme="minorEastAsia"/>
        </w:rPr>
        <w:t>（依法设立的法人或其他组织资格证明文件，如企业法人营业执照等）</w:t>
      </w:r>
      <w:bookmarkStart w:id="126" w:name="_Toc16430"/>
    </w:p>
    <w:p>
      <w:pPr>
        <w:widowControl/>
        <w:ind w:firstLine="0" w:firstLineChars="0"/>
        <w:jc w:val="left"/>
        <w:rPr>
          <w:rFonts w:ascii="宋体" w:hAnsi="宋体"/>
          <w:sz w:val="24"/>
        </w:rPr>
      </w:pPr>
      <w:r>
        <w:br w:type="page"/>
      </w:r>
    </w:p>
    <w:p>
      <w:pPr>
        <w:pStyle w:val="2"/>
      </w:pPr>
    </w:p>
    <w:p>
      <w:pPr>
        <w:pStyle w:val="7"/>
        <w:snapToGrid w:val="0"/>
        <w:spacing w:before="0" w:after="0" w:line="360" w:lineRule="auto"/>
        <w:rPr>
          <w:rFonts w:cstheme="minorEastAsia"/>
        </w:rPr>
      </w:pPr>
      <w:bookmarkStart w:id="127" w:name="_Toc29171"/>
      <w:r>
        <w:rPr>
          <w:rFonts w:hint="eastAsia" w:cstheme="minorEastAsia"/>
        </w:rPr>
        <w:t>（三）</w:t>
      </w:r>
      <w:bookmarkEnd w:id="126"/>
      <w:bookmarkStart w:id="128" w:name="_Toc506205354"/>
      <w:bookmarkStart w:id="129" w:name="_Toc6516"/>
      <w:bookmarkStart w:id="130" w:name="_Toc503983082"/>
      <w:bookmarkStart w:id="131" w:name="_Toc10027"/>
      <w:r>
        <w:rPr>
          <w:rFonts w:hint="eastAsia" w:cstheme="minorEastAsia"/>
        </w:rPr>
        <mc:AlternateContent>
          <mc:Choice Requires="wps">
            <w:drawing>
              <wp:anchor distT="0" distB="0" distL="114300" distR="114300" simplePos="0" relativeHeight="25165824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1" name="自选图形 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 name="A3" fmla="val 0"/>
                          </a:gdLst>
                          <a:ahLst/>
                          <a:cxnLst/>
                          <a:rect l="0" t="0" r="0" b="0"/>
                          <a:pathLst>
                            <a:path w="61210" h="79210">
                              <a:moveTo>
                                <a:pt x="0" y="79210"/>
                              </a:moveTo>
                              <a:lnTo>
                                <a:pt x="0" y="79210"/>
                              </a:lnTo>
                              <a:lnTo>
                                <a:pt x="61210" y="79210"/>
                              </a:lnTo>
                              <a:lnTo>
                                <a:pt x="61210" y="79210"/>
                              </a:lnTo>
                              <a:lnTo>
                                <a:pt x="61210" y="0"/>
                              </a:lnTo>
                              <a:lnTo>
                                <a:pt x="61210" y="0"/>
                              </a:lnTo>
                              <a:lnTo>
                                <a:pt x="0" y="0"/>
                              </a:lnTo>
                              <a:lnTo>
                                <a:pt x="0" y="0"/>
                              </a:lnTo>
                              <a:lnTo>
                                <a:pt x="0" y="79210"/>
                              </a:lnTo>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2" o:spid="_x0000_s1026" o:spt="100" style="position:absolute;left:0pt;margin-left:0pt;margin-top:0pt;height:50pt;width:50pt;visibility:hidden;z-index:251658240;mso-width-relative:page;mso-height-relative:page;" fillcolor="#FFFFFF" filled="t" stroked="t" coordsize="61210,79210" o:gfxdata="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C7OcfdAAAAAFAQAADwAAAAAAAAABACAAAAAiAAAA&#10;ZHJzL2Rvd25yZXYueG1sUEsBAhQAFAAAAAgAh07iQHd1szCBAgAARwYAAA4AAAAAAAAAAQAgAAAA&#10;HwEAAGRycy9lMm9Eb2MueG1sUEsFBgAAAAAGAAYAWQEAABIGAAAAAA==&#10;" path="m0,79210l0,79210,61210,79210,61210,79210,61210,0,61210,0,0,0,0,0,0,79210e">
                <v:fill on="t" focussize="0,0"/>
                <v:stroke color="#000000" joinstyle="miter"/>
                <v:imagedata o:title=""/>
                <o:lock v:ext="edit" selection="t" aspectratio="f"/>
              </v:shape>
            </w:pict>
          </mc:Fallback>
        </mc:AlternateContent>
      </w:r>
      <w:bookmarkStart w:id="132" w:name="_Toc499815513"/>
      <w:bookmarkStart w:id="133" w:name="_Toc503961413"/>
      <w:r>
        <w:rPr>
          <w:rFonts w:hint="eastAsia" w:cstheme="minorEastAsia"/>
        </w:rPr>
        <w:t>近年财务状况表</w:t>
      </w:r>
      <w:bookmarkEnd w:id="127"/>
      <w:bookmarkEnd w:id="128"/>
      <w:bookmarkEnd w:id="129"/>
      <w:bookmarkEnd w:id="130"/>
      <w:bookmarkEnd w:id="131"/>
      <w:bookmarkEnd w:id="132"/>
      <w:bookmarkEnd w:id="133"/>
    </w:p>
    <w:p>
      <w:pPr>
        <w:snapToGrid w:val="0"/>
        <w:spacing w:line="360" w:lineRule="auto"/>
        <w:rPr>
          <w:rFonts w:asciiTheme="minorEastAsia" w:hAnsiTheme="minorEastAsia" w:cstheme="minorEastAsia"/>
        </w:rPr>
      </w:pPr>
      <w:r>
        <w:rPr>
          <w:rFonts w:hint="eastAsia" w:asciiTheme="minorEastAsia" w:hAnsiTheme="minorEastAsia" w:cstheme="minorEastAsia"/>
        </w:rPr>
        <w:t>投标人应根据投标人须知第3.5.2项的要求在本表后附相关证明材料。</w:t>
      </w:r>
    </w:p>
    <w:p>
      <w:pPr>
        <w:pStyle w:val="2"/>
        <w:snapToGrid w:val="0"/>
        <w:rPr>
          <w:rFonts w:asciiTheme="minorEastAsia" w:hAnsiTheme="minorEastAsia" w:cstheme="minorEastAsia"/>
        </w:rPr>
      </w:pPr>
    </w:p>
    <w:p>
      <w:pPr>
        <w:pStyle w:val="28"/>
        <w:snapToGrid w:val="0"/>
        <w:spacing w:line="360" w:lineRule="auto"/>
        <w:rPr>
          <w:rFonts w:asciiTheme="minorEastAsia" w:hAnsiTheme="minorEastAsia" w:eastAsiaTheme="minorEastAsia" w:cstheme="minorEastAsia"/>
          <w:lang w:eastAsia="zh-CN"/>
        </w:rPr>
      </w:pPr>
    </w:p>
    <w:p>
      <w:pPr>
        <w:rPr>
          <w:rFonts w:asciiTheme="minorEastAsia" w:hAnsiTheme="minorEastAsia" w:cstheme="minorEastAsia"/>
        </w:rPr>
      </w:pPr>
      <w:bookmarkStart w:id="134" w:name="_Toc17892"/>
      <w:bookmarkStart w:id="135" w:name="_Toc506205355"/>
      <w:bookmarkStart w:id="136" w:name="_Toc503983083"/>
      <w:r>
        <w:rPr>
          <w:rFonts w:hint="eastAsia" w:asciiTheme="minorEastAsia" w:hAnsiTheme="minorEastAsia" w:cstheme="minorEastAsia"/>
        </w:rPr>
        <w:br w:type="page"/>
      </w:r>
    </w:p>
    <w:p>
      <w:pPr>
        <w:pStyle w:val="6"/>
        <w:snapToGrid w:val="0"/>
        <w:spacing w:before="0" w:after="0" w:line="360" w:lineRule="auto"/>
        <w:jc w:val="center"/>
        <w:rPr>
          <w:rFonts w:cstheme="minorEastAsia"/>
        </w:rPr>
      </w:pPr>
      <w:bookmarkStart w:id="137" w:name="_Toc2022"/>
      <w:r>
        <w:rPr>
          <w:rFonts w:hint="eastAsia" w:cstheme="minorEastAsia"/>
        </w:rPr>
        <w:t>八、近年完成的类似项目情况表</w:t>
      </w:r>
      <w:bookmarkEnd w:id="134"/>
      <w:bookmarkEnd w:id="135"/>
      <w:bookmarkEnd w:id="136"/>
      <w:bookmarkEnd w:id="137"/>
    </w:p>
    <w:tbl>
      <w:tblPr>
        <w:tblStyle w:val="40"/>
        <w:tblW w:w="8176" w:type="dxa"/>
        <w:jc w:val="center"/>
        <w:tblInd w:w="0" w:type="dxa"/>
        <w:tblLayout w:type="fixed"/>
        <w:tblCellMar>
          <w:top w:w="0" w:type="dxa"/>
          <w:left w:w="0" w:type="dxa"/>
          <w:bottom w:w="0" w:type="dxa"/>
          <w:right w:w="0" w:type="dxa"/>
        </w:tblCellMar>
      </w:tblPr>
      <w:tblGrid>
        <w:gridCol w:w="2883"/>
        <w:gridCol w:w="5293"/>
      </w:tblGrid>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0" w:firstLineChars="0"/>
              <w:jc w:val="center"/>
              <w:rPr>
                <w:rFonts w:asciiTheme="minorEastAsia" w:hAnsiTheme="minorEastAsia" w:cstheme="minorEastAsia"/>
                <w:lang w:eastAsia="en-US"/>
              </w:rPr>
            </w:pPr>
            <w:r>
              <w:rPr>
                <w:rFonts w:hint="eastAsia" w:asciiTheme="minorEastAsia" w:hAnsiTheme="minorEastAsia" w:cstheme="minorEastAsia"/>
                <w:lang w:eastAsia="en-US"/>
              </w:rPr>
              <w:t>项目名称</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lang w:eastAsia="en-US"/>
              </w:rPr>
            </w:pPr>
          </w:p>
        </w:tc>
      </w:tr>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0" w:firstLineChars="0"/>
              <w:jc w:val="center"/>
              <w:rPr>
                <w:rFonts w:asciiTheme="minorEastAsia" w:hAnsiTheme="minorEastAsia" w:cstheme="minorEastAsia"/>
                <w:lang w:eastAsia="en-US"/>
              </w:rPr>
            </w:pPr>
            <w:r>
              <w:rPr>
                <w:rFonts w:hint="eastAsia" w:asciiTheme="minorEastAsia" w:hAnsiTheme="minorEastAsia" w:cstheme="minorEastAsia"/>
                <w:lang w:eastAsia="en-US"/>
              </w:rPr>
              <w:t>买方名称</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lang w:eastAsia="en-US"/>
              </w:rPr>
            </w:pPr>
          </w:p>
        </w:tc>
      </w:tr>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0" w:firstLineChars="0"/>
              <w:jc w:val="center"/>
              <w:rPr>
                <w:rFonts w:asciiTheme="minorEastAsia" w:hAnsiTheme="minorEastAsia" w:cstheme="minorEastAsia"/>
                <w:lang w:eastAsia="en-US"/>
              </w:rPr>
            </w:pPr>
            <w:r>
              <w:rPr>
                <w:rFonts w:hint="eastAsia" w:asciiTheme="minorEastAsia" w:hAnsiTheme="minorEastAsia" w:cstheme="minorEastAsia"/>
                <w:lang w:eastAsia="en-US"/>
              </w:rPr>
              <w:t>买方联系人及电话</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lang w:eastAsia="en-US"/>
              </w:rPr>
            </w:pPr>
          </w:p>
        </w:tc>
      </w:tr>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0" w:firstLineChars="0"/>
              <w:jc w:val="center"/>
              <w:rPr>
                <w:rFonts w:asciiTheme="minorEastAsia" w:hAnsiTheme="minorEastAsia" w:cstheme="minorEastAsia"/>
                <w:lang w:eastAsia="en-US"/>
              </w:rPr>
            </w:pPr>
            <w:r>
              <w:rPr>
                <w:rFonts w:hint="eastAsia" w:asciiTheme="minorEastAsia" w:hAnsiTheme="minorEastAsia" w:cstheme="minorEastAsia"/>
                <w:lang w:eastAsia="en-US"/>
              </w:rPr>
              <w:t>合同价格</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lang w:eastAsia="en-US"/>
              </w:rPr>
            </w:pPr>
          </w:p>
        </w:tc>
      </w:tr>
      <w:tr>
        <w:tblPrEx>
          <w:tblLayout w:type="fixed"/>
          <w:tblCellMar>
            <w:top w:w="0" w:type="dxa"/>
            <w:left w:w="0" w:type="dxa"/>
            <w:bottom w:w="0" w:type="dxa"/>
            <w:right w:w="0" w:type="dxa"/>
          </w:tblCellMar>
        </w:tblPrEx>
        <w:trPr>
          <w:trHeight w:val="509" w:hRule="atLeast"/>
          <w:jc w:val="center"/>
        </w:trPr>
        <w:tc>
          <w:tcPr>
            <w:tcW w:w="288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0" w:firstLineChars="0"/>
              <w:jc w:val="center"/>
              <w:rPr>
                <w:rFonts w:asciiTheme="minorEastAsia" w:hAnsiTheme="minorEastAsia" w:cstheme="minorEastAsia"/>
                <w:lang w:eastAsia="zh-CN"/>
              </w:rPr>
            </w:pPr>
            <w:r>
              <w:rPr>
                <w:rFonts w:hint="eastAsia" w:asciiTheme="minorEastAsia" w:hAnsiTheme="minorEastAsia" w:cstheme="minorEastAsia"/>
                <w:lang w:eastAsia="zh-CN"/>
              </w:rPr>
              <w:t>项目概况及投标人履约情况</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lang w:eastAsia="zh-CN"/>
              </w:rPr>
            </w:pPr>
          </w:p>
        </w:tc>
      </w:tr>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0" w:firstLineChars="0"/>
              <w:jc w:val="center"/>
              <w:rPr>
                <w:rFonts w:asciiTheme="minorEastAsia" w:hAnsiTheme="minorEastAsia" w:cstheme="minorEastAsia"/>
                <w:lang w:eastAsia="en-US"/>
              </w:rPr>
            </w:pPr>
            <w:r>
              <w:rPr>
                <w:rFonts w:hint="eastAsia" w:asciiTheme="minorEastAsia" w:hAnsiTheme="minorEastAsia" w:cstheme="minorEastAsia"/>
                <w:lang w:eastAsia="en-US"/>
              </w:rPr>
              <w:t>备注</w:t>
            </w:r>
          </w:p>
        </w:tc>
        <w:tc>
          <w:tcPr>
            <w:tcW w:w="5293"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Theme="minorEastAsia" w:hAnsiTheme="minorEastAsia" w:cstheme="minorEastAsia"/>
                <w:lang w:eastAsia="en-US"/>
              </w:rPr>
            </w:pPr>
          </w:p>
        </w:tc>
      </w:tr>
    </w:tbl>
    <w:p>
      <w:pPr>
        <w:snapToGrid w:val="0"/>
        <w:spacing w:line="360" w:lineRule="auto"/>
        <w:rPr>
          <w:rFonts w:asciiTheme="minorEastAsia" w:hAnsiTheme="minorEastAsia" w:cstheme="minorEastAsia"/>
        </w:rPr>
      </w:pPr>
      <w:r>
        <w:rPr>
          <w:rFonts w:hint="eastAsia" w:asciiTheme="minorEastAsia" w:hAnsiTheme="minorEastAsia" w:cstheme="minorEastAsia"/>
        </w:rPr>
        <w:t>注：1.本表后应附相关证明材料：中标通知书和（或）合同协议书、设备进场验收证书等的复印件，具体要求见第三章 评标办法。</w:t>
      </w:r>
    </w:p>
    <w:p>
      <w:pPr>
        <w:snapToGrid w:val="0"/>
        <w:spacing w:line="360" w:lineRule="auto"/>
        <w:rPr>
          <w:rFonts w:asciiTheme="minorEastAsia" w:hAnsiTheme="minorEastAsia" w:cstheme="minorEastAsia"/>
        </w:rPr>
      </w:pPr>
      <w:r>
        <w:rPr>
          <w:rFonts w:hint="eastAsia" w:asciiTheme="minorEastAsia" w:hAnsiTheme="minorEastAsia" w:cstheme="minorEastAsia"/>
        </w:rPr>
        <w:t>2.每张表格只填写一个项目，并标明序号。</w:t>
      </w:r>
    </w:p>
    <w:p>
      <w:pPr>
        <w:snapToGrid w:val="0"/>
        <w:spacing w:line="360" w:lineRule="auto"/>
        <w:rPr>
          <w:rFonts w:asciiTheme="minorEastAsia" w:hAnsiTheme="minorEastAsia" w:cstheme="minorEastAsia"/>
        </w:rPr>
      </w:pPr>
      <w:bookmarkStart w:id="138" w:name="_Toc506205358"/>
      <w:bookmarkStart w:id="139" w:name="_Toc20463"/>
      <w:bookmarkStart w:id="140" w:name="_Toc503983086"/>
    </w:p>
    <w:p>
      <w:pPr>
        <w:pStyle w:val="28"/>
        <w:snapToGrid w:val="0"/>
        <w:spacing w:line="360" w:lineRule="auto"/>
        <w:rPr>
          <w:rFonts w:asciiTheme="minorEastAsia" w:hAnsiTheme="minorEastAsia" w:eastAsiaTheme="minorEastAsia" w:cstheme="minorEastAsia"/>
          <w:lang w:eastAsia="zh-CN"/>
        </w:rPr>
      </w:pPr>
    </w:p>
    <w:p>
      <w:pPr>
        <w:snapToGrid w:val="0"/>
        <w:spacing w:line="360" w:lineRule="auto"/>
        <w:rPr>
          <w:rFonts w:asciiTheme="minorEastAsia" w:hAnsiTheme="minorEastAsia" w:cstheme="minorEastAsia"/>
        </w:rPr>
      </w:pPr>
      <w:r>
        <w:rPr>
          <w:rFonts w:hint="eastAsia" w:asciiTheme="minorEastAsia" w:hAnsiTheme="minorEastAsia" w:cstheme="minorEastAsia"/>
        </w:rPr>
        <w:br w:type="page"/>
      </w:r>
    </w:p>
    <w:bookmarkEnd w:id="138"/>
    <w:bookmarkEnd w:id="139"/>
    <w:bookmarkEnd w:id="140"/>
    <w:p>
      <w:pPr>
        <w:pStyle w:val="6"/>
        <w:snapToGrid w:val="0"/>
        <w:spacing w:before="0" w:after="0" w:line="360" w:lineRule="auto"/>
        <w:jc w:val="center"/>
        <w:rPr>
          <w:rFonts w:cstheme="minorEastAsia"/>
        </w:rPr>
      </w:pPr>
      <w:bookmarkStart w:id="141" w:name="_Toc18041"/>
      <w:r>
        <w:rPr>
          <w:rFonts w:hint="eastAsia" w:cstheme="minorEastAsia"/>
        </w:rPr>
        <w:t>九、技术支持资料</w:t>
      </w:r>
      <w:bookmarkEnd w:id="141"/>
    </w:p>
    <w:p>
      <w:pPr>
        <w:snapToGrid w:val="0"/>
        <w:spacing w:line="360" w:lineRule="auto"/>
        <w:rPr>
          <w:rFonts w:asciiTheme="minorEastAsia" w:hAnsiTheme="minorEastAsia" w:cstheme="minorEastAsia"/>
        </w:rPr>
      </w:pPr>
      <w:r>
        <w:rPr>
          <w:rFonts w:hint="eastAsia" w:asciiTheme="minorEastAsia" w:hAnsiTheme="minorEastAsia" w:cstheme="minorEastAsia"/>
        </w:rPr>
        <w:t xml:space="preserve"> </w:t>
      </w:r>
    </w:p>
    <w:p>
      <w:pPr>
        <w:widowControl/>
        <w:ind w:firstLine="0" w:firstLineChars="0"/>
        <w:jc w:val="left"/>
        <w:rPr>
          <w:rFonts w:asciiTheme="minorEastAsia" w:hAnsiTheme="minorEastAsia" w:cstheme="minorEastAsia"/>
        </w:rPr>
      </w:pPr>
      <w:r>
        <w:rPr>
          <w:rFonts w:asciiTheme="minorEastAsia" w:hAnsiTheme="minorEastAsia" w:cstheme="minorEastAsia"/>
        </w:rPr>
        <w:br w:type="page"/>
      </w:r>
    </w:p>
    <w:p>
      <w:pPr>
        <w:snapToGrid w:val="0"/>
        <w:spacing w:line="360" w:lineRule="auto"/>
        <w:rPr>
          <w:rFonts w:asciiTheme="minorEastAsia" w:hAnsiTheme="minorEastAsia" w:cstheme="minorEastAsia"/>
        </w:rPr>
      </w:pPr>
    </w:p>
    <w:p>
      <w:pPr>
        <w:pStyle w:val="6"/>
        <w:snapToGrid w:val="0"/>
        <w:spacing w:before="0" w:after="0" w:line="360" w:lineRule="auto"/>
        <w:jc w:val="center"/>
        <w:rPr>
          <w:rFonts w:cstheme="minorEastAsia"/>
        </w:rPr>
      </w:pPr>
      <w:bookmarkStart w:id="142" w:name="_Toc4656"/>
      <w:r>
        <w:rPr>
          <w:rFonts w:hint="eastAsia" w:cstheme="minorEastAsia"/>
        </w:rPr>
        <w:t>十、技术服务和质保期服务计划</w:t>
      </w:r>
      <w:bookmarkEnd w:id="142"/>
    </w:p>
    <w:p>
      <w:pPr>
        <w:snapToGrid w:val="0"/>
        <w:spacing w:line="360" w:lineRule="auto"/>
        <w:rPr>
          <w:rFonts w:asciiTheme="minorEastAsia" w:hAnsiTheme="minorEastAsia" w:cstheme="minorEastAsia"/>
        </w:rPr>
      </w:pPr>
      <w:r>
        <w:rPr>
          <w:rFonts w:hint="eastAsia" w:asciiTheme="minorEastAsia" w:hAnsiTheme="minorEastAsia" w:cstheme="minorEastAsia"/>
        </w:rPr>
        <w:t>（该栏内可包含：</w:t>
      </w:r>
      <w:r>
        <w:rPr>
          <w:rFonts w:hint="eastAsia" w:asciiTheme="minorEastAsia" w:hAnsiTheme="minorEastAsia" w:cstheme="minorEastAsia"/>
          <w:szCs w:val="21"/>
          <w:lang w:val="zh-TW" w:eastAsia="zh-TW"/>
        </w:rPr>
        <w:t>项目组织架构、项目实施计划及时间进度安排、验收方案、售后服务方案</w:t>
      </w:r>
      <w:r>
        <w:rPr>
          <w:rFonts w:hint="eastAsia" w:asciiTheme="minorEastAsia" w:hAnsiTheme="minorEastAsia" w:cstheme="minorEastAsia"/>
        </w:rPr>
        <w:t>等内容）</w:t>
      </w: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widowControl/>
        <w:snapToGrid w:val="0"/>
        <w:spacing w:line="360" w:lineRule="auto"/>
        <w:ind w:firstLine="0" w:firstLineChars="0"/>
        <w:jc w:val="left"/>
        <w:rPr>
          <w:rFonts w:asciiTheme="minorEastAsia" w:hAnsiTheme="minorEastAsia" w:cstheme="minorEastAsia"/>
        </w:rPr>
      </w:pPr>
      <w:r>
        <w:rPr>
          <w:rFonts w:hint="eastAsia" w:asciiTheme="minorEastAsia" w:hAnsiTheme="minorEastAsia" w:cstheme="minorEastAsia"/>
        </w:rPr>
        <w:br w:type="page"/>
      </w:r>
    </w:p>
    <w:p>
      <w:pPr>
        <w:pStyle w:val="6"/>
        <w:snapToGrid w:val="0"/>
        <w:spacing w:before="0" w:after="0" w:line="360" w:lineRule="auto"/>
        <w:jc w:val="center"/>
        <w:rPr>
          <w:rFonts w:cstheme="minorEastAsia"/>
        </w:rPr>
      </w:pPr>
      <w:bookmarkStart w:id="143" w:name="_Toc16041"/>
      <w:r>
        <w:rPr>
          <w:rFonts w:hint="eastAsia" w:cstheme="minorEastAsia"/>
        </w:rPr>
        <w:t>十一、其他资料</w:t>
      </w:r>
      <w:bookmarkEnd w:id="143"/>
    </w:p>
    <w:p>
      <w:pPr>
        <w:pStyle w:val="7"/>
        <w:snapToGrid w:val="0"/>
        <w:spacing w:before="0" w:after="0" w:line="360" w:lineRule="auto"/>
        <w:rPr>
          <w:rFonts w:cstheme="minorEastAsia"/>
        </w:rPr>
      </w:pPr>
      <w:bookmarkStart w:id="144" w:name="_Toc17488"/>
      <w:bookmarkStart w:id="145" w:name="_Toc503983091"/>
      <w:bookmarkStart w:id="146" w:name="_Toc506205363"/>
      <w:bookmarkStart w:id="147" w:name="_Toc22676"/>
      <w:r>
        <w:rPr>
          <w:rFonts w:hint="eastAsia" w:cstheme="minorEastAsia"/>
        </w:rPr>
        <w:t>（一）承诺书</w:t>
      </w:r>
      <w:bookmarkEnd w:id="144"/>
      <w:bookmarkEnd w:id="145"/>
      <w:bookmarkEnd w:id="146"/>
      <w:bookmarkEnd w:id="147"/>
    </w:p>
    <w:p>
      <w:pPr>
        <w:snapToGrid w:val="0"/>
        <w:spacing w:line="360" w:lineRule="auto"/>
        <w:ind w:firstLine="0" w:firstLineChars="0"/>
        <w:rPr>
          <w:rFonts w:asciiTheme="minorEastAsia" w:hAnsiTheme="minorEastAsia" w:cstheme="minorEastAsia"/>
        </w:rPr>
      </w:pPr>
      <w:r>
        <w:rPr>
          <w:rFonts w:hint="eastAsia" w:asciiTheme="minorEastAsia" w:hAnsiTheme="minorEastAsia" w:cstheme="minorEastAsia"/>
        </w:rPr>
        <w:t>______________（招标人名称）:</w:t>
      </w:r>
    </w:p>
    <w:p>
      <w:pPr>
        <w:snapToGrid w:val="0"/>
        <w:spacing w:line="360" w:lineRule="auto"/>
        <w:rPr>
          <w:rFonts w:asciiTheme="minorEastAsia" w:hAnsiTheme="minorEastAsia" w:cstheme="minorEastAsia"/>
        </w:rPr>
      </w:pPr>
      <w:r>
        <w:rPr>
          <w:rFonts w:hint="eastAsia" w:asciiTheme="minorEastAsia" w:hAnsiTheme="minorEastAsia" w:cstheme="minorEastAsia"/>
        </w:rPr>
        <w:t>我方将参加_______（项目名称）_______（招标编号）的投标现承诺如下：</w:t>
      </w:r>
    </w:p>
    <w:p>
      <w:pPr>
        <w:snapToGrid w:val="0"/>
        <w:spacing w:line="360" w:lineRule="auto"/>
        <w:rPr>
          <w:rFonts w:asciiTheme="minorEastAsia" w:hAnsiTheme="minorEastAsia" w:cstheme="minorEastAsia"/>
        </w:rPr>
      </w:pPr>
      <w:bookmarkStart w:id="148" w:name="_Toc503961423"/>
      <w:r>
        <w:rPr>
          <w:rFonts w:hint="eastAsia" w:asciiTheme="minorEastAsia" w:hAnsiTheme="minorEastAsia" w:cstheme="minorEastAsia"/>
        </w:rPr>
        <w:t>1、投标文件中的重要内容没有失实或者弄虚作假；</w:t>
      </w:r>
      <w:bookmarkEnd w:id="148"/>
    </w:p>
    <w:p>
      <w:pPr>
        <w:snapToGrid w:val="0"/>
        <w:spacing w:line="360" w:lineRule="auto"/>
        <w:rPr>
          <w:rFonts w:asciiTheme="minorEastAsia" w:hAnsiTheme="minorEastAsia" w:cstheme="minorEastAsia"/>
        </w:rPr>
      </w:pPr>
      <w:r>
        <w:rPr>
          <w:rFonts w:hint="eastAsia" w:asciiTheme="minorEastAsia" w:hAnsiTheme="minorEastAsia" w:cstheme="minorEastAsia"/>
        </w:rPr>
        <w:t>2、我方未处于被责令停业、投标资格被取消或者财产被接管、冻结和破产状态；</w:t>
      </w:r>
    </w:p>
    <w:p>
      <w:pPr>
        <w:snapToGrid w:val="0"/>
        <w:spacing w:line="360" w:lineRule="auto"/>
        <w:rPr>
          <w:rFonts w:asciiTheme="minorEastAsia" w:hAnsiTheme="minorEastAsia" w:cstheme="minorEastAsia"/>
        </w:rPr>
      </w:pPr>
      <w:bookmarkStart w:id="149" w:name="_Toc503961424"/>
      <w:r>
        <w:rPr>
          <w:rFonts w:hint="eastAsia" w:asciiTheme="minorEastAsia" w:hAnsiTheme="minorEastAsia" w:cstheme="minorEastAsia"/>
        </w:rPr>
        <w:t>3、我方没有因骗取中标或者严重违约以及发生重大工程质量、安全生产事故等问题，被</w:t>
      </w:r>
      <w:bookmarkEnd w:id="149"/>
      <w:r>
        <w:rPr>
          <w:rFonts w:hint="eastAsia" w:asciiTheme="minorEastAsia" w:hAnsiTheme="minorEastAsia" w:cstheme="minorEastAsia"/>
        </w:rPr>
        <w:t>有关部门暂停投标资格并在暂停期内的；</w:t>
      </w:r>
    </w:p>
    <w:p>
      <w:pPr>
        <w:snapToGrid w:val="0"/>
        <w:spacing w:line="360" w:lineRule="auto"/>
        <w:rPr>
          <w:rFonts w:asciiTheme="minorEastAsia" w:hAnsiTheme="minorEastAsia" w:cstheme="minorEastAsia"/>
        </w:rPr>
      </w:pPr>
      <w:r>
        <w:rPr>
          <w:rFonts w:hint="eastAsia" w:asciiTheme="minorEastAsia" w:hAnsiTheme="minorEastAsia" w:cstheme="minorEastAsia"/>
        </w:rPr>
        <w:t>4、我方没有因违反法律、法规行为，依法被取消投标资格且期限未满的；</w:t>
      </w:r>
    </w:p>
    <w:p>
      <w:pPr>
        <w:snapToGrid w:val="0"/>
        <w:spacing w:line="360" w:lineRule="auto"/>
        <w:rPr>
          <w:rFonts w:asciiTheme="minorEastAsia" w:hAnsiTheme="minorEastAsia" w:cstheme="minorEastAsia"/>
        </w:rPr>
      </w:pPr>
      <w:r>
        <w:rPr>
          <w:rFonts w:hint="eastAsia" w:asciiTheme="minorEastAsia" w:hAnsiTheme="minorEastAsia" w:cstheme="minorEastAsia"/>
        </w:rPr>
        <w:t>5、 我方没有因招投标活动中有违法违规和不良行为，被有关招投标行政监督部门公示且期限未满的。</w:t>
      </w:r>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投标人（单位公章）：______________</w:t>
      </w:r>
    </w:p>
    <w:p>
      <w:pPr>
        <w:snapToGrid w:val="0"/>
        <w:spacing w:line="360" w:lineRule="auto"/>
        <w:rPr>
          <w:rFonts w:asciiTheme="minorEastAsia" w:hAnsiTheme="minorEastAsia" w:cstheme="minorEastAsia"/>
        </w:rPr>
      </w:pPr>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法定代表人（签字）：______________</w:t>
      </w:r>
    </w:p>
    <w:p>
      <w:pPr>
        <w:snapToGrid w:val="0"/>
        <w:spacing w:line="360" w:lineRule="auto"/>
        <w:rPr>
          <w:rFonts w:asciiTheme="minorEastAsia" w:hAnsiTheme="minorEastAsia" w:cstheme="minorEastAsia"/>
        </w:rPr>
      </w:pPr>
    </w:p>
    <w:p>
      <w:pPr>
        <w:snapToGrid w:val="0"/>
        <w:spacing w:line="360" w:lineRule="auto"/>
        <w:jc w:val="right"/>
        <w:rPr>
          <w:rFonts w:asciiTheme="minorEastAsia" w:hAnsiTheme="minorEastAsia" w:cstheme="minorEastAsia"/>
        </w:rPr>
      </w:pPr>
      <w:r>
        <w:rPr>
          <w:rFonts w:hint="eastAsia" w:asciiTheme="minorEastAsia" w:hAnsiTheme="minorEastAsia" w:cstheme="minorEastAsia"/>
        </w:rPr>
        <w:t xml:space="preserve">   日期：    年   月   日</w:t>
      </w:r>
    </w:p>
    <w:p>
      <w:pPr>
        <w:snapToGrid w:val="0"/>
        <w:spacing w:line="360" w:lineRule="auto"/>
        <w:rPr>
          <w:rFonts w:asciiTheme="minorEastAsia" w:hAnsiTheme="minorEastAsia" w:cstheme="minorEastAsia"/>
        </w:rPr>
      </w:pPr>
    </w:p>
    <w:p>
      <w:pPr>
        <w:pStyle w:val="28"/>
        <w:snapToGrid w:val="0"/>
        <w:spacing w:line="360" w:lineRule="auto"/>
        <w:rPr>
          <w:rFonts w:asciiTheme="minorEastAsia" w:hAnsiTheme="minorEastAsia" w:eastAsiaTheme="minorEastAsia" w:cstheme="minorEastAsia"/>
          <w:lang w:eastAsia="zh-CN"/>
        </w:rPr>
      </w:pPr>
    </w:p>
    <w:p>
      <w:pPr>
        <w:pStyle w:val="28"/>
        <w:snapToGrid w:val="0"/>
        <w:spacing w:line="360" w:lineRule="auto"/>
        <w:rPr>
          <w:rFonts w:asciiTheme="minorEastAsia" w:hAnsiTheme="minorEastAsia" w:eastAsiaTheme="minorEastAsia" w:cstheme="minorEastAsia"/>
          <w:lang w:eastAsia="zh-CN"/>
        </w:rPr>
      </w:pPr>
    </w:p>
    <w:p>
      <w:pPr>
        <w:pStyle w:val="28"/>
        <w:snapToGrid w:val="0"/>
        <w:spacing w:line="360" w:lineRule="auto"/>
        <w:rPr>
          <w:rFonts w:asciiTheme="minorEastAsia" w:hAnsiTheme="minorEastAsia" w:eastAsiaTheme="minorEastAsia" w:cstheme="minorEastAsia"/>
          <w:lang w:eastAsia="zh-CN"/>
        </w:rPr>
      </w:pPr>
    </w:p>
    <w:p>
      <w:pPr>
        <w:pStyle w:val="28"/>
        <w:snapToGrid w:val="0"/>
        <w:spacing w:line="360" w:lineRule="auto"/>
        <w:rPr>
          <w:rFonts w:asciiTheme="minorEastAsia" w:hAnsiTheme="minorEastAsia" w:eastAsiaTheme="minorEastAsia" w:cstheme="minorEastAsia"/>
          <w:lang w:eastAsia="zh-CN"/>
        </w:rPr>
      </w:pPr>
    </w:p>
    <w:p>
      <w:pPr>
        <w:pStyle w:val="28"/>
        <w:snapToGrid w:val="0"/>
        <w:spacing w:line="360" w:lineRule="auto"/>
        <w:rPr>
          <w:rFonts w:asciiTheme="minorEastAsia" w:hAnsiTheme="minorEastAsia" w:eastAsiaTheme="minorEastAsia" w:cstheme="minorEastAsia"/>
          <w:lang w:eastAsia="zh-CN"/>
        </w:rPr>
      </w:pPr>
    </w:p>
    <w:p>
      <w:pPr>
        <w:pStyle w:val="28"/>
        <w:snapToGrid w:val="0"/>
        <w:spacing w:line="360" w:lineRule="auto"/>
        <w:rPr>
          <w:rFonts w:asciiTheme="minorEastAsia" w:hAnsiTheme="minorEastAsia" w:eastAsiaTheme="minorEastAsia" w:cstheme="minorEastAsia"/>
          <w:lang w:eastAsia="zh-CN"/>
        </w:rPr>
      </w:pPr>
    </w:p>
    <w:p>
      <w:pPr>
        <w:pStyle w:val="28"/>
        <w:snapToGrid w:val="0"/>
        <w:spacing w:line="360" w:lineRule="auto"/>
        <w:rPr>
          <w:rFonts w:asciiTheme="minorEastAsia" w:hAnsiTheme="minorEastAsia" w:eastAsiaTheme="minorEastAsia" w:cstheme="minorEastAsia"/>
          <w:lang w:eastAsia="zh-CN"/>
        </w:rPr>
      </w:pPr>
    </w:p>
    <w:p>
      <w:pPr>
        <w:pStyle w:val="28"/>
        <w:snapToGrid w:val="0"/>
        <w:spacing w:line="360" w:lineRule="auto"/>
        <w:rPr>
          <w:rFonts w:asciiTheme="minorEastAsia" w:hAnsiTheme="minorEastAsia" w:eastAsiaTheme="minorEastAsia" w:cstheme="minorEastAsia"/>
          <w:lang w:eastAsia="zh-CN"/>
        </w:rPr>
      </w:pPr>
    </w:p>
    <w:p>
      <w:pPr>
        <w:pStyle w:val="28"/>
        <w:snapToGrid w:val="0"/>
        <w:spacing w:line="360" w:lineRule="auto"/>
        <w:rPr>
          <w:rFonts w:asciiTheme="minorEastAsia" w:hAnsiTheme="minorEastAsia" w:eastAsiaTheme="minorEastAsia" w:cstheme="minorEastAsia"/>
          <w:lang w:eastAsia="zh-CN"/>
        </w:rPr>
      </w:pPr>
    </w:p>
    <w:p>
      <w:pPr>
        <w:snapToGrid w:val="0"/>
        <w:spacing w:line="360" w:lineRule="auto"/>
        <w:rPr>
          <w:rFonts w:asciiTheme="minorEastAsia" w:hAnsiTheme="minorEastAsia" w:cstheme="minorEastAsia"/>
        </w:rPr>
      </w:pPr>
    </w:p>
    <w:p>
      <w:pPr>
        <w:pStyle w:val="7"/>
        <w:snapToGrid w:val="0"/>
        <w:spacing w:before="0" w:after="0" w:line="360" w:lineRule="auto"/>
        <w:rPr>
          <w:rFonts w:cstheme="minorEastAsia"/>
        </w:rPr>
      </w:pPr>
      <w:bookmarkStart w:id="150" w:name="_Toc503961425"/>
      <w:bookmarkStart w:id="151" w:name="_Toc503983092"/>
      <w:bookmarkStart w:id="152" w:name="_Toc506205364"/>
      <w:bookmarkStart w:id="153" w:name="_Toc28203"/>
      <w:bookmarkStart w:id="154" w:name="_Toc576"/>
      <w:r>
        <w:rPr>
          <w:rFonts w:hint="eastAsia" w:cstheme="minorEastAsia"/>
        </w:rPr>
        <w:t>（二）开户许可证</w:t>
      </w:r>
      <w:bookmarkEnd w:id="150"/>
      <w:bookmarkEnd w:id="151"/>
      <w:bookmarkEnd w:id="152"/>
      <w:r>
        <w:rPr>
          <w:rFonts w:hint="eastAsia" w:cstheme="minorEastAsia"/>
        </w:rPr>
        <w:t>（基本账户）</w:t>
      </w:r>
      <w:bookmarkEnd w:id="153"/>
      <w:bookmarkEnd w:id="154"/>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p>
    <w:p>
      <w:pPr>
        <w:snapToGrid w:val="0"/>
        <w:spacing w:line="360" w:lineRule="auto"/>
        <w:rPr>
          <w:rFonts w:asciiTheme="minorEastAsia" w:hAnsiTheme="minorEastAsia" w:cstheme="minorEastAsia"/>
        </w:rPr>
      </w:pPr>
      <w:bookmarkStart w:id="155" w:name="_Toc503961426"/>
      <w:bookmarkStart w:id="156" w:name="_Toc25512"/>
      <w:bookmarkStart w:id="157" w:name="_Toc506205365"/>
      <w:bookmarkStart w:id="158" w:name="_Toc503983093"/>
      <w:r>
        <w:rPr>
          <w:rFonts w:hint="eastAsia" w:asciiTheme="minorEastAsia" w:hAnsiTheme="minorEastAsia" w:cstheme="minorEastAsia"/>
        </w:rPr>
        <w:br w:type="page"/>
      </w:r>
    </w:p>
    <w:bookmarkEnd w:id="155"/>
    <w:bookmarkEnd w:id="156"/>
    <w:bookmarkEnd w:id="157"/>
    <w:bookmarkEnd w:id="158"/>
    <w:p>
      <w:pPr>
        <w:pStyle w:val="7"/>
        <w:snapToGrid w:val="0"/>
        <w:spacing w:before="0" w:after="0" w:line="360" w:lineRule="auto"/>
        <w:rPr>
          <w:rFonts w:cstheme="minorEastAsia"/>
        </w:rPr>
      </w:pPr>
      <w:bookmarkStart w:id="159" w:name="_Toc503961429"/>
      <w:bookmarkStart w:id="160" w:name="_Toc506205368"/>
      <w:bookmarkStart w:id="161" w:name="_Toc24318"/>
      <w:bookmarkStart w:id="162" w:name="_Toc503983096"/>
      <w:bookmarkStart w:id="163" w:name="_Toc24231"/>
      <w:r>
        <w:rPr>
          <w:rFonts w:hint="eastAsia" w:cstheme="minorEastAsia"/>
        </w:rPr>
        <w:t>（三）其他</w:t>
      </w:r>
      <w:bookmarkEnd w:id="159"/>
      <w:bookmarkEnd w:id="160"/>
      <w:bookmarkEnd w:id="161"/>
      <w:bookmarkEnd w:id="162"/>
      <w:bookmarkEnd w:id="163"/>
    </w:p>
    <w:p>
      <w:pPr>
        <w:snapToGrid w:val="0"/>
        <w:spacing w:line="360" w:lineRule="auto"/>
        <w:rPr>
          <w:rFonts w:asciiTheme="minorEastAsia" w:hAnsiTheme="minorEastAsia" w:cstheme="minorEastAsia"/>
        </w:rPr>
      </w:pPr>
      <w:r>
        <w:rPr>
          <w:rFonts w:hint="eastAsia" w:asciiTheme="minorEastAsia" w:hAnsiTheme="minorEastAsia" w:cstheme="minorEastAsia"/>
        </w:rPr>
        <w:t>注释：此处可附第三章评标办法所要求的材料或投标人认为需要提供的其他材料。</w:t>
      </w:r>
    </w:p>
    <w:sectPr>
      <w:headerReference r:id="rId9" w:type="default"/>
      <w:footerReference r:id="rId10"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Heiti SC">
    <w:altName w:val="宋体"/>
    <w:panose1 w:val="00000000000000000000"/>
    <w:charset w:val="86"/>
    <w:family w:val="auto"/>
    <w:pitch w:val="default"/>
    <w:sig w:usb0="00000000" w:usb1="00000000" w:usb2="00000010" w:usb3="00000000" w:csb0="0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1511068"/>
    </w:sdtPr>
    <w:sdtContent>
      <w:p>
        <w:pPr>
          <w:pStyle w:val="17"/>
          <w:ind w:firstLine="360"/>
          <w:jc w:val="center"/>
        </w:pPr>
        <w:r>
          <w:fldChar w:fldCharType="begin"/>
        </w:r>
        <w:r>
          <w:instrText xml:space="preserve">PAGE   \* MERGEFORMAT</w:instrText>
        </w:r>
        <w:r>
          <w:fldChar w:fldCharType="separate"/>
        </w:r>
        <w:r>
          <w:rPr>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223961"/>
    </w:sdtPr>
    <w:sdtContent>
      <w:p>
        <w:pPr>
          <w:pStyle w:val="17"/>
          <w:ind w:firstLine="360"/>
          <w:jc w:val="center"/>
        </w:pPr>
        <w:r>
          <w:fldChar w:fldCharType="begin"/>
        </w:r>
        <w:r>
          <w:instrText xml:space="preserve">PAGE   \* MERGEFORMAT</w:instrText>
        </w:r>
        <w:r>
          <w:fldChar w:fldCharType="separate"/>
        </w:r>
        <w:r>
          <w:rPr>
            <w:lang w:val="zh-CN"/>
          </w:rPr>
          <w:t>61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16C26"/>
    <w:multiLevelType w:val="singleLevel"/>
    <w:tmpl w:val="81D16C26"/>
    <w:lvl w:ilvl="0" w:tentative="0">
      <w:start w:val="1"/>
      <w:numFmt w:val="decimal"/>
      <w:lvlText w:val="(%1)"/>
      <w:lvlJc w:val="left"/>
      <w:pPr>
        <w:ind w:left="425" w:hanging="425"/>
      </w:pPr>
      <w:rPr>
        <w:rFonts w:hint="default"/>
      </w:rPr>
    </w:lvl>
  </w:abstractNum>
  <w:abstractNum w:abstractNumId="1">
    <w:nsid w:val="D4E44D82"/>
    <w:multiLevelType w:val="singleLevel"/>
    <w:tmpl w:val="D4E44D82"/>
    <w:lvl w:ilvl="0" w:tentative="0">
      <w:start w:val="8"/>
      <w:numFmt w:val="decimal"/>
      <w:suff w:val="nothing"/>
      <w:lvlText w:val="%1．"/>
      <w:lvlJc w:val="left"/>
    </w:lvl>
  </w:abstractNum>
  <w:abstractNum w:abstractNumId="2">
    <w:nsid w:val="D9AAF3E8"/>
    <w:multiLevelType w:val="singleLevel"/>
    <w:tmpl w:val="D9AAF3E8"/>
    <w:lvl w:ilvl="0" w:tentative="0">
      <w:start w:val="1"/>
      <w:numFmt w:val="decimal"/>
      <w:lvlText w:val="(%1)"/>
      <w:lvlJc w:val="left"/>
      <w:pPr>
        <w:ind w:left="425" w:hanging="425"/>
      </w:pPr>
      <w:rPr>
        <w:rFonts w:hint="default"/>
      </w:rPr>
    </w:lvl>
  </w:abstractNum>
  <w:abstractNum w:abstractNumId="3">
    <w:nsid w:val="F8AE12EB"/>
    <w:multiLevelType w:val="singleLevel"/>
    <w:tmpl w:val="F8AE12EB"/>
    <w:lvl w:ilvl="0" w:tentative="0">
      <w:start w:val="1"/>
      <w:numFmt w:val="decimal"/>
      <w:lvlText w:val="(%1)"/>
      <w:lvlJc w:val="left"/>
      <w:pPr>
        <w:ind w:left="425" w:hanging="425"/>
      </w:pPr>
      <w:rPr>
        <w:rFonts w:hint="default"/>
      </w:rPr>
    </w:lvl>
  </w:abstractNum>
  <w:abstractNum w:abstractNumId="4">
    <w:nsid w:val="5BABE4C7"/>
    <w:multiLevelType w:val="singleLevel"/>
    <w:tmpl w:val="5BABE4C7"/>
    <w:lvl w:ilvl="0" w:tentative="0">
      <w:start w:val="1"/>
      <w:numFmt w:val="decimal"/>
      <w:lvlText w:val="(%1)"/>
      <w:lvlJc w:val="left"/>
      <w:pPr>
        <w:ind w:left="425" w:hanging="425"/>
      </w:pPr>
      <w:rPr>
        <w:rFonts w:hint="default"/>
      </w:rPr>
    </w:lvl>
  </w:abstractNum>
  <w:abstractNum w:abstractNumId="5">
    <w:nsid w:val="7C7AF4E3"/>
    <w:multiLevelType w:val="singleLevel"/>
    <w:tmpl w:val="7C7AF4E3"/>
    <w:lvl w:ilvl="0" w:tentative="0">
      <w:start w:val="3"/>
      <w:numFmt w:val="chineseCounting"/>
      <w:suff w:val="nothing"/>
      <w:lvlText w:val="%1、"/>
      <w:lvlJc w:val="left"/>
      <w:rPr>
        <w:rFonts w:hint="eastAsia"/>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0F"/>
    <w:rsid w:val="00027442"/>
    <w:rsid w:val="00031E1C"/>
    <w:rsid w:val="0004614A"/>
    <w:rsid w:val="00062756"/>
    <w:rsid w:val="00072288"/>
    <w:rsid w:val="00082A05"/>
    <w:rsid w:val="000D2C22"/>
    <w:rsid w:val="000E1102"/>
    <w:rsid w:val="000E5C21"/>
    <w:rsid w:val="000F15C2"/>
    <w:rsid w:val="000F3720"/>
    <w:rsid w:val="00106AAD"/>
    <w:rsid w:val="00110E78"/>
    <w:rsid w:val="001265B6"/>
    <w:rsid w:val="00140862"/>
    <w:rsid w:val="001426F4"/>
    <w:rsid w:val="00157C60"/>
    <w:rsid w:val="001B0194"/>
    <w:rsid w:val="001C4317"/>
    <w:rsid w:val="001D54E3"/>
    <w:rsid w:val="001F03F4"/>
    <w:rsid w:val="0021542F"/>
    <w:rsid w:val="002346D4"/>
    <w:rsid w:val="002351ED"/>
    <w:rsid w:val="002374A4"/>
    <w:rsid w:val="0024218F"/>
    <w:rsid w:val="0025036A"/>
    <w:rsid w:val="0025485D"/>
    <w:rsid w:val="00266A2B"/>
    <w:rsid w:val="00284C0D"/>
    <w:rsid w:val="002904B4"/>
    <w:rsid w:val="002A3B88"/>
    <w:rsid w:val="002E581F"/>
    <w:rsid w:val="00301C3F"/>
    <w:rsid w:val="00305288"/>
    <w:rsid w:val="00311EE4"/>
    <w:rsid w:val="00332C21"/>
    <w:rsid w:val="00344403"/>
    <w:rsid w:val="00362C11"/>
    <w:rsid w:val="003A0A99"/>
    <w:rsid w:val="003B1ADE"/>
    <w:rsid w:val="003B210E"/>
    <w:rsid w:val="003B6185"/>
    <w:rsid w:val="003D4E22"/>
    <w:rsid w:val="003E64BD"/>
    <w:rsid w:val="00401BD9"/>
    <w:rsid w:val="004043B0"/>
    <w:rsid w:val="00404D03"/>
    <w:rsid w:val="004207DD"/>
    <w:rsid w:val="0044056B"/>
    <w:rsid w:val="00445E9E"/>
    <w:rsid w:val="00482D82"/>
    <w:rsid w:val="00483C76"/>
    <w:rsid w:val="004A0133"/>
    <w:rsid w:val="004A3D52"/>
    <w:rsid w:val="004B2270"/>
    <w:rsid w:val="004B62D9"/>
    <w:rsid w:val="004C1FD8"/>
    <w:rsid w:val="004C321A"/>
    <w:rsid w:val="004E3715"/>
    <w:rsid w:val="00502B29"/>
    <w:rsid w:val="005156BB"/>
    <w:rsid w:val="00516ED0"/>
    <w:rsid w:val="00537519"/>
    <w:rsid w:val="0054472F"/>
    <w:rsid w:val="00554FF7"/>
    <w:rsid w:val="00557168"/>
    <w:rsid w:val="0059032B"/>
    <w:rsid w:val="005B3C42"/>
    <w:rsid w:val="005B5EE3"/>
    <w:rsid w:val="005B746D"/>
    <w:rsid w:val="005C2E2F"/>
    <w:rsid w:val="005C6F48"/>
    <w:rsid w:val="005F1204"/>
    <w:rsid w:val="0060646A"/>
    <w:rsid w:val="0061026C"/>
    <w:rsid w:val="00615502"/>
    <w:rsid w:val="00617A1F"/>
    <w:rsid w:val="00644803"/>
    <w:rsid w:val="00647382"/>
    <w:rsid w:val="00665FF3"/>
    <w:rsid w:val="0067248B"/>
    <w:rsid w:val="00683D5E"/>
    <w:rsid w:val="00685398"/>
    <w:rsid w:val="006A1C37"/>
    <w:rsid w:val="006E0BEC"/>
    <w:rsid w:val="006E21C0"/>
    <w:rsid w:val="006E4AF0"/>
    <w:rsid w:val="006F3015"/>
    <w:rsid w:val="0070064E"/>
    <w:rsid w:val="00716277"/>
    <w:rsid w:val="007246F7"/>
    <w:rsid w:val="00727A9D"/>
    <w:rsid w:val="00752C0F"/>
    <w:rsid w:val="00764085"/>
    <w:rsid w:val="00786619"/>
    <w:rsid w:val="00792F5E"/>
    <w:rsid w:val="007C0D3C"/>
    <w:rsid w:val="008043E0"/>
    <w:rsid w:val="008226BB"/>
    <w:rsid w:val="008308AB"/>
    <w:rsid w:val="00851009"/>
    <w:rsid w:val="00851EAC"/>
    <w:rsid w:val="008667D8"/>
    <w:rsid w:val="00877C45"/>
    <w:rsid w:val="00885EB2"/>
    <w:rsid w:val="00891671"/>
    <w:rsid w:val="008B7DB7"/>
    <w:rsid w:val="008D1128"/>
    <w:rsid w:val="008E03A9"/>
    <w:rsid w:val="008F3022"/>
    <w:rsid w:val="00931364"/>
    <w:rsid w:val="00956287"/>
    <w:rsid w:val="00971AB7"/>
    <w:rsid w:val="009826DE"/>
    <w:rsid w:val="00994D70"/>
    <w:rsid w:val="009A1B74"/>
    <w:rsid w:val="009A3D3D"/>
    <w:rsid w:val="009A463C"/>
    <w:rsid w:val="009B3576"/>
    <w:rsid w:val="009B6F03"/>
    <w:rsid w:val="009C303A"/>
    <w:rsid w:val="009D16D4"/>
    <w:rsid w:val="009D6FA9"/>
    <w:rsid w:val="009E7F82"/>
    <w:rsid w:val="009F1FE4"/>
    <w:rsid w:val="00A03879"/>
    <w:rsid w:val="00A07773"/>
    <w:rsid w:val="00A10FF4"/>
    <w:rsid w:val="00A21C4C"/>
    <w:rsid w:val="00A40C05"/>
    <w:rsid w:val="00A430A9"/>
    <w:rsid w:val="00A43629"/>
    <w:rsid w:val="00A61962"/>
    <w:rsid w:val="00AA1BF1"/>
    <w:rsid w:val="00AA53B8"/>
    <w:rsid w:val="00AE7672"/>
    <w:rsid w:val="00B058BD"/>
    <w:rsid w:val="00B26407"/>
    <w:rsid w:val="00B32AFD"/>
    <w:rsid w:val="00B61AD6"/>
    <w:rsid w:val="00B7579F"/>
    <w:rsid w:val="00B83A23"/>
    <w:rsid w:val="00BA7682"/>
    <w:rsid w:val="00BB162F"/>
    <w:rsid w:val="00BB7C2A"/>
    <w:rsid w:val="00BC3269"/>
    <w:rsid w:val="00BE3113"/>
    <w:rsid w:val="00BF30EB"/>
    <w:rsid w:val="00C05F2B"/>
    <w:rsid w:val="00C12666"/>
    <w:rsid w:val="00C1507D"/>
    <w:rsid w:val="00C3797C"/>
    <w:rsid w:val="00C72AAC"/>
    <w:rsid w:val="00CB170B"/>
    <w:rsid w:val="00CD04C8"/>
    <w:rsid w:val="00CD06CE"/>
    <w:rsid w:val="00D474AE"/>
    <w:rsid w:val="00D82302"/>
    <w:rsid w:val="00D87B5A"/>
    <w:rsid w:val="00DC42C6"/>
    <w:rsid w:val="00DC6B86"/>
    <w:rsid w:val="00DC6E95"/>
    <w:rsid w:val="00DD670A"/>
    <w:rsid w:val="00E02261"/>
    <w:rsid w:val="00E334B1"/>
    <w:rsid w:val="00E36432"/>
    <w:rsid w:val="00E36F3B"/>
    <w:rsid w:val="00E50790"/>
    <w:rsid w:val="00E64AF8"/>
    <w:rsid w:val="00E70BA7"/>
    <w:rsid w:val="00E72B36"/>
    <w:rsid w:val="00E8060A"/>
    <w:rsid w:val="00E9613D"/>
    <w:rsid w:val="00EA0C99"/>
    <w:rsid w:val="00EA3A6F"/>
    <w:rsid w:val="00EA4FF9"/>
    <w:rsid w:val="00EE1CC2"/>
    <w:rsid w:val="00EF0E21"/>
    <w:rsid w:val="00EF4BF7"/>
    <w:rsid w:val="00EF6FC2"/>
    <w:rsid w:val="00F12542"/>
    <w:rsid w:val="00F12AB6"/>
    <w:rsid w:val="00F15D88"/>
    <w:rsid w:val="00F3087D"/>
    <w:rsid w:val="00F479B6"/>
    <w:rsid w:val="00F67FAD"/>
    <w:rsid w:val="00F80E79"/>
    <w:rsid w:val="00F8559B"/>
    <w:rsid w:val="00F862E2"/>
    <w:rsid w:val="00FA7E6A"/>
    <w:rsid w:val="00FD6D02"/>
    <w:rsid w:val="00FE21E1"/>
    <w:rsid w:val="00FE64A0"/>
    <w:rsid w:val="012F4D3A"/>
    <w:rsid w:val="016F1DEB"/>
    <w:rsid w:val="01A97590"/>
    <w:rsid w:val="01AD1221"/>
    <w:rsid w:val="01B579BE"/>
    <w:rsid w:val="01BD3141"/>
    <w:rsid w:val="01D9535B"/>
    <w:rsid w:val="01DB6451"/>
    <w:rsid w:val="01EE5AD8"/>
    <w:rsid w:val="022157CC"/>
    <w:rsid w:val="02495C93"/>
    <w:rsid w:val="02524424"/>
    <w:rsid w:val="026A44BB"/>
    <w:rsid w:val="029934BD"/>
    <w:rsid w:val="02A84724"/>
    <w:rsid w:val="02BA70E4"/>
    <w:rsid w:val="02DE5036"/>
    <w:rsid w:val="03401295"/>
    <w:rsid w:val="035478E7"/>
    <w:rsid w:val="037056C9"/>
    <w:rsid w:val="03B43460"/>
    <w:rsid w:val="03B9385E"/>
    <w:rsid w:val="03E3256E"/>
    <w:rsid w:val="03F375F9"/>
    <w:rsid w:val="0404578E"/>
    <w:rsid w:val="041B476E"/>
    <w:rsid w:val="042C35CD"/>
    <w:rsid w:val="043B7180"/>
    <w:rsid w:val="04615986"/>
    <w:rsid w:val="048462F4"/>
    <w:rsid w:val="048C2A92"/>
    <w:rsid w:val="049E7993"/>
    <w:rsid w:val="04D17B32"/>
    <w:rsid w:val="04DB11B3"/>
    <w:rsid w:val="04E265A6"/>
    <w:rsid w:val="04E61878"/>
    <w:rsid w:val="04FE2027"/>
    <w:rsid w:val="05186CC8"/>
    <w:rsid w:val="051B3E29"/>
    <w:rsid w:val="053F72A6"/>
    <w:rsid w:val="05681D15"/>
    <w:rsid w:val="056F67CD"/>
    <w:rsid w:val="059506FC"/>
    <w:rsid w:val="060104FC"/>
    <w:rsid w:val="0609535F"/>
    <w:rsid w:val="066C12E0"/>
    <w:rsid w:val="069343D1"/>
    <w:rsid w:val="06975C46"/>
    <w:rsid w:val="06BE2A51"/>
    <w:rsid w:val="07916396"/>
    <w:rsid w:val="07D74599"/>
    <w:rsid w:val="07D7683A"/>
    <w:rsid w:val="082C145E"/>
    <w:rsid w:val="086A2F2B"/>
    <w:rsid w:val="086C7145"/>
    <w:rsid w:val="087A66FE"/>
    <w:rsid w:val="087F4E5B"/>
    <w:rsid w:val="08D07BF6"/>
    <w:rsid w:val="08E57874"/>
    <w:rsid w:val="08F907D3"/>
    <w:rsid w:val="0913744C"/>
    <w:rsid w:val="09506311"/>
    <w:rsid w:val="095256AB"/>
    <w:rsid w:val="096D5B28"/>
    <w:rsid w:val="09752957"/>
    <w:rsid w:val="099A78ED"/>
    <w:rsid w:val="099F2909"/>
    <w:rsid w:val="09BA3678"/>
    <w:rsid w:val="09BD305F"/>
    <w:rsid w:val="09CF2F3C"/>
    <w:rsid w:val="0A1A0AEF"/>
    <w:rsid w:val="0A1B269E"/>
    <w:rsid w:val="0A374EDE"/>
    <w:rsid w:val="0A49597E"/>
    <w:rsid w:val="0A9F5F32"/>
    <w:rsid w:val="0AA408F9"/>
    <w:rsid w:val="0AB04BF1"/>
    <w:rsid w:val="0ABF39D2"/>
    <w:rsid w:val="0AC85041"/>
    <w:rsid w:val="0AE86FB5"/>
    <w:rsid w:val="0AF47C00"/>
    <w:rsid w:val="0B16511A"/>
    <w:rsid w:val="0B1F2364"/>
    <w:rsid w:val="0B2008BD"/>
    <w:rsid w:val="0B2C1745"/>
    <w:rsid w:val="0B4734F5"/>
    <w:rsid w:val="0B4C07EB"/>
    <w:rsid w:val="0B4C493B"/>
    <w:rsid w:val="0B606C2C"/>
    <w:rsid w:val="0B606F71"/>
    <w:rsid w:val="0B6D77D6"/>
    <w:rsid w:val="0B70534E"/>
    <w:rsid w:val="0B71689B"/>
    <w:rsid w:val="0B9D04FA"/>
    <w:rsid w:val="0BC27091"/>
    <w:rsid w:val="0C1C7757"/>
    <w:rsid w:val="0C305AA1"/>
    <w:rsid w:val="0C4E03B9"/>
    <w:rsid w:val="0C6177E3"/>
    <w:rsid w:val="0C69705C"/>
    <w:rsid w:val="0C6A1543"/>
    <w:rsid w:val="0C772D2C"/>
    <w:rsid w:val="0C7C2E00"/>
    <w:rsid w:val="0D223EB6"/>
    <w:rsid w:val="0D2439CB"/>
    <w:rsid w:val="0D3546E2"/>
    <w:rsid w:val="0D645D4C"/>
    <w:rsid w:val="0D743DA7"/>
    <w:rsid w:val="0D7558EC"/>
    <w:rsid w:val="0D7C66C7"/>
    <w:rsid w:val="0D997203"/>
    <w:rsid w:val="0DC16EAC"/>
    <w:rsid w:val="0DCA32BA"/>
    <w:rsid w:val="0DE7433C"/>
    <w:rsid w:val="0E1928C3"/>
    <w:rsid w:val="0E420EBF"/>
    <w:rsid w:val="0E454C7F"/>
    <w:rsid w:val="0E7B4CCD"/>
    <w:rsid w:val="0E7E752E"/>
    <w:rsid w:val="0E884124"/>
    <w:rsid w:val="0E917B50"/>
    <w:rsid w:val="0EA43D25"/>
    <w:rsid w:val="0ECA5ABC"/>
    <w:rsid w:val="0EF71439"/>
    <w:rsid w:val="0F0B28AB"/>
    <w:rsid w:val="0F3971B3"/>
    <w:rsid w:val="0F5144F7"/>
    <w:rsid w:val="0FBB2DB4"/>
    <w:rsid w:val="0FE53E31"/>
    <w:rsid w:val="0FF05EEA"/>
    <w:rsid w:val="1046073E"/>
    <w:rsid w:val="10693C87"/>
    <w:rsid w:val="10711524"/>
    <w:rsid w:val="10723602"/>
    <w:rsid w:val="107965CD"/>
    <w:rsid w:val="107A1422"/>
    <w:rsid w:val="109C4AB0"/>
    <w:rsid w:val="10B67E0E"/>
    <w:rsid w:val="10BE40BD"/>
    <w:rsid w:val="10C72120"/>
    <w:rsid w:val="10D4141B"/>
    <w:rsid w:val="11541D4D"/>
    <w:rsid w:val="11555679"/>
    <w:rsid w:val="11583F11"/>
    <w:rsid w:val="116C6887"/>
    <w:rsid w:val="117716E5"/>
    <w:rsid w:val="11921A52"/>
    <w:rsid w:val="11A81917"/>
    <w:rsid w:val="11AD3102"/>
    <w:rsid w:val="11C55B38"/>
    <w:rsid w:val="11D16E92"/>
    <w:rsid w:val="11D61BE3"/>
    <w:rsid w:val="120104BE"/>
    <w:rsid w:val="12056AF9"/>
    <w:rsid w:val="123423D5"/>
    <w:rsid w:val="1252555D"/>
    <w:rsid w:val="126B25FC"/>
    <w:rsid w:val="127E746B"/>
    <w:rsid w:val="12A0536B"/>
    <w:rsid w:val="12AA0B04"/>
    <w:rsid w:val="12AE4CFF"/>
    <w:rsid w:val="12AF37F4"/>
    <w:rsid w:val="12C77210"/>
    <w:rsid w:val="12EF6B77"/>
    <w:rsid w:val="12F4221E"/>
    <w:rsid w:val="12F77DF0"/>
    <w:rsid w:val="12FC0582"/>
    <w:rsid w:val="13430791"/>
    <w:rsid w:val="13497BDD"/>
    <w:rsid w:val="13680458"/>
    <w:rsid w:val="136D56CA"/>
    <w:rsid w:val="13A02C26"/>
    <w:rsid w:val="13A30478"/>
    <w:rsid w:val="13B54AF6"/>
    <w:rsid w:val="13BF0F23"/>
    <w:rsid w:val="13CB3822"/>
    <w:rsid w:val="13CC066F"/>
    <w:rsid w:val="13DB7533"/>
    <w:rsid w:val="13EF14B2"/>
    <w:rsid w:val="14182527"/>
    <w:rsid w:val="142208B3"/>
    <w:rsid w:val="144B50E3"/>
    <w:rsid w:val="144C1F09"/>
    <w:rsid w:val="14644192"/>
    <w:rsid w:val="148E4996"/>
    <w:rsid w:val="15014A85"/>
    <w:rsid w:val="1521438C"/>
    <w:rsid w:val="15230114"/>
    <w:rsid w:val="15344F50"/>
    <w:rsid w:val="153B1C44"/>
    <w:rsid w:val="1540129C"/>
    <w:rsid w:val="154E3751"/>
    <w:rsid w:val="157E26B0"/>
    <w:rsid w:val="159051A8"/>
    <w:rsid w:val="15AD647F"/>
    <w:rsid w:val="15BA32B7"/>
    <w:rsid w:val="15DD2DB8"/>
    <w:rsid w:val="15E609D1"/>
    <w:rsid w:val="15E92819"/>
    <w:rsid w:val="15F54F27"/>
    <w:rsid w:val="162F2FFF"/>
    <w:rsid w:val="16475C13"/>
    <w:rsid w:val="16490B61"/>
    <w:rsid w:val="165C6B1F"/>
    <w:rsid w:val="16B71C31"/>
    <w:rsid w:val="16CA5915"/>
    <w:rsid w:val="16CE4C58"/>
    <w:rsid w:val="16F31084"/>
    <w:rsid w:val="17535777"/>
    <w:rsid w:val="1775126C"/>
    <w:rsid w:val="177A6F4C"/>
    <w:rsid w:val="17926AF2"/>
    <w:rsid w:val="17A50601"/>
    <w:rsid w:val="17B22529"/>
    <w:rsid w:val="17B62BAA"/>
    <w:rsid w:val="17C21AB5"/>
    <w:rsid w:val="17C778C8"/>
    <w:rsid w:val="1807459F"/>
    <w:rsid w:val="184108CA"/>
    <w:rsid w:val="185561D9"/>
    <w:rsid w:val="186C49EB"/>
    <w:rsid w:val="18716444"/>
    <w:rsid w:val="18C07FBB"/>
    <w:rsid w:val="18DE216D"/>
    <w:rsid w:val="18E746F0"/>
    <w:rsid w:val="18FF164B"/>
    <w:rsid w:val="190A17EE"/>
    <w:rsid w:val="190D4D2B"/>
    <w:rsid w:val="195A2E36"/>
    <w:rsid w:val="195F7471"/>
    <w:rsid w:val="198127E6"/>
    <w:rsid w:val="19982929"/>
    <w:rsid w:val="19CD0318"/>
    <w:rsid w:val="19CE079E"/>
    <w:rsid w:val="19EF09E6"/>
    <w:rsid w:val="19F12FB3"/>
    <w:rsid w:val="1A000515"/>
    <w:rsid w:val="1A3F70F6"/>
    <w:rsid w:val="1A6F4705"/>
    <w:rsid w:val="1A710BB3"/>
    <w:rsid w:val="1AA208FE"/>
    <w:rsid w:val="1AAE64EF"/>
    <w:rsid w:val="1AB94DAB"/>
    <w:rsid w:val="1AE05D8E"/>
    <w:rsid w:val="1AEC7543"/>
    <w:rsid w:val="1B147F49"/>
    <w:rsid w:val="1B337B8B"/>
    <w:rsid w:val="1B7660A0"/>
    <w:rsid w:val="1B78646E"/>
    <w:rsid w:val="1B831DC4"/>
    <w:rsid w:val="1BAD04B6"/>
    <w:rsid w:val="1BB2339D"/>
    <w:rsid w:val="1BC44527"/>
    <w:rsid w:val="1BF83AAE"/>
    <w:rsid w:val="1C2F2050"/>
    <w:rsid w:val="1C4E180B"/>
    <w:rsid w:val="1C615542"/>
    <w:rsid w:val="1C9D58ED"/>
    <w:rsid w:val="1CC6520E"/>
    <w:rsid w:val="1CF812AF"/>
    <w:rsid w:val="1D0E5356"/>
    <w:rsid w:val="1D4E74FE"/>
    <w:rsid w:val="1D9651EF"/>
    <w:rsid w:val="1DA1646E"/>
    <w:rsid w:val="1DB73F82"/>
    <w:rsid w:val="1DE40CDE"/>
    <w:rsid w:val="1DF04E30"/>
    <w:rsid w:val="1E03720A"/>
    <w:rsid w:val="1E1D69E3"/>
    <w:rsid w:val="1E2579C9"/>
    <w:rsid w:val="1E59377F"/>
    <w:rsid w:val="1E666930"/>
    <w:rsid w:val="1E7A053A"/>
    <w:rsid w:val="1E8125C4"/>
    <w:rsid w:val="1E83139E"/>
    <w:rsid w:val="1EA3489A"/>
    <w:rsid w:val="1EC36481"/>
    <w:rsid w:val="1F0A7AF7"/>
    <w:rsid w:val="1F3A3212"/>
    <w:rsid w:val="1F4941A0"/>
    <w:rsid w:val="1F5B0640"/>
    <w:rsid w:val="1F867006"/>
    <w:rsid w:val="1F954C4B"/>
    <w:rsid w:val="1FAD4D8A"/>
    <w:rsid w:val="1FB60629"/>
    <w:rsid w:val="1FDD58EE"/>
    <w:rsid w:val="1FF1198E"/>
    <w:rsid w:val="204E5AF2"/>
    <w:rsid w:val="205C7E34"/>
    <w:rsid w:val="206D7C9D"/>
    <w:rsid w:val="209C7568"/>
    <w:rsid w:val="20A32E28"/>
    <w:rsid w:val="210E58A3"/>
    <w:rsid w:val="21401FF6"/>
    <w:rsid w:val="21535205"/>
    <w:rsid w:val="215874A3"/>
    <w:rsid w:val="217B1995"/>
    <w:rsid w:val="218F2179"/>
    <w:rsid w:val="21A81D06"/>
    <w:rsid w:val="21EE1F3B"/>
    <w:rsid w:val="221B4B9A"/>
    <w:rsid w:val="22496F48"/>
    <w:rsid w:val="22A64A35"/>
    <w:rsid w:val="22C71BAB"/>
    <w:rsid w:val="22CF6190"/>
    <w:rsid w:val="22E15921"/>
    <w:rsid w:val="23363D9D"/>
    <w:rsid w:val="2341453B"/>
    <w:rsid w:val="23875229"/>
    <w:rsid w:val="238D04C2"/>
    <w:rsid w:val="239047AD"/>
    <w:rsid w:val="23E9148E"/>
    <w:rsid w:val="23FD1F32"/>
    <w:rsid w:val="2404634F"/>
    <w:rsid w:val="241876D4"/>
    <w:rsid w:val="24284C43"/>
    <w:rsid w:val="24297319"/>
    <w:rsid w:val="24474D3E"/>
    <w:rsid w:val="24550976"/>
    <w:rsid w:val="245A2F68"/>
    <w:rsid w:val="24692457"/>
    <w:rsid w:val="24860434"/>
    <w:rsid w:val="248B30A4"/>
    <w:rsid w:val="24A80DE8"/>
    <w:rsid w:val="24F05D3F"/>
    <w:rsid w:val="25336550"/>
    <w:rsid w:val="25536F67"/>
    <w:rsid w:val="259C376D"/>
    <w:rsid w:val="25A419B7"/>
    <w:rsid w:val="25A425EF"/>
    <w:rsid w:val="25A761F1"/>
    <w:rsid w:val="25B14D79"/>
    <w:rsid w:val="25B3165D"/>
    <w:rsid w:val="25B55F33"/>
    <w:rsid w:val="25DA76C3"/>
    <w:rsid w:val="25F86312"/>
    <w:rsid w:val="2608662C"/>
    <w:rsid w:val="26205A06"/>
    <w:rsid w:val="262564E4"/>
    <w:rsid w:val="266F4285"/>
    <w:rsid w:val="268729B0"/>
    <w:rsid w:val="269F5C5A"/>
    <w:rsid w:val="26BA4623"/>
    <w:rsid w:val="26D64A4A"/>
    <w:rsid w:val="276F46AD"/>
    <w:rsid w:val="27910129"/>
    <w:rsid w:val="27D27DFC"/>
    <w:rsid w:val="27D632E0"/>
    <w:rsid w:val="27E154F8"/>
    <w:rsid w:val="27FA3F49"/>
    <w:rsid w:val="281D7CD3"/>
    <w:rsid w:val="281E408D"/>
    <w:rsid w:val="284926EA"/>
    <w:rsid w:val="28545E2E"/>
    <w:rsid w:val="2857228D"/>
    <w:rsid w:val="2865285F"/>
    <w:rsid w:val="286E42EB"/>
    <w:rsid w:val="2876438A"/>
    <w:rsid w:val="288966AE"/>
    <w:rsid w:val="28972D66"/>
    <w:rsid w:val="28A6386E"/>
    <w:rsid w:val="28C10D88"/>
    <w:rsid w:val="28CF4EF9"/>
    <w:rsid w:val="28DF3AFD"/>
    <w:rsid w:val="28E07BA2"/>
    <w:rsid w:val="28F55CC1"/>
    <w:rsid w:val="29092BAA"/>
    <w:rsid w:val="29270F87"/>
    <w:rsid w:val="29342FAF"/>
    <w:rsid w:val="29696539"/>
    <w:rsid w:val="296C2DE5"/>
    <w:rsid w:val="29722537"/>
    <w:rsid w:val="29A13C84"/>
    <w:rsid w:val="29C5485C"/>
    <w:rsid w:val="29D30D2B"/>
    <w:rsid w:val="2A150E3F"/>
    <w:rsid w:val="2A3518BD"/>
    <w:rsid w:val="2A3A466D"/>
    <w:rsid w:val="2A3D5B26"/>
    <w:rsid w:val="2A4F740F"/>
    <w:rsid w:val="2A5E01A8"/>
    <w:rsid w:val="2A8F36AC"/>
    <w:rsid w:val="2AC600BF"/>
    <w:rsid w:val="2AD12A78"/>
    <w:rsid w:val="2AD64479"/>
    <w:rsid w:val="2AFE28D7"/>
    <w:rsid w:val="2B053178"/>
    <w:rsid w:val="2B1B43D8"/>
    <w:rsid w:val="2B2F69CC"/>
    <w:rsid w:val="2B3736C2"/>
    <w:rsid w:val="2B4F11EE"/>
    <w:rsid w:val="2B997542"/>
    <w:rsid w:val="2BB53006"/>
    <w:rsid w:val="2BBD5E3A"/>
    <w:rsid w:val="2BBF542D"/>
    <w:rsid w:val="2BC44D49"/>
    <w:rsid w:val="2BEB5FEA"/>
    <w:rsid w:val="2BF70401"/>
    <w:rsid w:val="2BFD4384"/>
    <w:rsid w:val="2C147407"/>
    <w:rsid w:val="2C720AE8"/>
    <w:rsid w:val="2C937EE3"/>
    <w:rsid w:val="2CA769B2"/>
    <w:rsid w:val="2CCA76CB"/>
    <w:rsid w:val="2CCC5885"/>
    <w:rsid w:val="2CEA179B"/>
    <w:rsid w:val="2CF21EBD"/>
    <w:rsid w:val="2CFF72AA"/>
    <w:rsid w:val="2D161030"/>
    <w:rsid w:val="2D3D0577"/>
    <w:rsid w:val="2D622A5D"/>
    <w:rsid w:val="2D681F48"/>
    <w:rsid w:val="2D8823A6"/>
    <w:rsid w:val="2DA74519"/>
    <w:rsid w:val="2DF14AC0"/>
    <w:rsid w:val="2DFC71A7"/>
    <w:rsid w:val="2E0B70CD"/>
    <w:rsid w:val="2E10331E"/>
    <w:rsid w:val="2E1268ED"/>
    <w:rsid w:val="2E195B7B"/>
    <w:rsid w:val="2E473050"/>
    <w:rsid w:val="2E9243B5"/>
    <w:rsid w:val="2E9521E9"/>
    <w:rsid w:val="2E9D730D"/>
    <w:rsid w:val="2EBC74F4"/>
    <w:rsid w:val="2EC10DAE"/>
    <w:rsid w:val="2F455DAB"/>
    <w:rsid w:val="2F4F4231"/>
    <w:rsid w:val="2F743F7C"/>
    <w:rsid w:val="2FBD27F0"/>
    <w:rsid w:val="2FCE1D61"/>
    <w:rsid w:val="2FDB3700"/>
    <w:rsid w:val="2FDF38F2"/>
    <w:rsid w:val="30184710"/>
    <w:rsid w:val="302F5220"/>
    <w:rsid w:val="305413BE"/>
    <w:rsid w:val="305F308A"/>
    <w:rsid w:val="307A191D"/>
    <w:rsid w:val="307A456E"/>
    <w:rsid w:val="30A62F22"/>
    <w:rsid w:val="30AC46AE"/>
    <w:rsid w:val="30EF2B23"/>
    <w:rsid w:val="310349C1"/>
    <w:rsid w:val="31051AA9"/>
    <w:rsid w:val="31344EDD"/>
    <w:rsid w:val="314936DD"/>
    <w:rsid w:val="31636818"/>
    <w:rsid w:val="317C0525"/>
    <w:rsid w:val="31BB51CD"/>
    <w:rsid w:val="31D44F14"/>
    <w:rsid w:val="31FB758F"/>
    <w:rsid w:val="32217DE8"/>
    <w:rsid w:val="324D6877"/>
    <w:rsid w:val="32674A35"/>
    <w:rsid w:val="32823552"/>
    <w:rsid w:val="32831A80"/>
    <w:rsid w:val="32C71D27"/>
    <w:rsid w:val="32D124DC"/>
    <w:rsid w:val="32F02F3F"/>
    <w:rsid w:val="32F1173B"/>
    <w:rsid w:val="335E7AFC"/>
    <w:rsid w:val="3370661D"/>
    <w:rsid w:val="33C3785C"/>
    <w:rsid w:val="33ED0BAF"/>
    <w:rsid w:val="33EF4D6B"/>
    <w:rsid w:val="33FD6053"/>
    <w:rsid w:val="343A7F23"/>
    <w:rsid w:val="344722E3"/>
    <w:rsid w:val="34493262"/>
    <w:rsid w:val="34532D3A"/>
    <w:rsid w:val="34590033"/>
    <w:rsid w:val="34636499"/>
    <w:rsid w:val="348653B1"/>
    <w:rsid w:val="34971FC3"/>
    <w:rsid w:val="34BA168F"/>
    <w:rsid w:val="34CB0D06"/>
    <w:rsid w:val="34CC5108"/>
    <w:rsid w:val="34F619B8"/>
    <w:rsid w:val="35025873"/>
    <w:rsid w:val="35217CED"/>
    <w:rsid w:val="355A356B"/>
    <w:rsid w:val="357F0ADA"/>
    <w:rsid w:val="35EC58DE"/>
    <w:rsid w:val="35FA537B"/>
    <w:rsid w:val="36257D92"/>
    <w:rsid w:val="36273E62"/>
    <w:rsid w:val="363B7622"/>
    <w:rsid w:val="364F0364"/>
    <w:rsid w:val="368E098A"/>
    <w:rsid w:val="3690617A"/>
    <w:rsid w:val="36B468FD"/>
    <w:rsid w:val="36DE3DA3"/>
    <w:rsid w:val="36DF33DC"/>
    <w:rsid w:val="36E554B2"/>
    <w:rsid w:val="3725558C"/>
    <w:rsid w:val="373762D9"/>
    <w:rsid w:val="373A13A7"/>
    <w:rsid w:val="377A1742"/>
    <w:rsid w:val="37906552"/>
    <w:rsid w:val="37B70881"/>
    <w:rsid w:val="37C525D8"/>
    <w:rsid w:val="37CE51EC"/>
    <w:rsid w:val="37D506C6"/>
    <w:rsid w:val="38030E16"/>
    <w:rsid w:val="38106589"/>
    <w:rsid w:val="381C45F9"/>
    <w:rsid w:val="38513F1F"/>
    <w:rsid w:val="38662CBF"/>
    <w:rsid w:val="38955D2C"/>
    <w:rsid w:val="38D61113"/>
    <w:rsid w:val="38FF7BC0"/>
    <w:rsid w:val="39035365"/>
    <w:rsid w:val="390D00B6"/>
    <w:rsid w:val="391475A2"/>
    <w:rsid w:val="391A31A3"/>
    <w:rsid w:val="393A32FD"/>
    <w:rsid w:val="395F172D"/>
    <w:rsid w:val="3976384F"/>
    <w:rsid w:val="39BF4224"/>
    <w:rsid w:val="39FA2259"/>
    <w:rsid w:val="3A182EB5"/>
    <w:rsid w:val="3A203622"/>
    <w:rsid w:val="3A2156EF"/>
    <w:rsid w:val="3A6720FC"/>
    <w:rsid w:val="3A9D60F8"/>
    <w:rsid w:val="3AF86A9E"/>
    <w:rsid w:val="3B157E89"/>
    <w:rsid w:val="3B295388"/>
    <w:rsid w:val="3B2C1889"/>
    <w:rsid w:val="3C1A47AF"/>
    <w:rsid w:val="3C60560C"/>
    <w:rsid w:val="3C7C5C69"/>
    <w:rsid w:val="3C82492C"/>
    <w:rsid w:val="3C8F7961"/>
    <w:rsid w:val="3CCF7576"/>
    <w:rsid w:val="3CDF6509"/>
    <w:rsid w:val="3CE70048"/>
    <w:rsid w:val="3CEA4A2C"/>
    <w:rsid w:val="3CF62423"/>
    <w:rsid w:val="3D487CDE"/>
    <w:rsid w:val="3D815BD8"/>
    <w:rsid w:val="3DB45600"/>
    <w:rsid w:val="3DC512E0"/>
    <w:rsid w:val="3DD96AB4"/>
    <w:rsid w:val="3DF63C5A"/>
    <w:rsid w:val="3E546918"/>
    <w:rsid w:val="3E630CF4"/>
    <w:rsid w:val="3E726E60"/>
    <w:rsid w:val="3E751CD1"/>
    <w:rsid w:val="3E7C7221"/>
    <w:rsid w:val="3EE62529"/>
    <w:rsid w:val="3EEE569F"/>
    <w:rsid w:val="3EF605F2"/>
    <w:rsid w:val="3F0652E0"/>
    <w:rsid w:val="3F1600C7"/>
    <w:rsid w:val="3F242B34"/>
    <w:rsid w:val="3F2D5BBD"/>
    <w:rsid w:val="3FB56EBB"/>
    <w:rsid w:val="3FD060C1"/>
    <w:rsid w:val="3FD57EA0"/>
    <w:rsid w:val="3FE064D7"/>
    <w:rsid w:val="3FE810C3"/>
    <w:rsid w:val="3FF1760E"/>
    <w:rsid w:val="3FF35D47"/>
    <w:rsid w:val="3FF45FAB"/>
    <w:rsid w:val="3FFE5895"/>
    <w:rsid w:val="400E682A"/>
    <w:rsid w:val="40411084"/>
    <w:rsid w:val="404605E0"/>
    <w:rsid w:val="404D0D0F"/>
    <w:rsid w:val="40501548"/>
    <w:rsid w:val="405E6E9E"/>
    <w:rsid w:val="4070312E"/>
    <w:rsid w:val="40872D16"/>
    <w:rsid w:val="40A27B2D"/>
    <w:rsid w:val="40B8096E"/>
    <w:rsid w:val="40CB075D"/>
    <w:rsid w:val="40D1419D"/>
    <w:rsid w:val="40E73051"/>
    <w:rsid w:val="40EE5B98"/>
    <w:rsid w:val="40FC6DAB"/>
    <w:rsid w:val="41016840"/>
    <w:rsid w:val="4126191D"/>
    <w:rsid w:val="41570CAC"/>
    <w:rsid w:val="415D7508"/>
    <w:rsid w:val="41915E7F"/>
    <w:rsid w:val="41A37164"/>
    <w:rsid w:val="41A658D5"/>
    <w:rsid w:val="41CC53D8"/>
    <w:rsid w:val="41FB0254"/>
    <w:rsid w:val="4222380F"/>
    <w:rsid w:val="423D7B69"/>
    <w:rsid w:val="42452C5A"/>
    <w:rsid w:val="426C4D56"/>
    <w:rsid w:val="42EA47CA"/>
    <w:rsid w:val="43127266"/>
    <w:rsid w:val="433B36A9"/>
    <w:rsid w:val="434649F0"/>
    <w:rsid w:val="434F7D15"/>
    <w:rsid w:val="43647D78"/>
    <w:rsid w:val="437B1567"/>
    <w:rsid w:val="43891561"/>
    <w:rsid w:val="43925BCA"/>
    <w:rsid w:val="43BC01D6"/>
    <w:rsid w:val="43DA5249"/>
    <w:rsid w:val="43F12FDF"/>
    <w:rsid w:val="43F17DAD"/>
    <w:rsid w:val="43FA1CBB"/>
    <w:rsid w:val="44126AEA"/>
    <w:rsid w:val="442F0B03"/>
    <w:rsid w:val="44321FCD"/>
    <w:rsid w:val="443379D1"/>
    <w:rsid w:val="445A1B54"/>
    <w:rsid w:val="445D3657"/>
    <w:rsid w:val="446A13FC"/>
    <w:rsid w:val="44875BBA"/>
    <w:rsid w:val="44B3126D"/>
    <w:rsid w:val="44BE3A0C"/>
    <w:rsid w:val="450620E0"/>
    <w:rsid w:val="450F16DF"/>
    <w:rsid w:val="4539421B"/>
    <w:rsid w:val="456B6299"/>
    <w:rsid w:val="4578777B"/>
    <w:rsid w:val="4586753C"/>
    <w:rsid w:val="45A6028F"/>
    <w:rsid w:val="45CA052C"/>
    <w:rsid w:val="45D80A94"/>
    <w:rsid w:val="45DF541C"/>
    <w:rsid w:val="45EC323A"/>
    <w:rsid w:val="46276455"/>
    <w:rsid w:val="463D7786"/>
    <w:rsid w:val="465B3D0C"/>
    <w:rsid w:val="467E23D3"/>
    <w:rsid w:val="46A71EBA"/>
    <w:rsid w:val="46A92AD2"/>
    <w:rsid w:val="46CA00A1"/>
    <w:rsid w:val="46D923E6"/>
    <w:rsid w:val="471C6F71"/>
    <w:rsid w:val="476E0F5D"/>
    <w:rsid w:val="4782415A"/>
    <w:rsid w:val="47A93BCF"/>
    <w:rsid w:val="47C12283"/>
    <w:rsid w:val="47D06CBE"/>
    <w:rsid w:val="47FC4A80"/>
    <w:rsid w:val="481B3A29"/>
    <w:rsid w:val="484F0B16"/>
    <w:rsid w:val="485572E2"/>
    <w:rsid w:val="488C02E1"/>
    <w:rsid w:val="489B6412"/>
    <w:rsid w:val="489F4F4C"/>
    <w:rsid w:val="48A032A2"/>
    <w:rsid w:val="48B22781"/>
    <w:rsid w:val="48C00FB2"/>
    <w:rsid w:val="48FD47B3"/>
    <w:rsid w:val="490F520C"/>
    <w:rsid w:val="49295CD2"/>
    <w:rsid w:val="493B2710"/>
    <w:rsid w:val="49825834"/>
    <w:rsid w:val="49FB0909"/>
    <w:rsid w:val="4A0F1D24"/>
    <w:rsid w:val="4A2404B9"/>
    <w:rsid w:val="4A3C4E32"/>
    <w:rsid w:val="4A644061"/>
    <w:rsid w:val="4A726243"/>
    <w:rsid w:val="4A9144C3"/>
    <w:rsid w:val="4A9A3EB1"/>
    <w:rsid w:val="4AAD21E4"/>
    <w:rsid w:val="4B0728F1"/>
    <w:rsid w:val="4B9E5988"/>
    <w:rsid w:val="4BD8433A"/>
    <w:rsid w:val="4BDB2E9E"/>
    <w:rsid w:val="4BE2758F"/>
    <w:rsid w:val="4BED2079"/>
    <w:rsid w:val="4BF355E3"/>
    <w:rsid w:val="4C230D57"/>
    <w:rsid w:val="4C3119C1"/>
    <w:rsid w:val="4C372E12"/>
    <w:rsid w:val="4CBE482A"/>
    <w:rsid w:val="4CDA73F3"/>
    <w:rsid w:val="4CDB2E61"/>
    <w:rsid w:val="4CE5710F"/>
    <w:rsid w:val="4CEF119D"/>
    <w:rsid w:val="4CF41BE8"/>
    <w:rsid w:val="4CFE3BE2"/>
    <w:rsid w:val="4D2D2743"/>
    <w:rsid w:val="4D405A25"/>
    <w:rsid w:val="4D523FF7"/>
    <w:rsid w:val="4D6668ED"/>
    <w:rsid w:val="4D871527"/>
    <w:rsid w:val="4D8C3CB3"/>
    <w:rsid w:val="4DAC4FB3"/>
    <w:rsid w:val="4DBB5470"/>
    <w:rsid w:val="4DDE0FDE"/>
    <w:rsid w:val="4E234B59"/>
    <w:rsid w:val="4E3C57AE"/>
    <w:rsid w:val="4E503E90"/>
    <w:rsid w:val="4EC6375D"/>
    <w:rsid w:val="4EC77C82"/>
    <w:rsid w:val="4EDF322B"/>
    <w:rsid w:val="4EFD599C"/>
    <w:rsid w:val="4F0D6289"/>
    <w:rsid w:val="4F1D3F59"/>
    <w:rsid w:val="4F371AB2"/>
    <w:rsid w:val="4F4B6EB7"/>
    <w:rsid w:val="4F537F58"/>
    <w:rsid w:val="4F6831CE"/>
    <w:rsid w:val="4F6D4A08"/>
    <w:rsid w:val="4F75640C"/>
    <w:rsid w:val="4F8158F2"/>
    <w:rsid w:val="4FAD7652"/>
    <w:rsid w:val="4FD9764F"/>
    <w:rsid w:val="50076701"/>
    <w:rsid w:val="501A37FD"/>
    <w:rsid w:val="50311838"/>
    <w:rsid w:val="50361868"/>
    <w:rsid w:val="50531F3F"/>
    <w:rsid w:val="508358DD"/>
    <w:rsid w:val="50845E6C"/>
    <w:rsid w:val="50887728"/>
    <w:rsid w:val="50B31972"/>
    <w:rsid w:val="50B443F8"/>
    <w:rsid w:val="50B5607A"/>
    <w:rsid w:val="50C11B24"/>
    <w:rsid w:val="511240D7"/>
    <w:rsid w:val="512939C8"/>
    <w:rsid w:val="514C3F39"/>
    <w:rsid w:val="51533278"/>
    <w:rsid w:val="515F5780"/>
    <w:rsid w:val="515F6EAC"/>
    <w:rsid w:val="517D0E96"/>
    <w:rsid w:val="519B5E81"/>
    <w:rsid w:val="51E86F3B"/>
    <w:rsid w:val="51FF257B"/>
    <w:rsid w:val="52022C75"/>
    <w:rsid w:val="52067F27"/>
    <w:rsid w:val="520B0D7B"/>
    <w:rsid w:val="52101494"/>
    <w:rsid w:val="521527BB"/>
    <w:rsid w:val="527903F1"/>
    <w:rsid w:val="52A7133D"/>
    <w:rsid w:val="52AB74E8"/>
    <w:rsid w:val="52D852EE"/>
    <w:rsid w:val="532A0BBA"/>
    <w:rsid w:val="536862D9"/>
    <w:rsid w:val="5373795A"/>
    <w:rsid w:val="5394098D"/>
    <w:rsid w:val="539D5D44"/>
    <w:rsid w:val="53AB2CE1"/>
    <w:rsid w:val="53B01D00"/>
    <w:rsid w:val="53C95B08"/>
    <w:rsid w:val="53CB67C6"/>
    <w:rsid w:val="53D44A45"/>
    <w:rsid w:val="53DD5C53"/>
    <w:rsid w:val="53F97642"/>
    <w:rsid w:val="53FB7B09"/>
    <w:rsid w:val="541A6361"/>
    <w:rsid w:val="54382D8E"/>
    <w:rsid w:val="545B3700"/>
    <w:rsid w:val="54693368"/>
    <w:rsid w:val="547E0386"/>
    <w:rsid w:val="5482287C"/>
    <w:rsid w:val="548855B2"/>
    <w:rsid w:val="548C3AC9"/>
    <w:rsid w:val="54E71C41"/>
    <w:rsid w:val="54EB6143"/>
    <w:rsid w:val="54EF21E0"/>
    <w:rsid w:val="54F46483"/>
    <w:rsid w:val="550E1E7A"/>
    <w:rsid w:val="552625EA"/>
    <w:rsid w:val="552E1545"/>
    <w:rsid w:val="5544382F"/>
    <w:rsid w:val="55ED12B8"/>
    <w:rsid w:val="560E0433"/>
    <w:rsid w:val="5627580E"/>
    <w:rsid w:val="56552922"/>
    <w:rsid w:val="566F05DF"/>
    <w:rsid w:val="5677162F"/>
    <w:rsid w:val="56A462DA"/>
    <w:rsid w:val="56AD6DCD"/>
    <w:rsid w:val="56B92323"/>
    <w:rsid w:val="56C526DD"/>
    <w:rsid w:val="56D26775"/>
    <w:rsid w:val="56E0594F"/>
    <w:rsid w:val="56E24248"/>
    <w:rsid w:val="56EC0A5F"/>
    <w:rsid w:val="57345E94"/>
    <w:rsid w:val="574A38C2"/>
    <w:rsid w:val="57653DBA"/>
    <w:rsid w:val="579153F1"/>
    <w:rsid w:val="57FD19AE"/>
    <w:rsid w:val="58000FAF"/>
    <w:rsid w:val="58063A66"/>
    <w:rsid w:val="58120A52"/>
    <w:rsid w:val="588617AA"/>
    <w:rsid w:val="58AF6711"/>
    <w:rsid w:val="58BC4AF4"/>
    <w:rsid w:val="58BE4E95"/>
    <w:rsid w:val="58CC4662"/>
    <w:rsid w:val="58D05F6E"/>
    <w:rsid w:val="59151DCD"/>
    <w:rsid w:val="59446868"/>
    <w:rsid w:val="59453EEF"/>
    <w:rsid w:val="59B31584"/>
    <w:rsid w:val="59B97157"/>
    <w:rsid w:val="59DE1C65"/>
    <w:rsid w:val="59F90EF5"/>
    <w:rsid w:val="5A5C698F"/>
    <w:rsid w:val="5A984BF8"/>
    <w:rsid w:val="5B5850A4"/>
    <w:rsid w:val="5B644B86"/>
    <w:rsid w:val="5B774F6C"/>
    <w:rsid w:val="5B7F1C9B"/>
    <w:rsid w:val="5BAE14D2"/>
    <w:rsid w:val="5BF6388D"/>
    <w:rsid w:val="5C025AF0"/>
    <w:rsid w:val="5C150788"/>
    <w:rsid w:val="5C875885"/>
    <w:rsid w:val="5C9C557E"/>
    <w:rsid w:val="5CA579B2"/>
    <w:rsid w:val="5CA6504D"/>
    <w:rsid w:val="5CB65236"/>
    <w:rsid w:val="5CDC6C0F"/>
    <w:rsid w:val="5CF83CCF"/>
    <w:rsid w:val="5D02168F"/>
    <w:rsid w:val="5D173119"/>
    <w:rsid w:val="5D5644CB"/>
    <w:rsid w:val="5D571B9F"/>
    <w:rsid w:val="5D62601D"/>
    <w:rsid w:val="5D991F36"/>
    <w:rsid w:val="5DEC2B09"/>
    <w:rsid w:val="5DEC33C9"/>
    <w:rsid w:val="5DFA329D"/>
    <w:rsid w:val="5DFD5064"/>
    <w:rsid w:val="5DFD75B1"/>
    <w:rsid w:val="5E1667E3"/>
    <w:rsid w:val="5E390EA8"/>
    <w:rsid w:val="5E4B3857"/>
    <w:rsid w:val="5E4E3AAB"/>
    <w:rsid w:val="5E536E38"/>
    <w:rsid w:val="5E5A1C46"/>
    <w:rsid w:val="5E7F375D"/>
    <w:rsid w:val="5E7F5994"/>
    <w:rsid w:val="5EA7685E"/>
    <w:rsid w:val="5EC93352"/>
    <w:rsid w:val="5F04770D"/>
    <w:rsid w:val="5F241C26"/>
    <w:rsid w:val="5F3B07E1"/>
    <w:rsid w:val="5F453C73"/>
    <w:rsid w:val="5F7E0A26"/>
    <w:rsid w:val="5FDE0521"/>
    <w:rsid w:val="5FDE4FBC"/>
    <w:rsid w:val="5FE15388"/>
    <w:rsid w:val="5FEC5F47"/>
    <w:rsid w:val="60035AA1"/>
    <w:rsid w:val="60271E10"/>
    <w:rsid w:val="60511B4D"/>
    <w:rsid w:val="60550EBB"/>
    <w:rsid w:val="60561405"/>
    <w:rsid w:val="606649F2"/>
    <w:rsid w:val="607843E9"/>
    <w:rsid w:val="60A305B9"/>
    <w:rsid w:val="60BE65F5"/>
    <w:rsid w:val="61272C81"/>
    <w:rsid w:val="61315976"/>
    <w:rsid w:val="61684523"/>
    <w:rsid w:val="616E5A45"/>
    <w:rsid w:val="61EB3912"/>
    <w:rsid w:val="62041A4C"/>
    <w:rsid w:val="621118FA"/>
    <w:rsid w:val="6223308D"/>
    <w:rsid w:val="62326D61"/>
    <w:rsid w:val="6263631B"/>
    <w:rsid w:val="6285312C"/>
    <w:rsid w:val="62FE01AD"/>
    <w:rsid w:val="631B7B21"/>
    <w:rsid w:val="632659BF"/>
    <w:rsid w:val="634A6018"/>
    <w:rsid w:val="635966FF"/>
    <w:rsid w:val="64170822"/>
    <w:rsid w:val="64253093"/>
    <w:rsid w:val="64323D6E"/>
    <w:rsid w:val="64537413"/>
    <w:rsid w:val="6466276F"/>
    <w:rsid w:val="64717861"/>
    <w:rsid w:val="64981808"/>
    <w:rsid w:val="649B54B8"/>
    <w:rsid w:val="649D7C38"/>
    <w:rsid w:val="64D170F8"/>
    <w:rsid w:val="64E46E8B"/>
    <w:rsid w:val="65017C7D"/>
    <w:rsid w:val="65047583"/>
    <w:rsid w:val="650619A2"/>
    <w:rsid w:val="65063F94"/>
    <w:rsid w:val="654034ED"/>
    <w:rsid w:val="6544188D"/>
    <w:rsid w:val="6558020A"/>
    <w:rsid w:val="6580445D"/>
    <w:rsid w:val="65813DD0"/>
    <w:rsid w:val="659A18B6"/>
    <w:rsid w:val="659A1C61"/>
    <w:rsid w:val="65CA75DC"/>
    <w:rsid w:val="65E26CE1"/>
    <w:rsid w:val="65E32D57"/>
    <w:rsid w:val="6602486D"/>
    <w:rsid w:val="66140F0F"/>
    <w:rsid w:val="66492E0C"/>
    <w:rsid w:val="66546BED"/>
    <w:rsid w:val="665D4BD5"/>
    <w:rsid w:val="66781A45"/>
    <w:rsid w:val="667A755F"/>
    <w:rsid w:val="668E1D74"/>
    <w:rsid w:val="669A45C7"/>
    <w:rsid w:val="669E3A50"/>
    <w:rsid w:val="66AB40C7"/>
    <w:rsid w:val="66E3422F"/>
    <w:rsid w:val="674F3E54"/>
    <w:rsid w:val="67806EF2"/>
    <w:rsid w:val="678B46A4"/>
    <w:rsid w:val="67BA6707"/>
    <w:rsid w:val="67D11E59"/>
    <w:rsid w:val="67D27347"/>
    <w:rsid w:val="67DC33AC"/>
    <w:rsid w:val="67EC38AB"/>
    <w:rsid w:val="67F22E6A"/>
    <w:rsid w:val="6853730A"/>
    <w:rsid w:val="688C6E47"/>
    <w:rsid w:val="689C6295"/>
    <w:rsid w:val="68A83B33"/>
    <w:rsid w:val="68B3048A"/>
    <w:rsid w:val="69021CD2"/>
    <w:rsid w:val="693C5CCF"/>
    <w:rsid w:val="695148F5"/>
    <w:rsid w:val="69585573"/>
    <w:rsid w:val="69D30D57"/>
    <w:rsid w:val="69E07714"/>
    <w:rsid w:val="69ED53D9"/>
    <w:rsid w:val="6A0F10C3"/>
    <w:rsid w:val="6A347CCB"/>
    <w:rsid w:val="6A896D3A"/>
    <w:rsid w:val="6A8A4D4A"/>
    <w:rsid w:val="6A8E4D0D"/>
    <w:rsid w:val="6ABE1842"/>
    <w:rsid w:val="6ABF1867"/>
    <w:rsid w:val="6AC455AD"/>
    <w:rsid w:val="6AF74BF4"/>
    <w:rsid w:val="6B0016D7"/>
    <w:rsid w:val="6B1C2C91"/>
    <w:rsid w:val="6B6A1BAD"/>
    <w:rsid w:val="6B853627"/>
    <w:rsid w:val="6B906DB6"/>
    <w:rsid w:val="6BD06E8D"/>
    <w:rsid w:val="6BEB0FEB"/>
    <w:rsid w:val="6C420D29"/>
    <w:rsid w:val="6C8A40D4"/>
    <w:rsid w:val="6C934CC8"/>
    <w:rsid w:val="6CC96E37"/>
    <w:rsid w:val="6D201A34"/>
    <w:rsid w:val="6D7828AF"/>
    <w:rsid w:val="6D826D04"/>
    <w:rsid w:val="6D960E60"/>
    <w:rsid w:val="6E11230F"/>
    <w:rsid w:val="6E2127F1"/>
    <w:rsid w:val="6E2F3128"/>
    <w:rsid w:val="6E344B40"/>
    <w:rsid w:val="6E8A7B74"/>
    <w:rsid w:val="6E8F7AC9"/>
    <w:rsid w:val="6EA20BFA"/>
    <w:rsid w:val="6EA769A0"/>
    <w:rsid w:val="6ED0639D"/>
    <w:rsid w:val="6ED12937"/>
    <w:rsid w:val="6EEB4C10"/>
    <w:rsid w:val="6EED1521"/>
    <w:rsid w:val="6EEE3B12"/>
    <w:rsid w:val="6F013F52"/>
    <w:rsid w:val="6F277E48"/>
    <w:rsid w:val="6FBF79BC"/>
    <w:rsid w:val="6FD4315F"/>
    <w:rsid w:val="6FDF1883"/>
    <w:rsid w:val="6FEB73D1"/>
    <w:rsid w:val="7016698D"/>
    <w:rsid w:val="702638ED"/>
    <w:rsid w:val="702A5A86"/>
    <w:rsid w:val="707A1881"/>
    <w:rsid w:val="709C4D8D"/>
    <w:rsid w:val="70C37368"/>
    <w:rsid w:val="71040E46"/>
    <w:rsid w:val="71171A1B"/>
    <w:rsid w:val="714E62B8"/>
    <w:rsid w:val="717529A0"/>
    <w:rsid w:val="71836CB4"/>
    <w:rsid w:val="71C045F0"/>
    <w:rsid w:val="7212345E"/>
    <w:rsid w:val="721C5D13"/>
    <w:rsid w:val="7229176E"/>
    <w:rsid w:val="72544F3F"/>
    <w:rsid w:val="72805EC6"/>
    <w:rsid w:val="72930CCE"/>
    <w:rsid w:val="72963A50"/>
    <w:rsid w:val="72991946"/>
    <w:rsid w:val="72BC0129"/>
    <w:rsid w:val="72BF018C"/>
    <w:rsid w:val="72C252BC"/>
    <w:rsid w:val="72C5797D"/>
    <w:rsid w:val="72C75FEB"/>
    <w:rsid w:val="72EC65FF"/>
    <w:rsid w:val="731216C1"/>
    <w:rsid w:val="731228B2"/>
    <w:rsid w:val="732F6A76"/>
    <w:rsid w:val="73301EC1"/>
    <w:rsid w:val="73344256"/>
    <w:rsid w:val="7335388A"/>
    <w:rsid w:val="73522E46"/>
    <w:rsid w:val="73563409"/>
    <w:rsid w:val="73610273"/>
    <w:rsid w:val="73840862"/>
    <w:rsid w:val="738C31DF"/>
    <w:rsid w:val="739B44DD"/>
    <w:rsid w:val="73C42FDF"/>
    <w:rsid w:val="73CE1186"/>
    <w:rsid w:val="74112152"/>
    <w:rsid w:val="7424051E"/>
    <w:rsid w:val="74450618"/>
    <w:rsid w:val="74517E94"/>
    <w:rsid w:val="745F766B"/>
    <w:rsid w:val="74D240AA"/>
    <w:rsid w:val="74E40AC9"/>
    <w:rsid w:val="74FF6178"/>
    <w:rsid w:val="751C2C68"/>
    <w:rsid w:val="752E25B8"/>
    <w:rsid w:val="75971B5F"/>
    <w:rsid w:val="759963A6"/>
    <w:rsid w:val="75A92E8D"/>
    <w:rsid w:val="75BB7546"/>
    <w:rsid w:val="75C1620E"/>
    <w:rsid w:val="76123D50"/>
    <w:rsid w:val="761F5B76"/>
    <w:rsid w:val="762E132F"/>
    <w:rsid w:val="764E434F"/>
    <w:rsid w:val="766B52CA"/>
    <w:rsid w:val="767F704C"/>
    <w:rsid w:val="768B2CE5"/>
    <w:rsid w:val="76975FC7"/>
    <w:rsid w:val="76A4589B"/>
    <w:rsid w:val="76BD4366"/>
    <w:rsid w:val="76C42BC4"/>
    <w:rsid w:val="76C94A3F"/>
    <w:rsid w:val="773A634F"/>
    <w:rsid w:val="775B2CDE"/>
    <w:rsid w:val="777001D6"/>
    <w:rsid w:val="77857473"/>
    <w:rsid w:val="77900594"/>
    <w:rsid w:val="77B47998"/>
    <w:rsid w:val="77B71444"/>
    <w:rsid w:val="77C4737E"/>
    <w:rsid w:val="77DF4843"/>
    <w:rsid w:val="77E53094"/>
    <w:rsid w:val="77EC6C04"/>
    <w:rsid w:val="78081737"/>
    <w:rsid w:val="781068EA"/>
    <w:rsid w:val="781F11A1"/>
    <w:rsid w:val="78200129"/>
    <w:rsid w:val="786F7C3A"/>
    <w:rsid w:val="7875360A"/>
    <w:rsid w:val="787F52DB"/>
    <w:rsid w:val="78887FC5"/>
    <w:rsid w:val="7890529B"/>
    <w:rsid w:val="78AD0CB8"/>
    <w:rsid w:val="79305C6F"/>
    <w:rsid w:val="79462C91"/>
    <w:rsid w:val="794D0A39"/>
    <w:rsid w:val="79540B2E"/>
    <w:rsid w:val="7977711B"/>
    <w:rsid w:val="797E3EA3"/>
    <w:rsid w:val="79A123D1"/>
    <w:rsid w:val="79D422B1"/>
    <w:rsid w:val="7A0635A3"/>
    <w:rsid w:val="7A1A1642"/>
    <w:rsid w:val="7A2F7BF4"/>
    <w:rsid w:val="7A3D5CD4"/>
    <w:rsid w:val="7A645703"/>
    <w:rsid w:val="7A825AA9"/>
    <w:rsid w:val="7AF94BE4"/>
    <w:rsid w:val="7B27750A"/>
    <w:rsid w:val="7B337BB9"/>
    <w:rsid w:val="7B51173E"/>
    <w:rsid w:val="7B6440EE"/>
    <w:rsid w:val="7B6832D1"/>
    <w:rsid w:val="7B6E164A"/>
    <w:rsid w:val="7B7912AA"/>
    <w:rsid w:val="7BDE3E94"/>
    <w:rsid w:val="7BEB734F"/>
    <w:rsid w:val="7BF1388C"/>
    <w:rsid w:val="7C314A05"/>
    <w:rsid w:val="7C344D04"/>
    <w:rsid w:val="7C406421"/>
    <w:rsid w:val="7C48189B"/>
    <w:rsid w:val="7C5946E5"/>
    <w:rsid w:val="7C947813"/>
    <w:rsid w:val="7CE678B7"/>
    <w:rsid w:val="7CF82F13"/>
    <w:rsid w:val="7D0406AA"/>
    <w:rsid w:val="7D057D70"/>
    <w:rsid w:val="7D071357"/>
    <w:rsid w:val="7D45291B"/>
    <w:rsid w:val="7D8B31F0"/>
    <w:rsid w:val="7DCB3FC3"/>
    <w:rsid w:val="7DE76611"/>
    <w:rsid w:val="7E1F0A3E"/>
    <w:rsid w:val="7E28775F"/>
    <w:rsid w:val="7E592FEC"/>
    <w:rsid w:val="7E5D5005"/>
    <w:rsid w:val="7E911815"/>
    <w:rsid w:val="7E9C5D56"/>
    <w:rsid w:val="7EA82498"/>
    <w:rsid w:val="7EF03F0E"/>
    <w:rsid w:val="7F0743AC"/>
    <w:rsid w:val="7F2C5AC9"/>
    <w:rsid w:val="7F3C5D88"/>
    <w:rsid w:val="7F697E6F"/>
    <w:rsid w:val="7F8B6071"/>
    <w:rsid w:val="7F94790B"/>
    <w:rsid w:val="7F9A3928"/>
    <w:rsid w:val="7FED1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ind w:firstLine="0" w:firstLineChars="0"/>
      <w:jc w:val="center"/>
      <w:outlineLvl w:val="0"/>
    </w:pPr>
    <w:rPr>
      <w:rFonts w:asciiTheme="majorEastAsia" w:hAnsiTheme="majorEastAsia" w:eastAsiaTheme="majorEastAsia"/>
      <w:b/>
      <w:bCs/>
      <w:kern w:val="44"/>
      <w:sz w:val="44"/>
      <w:szCs w:val="44"/>
    </w:rPr>
  </w:style>
  <w:style w:type="paragraph" w:styleId="4">
    <w:name w:val="heading 2"/>
    <w:basedOn w:val="1"/>
    <w:next w:val="1"/>
    <w:link w:val="30"/>
    <w:unhideWhenUsed/>
    <w:qFormat/>
    <w:uiPriority w:val="9"/>
    <w:pPr>
      <w:keepNext/>
      <w:keepLines/>
      <w:spacing w:before="260" w:after="260"/>
      <w:ind w:firstLine="0" w:firstLineChars="0"/>
      <w:jc w:val="center"/>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ind w:firstLine="0" w:firstLineChars="0"/>
      <w:jc w:val="center"/>
      <w:outlineLvl w:val="2"/>
    </w:pPr>
    <w:rPr>
      <w:rFonts w:asciiTheme="majorEastAsia" w:hAnsiTheme="majorEastAsia" w:eastAsiaTheme="majorEastAsia"/>
      <w:b/>
      <w:bCs/>
      <w:sz w:val="28"/>
      <w:szCs w:val="28"/>
    </w:rPr>
  </w:style>
  <w:style w:type="paragraph" w:styleId="6">
    <w:name w:val="heading 4"/>
    <w:basedOn w:val="1"/>
    <w:next w:val="1"/>
    <w:link w:val="32"/>
    <w:unhideWhenUsed/>
    <w:qFormat/>
    <w:uiPriority w:val="9"/>
    <w:pPr>
      <w:keepNext/>
      <w:keepLines/>
      <w:spacing w:before="280" w:after="290"/>
      <w:ind w:firstLine="0" w:firstLineChars="0"/>
      <w:outlineLvl w:val="3"/>
    </w:pPr>
    <w:rPr>
      <w:rFonts w:asciiTheme="minorEastAsia" w:hAnsiTheme="minorEastAsia" w:cstheme="majorBidi"/>
      <w:b/>
      <w:bCs/>
      <w:sz w:val="24"/>
      <w:szCs w:val="24"/>
    </w:rPr>
  </w:style>
  <w:style w:type="paragraph" w:styleId="7">
    <w:name w:val="heading 5"/>
    <w:basedOn w:val="1"/>
    <w:next w:val="1"/>
    <w:link w:val="33"/>
    <w:unhideWhenUsed/>
    <w:qFormat/>
    <w:uiPriority w:val="9"/>
    <w:pPr>
      <w:keepNext/>
      <w:keepLines/>
      <w:spacing w:before="280" w:after="290"/>
      <w:ind w:firstLine="0" w:firstLineChars="0"/>
      <w:outlineLvl w:val="4"/>
    </w:pPr>
    <w:rPr>
      <w:rFonts w:asciiTheme="minorEastAsia" w:hAnsiTheme="minorEastAsia"/>
      <w:b/>
      <w:bCs/>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8">
    <w:name w:val="toc 7"/>
    <w:basedOn w:val="1"/>
    <w:next w:val="1"/>
    <w:unhideWhenUsed/>
    <w:qFormat/>
    <w:uiPriority w:val="39"/>
    <w:pPr>
      <w:ind w:left="2520" w:leftChars="1200" w:firstLine="0" w:firstLineChars="0"/>
    </w:pPr>
  </w:style>
  <w:style w:type="paragraph" w:styleId="9">
    <w:name w:val="Normal Indent"/>
    <w:basedOn w:val="1"/>
    <w:qFormat/>
    <w:uiPriority w:val="0"/>
    <w:rPr>
      <w:b/>
      <w:sz w:val="24"/>
      <w:szCs w:val="20"/>
    </w:rPr>
  </w:style>
  <w:style w:type="paragraph" w:styleId="10">
    <w:name w:val="Body Text"/>
    <w:basedOn w:val="1"/>
    <w:qFormat/>
    <w:uiPriority w:val="1"/>
    <w:pPr>
      <w:ind w:left="100" w:firstLine="0" w:firstLineChars="0"/>
      <w:jc w:val="left"/>
    </w:pPr>
    <w:rPr>
      <w:rFonts w:ascii="宋体" w:hAnsi="宋体"/>
      <w:kern w:val="0"/>
      <w:szCs w:val="21"/>
      <w:lang w:eastAsia="en-US"/>
    </w:rPr>
  </w:style>
  <w:style w:type="paragraph" w:styleId="11">
    <w:name w:val="toc 5"/>
    <w:basedOn w:val="1"/>
    <w:next w:val="1"/>
    <w:unhideWhenUsed/>
    <w:qFormat/>
    <w:uiPriority w:val="39"/>
    <w:pPr>
      <w:ind w:left="1680" w:leftChars="800"/>
    </w:p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kern w:val="0"/>
      <w:sz w:val="20"/>
      <w:szCs w:val="21"/>
    </w:rPr>
  </w:style>
  <w:style w:type="paragraph" w:styleId="14">
    <w:name w:val="toc 8"/>
    <w:basedOn w:val="1"/>
    <w:next w:val="1"/>
    <w:unhideWhenUsed/>
    <w:qFormat/>
    <w:uiPriority w:val="39"/>
    <w:pPr>
      <w:ind w:left="2940" w:leftChars="1400" w:firstLine="0" w:firstLineChars="0"/>
    </w:pPr>
  </w:style>
  <w:style w:type="paragraph" w:styleId="15">
    <w:name w:val="Body Text Indent 2"/>
    <w:basedOn w:val="1"/>
    <w:unhideWhenUsed/>
    <w:qFormat/>
    <w:uiPriority w:val="99"/>
    <w:pPr>
      <w:spacing w:after="120" w:line="480" w:lineRule="auto"/>
      <w:ind w:left="420" w:leftChars="200" w:firstLine="0" w:firstLineChars="0"/>
      <w:jc w:val="left"/>
    </w:pPr>
    <w:rPr>
      <w:kern w:val="0"/>
      <w:sz w:val="22"/>
      <w:lang w:eastAsia="en-US"/>
    </w:rPr>
  </w:style>
  <w:style w:type="paragraph" w:styleId="16">
    <w:name w:val="Balloon Text"/>
    <w:basedOn w:val="1"/>
    <w:link w:val="37"/>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style>
  <w:style w:type="paragraph" w:styleId="21">
    <w:name w:val="toc 6"/>
    <w:basedOn w:val="1"/>
    <w:next w:val="1"/>
    <w:unhideWhenUsed/>
    <w:qFormat/>
    <w:uiPriority w:val="39"/>
    <w:pPr>
      <w:ind w:left="2100" w:leftChars="1000" w:firstLine="0" w:firstLineChars="0"/>
    </w:pPr>
  </w:style>
  <w:style w:type="paragraph" w:styleId="22">
    <w:name w:val="toc 2"/>
    <w:basedOn w:val="1"/>
    <w:next w:val="1"/>
    <w:unhideWhenUsed/>
    <w:qFormat/>
    <w:uiPriority w:val="39"/>
    <w:pPr>
      <w:ind w:left="420" w:leftChars="200"/>
    </w:pPr>
  </w:style>
  <w:style w:type="paragraph" w:styleId="23">
    <w:name w:val="toc 9"/>
    <w:basedOn w:val="1"/>
    <w:next w:val="1"/>
    <w:unhideWhenUsed/>
    <w:qFormat/>
    <w:uiPriority w:val="39"/>
    <w:pPr>
      <w:ind w:left="3360" w:leftChars="1600" w:firstLine="0" w:firstLineChars="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paragraph" w:customStyle="1" w:styleId="28">
    <w:name w:val="Default"/>
    <w:qFormat/>
    <w:uiPriority w:val="0"/>
    <w:pPr>
      <w:autoSpaceDE w:val="0"/>
      <w:autoSpaceDN w:val="0"/>
      <w:adjustRightInd w:val="0"/>
    </w:pPr>
    <w:rPr>
      <w:rFonts w:ascii="宋体" w:hAnsi="Times New Roman" w:eastAsia="宋体" w:cs="Times New Roman"/>
      <w:color w:val="000000"/>
      <w:sz w:val="24"/>
      <w:szCs w:val="24"/>
      <w:lang w:val="en-US" w:eastAsia="en-US" w:bidi="ar-SA"/>
    </w:rPr>
  </w:style>
  <w:style w:type="character" w:customStyle="1" w:styleId="29">
    <w:name w:val="标题 1 Char"/>
    <w:basedOn w:val="26"/>
    <w:link w:val="3"/>
    <w:qFormat/>
    <w:uiPriority w:val="9"/>
    <w:rPr>
      <w:rFonts w:asciiTheme="majorEastAsia" w:hAnsiTheme="majorEastAsia" w:eastAsiaTheme="majorEastAsia"/>
      <w:b/>
      <w:bCs/>
      <w:kern w:val="44"/>
      <w:sz w:val="44"/>
      <w:szCs w:val="44"/>
      <w:lang w:eastAsia="zh-CN"/>
    </w:rPr>
  </w:style>
  <w:style w:type="character" w:customStyle="1" w:styleId="30">
    <w:name w:val="标题 2 Char"/>
    <w:basedOn w:val="26"/>
    <w:link w:val="4"/>
    <w:qFormat/>
    <w:uiPriority w:val="9"/>
    <w:rPr>
      <w:rFonts w:asciiTheme="majorHAnsi" w:hAnsiTheme="majorHAnsi" w:eastAsiaTheme="majorEastAsia" w:cstheme="majorBidi"/>
      <w:b/>
      <w:bCs/>
      <w:sz w:val="32"/>
      <w:szCs w:val="32"/>
      <w:lang w:eastAsia="zh-CN"/>
    </w:rPr>
  </w:style>
  <w:style w:type="character" w:customStyle="1" w:styleId="31">
    <w:name w:val="标题 3 Char"/>
    <w:basedOn w:val="26"/>
    <w:link w:val="5"/>
    <w:qFormat/>
    <w:uiPriority w:val="9"/>
    <w:rPr>
      <w:rFonts w:asciiTheme="majorEastAsia" w:hAnsiTheme="majorEastAsia" w:eastAsiaTheme="majorEastAsia"/>
      <w:b/>
      <w:bCs/>
      <w:sz w:val="28"/>
      <w:szCs w:val="28"/>
      <w:lang w:eastAsia="zh-CN"/>
    </w:rPr>
  </w:style>
  <w:style w:type="character" w:customStyle="1" w:styleId="32">
    <w:name w:val="标题 4 Char"/>
    <w:basedOn w:val="26"/>
    <w:link w:val="6"/>
    <w:qFormat/>
    <w:uiPriority w:val="9"/>
    <w:rPr>
      <w:rFonts w:asciiTheme="minorEastAsia" w:hAnsiTheme="minorEastAsia" w:cstheme="majorBidi"/>
      <w:b/>
      <w:bCs/>
      <w:sz w:val="24"/>
      <w:szCs w:val="24"/>
      <w:lang w:eastAsia="zh-CN"/>
    </w:rPr>
  </w:style>
  <w:style w:type="character" w:customStyle="1" w:styleId="33">
    <w:name w:val="标题 5 Char"/>
    <w:basedOn w:val="26"/>
    <w:link w:val="7"/>
    <w:qFormat/>
    <w:uiPriority w:val="9"/>
    <w:rPr>
      <w:rFonts w:asciiTheme="minorEastAsia" w:hAnsiTheme="minorEastAsia"/>
      <w:b/>
      <w:bCs/>
      <w:szCs w:val="21"/>
      <w:lang w:eastAsia="zh-CN"/>
    </w:rPr>
  </w:style>
  <w:style w:type="character" w:customStyle="1" w:styleId="34">
    <w:name w:val="页眉 Char"/>
    <w:basedOn w:val="26"/>
    <w:link w:val="18"/>
    <w:qFormat/>
    <w:uiPriority w:val="99"/>
    <w:rPr>
      <w:sz w:val="18"/>
      <w:szCs w:val="18"/>
    </w:rPr>
  </w:style>
  <w:style w:type="character" w:customStyle="1" w:styleId="35">
    <w:name w:val="页脚 Char"/>
    <w:basedOn w:val="26"/>
    <w:link w:val="17"/>
    <w:qFormat/>
    <w:uiPriority w:val="99"/>
    <w:rPr>
      <w:sz w:val="18"/>
      <w:szCs w:val="18"/>
    </w:rPr>
  </w:style>
  <w:style w:type="paragraph" w:customStyle="1" w:styleId="36">
    <w:name w:val="TOC 标题1"/>
    <w:basedOn w:val="3"/>
    <w:next w:val="1"/>
    <w:semiHidden/>
    <w:unhideWhenUsed/>
    <w:qFormat/>
    <w:uiPriority w:val="39"/>
    <w:pPr>
      <w:widowControl/>
      <w:spacing w:before="480" w:after="0" w:line="276" w:lineRule="auto"/>
      <w:jc w:val="left"/>
      <w:outlineLvl w:val="9"/>
    </w:pPr>
    <w:rPr>
      <w:rFonts w:asciiTheme="majorHAnsi" w:hAnsiTheme="majorHAnsi" w:cstheme="majorBidi"/>
      <w:color w:val="376092" w:themeColor="accent1" w:themeShade="BF"/>
      <w:kern w:val="0"/>
      <w:sz w:val="28"/>
      <w:szCs w:val="28"/>
    </w:rPr>
  </w:style>
  <w:style w:type="character" w:customStyle="1" w:styleId="37">
    <w:name w:val="批注框文本 Char"/>
    <w:basedOn w:val="26"/>
    <w:link w:val="16"/>
    <w:semiHidden/>
    <w:qFormat/>
    <w:uiPriority w:val="99"/>
    <w:rPr>
      <w:sz w:val="18"/>
      <w:szCs w:val="18"/>
      <w:lang w:eastAsia="zh-CN"/>
    </w:rPr>
  </w:style>
  <w:style w:type="paragraph" w:styleId="38">
    <w:name w:val="List Paragraph"/>
    <w:basedOn w:val="1"/>
    <w:qFormat/>
    <w:uiPriority w:val="99"/>
    <w:pPr>
      <w:ind w:firstLine="0" w:firstLineChars="0"/>
      <w:jc w:val="left"/>
    </w:pPr>
    <w:rPr>
      <w:kern w:val="0"/>
      <w:sz w:val="22"/>
      <w:lang w:eastAsia="en-US"/>
    </w:rPr>
  </w:style>
  <w:style w:type="paragraph" w:customStyle="1" w:styleId="39">
    <w:name w:val="Table Paragraph"/>
    <w:basedOn w:val="1"/>
    <w:qFormat/>
    <w:uiPriority w:val="0"/>
    <w:pPr>
      <w:ind w:firstLine="0" w:firstLineChars="0"/>
      <w:jc w:val="left"/>
    </w:pPr>
    <w:rPr>
      <w:kern w:val="0"/>
      <w:sz w:val="22"/>
      <w:lang w:eastAsia="en-US"/>
    </w:rPr>
  </w:style>
  <w:style w:type="table" w:customStyle="1" w:styleId="40">
    <w:name w:val="Table Normal"/>
    <w:semiHidden/>
    <w:unhideWhenUsed/>
    <w:qFormat/>
    <w:uiPriority w:val="2"/>
    <w:pPr>
      <w:widowControl w:val="0"/>
    </w:pPr>
    <w:rPr>
      <w:sz w:val="22"/>
      <w:lang w:eastAsia="en-US"/>
    </w:rPr>
    <w:tblPr>
      <w:tblLayout w:type="fixed"/>
      <w:tblCellMar>
        <w:top w:w="0" w:type="dxa"/>
        <w:left w:w="0" w:type="dxa"/>
        <w:bottom w:w="0" w:type="dxa"/>
        <w:right w:w="0" w:type="dxa"/>
      </w:tblCellMar>
    </w:tblPr>
  </w:style>
  <w:style w:type="paragraph" w:styleId="41">
    <w:name w:val="No Spacing"/>
    <w:qFormat/>
    <w:uiPriority w:val="1"/>
    <w:pPr>
      <w:widowControl w:val="0"/>
      <w:jc w:val="both"/>
    </w:pPr>
    <w:rPr>
      <w:rFonts w:eastAsia="宋体" w:asciiTheme="minorHAnsi" w:hAnsiTheme="minorHAnsi" w:cstheme="minorBidi"/>
      <w:kern w:val="2"/>
      <w:sz w:val="28"/>
      <w:szCs w:val="22"/>
      <w:lang w:val="en-US" w:eastAsia="zh-CN" w:bidi="ar-SA"/>
    </w:rPr>
  </w:style>
  <w:style w:type="paragraph" w:customStyle="1" w:styleId="42">
    <w:name w:val="纯文本_0"/>
    <w:basedOn w:val="1"/>
    <w:qFormat/>
    <w:uiPriority w:val="0"/>
    <w:pPr>
      <w:ind w:firstLine="0" w:firstLineChars="0"/>
    </w:pPr>
    <w:rPr>
      <w:rFonts w:ascii="宋体" w:hAnsi="Courier New" w:cs="Times New Roman"/>
      <w:kern w:val="0"/>
      <w:szCs w:val="20"/>
    </w:rPr>
  </w:style>
  <w:style w:type="paragraph" w:customStyle="1" w:styleId="43">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font31"/>
    <w:basedOn w:val="26"/>
    <w:qFormat/>
    <w:uiPriority w:val="0"/>
    <w:rPr>
      <w:rFonts w:hint="eastAsia" w:ascii="宋体" w:hAnsi="宋体" w:eastAsia="宋体" w:cs="宋体"/>
      <w:color w:val="000000"/>
      <w:sz w:val="22"/>
      <w:szCs w:val="22"/>
      <w:u w:val="none"/>
    </w:rPr>
  </w:style>
  <w:style w:type="character" w:customStyle="1" w:styleId="45">
    <w:name w:val="font41"/>
    <w:basedOn w:val="26"/>
    <w:qFormat/>
    <w:uiPriority w:val="0"/>
    <w:rPr>
      <w:rFonts w:hint="eastAsia" w:ascii="宋体" w:hAnsi="宋体" w:eastAsia="宋体" w:cs="宋体"/>
      <w:color w:val="000000"/>
      <w:sz w:val="20"/>
      <w:szCs w:val="20"/>
      <w:u w:val="none"/>
    </w:rPr>
  </w:style>
  <w:style w:type="character" w:customStyle="1" w:styleId="46">
    <w:name w:val="font81"/>
    <w:basedOn w:val="26"/>
    <w:qFormat/>
    <w:uiPriority w:val="0"/>
    <w:rPr>
      <w:rFonts w:hint="default" w:ascii="Times New Roman" w:hAnsi="Times New Roman" w:cs="Times New Roman"/>
      <w:color w:val="000000"/>
      <w:sz w:val="20"/>
      <w:szCs w:val="20"/>
      <w:u w:val="none"/>
    </w:rPr>
  </w:style>
  <w:style w:type="character" w:customStyle="1" w:styleId="47">
    <w:name w:val="font61"/>
    <w:basedOn w:val="26"/>
    <w:qFormat/>
    <w:uiPriority w:val="0"/>
    <w:rPr>
      <w:rFonts w:hint="eastAsia" w:ascii="宋体" w:hAnsi="宋体" w:eastAsia="宋体" w:cs="宋体"/>
      <w:color w:val="FF0000"/>
      <w:sz w:val="20"/>
      <w:szCs w:val="20"/>
      <w:u w:val="none"/>
    </w:rPr>
  </w:style>
  <w:style w:type="character" w:customStyle="1" w:styleId="48">
    <w:name w:val="font121"/>
    <w:basedOn w:val="26"/>
    <w:qFormat/>
    <w:uiPriority w:val="0"/>
    <w:rPr>
      <w:rFonts w:hint="default" w:ascii="Times New Roman" w:hAnsi="Times New Roman" w:cs="Times New Roman"/>
      <w:color w:val="FF0000"/>
      <w:sz w:val="20"/>
      <w:szCs w:val="20"/>
      <w:u w:val="none"/>
    </w:rPr>
  </w:style>
  <w:style w:type="character" w:customStyle="1" w:styleId="49">
    <w:name w:val="font21"/>
    <w:basedOn w:val="26"/>
    <w:qFormat/>
    <w:uiPriority w:val="0"/>
    <w:rPr>
      <w:rFonts w:hint="eastAsia" w:ascii="宋体" w:hAnsi="宋体" w:eastAsia="宋体" w:cs="宋体"/>
      <w:color w:val="000000"/>
      <w:sz w:val="20"/>
      <w:szCs w:val="20"/>
      <w:u w:val="none"/>
    </w:rPr>
  </w:style>
  <w:style w:type="paragraph" w:customStyle="1" w:styleId="50">
    <w:name w:val="普通(网站)_0"/>
    <w:basedOn w:val="51"/>
    <w:unhideWhenUsed/>
    <w:qFormat/>
    <w:uiPriority w:val="99"/>
    <w:pPr>
      <w:spacing w:before="100" w:beforeAutospacing="1" w:after="100" w:afterAutospacing="1"/>
      <w:jc w:val="left"/>
    </w:pPr>
  </w:style>
  <w:style w:type="paragraph" w:customStyle="1" w:styleId="51">
    <w:name w:val="正文_1"/>
    <w:qFormat/>
    <w:uiPriority w:val="0"/>
    <w:pPr>
      <w:widowControl w:val="0"/>
      <w:jc w:val="both"/>
    </w:pPr>
    <w:rPr>
      <w:rFonts w:ascii="Times New Roman" w:hAnsi="Times New Roman" w:eastAsia="宋体" w:cs="Times New Roman"/>
      <w:sz w:val="24"/>
      <w:lang w:val="en-US" w:eastAsia="zh-CN" w:bidi="ar-SA"/>
    </w:rPr>
  </w:style>
  <w:style w:type="paragraph" w:customStyle="1" w:styleId="52">
    <w:name w:val="正文360首行缩进"/>
    <w:basedOn w:val="1"/>
    <w:qFormat/>
    <w:uiPriority w:val="0"/>
    <w:pPr>
      <w:widowControl/>
      <w:spacing w:before="120" w:line="300" w:lineRule="auto"/>
      <w:ind w:firstLine="200"/>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EF773-68DB-464B-BC58-FF8B9DFC5E98}">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6466</Words>
  <Characters>36858</Characters>
  <Lines>307</Lines>
  <Paragraphs>86</Paragraphs>
  <TotalTime>1</TotalTime>
  <ScaleCrop>false</ScaleCrop>
  <LinksUpToDate>false</LinksUpToDate>
  <CharactersWithSpaces>43238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2019-05-16T02:08:00Z</dcterms:created>
  <dcterms:modified xsi:type="dcterms:W3CDTF">2019-05-28T05:21:48Z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