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right"/>
        <w:rPr>
          <w:rFonts w:ascii="宋体" w:hAnsi="宋体"/>
          <w:color w:val="auto"/>
          <w:sz w:val="36"/>
          <w:highlight w:val="none"/>
        </w:rPr>
      </w:pPr>
      <w:bookmarkStart w:id="0" w:name="_Hlk101799578"/>
      <w:bookmarkStart w:id="1" w:name="_Toc497133090"/>
      <w:bookmarkStart w:id="2" w:name="OLE_LINK1"/>
      <w:r>
        <w:rPr>
          <w:rFonts w:hint="eastAsia" w:ascii="宋体" w:hAnsi="宋体"/>
          <w:color w:val="auto"/>
          <w:sz w:val="32"/>
          <w:szCs w:val="32"/>
          <w:highlight w:val="none"/>
        </w:rPr>
        <w:t>JSZX-230</w:t>
      </w:r>
      <w:r>
        <w:rPr>
          <w:rFonts w:hint="eastAsia" w:ascii="宋体" w:hAnsi="宋体"/>
          <w:color w:val="auto"/>
          <w:sz w:val="32"/>
          <w:szCs w:val="32"/>
          <w:highlight w:val="none"/>
          <w:lang w:val="en-US" w:eastAsia="zh-CN"/>
        </w:rPr>
        <w:t>10</w:t>
      </w:r>
      <w:r>
        <w:rPr>
          <w:rFonts w:hint="eastAsia" w:ascii="宋体" w:hAnsi="宋体"/>
          <w:color w:val="auto"/>
          <w:sz w:val="32"/>
          <w:szCs w:val="32"/>
          <w:highlight w:val="none"/>
        </w:rPr>
        <w:t>-DL0</w:t>
      </w:r>
      <w:r>
        <w:rPr>
          <w:rFonts w:hint="eastAsia" w:ascii="宋体" w:hAnsi="宋体"/>
          <w:color w:val="auto"/>
          <w:sz w:val="32"/>
          <w:szCs w:val="32"/>
          <w:highlight w:val="none"/>
          <w:lang w:val="en-US" w:eastAsia="zh-CN"/>
        </w:rPr>
        <w:t>9</w:t>
      </w:r>
      <w:r>
        <w:rPr>
          <w:rFonts w:hint="eastAsia" w:ascii="宋体" w:hAnsi="宋体"/>
          <w:color w:val="auto"/>
          <w:sz w:val="32"/>
          <w:szCs w:val="32"/>
          <w:highlight w:val="none"/>
        </w:rPr>
        <w:t>号</w:t>
      </w:r>
    </w:p>
    <w:p>
      <w:pPr>
        <w:adjustRightInd w:val="0"/>
        <w:snapToGrid w:val="0"/>
        <w:spacing w:line="480" w:lineRule="auto"/>
        <w:jc w:val="center"/>
        <w:rPr>
          <w:rFonts w:hAnsi="宋体" w:cs="宋体"/>
          <w:b/>
          <w:color w:val="auto"/>
          <w:sz w:val="44"/>
          <w:szCs w:val="44"/>
          <w:highlight w:val="none"/>
        </w:rPr>
      </w:pPr>
      <w:r>
        <w:rPr>
          <w:rFonts w:hint="eastAsia" w:ascii="宋体" w:hAnsi="宋体"/>
          <w:b/>
          <w:bCs/>
          <w:color w:val="auto"/>
          <w:sz w:val="44"/>
          <w:szCs w:val="44"/>
          <w:highlight w:val="none"/>
        </w:rPr>
        <w:t>江苏长江水务股份有限公司</w:t>
      </w:r>
      <w:bookmarkEnd w:id="0"/>
      <w:r>
        <w:rPr>
          <w:rFonts w:hint="eastAsia" w:ascii="宋体" w:hAnsi="宋体"/>
          <w:b/>
          <w:bCs/>
          <w:color w:val="auto"/>
          <w:sz w:val="44"/>
          <w:szCs w:val="44"/>
          <w:highlight w:val="none"/>
        </w:rPr>
        <w:t>扬州市第六水厂水资源论证报告编制项目</w:t>
      </w:r>
      <w:r>
        <w:rPr>
          <w:rFonts w:hint="eastAsia" w:hAnsi="宋体" w:cs="宋体"/>
          <w:b/>
          <w:bCs/>
          <w:color w:val="auto"/>
          <w:sz w:val="44"/>
          <w:szCs w:val="44"/>
          <w:highlight w:val="none"/>
        </w:rPr>
        <w:t>公开招标文件</w:t>
      </w:r>
    </w:p>
    <w:p>
      <w:pPr>
        <w:rPr>
          <w:color w:val="auto"/>
          <w:highlight w:val="none"/>
        </w:rPr>
      </w:pPr>
    </w:p>
    <w:p>
      <w:pPr>
        <w:jc w:val="center"/>
        <w:rPr>
          <w:rFonts w:ascii="宋体" w:hAnsi="宋体" w:cs="宋体"/>
          <w:b/>
          <w:color w:val="auto"/>
          <w:sz w:val="36"/>
          <w:szCs w:val="36"/>
          <w:highlight w:val="none"/>
        </w:rPr>
      </w:pPr>
      <w:r>
        <w:rPr>
          <w:rFonts w:ascii="宋体" w:hAnsi="宋体"/>
          <w:color w:val="auto"/>
          <w:sz w:val="36"/>
          <w:highlight w:val="none"/>
        </w:rPr>
        <w:drawing>
          <wp:inline distT="0" distB="0" distL="114300" distR="114300">
            <wp:extent cx="5612765" cy="3753485"/>
            <wp:effectExtent l="0" t="0" r="6985" b="18415"/>
            <wp:docPr id="1" name="图片 1" descr="131356853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13568539512"/>
                    <pic:cNvPicPr>
                      <a:picLocks noChangeAspect="1"/>
                    </pic:cNvPicPr>
                  </pic:nvPicPr>
                  <pic:blipFill>
                    <a:blip r:embed="rId6" cstate="print"/>
                    <a:stretch>
                      <a:fillRect/>
                    </a:stretch>
                  </pic:blipFill>
                  <pic:spPr>
                    <a:xfrm>
                      <a:off x="0" y="0"/>
                      <a:ext cx="5612765" cy="3753485"/>
                    </a:xfrm>
                    <a:prstGeom prst="rect">
                      <a:avLst/>
                    </a:prstGeom>
                    <a:noFill/>
                    <a:ln>
                      <a:noFill/>
                    </a:ln>
                  </pic:spPr>
                </pic:pic>
              </a:graphicData>
            </a:graphic>
          </wp:inline>
        </w:drawing>
      </w:r>
    </w:p>
    <w:p>
      <w:pPr>
        <w:ind w:firstLine="1285" w:firstLineChars="400"/>
        <w:jc w:val="left"/>
        <w:rPr>
          <w:rFonts w:ascii="宋体" w:hAnsi="宋体"/>
          <w:b/>
          <w:bCs/>
          <w:color w:val="auto"/>
          <w:sz w:val="32"/>
          <w:szCs w:val="32"/>
          <w:highlight w:val="none"/>
        </w:rPr>
      </w:pPr>
    </w:p>
    <w:p>
      <w:pPr>
        <w:ind w:firstLine="1285" w:firstLineChars="400"/>
        <w:jc w:val="left"/>
        <w:rPr>
          <w:rFonts w:ascii="宋体" w:hAnsi="宋体"/>
          <w:b/>
          <w:bCs/>
          <w:color w:val="auto"/>
          <w:sz w:val="32"/>
          <w:szCs w:val="32"/>
          <w:highlight w:val="none"/>
        </w:rPr>
      </w:pPr>
      <w:r>
        <w:rPr>
          <w:rFonts w:hint="eastAsia" w:ascii="宋体" w:hAnsi="宋体"/>
          <w:b/>
          <w:bCs/>
          <w:color w:val="auto"/>
          <w:sz w:val="32"/>
          <w:szCs w:val="32"/>
          <w:highlight w:val="none"/>
        </w:rPr>
        <w:t>采购人：江苏长江水务股份有限公司</w:t>
      </w:r>
    </w:p>
    <w:p>
      <w:pPr>
        <w:ind w:firstLine="1285" w:firstLineChars="400"/>
        <w:jc w:val="left"/>
        <w:rPr>
          <w:rFonts w:ascii="宋体" w:hAnsi="宋体"/>
          <w:b/>
          <w:bCs/>
          <w:color w:val="auto"/>
          <w:sz w:val="32"/>
          <w:szCs w:val="32"/>
          <w:highlight w:val="none"/>
        </w:rPr>
      </w:pPr>
      <w:r>
        <w:rPr>
          <w:rFonts w:hint="eastAsia" w:ascii="宋体" w:hAnsi="宋体"/>
          <w:b/>
          <w:bCs/>
          <w:color w:val="auto"/>
          <w:sz w:val="32"/>
          <w:szCs w:val="32"/>
          <w:highlight w:val="none"/>
        </w:rPr>
        <w:t>采购代理机构：江苏中鑫项目管理有限公司</w:t>
      </w:r>
    </w:p>
    <w:p>
      <w:pPr>
        <w:ind w:firstLine="1285" w:firstLineChars="400"/>
        <w:jc w:val="left"/>
        <w:rPr>
          <w:rFonts w:ascii="宋体" w:hAnsi="宋体"/>
          <w:b/>
          <w:bCs/>
          <w:color w:val="auto"/>
          <w:sz w:val="32"/>
          <w:szCs w:val="32"/>
          <w:highlight w:val="none"/>
        </w:rPr>
      </w:pPr>
      <w:r>
        <w:rPr>
          <w:rFonts w:hint="eastAsia" w:ascii="宋体" w:hAnsi="宋体"/>
          <w:b/>
          <w:bCs/>
          <w:color w:val="auto"/>
          <w:sz w:val="32"/>
          <w:szCs w:val="32"/>
          <w:highlight w:val="none"/>
        </w:rPr>
        <w:t>发放日期：202</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r>
        <w:rPr>
          <w:rFonts w:hint="eastAsia" w:ascii="宋体" w:hAnsi="宋体"/>
          <w:b/>
          <w:bCs/>
          <w:color w:val="auto"/>
          <w:sz w:val="32"/>
          <w:szCs w:val="32"/>
          <w:highlight w:val="none"/>
          <w:lang w:val="en-US" w:eastAsia="zh-CN"/>
        </w:rPr>
        <w:t>24</w:t>
      </w:r>
      <w:r>
        <w:rPr>
          <w:rFonts w:hint="eastAsia" w:ascii="宋体" w:hAnsi="宋体"/>
          <w:b/>
          <w:bCs/>
          <w:color w:val="auto"/>
          <w:sz w:val="32"/>
          <w:szCs w:val="32"/>
          <w:highlight w:val="none"/>
        </w:rPr>
        <w:t>日</w:t>
      </w:r>
    </w:p>
    <w:p>
      <w:pPr>
        <w:spacing w:line="360" w:lineRule="auto"/>
        <w:ind w:firstLine="1302" w:firstLineChars="400"/>
        <w:rPr>
          <w:rFonts w:ascii="宋体" w:hAnsi="宋体" w:cs="宋体"/>
          <w:b/>
          <w:bCs/>
          <w:color w:val="auto"/>
          <w:w w:val="90"/>
          <w:sz w:val="36"/>
          <w:szCs w:val="36"/>
          <w:highlight w:val="none"/>
        </w:rPr>
      </w:pPr>
    </w:p>
    <w:p>
      <w:pPr>
        <w:pStyle w:val="19"/>
        <w:rPr>
          <w:color w:val="auto"/>
          <w:highlight w:val="none"/>
        </w:rPr>
        <w:sectPr>
          <w:pgSz w:w="11906" w:h="16838"/>
          <w:pgMar w:top="1134" w:right="1417" w:bottom="1134" w:left="1417" w:header="851" w:footer="992" w:gutter="0"/>
          <w:pgNumType w:start="1"/>
          <w:cols w:space="720" w:num="1"/>
          <w:docGrid w:type="lines" w:linePitch="312" w:charSpace="0"/>
        </w:sectPr>
      </w:pPr>
    </w:p>
    <w:p>
      <w:pPr>
        <w:pStyle w:val="19"/>
        <w:rPr>
          <w:color w:val="auto"/>
          <w:highlight w:val="none"/>
        </w:rPr>
      </w:pPr>
      <w:r>
        <w:rPr>
          <w:rFonts w:hint="eastAsia"/>
          <w:color w:val="auto"/>
          <w:highlight w:val="none"/>
        </w:rPr>
        <w:t>目 录</w:t>
      </w:r>
    </w:p>
    <w:p>
      <w:pPr>
        <w:pStyle w:val="19"/>
        <w:tabs>
          <w:tab w:val="right" w:leader="dot" w:pos="8306"/>
          <w:tab w:val="clear" w:pos="8296"/>
        </w:tabs>
        <w:spacing w:line="600" w:lineRule="auto"/>
        <w:rPr>
          <w:color w:val="auto"/>
          <w:sz w:val="24"/>
          <w:szCs w:val="24"/>
          <w:highlight w:val="none"/>
        </w:rPr>
      </w:pPr>
      <w:r>
        <w:rPr>
          <w:color w:val="auto"/>
          <w:sz w:val="36"/>
          <w:highlight w:val="none"/>
        </w:rPr>
        <w:fldChar w:fldCharType="begin"/>
      </w:r>
      <w:r>
        <w:rPr>
          <w:color w:val="auto"/>
          <w:sz w:val="36"/>
          <w:highlight w:val="none"/>
        </w:rPr>
        <w:instrText xml:space="preserve">TOC \o "1-1" \h \u </w:instrText>
      </w:r>
      <w:r>
        <w:rPr>
          <w:color w:val="auto"/>
          <w:sz w:val="36"/>
          <w:highlight w:val="none"/>
        </w:rPr>
        <w:fldChar w:fldCharType="separate"/>
      </w:r>
      <w:r>
        <w:rPr>
          <w:color w:val="auto"/>
          <w:highlight w:val="none"/>
        </w:rPr>
        <w:fldChar w:fldCharType="begin"/>
      </w:r>
      <w:r>
        <w:rPr>
          <w:color w:val="auto"/>
          <w:highlight w:val="none"/>
        </w:rPr>
        <w:instrText xml:space="preserve"> HYPERLINK \l "_Toc30566" </w:instrText>
      </w:r>
      <w:r>
        <w:rPr>
          <w:color w:val="auto"/>
          <w:highlight w:val="none"/>
        </w:rPr>
        <w:fldChar w:fldCharType="separate"/>
      </w:r>
      <w:r>
        <w:rPr>
          <w:rFonts w:hint="eastAsia"/>
          <w:color w:val="auto"/>
          <w:sz w:val="24"/>
          <w:szCs w:val="24"/>
          <w:highlight w:val="none"/>
        </w:rPr>
        <w:t>第一章 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_Toc30566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19"/>
        <w:tabs>
          <w:tab w:val="right" w:leader="dot" w:pos="8306"/>
          <w:tab w:val="clear" w:pos="8296"/>
        </w:tabs>
        <w:spacing w:line="600" w:lineRule="auto"/>
        <w:rPr>
          <w:color w:val="auto"/>
          <w:sz w:val="24"/>
          <w:szCs w:val="24"/>
          <w:highlight w:val="none"/>
        </w:rPr>
      </w:pPr>
      <w:r>
        <w:rPr>
          <w:color w:val="auto"/>
          <w:highlight w:val="none"/>
        </w:rPr>
        <w:fldChar w:fldCharType="begin"/>
      </w:r>
      <w:r>
        <w:rPr>
          <w:color w:val="auto"/>
          <w:highlight w:val="none"/>
        </w:rPr>
        <w:instrText xml:space="preserve"> HYPERLINK \l "_Toc29432" </w:instrText>
      </w:r>
      <w:r>
        <w:rPr>
          <w:color w:val="auto"/>
          <w:highlight w:val="none"/>
        </w:rPr>
        <w:fldChar w:fldCharType="separate"/>
      </w:r>
      <w:r>
        <w:rPr>
          <w:rFonts w:hint="eastAsia"/>
          <w:color w:val="auto"/>
          <w:sz w:val="24"/>
          <w:szCs w:val="24"/>
          <w:highlight w:val="none"/>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_Toc29432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pPr>
        <w:pStyle w:val="19"/>
        <w:tabs>
          <w:tab w:val="right" w:leader="dot" w:pos="8306"/>
          <w:tab w:val="clear" w:pos="8296"/>
        </w:tabs>
        <w:spacing w:line="600" w:lineRule="auto"/>
        <w:rPr>
          <w:color w:val="auto"/>
          <w:sz w:val="24"/>
          <w:szCs w:val="24"/>
          <w:highlight w:val="none"/>
        </w:rPr>
      </w:pPr>
      <w:r>
        <w:rPr>
          <w:color w:val="auto"/>
          <w:highlight w:val="none"/>
        </w:rPr>
        <w:fldChar w:fldCharType="begin"/>
      </w:r>
      <w:r>
        <w:rPr>
          <w:color w:val="auto"/>
          <w:highlight w:val="none"/>
        </w:rPr>
        <w:instrText xml:space="preserve"> HYPERLINK \l "_Toc23126" </w:instrText>
      </w:r>
      <w:r>
        <w:rPr>
          <w:color w:val="auto"/>
          <w:highlight w:val="none"/>
        </w:rPr>
        <w:fldChar w:fldCharType="separate"/>
      </w:r>
      <w:r>
        <w:rPr>
          <w:rFonts w:hint="eastAsia"/>
          <w:bCs/>
          <w:color w:val="auto"/>
          <w:kern w:val="44"/>
          <w:sz w:val="24"/>
          <w:szCs w:val="24"/>
          <w:highlight w:val="none"/>
        </w:rPr>
        <w:t>第三章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_Toc23126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19"/>
        <w:tabs>
          <w:tab w:val="right" w:leader="dot" w:pos="8306"/>
          <w:tab w:val="clear" w:pos="8296"/>
        </w:tabs>
        <w:spacing w:line="600" w:lineRule="auto"/>
        <w:rPr>
          <w:color w:val="auto"/>
          <w:sz w:val="24"/>
          <w:szCs w:val="24"/>
          <w:highlight w:val="none"/>
        </w:rPr>
      </w:pPr>
      <w:r>
        <w:rPr>
          <w:color w:val="auto"/>
          <w:highlight w:val="none"/>
        </w:rPr>
        <w:fldChar w:fldCharType="begin"/>
      </w:r>
      <w:r>
        <w:rPr>
          <w:color w:val="auto"/>
          <w:highlight w:val="none"/>
        </w:rPr>
        <w:instrText xml:space="preserve"> HYPERLINK \l "_Toc16750" </w:instrText>
      </w:r>
      <w:r>
        <w:rPr>
          <w:color w:val="auto"/>
          <w:highlight w:val="none"/>
        </w:rPr>
        <w:fldChar w:fldCharType="separate"/>
      </w:r>
      <w:r>
        <w:rPr>
          <w:rFonts w:hint="eastAsia"/>
          <w:bCs/>
          <w:color w:val="auto"/>
          <w:kern w:val="44"/>
          <w:sz w:val="24"/>
          <w:szCs w:val="24"/>
          <w:highlight w:val="none"/>
        </w:rPr>
        <w:t>第四章 项目需求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_Toc16750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pPr>
        <w:pStyle w:val="19"/>
        <w:tabs>
          <w:tab w:val="right" w:leader="dot" w:pos="8306"/>
          <w:tab w:val="clear" w:pos="8296"/>
        </w:tabs>
        <w:spacing w:line="600" w:lineRule="auto"/>
        <w:rPr>
          <w:color w:val="auto"/>
          <w:sz w:val="24"/>
          <w:szCs w:val="24"/>
          <w:highlight w:val="none"/>
        </w:rPr>
      </w:pPr>
      <w:r>
        <w:rPr>
          <w:color w:val="auto"/>
          <w:highlight w:val="none"/>
        </w:rPr>
        <w:fldChar w:fldCharType="begin"/>
      </w:r>
      <w:r>
        <w:rPr>
          <w:color w:val="auto"/>
          <w:highlight w:val="none"/>
        </w:rPr>
        <w:instrText xml:space="preserve"> HYPERLINK \l "_Toc29243" </w:instrText>
      </w:r>
      <w:r>
        <w:rPr>
          <w:color w:val="auto"/>
          <w:highlight w:val="none"/>
        </w:rPr>
        <w:fldChar w:fldCharType="separate"/>
      </w:r>
      <w:r>
        <w:rPr>
          <w:rFonts w:hint="eastAsia"/>
          <w:bCs/>
          <w:color w:val="auto"/>
          <w:kern w:val="44"/>
          <w:sz w:val="24"/>
          <w:szCs w:val="24"/>
          <w:highlight w:val="none"/>
        </w:rPr>
        <w:t>第五章 评标方法及评标标准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_Toc29243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color w:val="auto"/>
          <w:sz w:val="24"/>
          <w:szCs w:val="24"/>
          <w:highlight w:val="none"/>
        </w:rPr>
        <w:fldChar w:fldCharType="end"/>
      </w:r>
    </w:p>
    <w:p>
      <w:pPr>
        <w:pStyle w:val="19"/>
        <w:tabs>
          <w:tab w:val="right" w:leader="dot" w:pos="8306"/>
          <w:tab w:val="clear" w:pos="8296"/>
        </w:tabs>
        <w:spacing w:line="600" w:lineRule="auto"/>
        <w:rPr>
          <w:color w:val="auto"/>
          <w:highlight w:val="none"/>
        </w:rPr>
      </w:pPr>
      <w:r>
        <w:rPr>
          <w:color w:val="auto"/>
          <w:highlight w:val="none"/>
        </w:rPr>
        <w:fldChar w:fldCharType="begin"/>
      </w:r>
      <w:r>
        <w:rPr>
          <w:color w:val="auto"/>
          <w:highlight w:val="none"/>
        </w:rPr>
        <w:instrText xml:space="preserve"> HYPERLINK \l "_Toc13446" </w:instrText>
      </w:r>
      <w:r>
        <w:rPr>
          <w:color w:val="auto"/>
          <w:highlight w:val="none"/>
        </w:rPr>
        <w:fldChar w:fldCharType="separate"/>
      </w:r>
      <w:r>
        <w:rPr>
          <w:rFonts w:hint="eastAsia"/>
          <w:bCs/>
          <w:color w:val="auto"/>
          <w:kern w:val="44"/>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_Toc13446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widowControl/>
        <w:jc w:val="left"/>
        <w:rPr>
          <w:rFonts w:ascii="宋体" w:hAnsi="宋体" w:cs="宋体"/>
          <w:color w:val="auto"/>
          <w:sz w:val="36"/>
          <w:highlight w:val="none"/>
        </w:rPr>
      </w:pPr>
      <w:r>
        <w:rPr>
          <w:rFonts w:ascii="宋体" w:hAnsi="宋体" w:cs="宋体"/>
          <w:color w:val="auto"/>
          <w:highlight w:val="none"/>
        </w:rPr>
        <w:fldChar w:fldCharType="end"/>
      </w:r>
    </w:p>
    <w:p>
      <w:pPr>
        <w:widowControl/>
        <w:jc w:val="left"/>
        <w:rPr>
          <w:rFonts w:ascii="宋体" w:hAnsi="宋体" w:cs="宋体"/>
          <w:color w:val="auto"/>
          <w:sz w:val="36"/>
          <w:highlight w:val="none"/>
        </w:rPr>
      </w:pPr>
      <w:r>
        <w:rPr>
          <w:rFonts w:ascii="宋体" w:hAnsi="宋体" w:cs="宋体"/>
          <w:color w:val="auto"/>
          <w:sz w:val="36"/>
          <w:highlight w:val="none"/>
        </w:rPr>
        <w:br w:type="page"/>
      </w:r>
    </w:p>
    <w:p>
      <w:pPr>
        <w:pStyle w:val="3"/>
        <w:spacing w:line="360" w:lineRule="auto"/>
        <w:jc w:val="center"/>
        <w:rPr>
          <w:rFonts w:ascii="宋体" w:hAnsi="宋体" w:cs="宋体"/>
          <w:color w:val="auto"/>
          <w:sz w:val="36"/>
          <w:highlight w:val="none"/>
        </w:rPr>
      </w:pPr>
      <w:bookmarkStart w:id="3" w:name="_Toc100135567"/>
      <w:bookmarkStart w:id="4" w:name="_Toc30566"/>
      <w:bookmarkStart w:id="5" w:name="_Toc99380847"/>
      <w:r>
        <w:rPr>
          <w:rFonts w:hint="eastAsia" w:ascii="宋体" w:hAnsi="宋体" w:cs="宋体"/>
          <w:color w:val="auto"/>
          <w:sz w:val="36"/>
          <w:highlight w:val="none"/>
        </w:rPr>
        <w:t>第一章 招标公告</w:t>
      </w:r>
      <w:bookmarkEnd w:id="1"/>
      <w:bookmarkEnd w:id="3"/>
      <w:bookmarkEnd w:id="4"/>
      <w:bookmarkEnd w:id="5"/>
    </w:p>
    <w:bookmarkEnd w:id="2"/>
    <w:p>
      <w:pPr>
        <w:spacing w:line="360" w:lineRule="auto"/>
        <w:ind w:firstLine="420" w:firstLineChars="200"/>
        <w:rPr>
          <w:rFonts w:ascii="宋体" w:hAnsi="宋体" w:cs="宋体"/>
          <w:color w:val="auto"/>
          <w:szCs w:val="21"/>
          <w:highlight w:val="none"/>
        </w:rPr>
      </w:pPr>
      <w:bookmarkStart w:id="6" w:name="_Toc497133091"/>
      <w:r>
        <w:rPr>
          <w:rFonts w:hint="eastAsia" w:ascii="宋体" w:hAnsi="宋体" w:cs="宋体"/>
          <w:color w:val="auto"/>
          <w:szCs w:val="21"/>
          <w:highlight w:val="none"/>
        </w:rPr>
        <w:t>江苏中鑫项目管理有限公司（以下简称“代理机构”）受</w:t>
      </w:r>
      <w:r>
        <w:rPr>
          <w:rFonts w:hint="eastAsia" w:hAnsi="宋体"/>
          <w:color w:val="auto"/>
          <w:szCs w:val="21"/>
          <w:highlight w:val="none"/>
          <w:u w:val="single"/>
        </w:rPr>
        <w:t>江苏长江水务股份有限公司</w:t>
      </w:r>
      <w:r>
        <w:rPr>
          <w:rFonts w:hint="eastAsia" w:ascii="宋体" w:hAnsi="宋体" w:cs="宋体"/>
          <w:color w:val="auto"/>
          <w:szCs w:val="21"/>
          <w:highlight w:val="none"/>
        </w:rPr>
        <w:t>委托，就</w:t>
      </w:r>
      <w:r>
        <w:rPr>
          <w:rFonts w:hint="eastAsia" w:ascii="宋体" w:hAnsi="宋体" w:cs="宋体"/>
          <w:color w:val="auto"/>
          <w:highlight w:val="none"/>
          <w:u w:val="single"/>
          <w:lang w:val="en-US" w:eastAsia="zh-CN"/>
        </w:rPr>
        <w:t>扬州市第六水厂水资源论证报告编制项目</w:t>
      </w:r>
      <w:r>
        <w:rPr>
          <w:rFonts w:hint="eastAsia" w:ascii="宋体" w:hAnsi="宋体" w:cs="宋体"/>
          <w:color w:val="auto"/>
          <w:szCs w:val="21"/>
          <w:highlight w:val="none"/>
        </w:rPr>
        <w:t>进行公开招标，欢迎符合相关条件的投标人参与竞标。</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1.项目编号：JSZX-230</w:t>
      </w:r>
      <w:r>
        <w:rPr>
          <w:rFonts w:hint="eastAsia" w:ascii="宋体" w:hAnsi="宋体" w:cs="宋体"/>
          <w:color w:val="auto"/>
          <w:highlight w:val="none"/>
          <w:lang w:val="en-US" w:eastAsia="zh-CN"/>
        </w:rPr>
        <w:t>10</w:t>
      </w:r>
      <w:r>
        <w:rPr>
          <w:rFonts w:hint="eastAsia" w:ascii="宋体" w:hAnsi="宋体" w:cs="宋体"/>
          <w:color w:val="auto"/>
          <w:highlight w:val="none"/>
        </w:rPr>
        <w:t>-DL0</w:t>
      </w:r>
      <w:r>
        <w:rPr>
          <w:rFonts w:hint="eastAsia" w:ascii="宋体" w:hAnsi="宋体" w:cs="宋体"/>
          <w:color w:val="auto"/>
          <w:highlight w:val="none"/>
          <w:lang w:val="en-US" w:eastAsia="zh-CN"/>
        </w:rPr>
        <w:t>9</w:t>
      </w:r>
      <w:r>
        <w:rPr>
          <w:rFonts w:hint="eastAsia" w:ascii="宋体" w:hAnsi="宋体" w:cs="宋体"/>
          <w:color w:val="auto"/>
          <w:highlight w:val="none"/>
        </w:rPr>
        <w:t>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2.项目名称：江苏长江水务股份有限公司</w:t>
      </w:r>
      <w:r>
        <w:rPr>
          <w:rFonts w:hint="eastAsia" w:ascii="宋体" w:hAnsi="宋体" w:cs="宋体"/>
          <w:color w:val="auto"/>
          <w:highlight w:val="none"/>
          <w:lang w:val="en-US" w:eastAsia="zh-CN"/>
        </w:rPr>
        <w:t xml:space="preserve">扬州市第六水厂水资源论证报告编制项目 </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w:t>
      </w:r>
      <w:r>
        <w:rPr>
          <w:rFonts w:hint="eastAsia" w:ascii="宋体" w:hAnsi="宋体" w:cs="宋体"/>
          <w:color w:val="auto"/>
          <w:highlight w:val="none"/>
        </w:rPr>
        <w:t>项目预算：</w:t>
      </w:r>
      <w:r>
        <w:rPr>
          <w:rFonts w:hint="eastAsia" w:ascii="宋体" w:hAnsi="宋体" w:cs="宋体"/>
          <w:color w:val="auto"/>
          <w:highlight w:val="none"/>
          <w:lang w:val="en-US" w:eastAsia="zh-CN"/>
        </w:rPr>
        <w:t>7</w:t>
      </w:r>
      <w:r>
        <w:rPr>
          <w:rFonts w:hint="eastAsia" w:ascii="宋体" w:hAnsi="宋体" w:cs="宋体"/>
          <w:color w:val="auto"/>
          <w:highlight w:val="none"/>
        </w:rPr>
        <w:t>0万元</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采购需求：</w:t>
      </w:r>
      <w:r>
        <w:rPr>
          <w:rFonts w:hint="eastAsia" w:ascii="宋体" w:hAnsi="宋体"/>
          <w:color w:val="auto"/>
          <w:szCs w:val="21"/>
          <w:highlight w:val="none"/>
          <w:lang w:val="zh-CN"/>
        </w:rPr>
        <w:t>详</w:t>
      </w:r>
      <w:r>
        <w:rPr>
          <w:rFonts w:hint="eastAsia" w:ascii="宋体" w:hAnsi="宋体"/>
          <w:color w:val="auto"/>
          <w:szCs w:val="21"/>
          <w:highlight w:val="none"/>
        </w:rPr>
        <w:t>见</w:t>
      </w:r>
      <w:r>
        <w:rPr>
          <w:rFonts w:hint="eastAsia" w:ascii="宋体" w:hAnsi="宋体"/>
          <w:color w:val="auto"/>
          <w:szCs w:val="21"/>
          <w:highlight w:val="none"/>
          <w:lang w:val="zh-CN"/>
        </w:rPr>
        <w:t>招标文件第四章</w:t>
      </w:r>
    </w:p>
    <w:p>
      <w:pPr>
        <w:spacing w:line="360" w:lineRule="auto"/>
        <w:ind w:firstLine="420" w:firstLineChars="200"/>
        <w:rPr>
          <w:rFonts w:hint="default" w:ascii="宋体" w:hAnsi="宋体" w:eastAsia="宋体"/>
          <w:color w:val="auto"/>
          <w:szCs w:val="21"/>
          <w:highlight w:val="none"/>
          <w:lang w:val="en-US" w:eastAsia="zh-CN"/>
        </w:rPr>
      </w:pPr>
      <w:r>
        <w:rPr>
          <w:rFonts w:ascii="宋体" w:hAnsi="宋体" w:cs="宋体"/>
          <w:color w:val="auto"/>
          <w:szCs w:val="21"/>
          <w:highlight w:val="none"/>
        </w:rPr>
        <w:t>5.</w:t>
      </w:r>
      <w:r>
        <w:rPr>
          <w:rFonts w:hint="eastAsia" w:ascii="宋体" w:hAnsi="宋体" w:cs="宋体"/>
          <w:color w:val="auto"/>
          <w:szCs w:val="21"/>
          <w:highlight w:val="none"/>
          <w:lang w:val="en-US" w:eastAsia="zh-CN"/>
        </w:rPr>
        <w:t>服务周期</w:t>
      </w:r>
      <w:r>
        <w:rPr>
          <w:rFonts w:hint="eastAsia" w:ascii="宋体" w:hAnsi="宋体"/>
          <w:color w:val="auto"/>
          <w:szCs w:val="21"/>
          <w:highlight w:val="none"/>
        </w:rPr>
        <w:t>：合同签订之日起</w:t>
      </w:r>
      <w:r>
        <w:rPr>
          <w:rFonts w:hint="eastAsia" w:ascii="宋体" w:hAnsi="宋体"/>
          <w:color w:val="auto"/>
          <w:szCs w:val="21"/>
          <w:highlight w:val="none"/>
          <w:lang w:val="en-US" w:eastAsia="zh-CN"/>
        </w:rPr>
        <w:t>40天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rPr>
        <w:t>本项目不接受联合体投标</w:t>
      </w:r>
    </w:p>
    <w:p>
      <w:pPr>
        <w:spacing w:line="360" w:lineRule="auto"/>
        <w:ind w:firstLine="422" w:firstLineChars="200"/>
        <w:rPr>
          <w:rFonts w:ascii="宋体" w:hAnsi="宋体" w:cs="宋体"/>
          <w:color w:val="auto"/>
          <w:szCs w:val="21"/>
          <w:highlight w:val="none"/>
        </w:rPr>
      </w:pPr>
      <w:bookmarkStart w:id="7" w:name="_Toc35393622"/>
      <w:bookmarkStart w:id="8" w:name="_Toc28359080"/>
      <w:bookmarkStart w:id="9" w:name="_Toc35393791"/>
      <w:bookmarkStart w:id="10" w:name="_Toc28359003"/>
      <w:r>
        <w:rPr>
          <w:rFonts w:hint="eastAsia" w:ascii="宋体" w:hAnsi="宋体" w:cs="宋体"/>
          <w:b/>
          <w:bCs/>
          <w:color w:val="auto"/>
          <w:szCs w:val="21"/>
          <w:highlight w:val="none"/>
        </w:rPr>
        <w:t>二、申请人的资格要求</w:t>
      </w:r>
      <w:bookmarkEnd w:id="7"/>
      <w:bookmarkEnd w:id="8"/>
      <w:bookmarkEnd w:id="9"/>
      <w:bookmarkEnd w:id="10"/>
    </w:p>
    <w:p>
      <w:pPr>
        <w:spacing w:line="360" w:lineRule="auto"/>
        <w:ind w:firstLine="420" w:firstLineChars="200"/>
        <w:rPr>
          <w:rFonts w:ascii="宋体" w:hAnsi="宋体" w:cs="宋体"/>
          <w:color w:val="auto"/>
          <w:szCs w:val="21"/>
          <w:highlight w:val="none"/>
        </w:rPr>
      </w:pPr>
      <w:bookmarkStart w:id="11" w:name="_Toc28359004"/>
      <w:bookmarkStart w:id="12" w:name="_Toc28359081"/>
      <w:r>
        <w:rPr>
          <w:rFonts w:hint="eastAsia" w:ascii="宋体" w:hAnsi="宋体" w:cs="宋体"/>
          <w:color w:val="auto"/>
          <w:szCs w:val="21"/>
          <w:highlight w:val="none"/>
        </w:rPr>
        <w:t>1、提供下列材料：</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1.1投标函(原件)</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1.2 资格声明(原件)</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1.3法人</w:t>
      </w:r>
      <w:r>
        <w:rPr>
          <w:rFonts w:hint="eastAsia" w:ascii="宋体" w:hAnsi="宋体" w:cs="宋体"/>
          <w:i/>
          <w:iCs/>
          <w:color w:val="auto"/>
          <w:szCs w:val="21"/>
          <w:highlight w:val="none"/>
          <w:u w:val="single"/>
          <w:lang w:val="en-US" w:eastAsia="zh-CN"/>
        </w:rPr>
        <w:t>或其他组织的营业执照等</w:t>
      </w:r>
      <w:r>
        <w:rPr>
          <w:rFonts w:hint="eastAsia" w:ascii="宋体" w:hAnsi="宋体" w:cs="宋体"/>
          <w:i/>
          <w:iCs/>
          <w:color w:val="auto"/>
          <w:szCs w:val="21"/>
          <w:highlight w:val="none"/>
          <w:u w:val="single"/>
        </w:rPr>
        <w:t>证明材料(复印件加盖供应商公章)，自然人的身份证明</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1.4 若法定代表人参加投标的，须提供本人身份证复印件（原件备查）；若授权代表参加的，须提供《法人授权书》原件和授权代表身份证复印件（原件备查）</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1.5 投标人依法缴纳职工社会保障资金的证明材料 （复印件加盖投标人公章）(税务、银行或社会保险基金管理部门出具的202</w:t>
      </w: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年</w:t>
      </w:r>
      <w:r>
        <w:rPr>
          <w:rFonts w:hint="eastAsia" w:ascii="宋体" w:hAnsi="宋体" w:cs="宋体"/>
          <w:i/>
          <w:iCs/>
          <w:color w:val="auto"/>
          <w:szCs w:val="21"/>
          <w:highlight w:val="none"/>
          <w:u w:val="single"/>
          <w:lang w:val="en-US" w:eastAsia="zh-CN"/>
        </w:rPr>
        <w:t>1</w:t>
      </w:r>
      <w:r>
        <w:rPr>
          <w:rFonts w:hint="eastAsia" w:ascii="宋体" w:hAnsi="宋体" w:cs="宋体"/>
          <w:i/>
          <w:iCs/>
          <w:color w:val="auto"/>
          <w:szCs w:val="21"/>
          <w:highlight w:val="none"/>
          <w:u w:val="single"/>
        </w:rPr>
        <w:t>月至202</w:t>
      </w: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年</w:t>
      </w:r>
      <w:r>
        <w:rPr>
          <w:rFonts w:hint="eastAsia" w:ascii="宋体" w:hAnsi="宋体" w:cs="宋体"/>
          <w:i/>
          <w:iCs/>
          <w:color w:val="auto"/>
          <w:szCs w:val="21"/>
          <w:highlight w:val="none"/>
          <w:u w:val="single"/>
          <w:lang w:val="en-US" w:eastAsia="zh-CN"/>
        </w:rPr>
        <w:t>3</w:t>
      </w:r>
      <w:r>
        <w:rPr>
          <w:rFonts w:hint="eastAsia" w:ascii="宋体" w:hAnsi="宋体" w:cs="宋体"/>
          <w:i/>
          <w:iCs/>
          <w:color w:val="auto"/>
          <w:szCs w:val="21"/>
          <w:highlight w:val="none"/>
          <w:u w:val="single"/>
        </w:rPr>
        <w:t>月近三个月内任意一个月缴纳职工社会保障资金的缴款凭证或缴款证明)（投标人依法享受缓缴、免缴的提供相关证明材料）</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1.6 投标人202</w:t>
      </w: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年</w:t>
      </w:r>
      <w:r>
        <w:rPr>
          <w:rFonts w:hint="eastAsia" w:ascii="宋体" w:hAnsi="宋体" w:cs="宋体"/>
          <w:i/>
          <w:iCs/>
          <w:color w:val="auto"/>
          <w:szCs w:val="21"/>
          <w:highlight w:val="none"/>
          <w:u w:val="single"/>
          <w:lang w:val="en-US" w:eastAsia="zh-CN"/>
        </w:rPr>
        <w:t>1</w:t>
      </w:r>
      <w:r>
        <w:rPr>
          <w:rFonts w:hint="eastAsia" w:ascii="宋体" w:hAnsi="宋体" w:cs="宋体"/>
          <w:i/>
          <w:iCs/>
          <w:color w:val="auto"/>
          <w:szCs w:val="21"/>
          <w:highlight w:val="none"/>
          <w:u w:val="single"/>
        </w:rPr>
        <w:t>月至202</w:t>
      </w: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年</w:t>
      </w:r>
      <w:r>
        <w:rPr>
          <w:rFonts w:hint="eastAsia" w:ascii="宋体" w:hAnsi="宋体" w:cs="宋体"/>
          <w:i/>
          <w:iCs/>
          <w:color w:val="auto"/>
          <w:szCs w:val="21"/>
          <w:highlight w:val="none"/>
          <w:u w:val="single"/>
          <w:lang w:val="en-US" w:eastAsia="zh-CN"/>
        </w:rPr>
        <w:t>3</w:t>
      </w:r>
      <w:r>
        <w:rPr>
          <w:rFonts w:hint="eastAsia" w:ascii="宋体" w:hAnsi="宋体" w:cs="宋体"/>
          <w:i/>
          <w:iCs/>
          <w:color w:val="auto"/>
          <w:szCs w:val="21"/>
          <w:highlight w:val="none"/>
          <w:u w:val="single"/>
        </w:rPr>
        <w:t>月近三个月内任意一个月依法纳税的缴款凭证（复印件加盖投标人公章）（投标人依法享受缓缴、免缴的提供相关证明材料）</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1.7与第（1.6）条相对应的纳税申报表或上一年度财务状况情况（复印件加盖投标人公章）（成立不满一年不需提供）</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1.8 参加本次采购活动前3年内在经营活动中没有重大违法记录的书面声明（原件）</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1.9供应商信用承诺书（原件）</w:t>
      </w:r>
    </w:p>
    <w:p>
      <w:pPr>
        <w:spacing w:line="360" w:lineRule="auto"/>
        <w:ind w:firstLine="420" w:firstLineChars="200"/>
        <w:rPr>
          <w:i/>
          <w:iCs/>
          <w:color w:val="auto"/>
          <w:szCs w:val="21"/>
          <w:highlight w:val="none"/>
          <w:u w:val="single"/>
          <w:shd w:val="clear" w:color="auto" w:fill="FFFFFF"/>
        </w:rPr>
      </w:pPr>
      <w:r>
        <w:rPr>
          <w:rFonts w:hint="eastAsia" w:ascii="宋体" w:hAnsi="宋体" w:cs="宋体"/>
          <w:i/>
          <w:iCs/>
          <w:color w:val="auto"/>
          <w:szCs w:val="21"/>
          <w:highlight w:val="none"/>
          <w:u w:val="single"/>
        </w:rPr>
        <w:t>1.10未被“信用中国”网站（www.creditchina.gov.cn）、“中国政府采购网"(www.ccgp.gov.cn)列入失信被执行人、重大税收违法案件当事人名单、政府采购严重违法失信行为记录名单（提供网页截图加盖供应商公章）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、本项目的特定资格要求：</w:t>
      </w:r>
    </w:p>
    <w:p>
      <w:pPr>
        <w:spacing w:line="360" w:lineRule="auto"/>
        <w:ind w:firstLine="420" w:firstLineChars="200"/>
        <w:rPr>
          <w:rFonts w:hint="eastAsia" w:ascii="宋体" w:hAnsi="宋体"/>
          <w:i/>
          <w:iCs/>
          <w:color w:val="auto"/>
          <w:highlight w:val="none"/>
          <w:u w:val="single"/>
        </w:rPr>
      </w:pPr>
      <w:r>
        <w:rPr>
          <w:rFonts w:hint="eastAsia" w:ascii="宋体" w:hAnsi="宋体"/>
          <w:i/>
          <w:iCs/>
          <w:color w:val="auto"/>
          <w:highlight w:val="none"/>
          <w:u w:val="single"/>
        </w:rPr>
        <w:t>（1）投标人须</w:t>
      </w:r>
      <w:r>
        <w:rPr>
          <w:rFonts w:hint="eastAsia" w:ascii="宋体" w:hAnsi="宋体"/>
          <w:i/>
          <w:iCs/>
          <w:color w:val="auto"/>
          <w:highlight w:val="none"/>
          <w:u w:val="single"/>
          <w:lang w:val="en-US" w:eastAsia="zh-CN"/>
        </w:rPr>
        <w:t>具备建设项目水资源论证乙级及以上资质</w:t>
      </w:r>
      <w:r>
        <w:rPr>
          <w:rFonts w:hint="eastAsia" w:ascii="宋体" w:hAnsi="宋体"/>
          <w:b/>
          <w:bCs/>
          <w:i/>
          <w:iCs/>
          <w:color w:val="auto"/>
          <w:highlight w:val="none"/>
          <w:u w:val="single"/>
        </w:rPr>
        <w:t>(提供证书复印件加盖投标人公章)</w:t>
      </w:r>
      <w:r>
        <w:rPr>
          <w:rFonts w:hint="eastAsia" w:ascii="宋体" w:hAnsi="宋体"/>
          <w:i/>
          <w:iCs/>
          <w:color w:val="auto"/>
          <w:highlight w:val="none"/>
          <w:u w:val="single"/>
          <w:lang w:val="en-US" w:eastAsia="zh-CN"/>
        </w:rPr>
        <w:t>。</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、拒绝下述供应商参加本次采购活动：</w:t>
      </w:r>
    </w:p>
    <w:p>
      <w:pPr>
        <w:spacing w:line="360" w:lineRule="auto"/>
        <w:ind w:firstLine="420" w:firstLineChars="200"/>
        <w:rPr>
          <w:rFonts w:ascii="宋体" w:hAnsi="宋体" w:cs="宋体"/>
          <w:color w:val="auto"/>
          <w:kern w:val="0"/>
          <w:highlight w:val="none"/>
        </w:rPr>
      </w:pPr>
      <w:r>
        <w:rPr>
          <w:rFonts w:hint="eastAsia" w:ascii="宋体" w:hAnsi="宋体" w:cs="宋体"/>
          <w:color w:val="auto"/>
          <w:szCs w:val="21"/>
          <w:highlight w:val="none"/>
        </w:rPr>
        <w:t>（1）</w:t>
      </w:r>
      <w:r>
        <w:rPr>
          <w:rFonts w:hint="eastAsia" w:ascii="宋体" w:hAnsi="宋体" w:cs="宋体"/>
          <w:color w:val="auto"/>
          <w:kern w:val="0"/>
          <w:highlight w:val="none"/>
        </w:rPr>
        <w:t>供应商单位负责人为同一人或者存在直接控股、管理关系的不同供应商，不得参加同一合同项下的采购活动。</w:t>
      </w:r>
    </w:p>
    <w:p>
      <w:pPr>
        <w:spacing w:line="360" w:lineRule="auto"/>
        <w:ind w:firstLine="420" w:firstLineChars="200"/>
        <w:rPr>
          <w:rFonts w:ascii="宋体" w:hAnsi="宋体" w:cs="宋体"/>
          <w:color w:val="auto"/>
          <w:kern w:val="0"/>
          <w:highlight w:val="none"/>
        </w:rPr>
      </w:pPr>
      <w:r>
        <w:rPr>
          <w:rFonts w:hint="eastAsia" w:ascii="宋体" w:hAnsi="宋体" w:cs="宋体"/>
          <w:color w:val="auto"/>
          <w:szCs w:val="21"/>
          <w:highlight w:val="none"/>
        </w:rPr>
        <w:t>（2）</w:t>
      </w:r>
      <w:r>
        <w:rPr>
          <w:rFonts w:hint="eastAsia" w:ascii="宋体" w:hAnsi="宋体" w:cs="宋体"/>
          <w:color w:val="auto"/>
          <w:kern w:val="0"/>
          <w:highlight w:val="none"/>
        </w:rPr>
        <w:t>供应商被“信用中国”网站、“中国政府采购网"列入失信被执行人、重大税收违法案件当事人名单、政府采购严重违法失信行为记录名单。</w:t>
      </w:r>
    </w:p>
    <w:p>
      <w:pPr>
        <w:spacing w:line="360" w:lineRule="auto"/>
        <w:ind w:firstLine="422" w:firstLineChars="200"/>
        <w:rPr>
          <w:rFonts w:ascii="宋体" w:hAnsi="宋体" w:cs="宋体"/>
          <w:b/>
          <w:bCs/>
          <w:color w:val="auto"/>
          <w:szCs w:val="21"/>
          <w:highlight w:val="none"/>
        </w:rPr>
      </w:pPr>
      <w:bookmarkStart w:id="13" w:name="_Toc35393623"/>
      <w:bookmarkStart w:id="14" w:name="_Toc35393792"/>
      <w:r>
        <w:rPr>
          <w:rFonts w:hint="eastAsia" w:ascii="宋体" w:hAnsi="宋体" w:cs="宋体"/>
          <w:b/>
          <w:bCs/>
          <w:color w:val="auto"/>
          <w:szCs w:val="21"/>
          <w:highlight w:val="none"/>
        </w:rPr>
        <w:t>三、获取招标文件</w:t>
      </w:r>
      <w:bookmarkEnd w:id="11"/>
      <w:bookmarkEnd w:id="12"/>
      <w:bookmarkEnd w:id="13"/>
      <w:bookmarkEnd w:id="14"/>
    </w:p>
    <w:p>
      <w:pPr>
        <w:spacing w:line="360" w:lineRule="auto"/>
        <w:ind w:firstLine="420" w:firstLineChars="200"/>
        <w:rPr>
          <w:rFonts w:ascii="宋体" w:hAnsi="宋体" w:cs="宋体"/>
          <w:color w:val="auto"/>
          <w:highlight w:val="none"/>
        </w:rPr>
      </w:pPr>
      <w:bookmarkStart w:id="15" w:name="_Toc28359005"/>
      <w:bookmarkStart w:id="16" w:name="_Toc28359082"/>
      <w:bookmarkStart w:id="17" w:name="_Toc35393624"/>
      <w:bookmarkStart w:id="18" w:name="_Toc35393793"/>
      <w:r>
        <w:rPr>
          <w:rFonts w:hint="eastAsia" w:ascii="宋体" w:hAnsi="宋体" w:cs="宋体"/>
          <w:color w:val="auto"/>
          <w:highlight w:val="none"/>
        </w:rPr>
        <w:t>时间：202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24</w:t>
      </w:r>
      <w:r>
        <w:rPr>
          <w:rFonts w:hint="eastAsia" w:ascii="宋体" w:hAnsi="宋体" w:cs="宋体"/>
          <w:color w:val="auto"/>
          <w:highlight w:val="none"/>
        </w:rPr>
        <w:t>日至2</w:t>
      </w:r>
      <w:r>
        <w:rPr>
          <w:rFonts w:ascii="宋体" w:hAnsi="宋体" w:cs="宋体"/>
          <w:color w:val="auto"/>
          <w:highlight w:val="none"/>
        </w:rPr>
        <w:t>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5</w:t>
      </w:r>
      <w:r>
        <w:rPr>
          <w:rFonts w:hint="eastAsia" w:ascii="宋体" w:hAnsi="宋体" w:cs="宋体"/>
          <w:color w:val="auto"/>
          <w:highlight w:val="none"/>
        </w:rPr>
        <w:t>日（每天上午9:00-11:30，下午2:00-5:00）</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地点：扬州市京华城路8号五彩世界B座19楼招标代理部</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方式：</w:t>
      </w:r>
      <w:r>
        <w:rPr>
          <w:rFonts w:hint="eastAsia" w:ascii="宋体" w:hAnsi="宋体" w:cs="宋体"/>
          <w:color w:val="auto"/>
          <w:szCs w:val="21"/>
          <w:highlight w:val="none"/>
        </w:rPr>
        <w:t>凡有意参加投标的投标人，请于上述时间内持单位营业执照复印件（加盖单位公章）、法定代表人授权委托书原件、被授权人身份证复印件（加盖单位公章）</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登记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投标人可自行选择现场登记或邮寄方式或电子邮件方式进行登记，邮箱：116407253@qq.com</w:t>
      </w:r>
      <w:r>
        <w:rPr>
          <w:rFonts w:hint="eastAsia" w:ascii="宋体" w:hAnsi="宋体" w:cs="宋体"/>
          <w:color w:val="auto"/>
          <w:szCs w:val="21"/>
          <w:highlight w:val="none"/>
          <w:lang w:eastAsia="zh-CN"/>
        </w:rPr>
        <w:t>）。</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四、提交投标文件</w:t>
      </w:r>
      <w:bookmarkEnd w:id="15"/>
      <w:bookmarkEnd w:id="16"/>
      <w:r>
        <w:rPr>
          <w:rFonts w:hint="eastAsia" w:ascii="宋体" w:hAnsi="宋体" w:cs="宋体"/>
          <w:b/>
          <w:bCs/>
          <w:color w:val="auto"/>
          <w:szCs w:val="21"/>
          <w:highlight w:val="none"/>
        </w:rPr>
        <w:t>截止时间、开标时间和地点</w:t>
      </w:r>
      <w:bookmarkEnd w:id="17"/>
      <w:bookmarkEnd w:id="18"/>
    </w:p>
    <w:p>
      <w:pPr>
        <w:spacing w:line="360" w:lineRule="auto"/>
        <w:ind w:firstLine="420" w:firstLineChars="200"/>
        <w:rPr>
          <w:rFonts w:ascii="宋体" w:hAnsi="宋体" w:cs="宋体"/>
          <w:color w:val="auto"/>
          <w:szCs w:val="21"/>
          <w:highlight w:val="none"/>
        </w:rPr>
      </w:pPr>
      <w:bookmarkStart w:id="19" w:name="_Toc28359084"/>
      <w:bookmarkStart w:id="20" w:name="_Toc35393625"/>
      <w:bookmarkStart w:id="21" w:name="_Toc35393794"/>
      <w:bookmarkStart w:id="22" w:name="_Toc28359007"/>
      <w:r>
        <w:rPr>
          <w:rFonts w:hint="eastAsia" w:ascii="宋体" w:hAnsi="宋体" w:cs="宋体"/>
          <w:color w:val="auto"/>
          <w:szCs w:val="21"/>
          <w:highlight w:val="none"/>
        </w:rPr>
        <w:t>截止时间：2023年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开标时间：2023年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地点：江苏中鑫项目管理有限公司开标室（扬州市邗江区邗江中路553号邗江文化馆六楼）</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五、公告期限</w:t>
      </w:r>
      <w:bookmarkEnd w:id="19"/>
      <w:bookmarkEnd w:id="20"/>
      <w:bookmarkEnd w:id="21"/>
      <w:bookmarkEnd w:id="22"/>
    </w:p>
    <w:p>
      <w:pPr>
        <w:pStyle w:val="49"/>
        <w:spacing w:line="360" w:lineRule="auto"/>
        <w:rPr>
          <w:rFonts w:ascii="宋体" w:hAnsi="宋体" w:cs="宋体"/>
          <w:color w:val="auto"/>
          <w:szCs w:val="21"/>
          <w:highlight w:val="none"/>
        </w:rPr>
      </w:pPr>
      <w:bookmarkStart w:id="23" w:name="_Toc35393626"/>
      <w:bookmarkStart w:id="24" w:name="_Toc35393795"/>
      <w:r>
        <w:rPr>
          <w:rFonts w:hint="eastAsia" w:ascii="宋体" w:hAnsi="宋体" w:cs="宋体"/>
          <w:color w:val="auto"/>
          <w:szCs w:val="21"/>
          <w:highlight w:val="none"/>
        </w:rPr>
        <w:t>自本招标公告在“扬州市公共资源交易服务平台、扬州市城建国有资产控股（集团）有限责任公司网站、江苏长江水务股份有限公司网站”发布之日起</w:t>
      </w:r>
      <w:r>
        <w:rPr>
          <w:rFonts w:hint="eastAsia" w:ascii="宋体" w:hAnsi="宋体" w:cs="宋体"/>
          <w:color w:val="auto"/>
          <w:szCs w:val="21"/>
          <w:highlight w:val="none"/>
          <w:lang w:val="en-US" w:eastAsia="zh-CN"/>
        </w:rPr>
        <w:t>7</w:t>
      </w:r>
      <w:bookmarkStart w:id="137" w:name="_GoBack"/>
      <w:bookmarkEnd w:id="137"/>
      <w:r>
        <w:rPr>
          <w:rFonts w:hint="eastAsia" w:ascii="宋体" w:hAnsi="宋体" w:cs="宋体"/>
          <w:color w:val="auto"/>
          <w:szCs w:val="21"/>
          <w:highlight w:val="none"/>
        </w:rPr>
        <w:t>个工作日。</w:t>
      </w:r>
    </w:p>
    <w:p>
      <w:pPr>
        <w:pStyle w:val="49"/>
        <w:spacing w:line="360" w:lineRule="auto"/>
        <w:ind w:left="420" w:firstLine="0" w:firstLineChars="0"/>
        <w:rPr>
          <w:rFonts w:ascii="宋体" w:hAnsi="宋体" w:cs="宋体"/>
          <w:color w:val="auto"/>
          <w:szCs w:val="21"/>
          <w:highlight w:val="none"/>
        </w:rPr>
      </w:pPr>
      <w:r>
        <w:rPr>
          <w:rFonts w:hint="eastAsia" w:ascii="宋体" w:hAnsi="宋体" w:cs="宋体"/>
          <w:b/>
          <w:bCs/>
          <w:color w:val="auto"/>
          <w:szCs w:val="21"/>
          <w:highlight w:val="none"/>
        </w:rPr>
        <w:t>六、其他补充事宜</w:t>
      </w:r>
      <w:bookmarkEnd w:id="23"/>
      <w:bookmarkEnd w:id="24"/>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、本次投标保证金要求：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根据江苏省财政厅《关于做好政府采购支持企业发展有关事项的通知》（苏财购【2020】52号）文件的要求，本项目免收投标保证金。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2、集中考察或召开答疑会：不召开。</w:t>
      </w:r>
    </w:p>
    <w:p>
      <w:pPr>
        <w:spacing w:line="360" w:lineRule="auto"/>
        <w:ind w:firstLine="413" w:firstLineChars="197"/>
        <w:rPr>
          <w:rFonts w:ascii="宋体" w:hAnsi="宋体"/>
          <w:color w:val="auto"/>
          <w:szCs w:val="21"/>
          <w:highlight w:val="none"/>
        </w:rPr>
      </w:pPr>
      <w:r>
        <w:rPr>
          <w:rFonts w:hint="eastAsia" w:ascii="宋体" w:hAnsi="宋体"/>
          <w:color w:val="auto"/>
          <w:szCs w:val="21"/>
          <w:highlight w:val="none"/>
        </w:rPr>
        <w:t>3、投标文件一式伍份(一份正本，肆份副本)，每份投标文件须清楚地标明“正本”或“副本”字样，一旦副本与正本不符，以正本为准。</w:t>
      </w:r>
    </w:p>
    <w:p>
      <w:pPr>
        <w:spacing w:line="360" w:lineRule="auto"/>
        <w:ind w:firstLine="413" w:firstLineChars="197"/>
        <w:rPr>
          <w:rFonts w:ascii="宋体" w:hAnsi="宋体"/>
          <w:color w:val="auto"/>
          <w:szCs w:val="21"/>
          <w:highlight w:val="none"/>
        </w:rPr>
      </w:pPr>
      <w:r>
        <w:rPr>
          <w:rFonts w:hint="eastAsia" w:ascii="宋体" w:hAnsi="宋体"/>
          <w:color w:val="auto"/>
          <w:szCs w:val="21"/>
          <w:highlight w:val="none"/>
        </w:rPr>
        <w:t>4、潜在投标人对招标文件项目需求部分的询问、质疑请向采购人提出，由采购人负责答复。</w:t>
      </w:r>
    </w:p>
    <w:p>
      <w:pPr>
        <w:spacing w:line="360" w:lineRule="auto"/>
        <w:ind w:firstLine="413" w:firstLineChars="197"/>
        <w:rPr>
          <w:rFonts w:ascii="宋体" w:hAnsi="宋体"/>
          <w:color w:val="auto"/>
          <w:szCs w:val="21"/>
          <w:highlight w:val="none"/>
        </w:rPr>
      </w:pPr>
      <w:r>
        <w:rPr>
          <w:rFonts w:hint="eastAsia" w:ascii="宋体" w:hAnsi="宋体"/>
          <w:color w:val="auto"/>
          <w:szCs w:val="21"/>
          <w:highlight w:val="none"/>
        </w:rPr>
        <w:t>5、有关本次招标的事项若存在变动或修改，敬请及时关注</w:t>
      </w:r>
      <w:r>
        <w:rPr>
          <w:rFonts w:hint="eastAsia" w:ascii="宋体" w:hAnsi="宋体" w:cs="宋体"/>
          <w:color w:val="auto"/>
          <w:szCs w:val="21"/>
          <w:highlight w:val="none"/>
        </w:rPr>
        <w:t>“扬州市公共资源交易服务平台、扬州市城建国有资产控股（集团）有限责任公司网站、江苏长江水务股份有限公司网站”</w:t>
      </w:r>
      <w:r>
        <w:rPr>
          <w:rFonts w:hint="eastAsia" w:ascii="宋体" w:hAnsi="宋体"/>
          <w:color w:val="auto"/>
          <w:szCs w:val="21"/>
          <w:highlight w:val="none"/>
        </w:rPr>
        <w:t>栏发布的信息或更正公告。</w:t>
      </w:r>
    </w:p>
    <w:p>
      <w:pPr>
        <w:spacing w:line="360" w:lineRule="auto"/>
        <w:ind w:firstLine="413" w:firstLineChars="197"/>
        <w:rPr>
          <w:rFonts w:ascii="宋体" w:hAnsi="宋体"/>
          <w:i/>
          <w:iCs/>
          <w:color w:val="auto"/>
          <w:szCs w:val="21"/>
          <w:highlight w:val="none"/>
          <w:u w:val="single"/>
        </w:rPr>
      </w:pPr>
      <w:r>
        <w:rPr>
          <w:rFonts w:hint="eastAsia" w:ascii="宋体" w:hAnsi="宋体"/>
          <w:color w:val="auto"/>
          <w:szCs w:val="21"/>
          <w:highlight w:val="none"/>
        </w:rPr>
        <w:t>6、</w:t>
      </w:r>
      <w:r>
        <w:rPr>
          <w:rFonts w:hint="eastAsia" w:ascii="宋体" w:hAnsi="宋体"/>
          <w:i/>
          <w:iCs/>
          <w:color w:val="auto"/>
          <w:szCs w:val="21"/>
          <w:highlight w:val="none"/>
          <w:u w:val="single"/>
        </w:rPr>
        <w:t>本项目招标文件中所有斜体下划线部分为实质性条款，如不满足，则为无效投标。</w:t>
      </w:r>
    </w:p>
    <w:p>
      <w:pPr>
        <w:spacing w:line="360" w:lineRule="auto"/>
        <w:ind w:firstLine="422" w:firstLineChars="200"/>
        <w:rPr>
          <w:rFonts w:ascii="宋体" w:hAnsi="宋体" w:cs="宋体"/>
          <w:color w:val="auto"/>
          <w:szCs w:val="21"/>
          <w:highlight w:val="none"/>
        </w:rPr>
      </w:pPr>
      <w:bookmarkStart w:id="25" w:name="_Toc35393796"/>
      <w:bookmarkStart w:id="26" w:name="_Toc28359085"/>
      <w:bookmarkStart w:id="27" w:name="_Toc28359008"/>
      <w:bookmarkStart w:id="28" w:name="_Toc35393627"/>
      <w:r>
        <w:rPr>
          <w:rFonts w:hint="eastAsia" w:ascii="宋体" w:hAnsi="宋体" w:cs="宋体"/>
          <w:b/>
          <w:bCs/>
          <w:color w:val="auto"/>
          <w:szCs w:val="21"/>
          <w:highlight w:val="none"/>
        </w:rPr>
        <w:t>七、对本次招标提出询问，请按以下方式联系</w:t>
      </w:r>
      <w:bookmarkEnd w:id="25"/>
      <w:bookmarkEnd w:id="26"/>
      <w:bookmarkEnd w:id="27"/>
      <w:bookmarkEnd w:id="2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hAnsi="宋体"/>
          <w:color w:val="auto"/>
          <w:szCs w:val="21"/>
          <w:highlight w:val="none"/>
        </w:rPr>
        <w:t>江苏长江水务股份有限公司</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址：扬州市文汇东路249号</w:t>
      </w:r>
    </w:p>
    <w:p>
      <w:pPr>
        <w:spacing w:line="360" w:lineRule="auto"/>
        <w:ind w:firstLine="420" w:firstLineChars="200"/>
        <w:rPr>
          <w:rFonts w:ascii="宋体" w:hAnsi="宋体" w:cs="宋体"/>
          <w:color w:val="auto"/>
          <w:szCs w:val="21"/>
          <w:highlight w:val="none"/>
        </w:rPr>
      </w:pPr>
      <w:bookmarkStart w:id="29" w:name="_Toc28359009"/>
      <w:bookmarkStart w:id="30" w:name="_Toc28359086"/>
      <w:r>
        <w:rPr>
          <w:rFonts w:hint="eastAsia" w:ascii="宋体" w:hAnsi="宋体" w:cs="宋体"/>
          <w:color w:val="auto"/>
          <w:szCs w:val="21"/>
          <w:highlight w:val="none"/>
        </w:rPr>
        <w:t>2.采购代理机构信息</w:t>
      </w:r>
      <w:bookmarkEnd w:id="29"/>
      <w:bookmarkEnd w:id="3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名    称：江苏中鑫项目管理有限公司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　  址：扬州市京华城路8号五彩世界B座19楼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联系方式：13912147130      　　 </w:t>
      </w:r>
    </w:p>
    <w:p>
      <w:pPr>
        <w:spacing w:line="360" w:lineRule="auto"/>
        <w:ind w:firstLine="420" w:firstLineChars="200"/>
        <w:rPr>
          <w:rFonts w:ascii="宋体" w:hAnsi="宋体" w:cs="宋体"/>
          <w:color w:val="auto"/>
          <w:szCs w:val="21"/>
          <w:highlight w:val="none"/>
        </w:rPr>
      </w:pPr>
      <w:bookmarkStart w:id="31" w:name="_Toc28359025"/>
      <w:bookmarkStart w:id="32" w:name="_Toc28359102"/>
      <w:bookmarkStart w:id="33" w:name="_Toc35393643"/>
      <w:bookmarkStart w:id="34" w:name="_Toc35393812"/>
      <w:r>
        <w:rPr>
          <w:rFonts w:hint="eastAsia" w:ascii="宋体" w:hAnsi="宋体" w:cs="宋体"/>
          <w:color w:val="auto"/>
          <w:szCs w:val="21"/>
          <w:highlight w:val="none"/>
        </w:rPr>
        <w:t>3.项目联系方式</w:t>
      </w:r>
      <w:bookmarkEnd w:id="31"/>
      <w:bookmarkEnd w:id="32"/>
      <w:bookmarkEnd w:id="33"/>
      <w:bookmarkEnd w:id="34"/>
    </w:p>
    <w:p>
      <w:pPr>
        <w:ind w:firstLine="420" w:firstLineChars="200"/>
        <w:rPr>
          <w:rFonts w:ascii="宋体" w:hAnsi="宋体" w:cs="宋体"/>
          <w:color w:val="auto"/>
          <w:sz w:val="36"/>
          <w:highlight w:val="none"/>
        </w:rPr>
      </w:pPr>
      <w:r>
        <w:rPr>
          <w:rFonts w:hint="eastAsia" w:ascii="宋体" w:hAnsi="宋体" w:cs="宋体"/>
          <w:color w:val="auto"/>
          <w:szCs w:val="21"/>
          <w:highlight w:val="none"/>
        </w:rPr>
        <w:t>项目联系人：卞工 电话：13912147130</w:t>
      </w:r>
      <w:bookmarkStart w:id="35" w:name="_Toc99380848"/>
      <w:r>
        <w:rPr>
          <w:rFonts w:hint="eastAsia"/>
          <w:color w:val="auto"/>
          <w:highlight w:val="none"/>
        </w:rPr>
        <w:br w:type="page"/>
      </w:r>
      <w:bookmarkStart w:id="36" w:name="_Toc29432"/>
      <w:bookmarkStart w:id="37" w:name="_Toc100135568"/>
      <w:r>
        <w:rPr>
          <w:rFonts w:hint="eastAsia"/>
          <w:color w:val="auto"/>
          <w:highlight w:val="none"/>
          <w:lang w:val="en-US" w:eastAsia="zh-CN"/>
        </w:rPr>
        <w:t xml:space="preserve">                          </w:t>
      </w:r>
      <w:r>
        <w:rPr>
          <w:rFonts w:hint="eastAsia" w:ascii="宋体" w:hAnsi="宋体" w:cs="宋体"/>
          <w:b/>
          <w:bCs/>
          <w:color w:val="auto"/>
          <w:kern w:val="44"/>
          <w:sz w:val="36"/>
          <w:szCs w:val="44"/>
          <w:highlight w:val="none"/>
        </w:rPr>
        <w:t>第二章 投标人须知</w:t>
      </w:r>
      <w:bookmarkEnd w:id="6"/>
      <w:bookmarkEnd w:id="35"/>
      <w:bookmarkEnd w:id="36"/>
      <w:bookmarkEnd w:id="37"/>
    </w:p>
    <w:p>
      <w:pPr>
        <w:spacing w:line="360" w:lineRule="auto"/>
        <w:ind w:firstLine="422" w:firstLineChars="200"/>
        <w:rPr>
          <w:rFonts w:ascii="宋体" w:hAnsi="宋体" w:cs="宋体"/>
          <w:b/>
          <w:color w:val="auto"/>
          <w:szCs w:val="21"/>
          <w:highlight w:val="none"/>
        </w:rPr>
      </w:pPr>
      <w:bookmarkStart w:id="38" w:name="_Toc458694821"/>
      <w:bookmarkStart w:id="39" w:name="_Toc513029204"/>
      <w:bookmarkStart w:id="40" w:name="_Toc16938520"/>
      <w:bookmarkStart w:id="41" w:name="_Toc20823276"/>
      <w:r>
        <w:rPr>
          <w:rFonts w:hint="eastAsia" w:ascii="宋体" w:hAnsi="宋体" w:cs="宋体"/>
          <w:b/>
          <w:color w:val="auto"/>
          <w:szCs w:val="21"/>
          <w:highlight w:val="none"/>
        </w:rPr>
        <w:t>1</w:t>
      </w:r>
      <w:bookmarkEnd w:id="38"/>
      <w:r>
        <w:rPr>
          <w:rFonts w:hint="eastAsia" w:ascii="宋体" w:hAnsi="宋体" w:cs="宋体"/>
          <w:b/>
          <w:color w:val="auto"/>
          <w:szCs w:val="21"/>
          <w:highlight w:val="none"/>
        </w:rPr>
        <w:t>、招标方式</w:t>
      </w:r>
      <w:bookmarkEnd w:id="39"/>
      <w:bookmarkEnd w:id="40"/>
      <w:bookmarkEnd w:id="4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本次招标采取公开招标方式，本招标文件仅适用</w:t>
      </w:r>
      <w:r>
        <w:rPr>
          <w:rFonts w:hint="eastAsia" w:ascii="宋体" w:hAnsi="宋体" w:cs="宋体"/>
          <w:color w:val="auto"/>
          <w:highlight w:val="none"/>
          <w:u w:val="single"/>
        </w:rPr>
        <w:t>JSZX-230</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-DL0</w:t>
      </w:r>
      <w:r>
        <w:rPr>
          <w:rFonts w:hint="eastAsia" w:ascii="宋体" w:hAnsi="宋体" w:cs="宋体"/>
          <w:color w:val="auto"/>
          <w:highlight w:val="none"/>
          <w:u w:val="single"/>
          <w:lang w:val="en-US" w:eastAsia="zh-CN"/>
        </w:rPr>
        <w:t>9</w:t>
      </w:r>
      <w:r>
        <w:rPr>
          <w:rFonts w:hint="eastAsia" w:ascii="宋体" w:hAnsi="宋体" w:cs="宋体"/>
          <w:color w:val="auto"/>
          <w:highlight w:val="none"/>
        </w:rPr>
        <w:t>号</w:t>
      </w:r>
      <w:r>
        <w:rPr>
          <w:rFonts w:hint="eastAsia" w:ascii="宋体" w:hAnsi="宋体" w:cs="宋体"/>
          <w:color w:val="auto"/>
          <w:szCs w:val="21"/>
          <w:highlight w:val="none"/>
        </w:rPr>
        <w:t>项目。</w:t>
      </w:r>
    </w:p>
    <w:p>
      <w:pPr>
        <w:spacing w:line="360" w:lineRule="auto"/>
        <w:ind w:firstLine="422" w:firstLineChars="200"/>
        <w:rPr>
          <w:rFonts w:ascii="宋体" w:hAnsi="宋体" w:cs="宋体"/>
          <w:b/>
          <w:color w:val="auto"/>
          <w:szCs w:val="21"/>
          <w:highlight w:val="none"/>
        </w:rPr>
      </w:pPr>
      <w:bookmarkStart w:id="42" w:name="_Toc513029205"/>
      <w:bookmarkStart w:id="43" w:name="_Toc16938521"/>
      <w:bookmarkStart w:id="44" w:name="_Toc20823277"/>
      <w:r>
        <w:rPr>
          <w:rFonts w:hint="eastAsia" w:ascii="宋体" w:hAnsi="宋体" w:cs="宋体"/>
          <w:b/>
          <w:color w:val="auto"/>
          <w:szCs w:val="21"/>
          <w:highlight w:val="none"/>
        </w:rPr>
        <w:t>2、投标人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本招标文件中“供应商”，即“投标人”，是指参加投标竞争，并符合招标文件规定资格条件的法人、其他组织或者自然人。</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2.2合格的投标人</w:t>
      </w:r>
      <w:bookmarkEnd w:id="42"/>
      <w:bookmarkEnd w:id="43"/>
      <w:bookmarkEnd w:id="4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满足投标邀请中供应商的资格条件要求的规定。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满足本文件实质性条款的规定。</w:t>
      </w:r>
    </w:p>
    <w:p>
      <w:pPr>
        <w:spacing w:line="360" w:lineRule="auto"/>
        <w:ind w:firstLine="422" w:firstLineChars="200"/>
        <w:rPr>
          <w:rFonts w:ascii="宋体" w:hAnsi="宋体" w:cs="宋体"/>
          <w:b/>
          <w:color w:val="auto"/>
          <w:szCs w:val="21"/>
          <w:highlight w:val="none"/>
        </w:rPr>
      </w:pPr>
      <w:bookmarkStart w:id="45" w:name="_Toc513029206"/>
      <w:bookmarkStart w:id="46" w:name="_Toc20823278"/>
      <w:bookmarkStart w:id="47" w:name="_Toc16938522"/>
      <w:r>
        <w:rPr>
          <w:rFonts w:hint="eastAsia" w:ascii="宋体" w:hAnsi="宋体" w:cs="宋体"/>
          <w:b/>
          <w:color w:val="auto"/>
          <w:szCs w:val="21"/>
          <w:highlight w:val="none"/>
        </w:rPr>
        <w:t>3、适用法律</w:t>
      </w:r>
      <w:bookmarkEnd w:id="45"/>
      <w:bookmarkEnd w:id="46"/>
      <w:bookmarkEnd w:id="47"/>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 本次招标及由此产生的合同受中华人民共和国有关的法律法规制约和保护。</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4、投标费用</w:t>
      </w:r>
    </w:p>
    <w:p>
      <w:pPr>
        <w:tabs>
          <w:tab w:val="left" w:pos="900"/>
        </w:tabs>
        <w:spacing w:line="360" w:lineRule="auto"/>
        <w:ind w:left="210" w:leftChars="100" w:firstLine="210" w:firstLineChars="100"/>
        <w:rPr>
          <w:rFonts w:ascii="宋体" w:hAnsi="宋体" w:cs="宋体"/>
          <w:color w:val="auto"/>
          <w:highlight w:val="none"/>
        </w:rPr>
      </w:pPr>
      <w:r>
        <w:rPr>
          <w:rFonts w:hint="eastAsia" w:ascii="宋体" w:hAnsi="宋体" w:cs="宋体"/>
          <w:color w:val="auto"/>
          <w:highlight w:val="none"/>
        </w:rPr>
        <w:t>4.1投标人应自行承担所有与参加投标有关的费用。不论最终的结果如何，江苏中鑫项目管理有限公司（以下简称代理机构）在任何情况下均无义务和责任承担这些费用。</w:t>
      </w:r>
    </w:p>
    <w:p>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4.2专家评审费标准按《扬州市财政局关于进一步规范扬州市政府采购专家评审费标准的通知》（扬财购〔2020〕40号）执行。</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5、招标文件的约束力</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w:t>
      </w:r>
      <w:r>
        <w:rPr>
          <w:rFonts w:hint="eastAsia" w:ascii="宋体" w:hAnsi="宋体" w:cs="宋体"/>
          <w:color w:val="auto"/>
          <w:szCs w:val="21"/>
          <w:highlight w:val="none"/>
        </w:rPr>
        <w:t xml:space="preserve"> 投标人一旦参加本项目采购活动，即被认为接受了本招标文件的规定和约束。</w:t>
      </w:r>
    </w:p>
    <w:p>
      <w:pPr>
        <w:spacing w:line="360" w:lineRule="auto"/>
        <w:ind w:firstLine="422" w:firstLineChars="200"/>
        <w:rPr>
          <w:rFonts w:ascii="宋体" w:hAnsi="宋体" w:cs="宋体"/>
          <w:b/>
          <w:color w:val="auto"/>
          <w:szCs w:val="21"/>
          <w:highlight w:val="none"/>
        </w:rPr>
      </w:pPr>
      <w:bookmarkStart w:id="48" w:name="_Toc513029210"/>
      <w:bookmarkStart w:id="49" w:name="_Toc20823282"/>
      <w:bookmarkStart w:id="50" w:name="_Toc16938526"/>
      <w:r>
        <w:rPr>
          <w:rFonts w:hint="eastAsia" w:ascii="宋体" w:hAnsi="宋体" w:cs="宋体"/>
          <w:b/>
          <w:color w:val="auto"/>
          <w:szCs w:val="21"/>
          <w:highlight w:val="none"/>
        </w:rPr>
        <w:t>6、招标文件构成</w:t>
      </w:r>
      <w:bookmarkEnd w:id="48"/>
      <w:bookmarkEnd w:id="49"/>
      <w:bookmarkEnd w:id="50"/>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 xml:space="preserve"> 招标文件有以下部分组成：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pPr>
        <w:tabs>
          <w:tab w:val="left" w:pos="25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（3）合同条款及格式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（4）项目需求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（5）评标方法与评标标准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6.3 招标文件如果要求供应商提交备选投标方案的，供应商可以提交备选方案；否则，备选方案将被拒绝。</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6.4</w:t>
      </w:r>
      <w:r>
        <w:rPr>
          <w:rFonts w:hint="eastAsia" w:ascii="宋体" w:hAnsi="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ascii="宋体" w:hAnsi="宋体" w:cs="宋体"/>
          <w:b/>
          <w:color w:val="auto"/>
          <w:szCs w:val="21"/>
          <w:highlight w:val="none"/>
        </w:rPr>
      </w:pPr>
      <w:bookmarkStart w:id="51" w:name="_Toc462564070"/>
      <w:bookmarkStart w:id="52" w:name="_Toc16938527"/>
      <w:bookmarkStart w:id="53" w:name="_Toc513029211"/>
      <w:bookmarkStart w:id="54" w:name="_Toc20823283"/>
      <w:r>
        <w:rPr>
          <w:rFonts w:hint="eastAsia" w:ascii="宋体" w:hAnsi="宋体" w:cs="宋体"/>
          <w:b/>
          <w:color w:val="auto"/>
          <w:szCs w:val="21"/>
          <w:highlight w:val="none"/>
        </w:rPr>
        <w:t>7、招标文件的</w:t>
      </w:r>
      <w:bookmarkEnd w:id="51"/>
      <w:bookmarkEnd w:id="52"/>
      <w:bookmarkEnd w:id="53"/>
      <w:bookmarkEnd w:id="54"/>
      <w:r>
        <w:rPr>
          <w:rFonts w:hint="eastAsia" w:ascii="宋体" w:hAnsi="宋体" w:cs="宋体"/>
          <w:b/>
          <w:color w:val="auto"/>
          <w:szCs w:val="21"/>
          <w:highlight w:val="none"/>
        </w:rPr>
        <w:t>澄清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 任何要求对招标文件进行澄清的投标人，应在投标截止日期的十日前按投标邀请中的通讯地址，以书面形式通知代理机构。</w:t>
      </w:r>
    </w:p>
    <w:p>
      <w:pPr>
        <w:spacing w:line="360" w:lineRule="auto"/>
        <w:ind w:firstLine="422" w:firstLineChars="200"/>
        <w:rPr>
          <w:rFonts w:ascii="宋体" w:hAnsi="宋体" w:cs="宋体"/>
          <w:b/>
          <w:color w:val="auto"/>
          <w:szCs w:val="21"/>
          <w:highlight w:val="none"/>
        </w:rPr>
      </w:pPr>
      <w:bookmarkStart w:id="55" w:name="_Toc16938528"/>
      <w:bookmarkStart w:id="56" w:name="_Toc513029212"/>
      <w:bookmarkStart w:id="57" w:name="_Toc20823284"/>
      <w:bookmarkStart w:id="58" w:name="_Toc462564071"/>
      <w:r>
        <w:rPr>
          <w:rFonts w:hint="eastAsia" w:ascii="宋体" w:hAnsi="宋体" w:cs="宋体"/>
          <w:b/>
          <w:color w:val="auto"/>
          <w:szCs w:val="21"/>
          <w:highlight w:val="none"/>
        </w:rPr>
        <w:t>8、招标文件的修改</w:t>
      </w:r>
      <w:bookmarkEnd w:id="55"/>
      <w:bookmarkEnd w:id="56"/>
      <w:bookmarkEnd w:id="57"/>
      <w:bookmarkEnd w:id="58"/>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8.1</w:t>
      </w:r>
      <w:r>
        <w:rPr>
          <w:rFonts w:hint="eastAsia" w:ascii="宋体" w:hAnsi="宋体" w:cs="宋体"/>
          <w:color w:val="auto"/>
          <w:szCs w:val="21"/>
          <w:highlight w:val="none"/>
        </w:rPr>
        <w:t xml:space="preserve"> 在投标截止时间前，代理机构可以对招标文件进行修改。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8.3</w:t>
      </w:r>
      <w:r>
        <w:rPr>
          <w:rFonts w:hint="eastAsia" w:ascii="宋体" w:hAnsi="宋体" w:cs="宋体"/>
          <w:color w:val="auto"/>
          <w:szCs w:val="21"/>
          <w:highlight w:val="none"/>
        </w:rPr>
        <w:t>招标文件的修改将在“扬州市公共资源交易服务平台、扬州市城建国有资产控股（集团）有限责任公司网站、江苏长江水务股份有限公司网站”栏公布，补充文件将作为招标文件的组成部分，并对投标人具有约束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8.4投标人应在投标截止时间前关注原采购信息发布媒体上有关本招标项目有无变更公告。</w:t>
      </w:r>
    </w:p>
    <w:p>
      <w:pPr>
        <w:spacing w:line="360" w:lineRule="auto"/>
        <w:ind w:firstLine="422" w:firstLineChars="200"/>
        <w:rPr>
          <w:rFonts w:ascii="宋体" w:hAnsi="宋体" w:cs="宋体"/>
          <w:b/>
          <w:color w:val="auto"/>
          <w:szCs w:val="21"/>
          <w:highlight w:val="none"/>
        </w:rPr>
      </w:pPr>
      <w:bookmarkStart w:id="59" w:name="_Toc20823286"/>
      <w:bookmarkStart w:id="60" w:name="_Toc513029214"/>
      <w:bookmarkStart w:id="61" w:name="_Toc16938530"/>
      <w:bookmarkStart w:id="62" w:name="_Toc462564073"/>
      <w:r>
        <w:rPr>
          <w:rFonts w:hint="eastAsia" w:ascii="宋体" w:hAnsi="宋体" w:cs="宋体"/>
          <w:b/>
          <w:color w:val="auto"/>
          <w:szCs w:val="21"/>
          <w:highlight w:val="none"/>
        </w:rPr>
        <w:t>9、投标文件的语言、度量衡单位</w:t>
      </w:r>
      <w:bookmarkEnd w:id="59"/>
      <w:bookmarkEnd w:id="60"/>
      <w:bookmarkEnd w:id="61"/>
      <w:bookmarkEnd w:id="62"/>
      <w:r>
        <w:rPr>
          <w:rFonts w:hint="eastAsia" w:ascii="宋体" w:hAnsi="宋体" w:cs="宋体"/>
          <w:b/>
          <w:color w:val="auto"/>
          <w:szCs w:val="21"/>
          <w:highlight w:val="none"/>
        </w:rPr>
        <w:t>、货币和编制</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9.1</w:t>
      </w:r>
      <w:r>
        <w:rPr>
          <w:rFonts w:hint="eastAsia" w:ascii="宋体" w:hAnsi="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9.2</w:t>
      </w:r>
      <w:r>
        <w:rPr>
          <w:rFonts w:hint="eastAsia" w:ascii="宋体" w:hAnsi="宋体" w:cs="宋体"/>
          <w:color w:val="auto"/>
          <w:szCs w:val="21"/>
          <w:highlight w:val="none"/>
        </w:rPr>
        <w:t xml:space="preserve"> 除技术性能另有规定外，投标文件所使用的度量衡单位，均须采用国家法定计量单位。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9.3投标人应使用人民币报价。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9.4投标文件应字迹清楚、内容齐全、不得涂改。如有修改，修改处须有投标人加盖公章和法定代表人或其授权代表签字。</w:t>
      </w:r>
    </w:p>
    <w:p>
      <w:pPr>
        <w:spacing w:line="360" w:lineRule="auto"/>
        <w:ind w:firstLine="422" w:firstLineChars="200"/>
        <w:rPr>
          <w:rFonts w:ascii="宋体" w:hAnsi="宋体" w:cs="宋体"/>
          <w:b/>
          <w:color w:val="auto"/>
          <w:szCs w:val="21"/>
          <w:highlight w:val="none"/>
        </w:rPr>
      </w:pPr>
      <w:bookmarkStart w:id="63" w:name="_Toc513029215"/>
      <w:bookmarkStart w:id="64" w:name="_Toc16938531"/>
      <w:bookmarkStart w:id="65" w:name="_Toc20823287"/>
      <w:bookmarkStart w:id="66" w:name="_Toc462564074"/>
      <w:r>
        <w:rPr>
          <w:rFonts w:hint="eastAsia" w:ascii="宋体" w:hAnsi="宋体" w:cs="宋体"/>
          <w:b/>
          <w:color w:val="auto"/>
          <w:szCs w:val="21"/>
          <w:highlight w:val="none"/>
        </w:rPr>
        <w:t>10、投标文件构成</w:t>
      </w:r>
      <w:bookmarkEnd w:id="63"/>
      <w:bookmarkEnd w:id="64"/>
      <w:bookmarkEnd w:id="65"/>
      <w:bookmarkEnd w:id="66"/>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10.1</w:t>
      </w:r>
      <w:r>
        <w:rPr>
          <w:rFonts w:hint="eastAsia" w:ascii="宋体" w:hAnsi="宋体" w:cs="宋体"/>
          <w:color w:val="auto"/>
          <w:szCs w:val="21"/>
          <w:highlight w:val="none"/>
        </w:rPr>
        <w:t xml:space="preserve"> 投标人编写的投标文件应包括：资信证明文件、技术参数响应及偏离表、商务条款响应及偏离表、开标一览表、商务文件、技术文件等部分；</w:t>
      </w:r>
    </w:p>
    <w:p>
      <w:pPr>
        <w:spacing w:line="360" w:lineRule="auto"/>
        <w:ind w:firstLine="420" w:firstLineChars="200"/>
        <w:rPr>
          <w:rFonts w:ascii="宋体" w:hAnsi="宋体" w:cs="宋体"/>
          <w:color w:val="auto"/>
          <w:szCs w:val="21"/>
          <w:highlight w:val="none"/>
        </w:rPr>
      </w:pPr>
      <w:bookmarkStart w:id="67" w:name="_Toc49090509"/>
      <w:bookmarkStart w:id="68" w:name="_Toc513029219"/>
      <w:bookmarkStart w:id="69" w:name="_Toc14577357"/>
      <w:bookmarkStart w:id="70" w:name="_Toc513029216"/>
      <w:bookmarkStart w:id="71" w:name="_Toc49090507"/>
      <w:bookmarkStart w:id="72" w:name="_Toc14577354"/>
      <w:r>
        <w:rPr>
          <w:rFonts w:hint="eastAsia" w:ascii="宋体" w:hAnsi="宋体" w:cs="宋体"/>
          <w:color w:val="auto"/>
          <w:szCs w:val="21"/>
          <w:highlight w:val="none"/>
        </w:rPr>
        <w:t>10.2 投标人应将投标文件按顺序装订成册，应逐页编码，不得跳页（包括但不限于证明材料等），并编制投标文件资料目录。由于编排混乱导致投标文件被误读或查找不到，责任由投标人承担。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 投标人应当根据招标文件要求编制投标文件，投标文件应对招标文件提出的要求和条件作出实质性响应，并在相应的投标文件中逐条标明满足与否。</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11、证明投标人资格及符合招标文件规定的文件</w:t>
      </w:r>
      <w:bookmarkEnd w:id="67"/>
      <w:bookmarkEnd w:id="68"/>
      <w:bookmarkEnd w:id="6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11.1投标人应按要求提交资信证明文件及符合招标文件规定的文件。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11.2投标人应提交证明其有资格参加投标和中标后有能力独立履行合同的文件。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11.3投标人除必须具有履行合同所需服务的能力外，还必须具备相应的财务、技术方面的能力。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11.4投标人应提交根据合同要求提供的符合招标文件规定的证明文件。</w:t>
      </w:r>
    </w:p>
    <w:bookmarkEnd w:id="70"/>
    <w:bookmarkEnd w:id="71"/>
    <w:bookmarkEnd w:id="72"/>
    <w:p>
      <w:pPr>
        <w:spacing w:line="360" w:lineRule="auto"/>
        <w:ind w:firstLine="422" w:firstLineChars="200"/>
        <w:rPr>
          <w:rFonts w:ascii="宋体" w:hAnsi="宋体" w:cs="宋体"/>
          <w:b/>
          <w:color w:val="auto"/>
          <w:szCs w:val="21"/>
          <w:highlight w:val="none"/>
        </w:rPr>
      </w:pPr>
      <w:bookmarkStart w:id="73" w:name="_Toc49090508"/>
      <w:bookmarkStart w:id="74" w:name="_Toc14577355"/>
      <w:r>
        <w:rPr>
          <w:rFonts w:hint="eastAsia" w:ascii="宋体" w:hAnsi="宋体" w:cs="宋体"/>
          <w:b/>
          <w:color w:val="auto"/>
          <w:szCs w:val="21"/>
          <w:highlight w:val="none"/>
        </w:rPr>
        <w:t>12、投标</w:t>
      </w:r>
      <w:bookmarkEnd w:id="73"/>
      <w:bookmarkEnd w:id="74"/>
      <w:r>
        <w:rPr>
          <w:rFonts w:hint="eastAsia" w:ascii="宋体" w:hAnsi="宋体" w:cs="宋体"/>
          <w:b/>
          <w:color w:val="auto"/>
          <w:szCs w:val="21"/>
          <w:highlight w:val="none"/>
        </w:rPr>
        <w:t>报价</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 xml:space="preserve"> 本项目只允许有一个报价，任何有选择的报价将不予接受。</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12.2</w:t>
      </w:r>
      <w:r>
        <w:rPr>
          <w:rFonts w:hint="eastAsia" w:ascii="宋体" w:hAnsi="宋体" w:cs="宋体"/>
          <w:color w:val="auto"/>
          <w:szCs w:val="21"/>
          <w:highlight w:val="none"/>
        </w:rPr>
        <w:t xml:space="preserve"> 标的物</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采购人需求的服务等</w:t>
      </w:r>
      <w:r>
        <w:rPr>
          <w:rFonts w:hint="eastAsia" w:ascii="宋体" w:hAnsi="宋体" w:cs="宋体"/>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12.3</w:t>
      </w:r>
      <w:r>
        <w:rPr>
          <w:rFonts w:hint="eastAsia" w:ascii="宋体" w:hAnsi="宋体" w:cs="宋体"/>
          <w:bCs/>
          <w:color w:val="auto"/>
          <w:szCs w:val="21"/>
          <w:highlight w:val="none"/>
        </w:rPr>
        <w:t>投标货币</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投标文件中的货物单价和总价无特殊规定的采用人民币报价，以元为单位标注。</w:t>
      </w:r>
      <w:r>
        <w:rPr>
          <w:rFonts w:hint="eastAsia" w:ascii="宋体" w:hAnsi="宋体" w:cs="宋体"/>
          <w:color w:val="auto"/>
          <w:szCs w:val="21"/>
          <w:highlight w:val="none"/>
        </w:rPr>
        <w:t>招标文件中另有规定的按规定执行。</w:t>
      </w:r>
    </w:p>
    <w:p>
      <w:pPr>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13、</w:t>
      </w:r>
      <w:r>
        <w:rPr>
          <w:rFonts w:hint="eastAsia" w:ascii="宋体" w:hAnsi="宋体" w:cs="宋体"/>
          <w:b/>
          <w:color w:val="auto"/>
          <w:szCs w:val="21"/>
          <w:highlight w:val="none"/>
        </w:rPr>
        <w:t>技术参数响应及偏离表、商务条款响应及偏离表</w:t>
      </w:r>
    </w:p>
    <w:p>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bCs/>
          <w:color w:val="auto"/>
          <w:szCs w:val="21"/>
          <w:highlight w:val="none"/>
          <w:lang w:val="zh-CN"/>
        </w:rPr>
        <w:t>13.1</w:t>
      </w:r>
      <w:r>
        <w:rPr>
          <w:rFonts w:hint="eastAsia" w:ascii="宋体" w:hAnsi="宋体" w:cs="宋体"/>
          <w:color w:val="auto"/>
          <w:szCs w:val="21"/>
          <w:highlight w:val="none"/>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w:t>
      </w:r>
      <w:r>
        <w:rPr>
          <w:rFonts w:hint="eastAsia" w:ascii="宋体" w:hAnsi="宋体" w:cs="宋体"/>
          <w:color w:val="auto"/>
          <w:szCs w:val="21"/>
          <w:highlight w:val="none"/>
        </w:rPr>
        <w:t>2</w:t>
      </w:r>
      <w:r>
        <w:rPr>
          <w:rFonts w:hint="eastAsia" w:ascii="宋体" w:hAnsi="宋体" w:cs="宋体"/>
          <w:color w:val="auto"/>
          <w:szCs w:val="21"/>
          <w:highlight w:val="none"/>
          <w:lang w:val="zh-CN"/>
        </w:rPr>
        <w:t xml:space="preserve"> 投标人认为需要的其他技术文件或说明。</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14、服务承诺</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14.1</w:t>
      </w:r>
      <w:r>
        <w:rPr>
          <w:rFonts w:hint="eastAsia" w:ascii="宋体" w:hAnsi="宋体" w:cs="宋体"/>
          <w:color w:val="auto"/>
          <w:szCs w:val="21"/>
          <w:highlight w:val="none"/>
        </w:rPr>
        <w:t>投标人的服务承诺应按不低于招标文件中商务要求的标准。</w:t>
      </w:r>
    </w:p>
    <w:p>
      <w:pPr>
        <w:spacing w:line="360" w:lineRule="auto"/>
        <w:ind w:firstLine="422" w:firstLineChars="200"/>
        <w:rPr>
          <w:rFonts w:ascii="宋体" w:hAnsi="宋体" w:cs="宋体"/>
          <w:b/>
          <w:color w:val="auto"/>
          <w:szCs w:val="21"/>
          <w:highlight w:val="none"/>
        </w:rPr>
      </w:pPr>
      <w:bookmarkStart w:id="75" w:name="_Toc49090510"/>
      <w:bookmarkStart w:id="76" w:name="_Toc14577359"/>
      <w:r>
        <w:rPr>
          <w:rFonts w:hint="eastAsia" w:ascii="宋体" w:hAnsi="宋体" w:cs="宋体"/>
          <w:b/>
          <w:color w:val="auto"/>
          <w:szCs w:val="21"/>
          <w:highlight w:val="none"/>
        </w:rPr>
        <w:t>15、投标函和开标一览表</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15.1</w:t>
      </w:r>
      <w:r>
        <w:rPr>
          <w:rFonts w:hint="eastAsia" w:ascii="宋体" w:hAnsi="宋体" w:cs="宋体"/>
          <w:color w:val="auto"/>
          <w:szCs w:val="21"/>
          <w:highlight w:val="none"/>
        </w:rPr>
        <w:t xml:space="preserve"> 投标人应按照招标文件中提供的格式完整、正确填写投标函、开标一览表。</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15.2</w:t>
      </w:r>
      <w:r>
        <w:rPr>
          <w:rFonts w:hint="eastAsia" w:ascii="宋体" w:hAnsi="宋体" w:cs="宋体"/>
          <w:color w:val="auto"/>
          <w:szCs w:val="21"/>
          <w:highlight w:val="none"/>
        </w:rPr>
        <w:t xml:space="preserve"> 开标一览表中的价格应与投标文件中的价格一致，如不一致，不作为无效投标处理，但评标时按开标一览表中价格为准。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 开标一览表必须加盖公章，必须单独密封，在投标截止时间前与投标文件分别递交。</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16、投标保证金</w:t>
      </w:r>
      <w:bookmarkEnd w:id="75"/>
      <w:bookmarkEnd w:id="76"/>
    </w:p>
    <w:p>
      <w:pPr>
        <w:spacing w:line="360" w:lineRule="auto"/>
        <w:ind w:firstLine="420" w:firstLineChars="200"/>
        <w:rPr>
          <w:rFonts w:ascii="宋体" w:hAnsi="宋体"/>
          <w:bCs/>
          <w:color w:val="auto"/>
          <w:szCs w:val="21"/>
          <w:highlight w:val="none"/>
        </w:rPr>
      </w:pPr>
      <w:bookmarkStart w:id="77" w:name="_Toc14577360"/>
      <w:bookmarkStart w:id="78" w:name="_Toc49090511"/>
      <w:r>
        <w:rPr>
          <w:rFonts w:hint="eastAsia" w:ascii="宋体" w:hAnsi="宋体"/>
          <w:bCs/>
          <w:color w:val="auto"/>
          <w:szCs w:val="21"/>
          <w:highlight w:val="none"/>
        </w:rPr>
        <w:t>依据苏财购〔2020〕52号文，本项目不收取投标保证金。</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17、投标有效期</w:t>
      </w:r>
      <w:bookmarkEnd w:id="77"/>
      <w:bookmarkEnd w:id="78"/>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 xml:space="preserve"> 投标有效期为代理机构规定的开标之日起</w:t>
      </w:r>
      <w:r>
        <w:rPr>
          <w:rFonts w:hint="eastAsia" w:ascii="宋体" w:hAnsi="宋体" w:cs="宋体"/>
          <w:b/>
          <w:color w:val="auto"/>
          <w:szCs w:val="21"/>
          <w:highlight w:val="none"/>
          <w:u w:val="single"/>
        </w:rPr>
        <w:t>六十（60）天</w:t>
      </w:r>
      <w:r>
        <w:rPr>
          <w:rFonts w:hint="eastAsia" w:ascii="宋体" w:hAnsi="宋体" w:cs="宋体"/>
          <w:bCs/>
          <w:color w:val="auto"/>
          <w:szCs w:val="21"/>
          <w:highlight w:val="none"/>
        </w:rPr>
        <w:t>。投标有效期比规定短的将被视为非响应性投标而予以拒绝。</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17.2</w:t>
      </w:r>
      <w:r>
        <w:rPr>
          <w:rFonts w:hint="eastAsia" w:ascii="宋体" w:hAnsi="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bCs/>
          <w:color w:val="auto"/>
          <w:szCs w:val="21"/>
          <w:highlight w:val="none"/>
        </w:rPr>
        <w:t>本招标文件</w:t>
      </w:r>
      <w:r>
        <w:rPr>
          <w:rFonts w:hint="eastAsia" w:ascii="宋体" w:hAnsi="宋体" w:cs="宋体"/>
          <w:color w:val="auto"/>
          <w:szCs w:val="21"/>
          <w:highlight w:val="none"/>
        </w:rPr>
        <w:t>同时受投标有效期约束的所有权利与义务均延长至新的有效期</w:t>
      </w:r>
      <w:r>
        <w:rPr>
          <w:rFonts w:hint="eastAsia" w:ascii="宋体" w:hAnsi="宋体" w:cs="宋体"/>
          <w:bCs/>
          <w:color w:val="auto"/>
          <w:szCs w:val="21"/>
          <w:highlight w:val="none"/>
        </w:rPr>
        <w:t>。</w:t>
      </w:r>
    </w:p>
    <w:p>
      <w:pPr>
        <w:spacing w:line="360" w:lineRule="auto"/>
        <w:ind w:firstLine="422" w:firstLineChars="200"/>
        <w:rPr>
          <w:rFonts w:ascii="宋体" w:hAnsi="宋体" w:cs="宋体"/>
          <w:b/>
          <w:color w:val="auto"/>
          <w:szCs w:val="21"/>
          <w:highlight w:val="none"/>
        </w:rPr>
      </w:pPr>
      <w:bookmarkStart w:id="79" w:name="_Toc14577361"/>
      <w:bookmarkStart w:id="80" w:name="_Toc49090512"/>
      <w:r>
        <w:rPr>
          <w:rFonts w:hint="eastAsia" w:ascii="宋体" w:hAnsi="宋体" w:cs="宋体"/>
          <w:b/>
          <w:color w:val="auto"/>
          <w:szCs w:val="21"/>
          <w:highlight w:val="none"/>
        </w:rPr>
        <w:t>18、投标文件份数和签署</w:t>
      </w:r>
      <w:bookmarkEnd w:id="79"/>
      <w:bookmarkEnd w:id="80"/>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18.1</w:t>
      </w:r>
      <w:r>
        <w:rPr>
          <w:rFonts w:hint="eastAsia" w:ascii="宋体" w:hAnsi="宋体" w:cs="宋体"/>
          <w:bCs/>
          <w:color w:val="auto"/>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s="宋体"/>
          <w:bCs/>
          <w:color w:val="auto"/>
          <w:szCs w:val="21"/>
          <w:highlight w:val="none"/>
        </w:rPr>
        <w:t xml:space="preserve"> 除投标人对错处做必要修改外，投标文件不得行间插字、涂改或增删。如有修改错漏处，必须由法定代表人或授权代表签字或盖章。</w:t>
      </w:r>
    </w:p>
    <w:p>
      <w:pPr>
        <w:spacing w:line="360" w:lineRule="auto"/>
        <w:ind w:firstLine="422" w:firstLineChars="200"/>
        <w:rPr>
          <w:rFonts w:ascii="宋体" w:hAnsi="宋体" w:cs="宋体"/>
          <w:b/>
          <w:color w:val="auto"/>
          <w:szCs w:val="21"/>
          <w:highlight w:val="none"/>
        </w:rPr>
      </w:pPr>
      <w:bookmarkStart w:id="81" w:name="_Toc462564084"/>
      <w:bookmarkStart w:id="82" w:name="_Toc513029225"/>
      <w:bookmarkStart w:id="83" w:name="_Toc20823297"/>
      <w:bookmarkStart w:id="84" w:name="_Toc16938541"/>
      <w:r>
        <w:rPr>
          <w:rFonts w:hint="eastAsia" w:ascii="宋体" w:hAnsi="宋体" w:cs="宋体"/>
          <w:b/>
          <w:color w:val="auto"/>
          <w:szCs w:val="21"/>
          <w:highlight w:val="none"/>
        </w:rPr>
        <w:t>19、投标文件的密封和标记</w:t>
      </w:r>
      <w:bookmarkEnd w:id="81"/>
      <w:bookmarkEnd w:id="82"/>
      <w:bookmarkEnd w:id="83"/>
      <w:bookmarkEnd w:id="84"/>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投标人应将投标文件正本、所有副本密封，不论投标人中标与否，投标文件均不退回。</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19.2</w:t>
      </w:r>
      <w:r>
        <w:rPr>
          <w:rFonts w:hint="eastAsia" w:ascii="宋体" w:hAnsi="宋体" w:cs="宋体"/>
          <w:bCs/>
          <w:color w:val="auto"/>
          <w:szCs w:val="21"/>
          <w:highlight w:val="none"/>
        </w:rPr>
        <w:t xml:space="preserve"> 密封的投标文件应：</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19.2.1 注明投标人名称，如因标注不清而产生的后果由投标人自负。按招标公告中注明的地址送达；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19.2.2注明投标项目名称、项目编号。</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19.2.3</w:t>
      </w:r>
      <w:r>
        <w:rPr>
          <w:rFonts w:hint="eastAsia" w:ascii="宋体" w:hAnsi="宋体" w:cs="宋体"/>
          <w:bCs/>
          <w:color w:val="auto"/>
          <w:szCs w:val="21"/>
          <w:highlight w:val="none"/>
        </w:rPr>
        <w:t>未按要求密封和加写标记，代理机构对误投或过早启封概不负责。对由此造成提前开封的投标文件，代理机构将予以拒绝，作无效投标处理。</w:t>
      </w:r>
    </w:p>
    <w:p>
      <w:pPr>
        <w:spacing w:line="360" w:lineRule="auto"/>
        <w:ind w:firstLine="422" w:firstLineChars="200"/>
        <w:rPr>
          <w:rFonts w:ascii="宋体" w:hAnsi="宋体" w:cs="宋体"/>
          <w:b/>
          <w:color w:val="auto"/>
          <w:szCs w:val="21"/>
          <w:highlight w:val="none"/>
        </w:rPr>
      </w:pPr>
      <w:bookmarkStart w:id="85" w:name="_Toc513029226"/>
      <w:bookmarkStart w:id="86" w:name="_Toc16938542"/>
      <w:bookmarkStart w:id="87" w:name="_Toc20823298"/>
      <w:r>
        <w:rPr>
          <w:rFonts w:hint="eastAsia" w:ascii="宋体" w:hAnsi="宋体" w:cs="宋体"/>
          <w:b/>
          <w:color w:val="auto"/>
          <w:szCs w:val="21"/>
          <w:highlight w:val="none"/>
        </w:rPr>
        <w:t>20、投标截止日期</w:t>
      </w:r>
      <w:bookmarkEnd w:id="85"/>
      <w:bookmarkEnd w:id="86"/>
      <w:bookmarkEnd w:id="87"/>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 xml:space="preserve"> 代理机构收到投标文件的时间不得迟于招标公告中规定的截止时间。</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20.2</w:t>
      </w:r>
      <w:r>
        <w:rPr>
          <w:rFonts w:hint="eastAsia" w:ascii="宋体" w:hAnsi="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pPr>
        <w:spacing w:line="360" w:lineRule="auto"/>
        <w:ind w:firstLine="422" w:firstLineChars="200"/>
        <w:rPr>
          <w:rFonts w:ascii="宋体" w:hAnsi="宋体" w:cs="宋体"/>
          <w:b/>
          <w:color w:val="auto"/>
          <w:szCs w:val="21"/>
          <w:highlight w:val="none"/>
        </w:rPr>
      </w:pPr>
      <w:bookmarkStart w:id="88" w:name="_Toc16938543"/>
      <w:bookmarkStart w:id="89" w:name="_Toc513029227"/>
      <w:bookmarkStart w:id="90" w:name="_Toc20823299"/>
      <w:r>
        <w:rPr>
          <w:rFonts w:hint="eastAsia" w:ascii="宋体" w:hAnsi="宋体" w:cs="宋体"/>
          <w:b/>
          <w:color w:val="auto"/>
          <w:szCs w:val="21"/>
          <w:highlight w:val="none"/>
        </w:rPr>
        <w:t>21、迟交的投标文件</w:t>
      </w:r>
      <w:bookmarkEnd w:id="88"/>
      <w:bookmarkEnd w:id="89"/>
      <w:bookmarkEnd w:id="90"/>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21.1</w:t>
      </w:r>
      <w:r>
        <w:rPr>
          <w:rFonts w:hint="eastAsia" w:ascii="宋体" w:hAnsi="宋体" w:cs="宋体"/>
          <w:bCs/>
          <w:color w:val="auto"/>
          <w:szCs w:val="21"/>
          <w:highlight w:val="none"/>
        </w:rPr>
        <w:t xml:space="preserve"> 代理机构拒绝接收在其规定的投标截止时间后递交的任何投标文件。</w:t>
      </w:r>
    </w:p>
    <w:p>
      <w:pPr>
        <w:spacing w:line="360" w:lineRule="auto"/>
        <w:ind w:firstLine="422" w:firstLineChars="200"/>
        <w:rPr>
          <w:rFonts w:ascii="宋体" w:hAnsi="宋体" w:cs="宋体"/>
          <w:b/>
          <w:color w:val="auto"/>
          <w:szCs w:val="21"/>
          <w:highlight w:val="none"/>
        </w:rPr>
      </w:pPr>
      <w:bookmarkStart w:id="91" w:name="_Toc513029228"/>
      <w:bookmarkStart w:id="92" w:name="_Toc20823300"/>
      <w:bookmarkStart w:id="93" w:name="_Toc16938544"/>
      <w:r>
        <w:rPr>
          <w:rFonts w:hint="eastAsia" w:ascii="宋体" w:hAnsi="宋体" w:cs="宋体"/>
          <w:b/>
          <w:color w:val="auto"/>
          <w:szCs w:val="21"/>
          <w:highlight w:val="none"/>
        </w:rPr>
        <w:t>22、投标文件的修改和撤回</w:t>
      </w:r>
      <w:bookmarkEnd w:id="91"/>
      <w:bookmarkEnd w:id="92"/>
      <w:bookmarkEnd w:id="9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s="宋体"/>
          <w:color w:val="auto"/>
          <w:szCs w:val="21"/>
          <w:highlight w:val="none"/>
        </w:rPr>
        <w:t>通知代理机构，否则，代理机构将拒绝。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cs="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22.3</w:t>
      </w:r>
      <w:r>
        <w:rPr>
          <w:rFonts w:hint="eastAsia" w:ascii="宋体" w:hAnsi="宋体" w:cs="宋体"/>
          <w:bCs/>
          <w:color w:val="auto"/>
          <w:szCs w:val="21"/>
          <w:highlight w:val="none"/>
        </w:rPr>
        <w:t xml:space="preserve"> 在投标截止时间之后，投标人不得对其投标文件作任何修改。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bCs/>
          <w:color w:val="auto"/>
          <w:szCs w:val="21"/>
          <w:highlight w:val="none"/>
        </w:rPr>
        <w:t xml:space="preserve"> 在投标截止时间至招标文件中规定的投标有效期满之间的这段时间内，投标人不得撤回其投标。</w:t>
      </w:r>
    </w:p>
    <w:p>
      <w:pPr>
        <w:spacing w:line="360" w:lineRule="auto"/>
        <w:ind w:firstLine="422" w:firstLineChars="200"/>
        <w:rPr>
          <w:rFonts w:ascii="宋体" w:hAnsi="宋体" w:cs="宋体"/>
          <w:b/>
          <w:color w:val="auto"/>
          <w:szCs w:val="21"/>
          <w:highlight w:val="none"/>
        </w:rPr>
      </w:pPr>
      <w:bookmarkStart w:id="94" w:name="_Toc16938546"/>
      <w:bookmarkStart w:id="95" w:name="_Toc20823302"/>
      <w:bookmarkStart w:id="96" w:name="_Toc513029230"/>
      <w:r>
        <w:rPr>
          <w:rFonts w:hint="eastAsia" w:ascii="宋体" w:hAnsi="宋体" w:cs="宋体"/>
          <w:b/>
          <w:color w:val="auto"/>
          <w:szCs w:val="21"/>
          <w:highlight w:val="none"/>
        </w:rPr>
        <w:t>23、开标</w:t>
      </w:r>
      <w:bookmarkEnd w:id="94"/>
      <w:bookmarkEnd w:id="95"/>
      <w:bookmarkEnd w:id="9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bCs/>
          <w:color w:val="auto"/>
          <w:szCs w:val="21"/>
          <w:highlight w:val="none"/>
        </w:rPr>
        <w:t xml:space="preserve"> 代理机构将在招标公告中规定的时间和地点组织公开开标</w:t>
      </w:r>
      <w:r>
        <w:rPr>
          <w:rFonts w:hint="eastAsia" w:ascii="宋体" w:hAnsi="宋体" w:cs="宋体"/>
          <w:color w:val="auto"/>
          <w:szCs w:val="21"/>
          <w:highlight w:val="none"/>
        </w:rPr>
        <w:t>。投标人应委派携带有效证件的代表准时参加，参加开标的代表需签名以证明其出席。投标人未参加开标的，视同认可开标结果。</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23.2</w:t>
      </w:r>
      <w:r>
        <w:rPr>
          <w:rFonts w:hint="eastAsia" w:ascii="宋体" w:hAnsi="宋体" w:cs="宋体"/>
          <w:color w:val="auto"/>
          <w:szCs w:val="21"/>
          <w:highlight w:val="none"/>
        </w:rPr>
        <w:t>开标仪式由代理机构组织，采购人代表、监委、投标人代表等参加。</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23.3</w:t>
      </w:r>
      <w:r>
        <w:rPr>
          <w:rFonts w:hint="eastAsia" w:ascii="宋体" w:hAnsi="宋体" w:cs="宋体"/>
          <w:bCs/>
          <w:color w:val="auto"/>
          <w:szCs w:val="21"/>
          <w:highlight w:val="none"/>
        </w:rPr>
        <w:t>按照规定同意撤回的投标文件将不予开封。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23.5 代理机构将指定专人负责开标记录并存档备查，各投标人需仔细核对开标纪录相关内容并签字确认。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23.6 投标人在报价时不允许采用选择性报价，否则将被视为无效投标。</w:t>
      </w:r>
    </w:p>
    <w:p>
      <w:pPr>
        <w:spacing w:line="360" w:lineRule="auto"/>
        <w:ind w:firstLine="422" w:firstLineChars="200"/>
        <w:rPr>
          <w:rFonts w:ascii="宋体" w:hAnsi="宋体" w:cs="宋体"/>
          <w:b/>
          <w:color w:val="auto"/>
          <w:szCs w:val="21"/>
          <w:highlight w:val="none"/>
        </w:rPr>
      </w:pPr>
      <w:bookmarkStart w:id="97" w:name="_Toc513029231"/>
      <w:bookmarkStart w:id="98" w:name="_Toc20823303"/>
      <w:bookmarkStart w:id="99" w:name="_Toc16938547"/>
      <w:r>
        <w:rPr>
          <w:rFonts w:hint="eastAsia" w:ascii="宋体" w:hAnsi="宋体" w:cs="宋体"/>
          <w:b/>
          <w:color w:val="auto"/>
          <w:szCs w:val="21"/>
          <w:highlight w:val="none"/>
        </w:rPr>
        <w:t>24、评标委员会</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24.1开标后，代理机构将立即组织评标委员会（以下简称评委会）进行评标。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评委会由采购人代表和有关技术、经济等方面的专家组成，且人员构成符合政府采购有关规定。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24.3评委会独立工作，负责评审所有投标文件并确定中标候选人。</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25、评标过程的保密与公正</w:t>
      </w:r>
    </w:p>
    <w:bookmarkEnd w:id="97"/>
    <w:bookmarkEnd w:id="98"/>
    <w:bookmarkEnd w:id="99"/>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25.1</w:t>
      </w:r>
      <w:r>
        <w:rPr>
          <w:rFonts w:hint="eastAsia" w:ascii="宋体" w:hAnsi="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25.2在评标过程中，投标人不得以任何行为影响评标过程，否则其投标文件将被作为无效投标文件。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 在评标期间，代理机构将设专门工作人员与投标人联系。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25.4 代理机构和评委会不向落标的投标人解释未中标原因，也不公布评标过程中的相关细节。</w:t>
      </w:r>
    </w:p>
    <w:p>
      <w:pPr>
        <w:spacing w:line="360" w:lineRule="auto"/>
        <w:ind w:firstLine="422" w:firstLineChars="200"/>
        <w:rPr>
          <w:rFonts w:ascii="宋体" w:hAnsi="宋体" w:cs="宋体"/>
          <w:b/>
          <w:color w:val="auto"/>
          <w:szCs w:val="21"/>
          <w:highlight w:val="none"/>
        </w:rPr>
      </w:pPr>
      <w:bookmarkStart w:id="100" w:name="_Toc16938548"/>
      <w:bookmarkStart w:id="101" w:name="_Toc20823304"/>
      <w:bookmarkStart w:id="102" w:name="_Toc513029232"/>
      <w:r>
        <w:rPr>
          <w:rFonts w:hint="eastAsia" w:ascii="宋体" w:hAnsi="宋体" w:cs="宋体"/>
          <w:b/>
          <w:color w:val="auto"/>
          <w:szCs w:val="21"/>
          <w:highlight w:val="none"/>
        </w:rPr>
        <w:t>26、投标的澄清</w:t>
      </w:r>
      <w:bookmarkEnd w:id="100"/>
      <w:bookmarkEnd w:id="101"/>
      <w:bookmarkEnd w:id="10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接到评委会澄清要求的投标人如未按规定做出澄清，其风险由投标人自行承担。</w:t>
      </w:r>
    </w:p>
    <w:p>
      <w:pPr>
        <w:spacing w:line="360" w:lineRule="auto"/>
        <w:ind w:firstLine="422" w:firstLineChars="200"/>
        <w:rPr>
          <w:rFonts w:ascii="宋体" w:hAnsi="宋体" w:cs="宋体"/>
          <w:b/>
          <w:color w:val="auto"/>
          <w:szCs w:val="21"/>
          <w:highlight w:val="none"/>
        </w:rPr>
      </w:pPr>
      <w:bookmarkStart w:id="103" w:name="_Toc20823305"/>
      <w:bookmarkStart w:id="104" w:name="_Toc16938549"/>
      <w:bookmarkStart w:id="105" w:name="_Toc513029233"/>
      <w:r>
        <w:rPr>
          <w:rFonts w:hint="eastAsia" w:ascii="宋体" w:hAnsi="宋体" w:cs="宋体"/>
          <w:b/>
          <w:color w:val="auto"/>
          <w:szCs w:val="21"/>
          <w:highlight w:val="none"/>
        </w:rPr>
        <w:t>27、对投标文件的初审</w:t>
      </w:r>
      <w:bookmarkEnd w:id="103"/>
      <w:bookmarkEnd w:id="104"/>
      <w:bookmarkEnd w:id="105"/>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w:t>
      </w:r>
      <w:r>
        <w:rPr>
          <w:rFonts w:hint="eastAsia" w:ascii="宋体" w:hAnsi="宋体" w:cs="宋体"/>
          <w:bCs/>
          <w:color w:val="auto"/>
          <w:szCs w:val="21"/>
          <w:highlight w:val="none"/>
        </w:rPr>
        <w:t>投标文件初审分为资格检查和符合性检查。</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27.1.1</w:t>
      </w:r>
      <w:r>
        <w:rPr>
          <w:rFonts w:hint="eastAsia" w:ascii="宋体" w:hAnsi="宋体" w:cs="宋体"/>
          <w:bCs/>
          <w:color w:val="auto"/>
          <w:szCs w:val="21"/>
          <w:highlight w:val="none"/>
        </w:rPr>
        <w:t>资格审查：依据法律法规和招标文件的规定，由采购人对投标文件中的资信证明文件进行审查。并将审查结论以书面形式向评委会反馈。</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27.1.2</w:t>
      </w:r>
      <w:r>
        <w:rPr>
          <w:rFonts w:hint="eastAsia" w:ascii="宋体" w:hAnsi="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auto"/>
          <w:szCs w:val="21"/>
          <w:highlight w:val="none"/>
        </w:rPr>
        <w:t>评委决定投标文件的响应性只根据投标文件本身的内容，而不寻求外部的证据。</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27.3</w:t>
      </w:r>
      <w:r>
        <w:rPr>
          <w:rFonts w:hint="eastAsia" w:ascii="宋体" w:hAnsi="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27.4</w:t>
      </w:r>
      <w:r>
        <w:rPr>
          <w:rFonts w:hint="eastAsia" w:ascii="宋体" w:hAnsi="宋体" w:cs="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（1）投标文件中开标一览表内容与投标文件中相应内容不一致的，以开标一览表为准。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（2）投标文件、“开标一览表”中报价的大写金额与小写金额不一致的，以大写金额为准。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（3）单价金额小数点或者百分比有明显错位的，以开标一览表的总价为准，并修改单价。</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27.5</w:t>
      </w:r>
      <w:r>
        <w:rPr>
          <w:rFonts w:hint="eastAsia" w:ascii="宋体" w:hAnsi="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27.6</w:t>
      </w:r>
      <w:r>
        <w:rPr>
          <w:rFonts w:hint="eastAsia" w:ascii="宋体" w:hAnsi="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2" w:firstLineChars="200"/>
        <w:rPr>
          <w:rFonts w:ascii="宋体" w:hAnsi="宋体" w:cs="宋体"/>
          <w:b/>
          <w:color w:val="auto"/>
          <w:szCs w:val="21"/>
          <w:highlight w:val="none"/>
        </w:rPr>
      </w:pPr>
      <w:bookmarkStart w:id="106" w:name="_Toc16938550"/>
      <w:bookmarkStart w:id="107" w:name="_Toc20823306"/>
      <w:bookmarkStart w:id="108" w:name="_Toc513029234"/>
      <w:r>
        <w:rPr>
          <w:rFonts w:hint="eastAsia" w:ascii="宋体" w:hAnsi="宋体" w:cs="宋体"/>
          <w:b/>
          <w:color w:val="auto"/>
          <w:szCs w:val="21"/>
          <w:highlight w:val="none"/>
        </w:rPr>
        <w:t>28、</w:t>
      </w:r>
      <w:bookmarkEnd w:id="106"/>
      <w:bookmarkEnd w:id="107"/>
      <w:bookmarkEnd w:id="108"/>
      <w:r>
        <w:rPr>
          <w:rFonts w:hint="eastAsia" w:ascii="宋体" w:hAnsi="宋体" w:cs="宋体"/>
          <w:b/>
          <w:color w:val="auto"/>
          <w:szCs w:val="21"/>
          <w:highlight w:val="none"/>
        </w:rPr>
        <w:t>无效投标、废标及投标人不足三家的处理</w:t>
      </w:r>
    </w:p>
    <w:p>
      <w:pPr>
        <w:spacing w:line="360" w:lineRule="auto"/>
        <w:ind w:firstLine="420" w:firstLineChars="200"/>
        <w:rPr>
          <w:rFonts w:ascii="宋体" w:hAnsi="宋体" w:cs="宋体"/>
          <w:bCs/>
          <w:color w:val="auto"/>
          <w:szCs w:val="21"/>
          <w:highlight w:val="none"/>
        </w:rPr>
      </w:pPr>
      <w:bookmarkStart w:id="109" w:name="_Toc513029235"/>
      <w:bookmarkStart w:id="110" w:name="_Toc16938551"/>
      <w:bookmarkStart w:id="111" w:name="_Toc20823307"/>
      <w:r>
        <w:rPr>
          <w:rFonts w:hint="eastAsia" w:ascii="宋体" w:hAnsi="宋体" w:cs="宋体"/>
          <w:bCs/>
          <w:color w:val="auto"/>
          <w:szCs w:val="21"/>
          <w:highlight w:val="none"/>
        </w:rPr>
        <w:t>28.1无效投标条款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28.1.1未按照招标文件规定要求密封、签署、盖章的；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28.1.2投标人在报价时采用选择性报价；</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28.1.3投标人不具备招标文件中规定资格要求的；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28.1.4投标人的报价超过了采购预算或最高限价的；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28.1.5未通过符合性检查的；</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28.1.7不符合招标文件中规定的其他实质性要求和条件的</w:t>
      </w:r>
      <w:r>
        <w:rPr>
          <w:rFonts w:hint="eastAsia" w:ascii="宋体" w:hAnsi="宋体" w:cs="宋体"/>
          <w:bCs/>
          <w:i/>
          <w:color w:val="auto"/>
          <w:szCs w:val="21"/>
          <w:highlight w:val="none"/>
          <w:u w:val="single"/>
        </w:rPr>
        <w:t>（本招标文件中斜体且有下划线部分为实质性要求和条件，包括但不限于该范围）</w:t>
      </w:r>
      <w:r>
        <w:rPr>
          <w:rFonts w:hint="eastAsia" w:ascii="宋体" w:hAnsi="宋体" w:cs="宋体"/>
          <w:bCs/>
          <w:color w:val="auto"/>
          <w:szCs w:val="21"/>
          <w:highlight w:val="none"/>
          <w:u w:val="singl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28.1.9  投标文件含有采购人不能接受的附加条件的；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28.1.11其他法律、法规及本招标文件规定的属无效投标的情形。</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28.2废标条款：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28.2.1符合专业条件的供应商或者对招标文件作实质响应的供应商不足三家的；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28.2.2投标人的报价均超过采购预算或最高限价；</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28.2.3出现影响采购公正的违法、违规行为的；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28.2.4因重大变故，采购任务取消的；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28.2.5评标委员会认定招标文件存在歧义、重大缺陷导致评审工作无法进行。</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28.3.1招标文件存在不合理条款或者招标程序不符合规定的，由采购人、代理机构改正后依法重新招标；</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28.3.2 招标文件没有不合理条款、招标程序符合规定，需要采用其他采购方式采购的，采购人应当依法报财政部门批准。</w:t>
      </w:r>
    </w:p>
    <w:bookmarkEnd w:id="109"/>
    <w:bookmarkEnd w:id="110"/>
    <w:bookmarkEnd w:id="111"/>
    <w:p>
      <w:pPr>
        <w:spacing w:line="360" w:lineRule="auto"/>
        <w:ind w:firstLine="422" w:firstLineChars="200"/>
        <w:rPr>
          <w:rFonts w:ascii="宋体" w:hAnsi="宋体" w:cs="宋体"/>
          <w:b/>
          <w:bCs/>
          <w:color w:val="auto"/>
          <w:szCs w:val="21"/>
          <w:highlight w:val="none"/>
        </w:rPr>
      </w:pPr>
      <w:bookmarkStart w:id="112" w:name="_Toc513029238"/>
      <w:bookmarkStart w:id="113" w:name="_Toc20823310"/>
      <w:bookmarkStart w:id="114" w:name="_Toc16938554"/>
      <w:r>
        <w:rPr>
          <w:rFonts w:hint="eastAsia" w:ascii="宋体" w:hAnsi="宋体" w:cs="宋体"/>
          <w:b/>
          <w:bCs/>
          <w:color w:val="auto"/>
          <w:szCs w:val="21"/>
          <w:highlight w:val="none"/>
        </w:rPr>
        <w:t>29、</w:t>
      </w:r>
      <w:bookmarkEnd w:id="112"/>
      <w:r>
        <w:rPr>
          <w:rFonts w:hint="eastAsia" w:ascii="宋体" w:hAnsi="宋体" w:cs="宋体"/>
          <w:b/>
          <w:bCs/>
          <w:color w:val="auto"/>
          <w:szCs w:val="21"/>
          <w:highlight w:val="none"/>
        </w:rPr>
        <w:t>确定</w:t>
      </w:r>
      <w:bookmarkEnd w:id="113"/>
      <w:bookmarkEnd w:id="114"/>
      <w:r>
        <w:rPr>
          <w:rFonts w:hint="eastAsia" w:ascii="宋体" w:hAnsi="宋体" w:cs="宋体"/>
          <w:b/>
          <w:bCs/>
          <w:color w:val="auto"/>
          <w:szCs w:val="21"/>
          <w:highlight w:val="none"/>
        </w:rPr>
        <w:t>中标单位</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29.1评委会根据本招标文件规定评标方法与评标标准向采购人推荐出中标候选人。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29.2 采购人应根据评委会推荐的中标候选人确定中标人。</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29.3</w:t>
      </w:r>
      <w:r>
        <w:rPr>
          <w:rFonts w:hint="eastAsia" w:ascii="宋体" w:hAnsi="宋体" w:cs="宋体"/>
          <w:color w:val="auto"/>
          <w:szCs w:val="21"/>
          <w:highlight w:val="none"/>
        </w:rPr>
        <w:t>代理机构将在“扬州市公共资源交易服务平台、扬州市城建国有资产控股（集团）有限责任公司网站、江苏长江水务股份有限公司网站”栏发布中标公告，公告期限为1个工作日。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29.4若有充分证据证明，中标人出现下列情况之一的，一经查实，将被取消中标资格：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29.4.1提供虚假材料谋取中标的；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29.4.2向采购人、代理机构行贿或者提供其他不正当利益的；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29.4.3恶意竞争，投标总报价明显低于其自身合理成本且又无法提供证明的；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29.4.4属于本文件规定的无效条件，但在评标过程中又未被评委会发现的；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29.4.5与采购人或者其他投标人串通投标的；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29.4.6采取不正当手段诋毁、排挤其他供应商的；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29.4.7不符合法律、法规的规定的。</w:t>
      </w:r>
      <w:bookmarkStart w:id="115" w:name="_Toc20045196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 有下列情形之一的，视为投标人串通投标，投标无效：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29.5.1不同投标人的投标文件由同一单位或者个人编制。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29.5.2不同投标人委托同一单位或者个人办理投标事宜。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29.5.3 不同投标人的投标文件载明的项目管理成员或者联系人员为同一人。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29.5.4不同投标人的投标文件异常一致或者投标报价呈规律性差异。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29.5.5不同投标人的投标文件相互混装。</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30、质疑处理</w:t>
      </w:r>
      <w:bookmarkEnd w:id="115"/>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.1提出质疑的供应商应当是参与所质疑项目采购活动的供应商。潜在供应商依法获取其可质疑的采购文件的，可以对采购文件提出质疑。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对项目需求部分的质疑，潜在供应商应向采购人提出，由采购人负责答复。</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.2供应商认为采购文件、采购过程和中标或成交结果使自己的权益受到损害的，可以在知道或应知其权益受到损害之日起7个工作日内，以书面形式向采购人或代理机构提出质疑。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.2.1对采购文件提出质疑的，应当在获取采购文件之日或者采购文件公告期限届满之日起7个工作日内提出。</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.2.2对采购过程提出质疑的，为各采购程序环节结束之日起7个工作日内提出。</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.2.3对成交结果提出质疑的，为中标结果公告期限届满之日起7个工作日内提出。</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.3供应商应在法定质疑期内一次性提出针对同一采购程序环节的质疑。质疑必须按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《政府采购法》、《政府采购法实施条例》及《政府采购质疑和投诉办法》等相关规定提交。供应商如在法定期限内对同一采购程序环节提出多次质疑的，代理机构、采购人将只对供应商第一次质疑作出答复。</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.5质疑函应当包括下列内容：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（1）质疑供应商的名称、地址、邮编、联系人、联系电话；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（6）提起质疑的日期；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.6代理机构及采购人只接收以纸质原件形式送达的质疑。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采购人质疑接收人及联系方式见采购文件第一章。</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.7代理机构收到质疑申请后，将对质疑的形式和内容进行审查，如质疑内容、格式不符合规定，代理机构将告知质疑人进行补正。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.8质疑人应当在法定质疑期限内进行补正并重新提交质疑函。</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.9 以下情形的质疑不予受理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.9.1 内容不符合《政府采购质疑和投诉办法》第十二条规定的质疑。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.9.2 超出政府采购法定期限的质疑。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.9.3 以传真、电子邮件等方式递交的非原件形式的质疑。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.9.4 未参加投标活动的供应商或在投标活动中自身权益未受到损害的供应商所提出的质疑。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.9.5投标人组成联合体参加投标，联合体中任何一方或多方未按要求签字、盖章、加盖公章的质疑。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 xml:space="preserve">.10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30</w:t>
      </w:r>
      <w:r>
        <w:rPr>
          <w:rFonts w:hint="eastAsia" w:ascii="宋体" w:hAnsi="宋体" w:cs="宋体"/>
          <w:color w:val="auto"/>
          <w:szCs w:val="21"/>
          <w:highlight w:val="none"/>
        </w:rPr>
        <w:t>.11代理机构应当在收到供应商的书面质疑后7个工作日内作出答复，并以书面形式通知质疑供应商和其他有关供应商，但答复的内容不得涉及商业秘密</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1</w:t>
      </w:r>
      <w:r>
        <w:rPr>
          <w:rFonts w:hint="eastAsia" w:ascii="宋体" w:hAnsi="宋体" w:cs="宋体"/>
          <w:b/>
          <w:bCs/>
          <w:color w:val="auto"/>
          <w:szCs w:val="21"/>
          <w:highlight w:val="none"/>
        </w:rPr>
        <w:t>、诚实信用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.1 投标人之间不得相互串通投标报价，不得妨碍其他投标人的公平竞争，不得损害采购人和其他投标人的合法权益。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.4 投标人不得虚假承诺，否则，按照提供虚假材料谋取中标成交处理。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.5 投标人应自觉遵守开标、评标纪律，扰乱开标评标现场秩序的，属于失信行为，根据《江苏省政府采购供应商监督管理暂行办法》，失信行为将被记入投标人诚信档案。</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2</w:t>
      </w:r>
      <w:r>
        <w:rPr>
          <w:rFonts w:hint="eastAsia" w:ascii="宋体" w:hAnsi="宋体" w:cs="宋体"/>
          <w:b/>
          <w:bCs/>
          <w:color w:val="auto"/>
          <w:szCs w:val="21"/>
          <w:highlight w:val="none"/>
        </w:rPr>
        <w:t>、中标通知书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.l中标结果确定后，代理机构将向中标供应商发出中标通知书。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.2 中标供应商收到中标通知书后，应签字确认中标通知书已收到。若无回复，则公告后视同中标供应商已经知悉并同意接受。</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.4所有投标文件都将作为档案保存，不论中标与否，代理机构均不退回。</w:t>
      </w:r>
    </w:p>
    <w:p>
      <w:pPr>
        <w:spacing w:line="360" w:lineRule="auto"/>
        <w:ind w:firstLine="422" w:firstLineChars="200"/>
        <w:rPr>
          <w:rFonts w:ascii="宋体" w:hAnsi="宋体" w:cs="宋体"/>
          <w:b/>
          <w:bCs/>
          <w:color w:val="auto"/>
          <w:szCs w:val="21"/>
          <w:highlight w:val="none"/>
        </w:rPr>
      </w:pPr>
      <w:bookmarkStart w:id="116" w:name="_Toc513029237"/>
      <w:bookmarkStart w:id="117" w:name="_Toc16938553"/>
      <w:bookmarkStart w:id="118" w:name="_Toc20823309"/>
      <w:r>
        <w:rPr>
          <w:rFonts w:hint="eastAsia" w:ascii="宋体" w:hAnsi="宋体" w:cs="宋体"/>
          <w:b/>
          <w:bCs/>
          <w:color w:val="auto"/>
          <w:szCs w:val="21"/>
          <w:highlight w:val="none"/>
        </w:rPr>
        <w:t>3</w:t>
      </w:r>
      <w:r>
        <w:rPr>
          <w:rFonts w:ascii="宋体" w:hAnsi="宋体" w:cs="宋体"/>
          <w:b/>
          <w:bCs/>
          <w:color w:val="auto"/>
          <w:szCs w:val="21"/>
          <w:highlight w:val="none"/>
        </w:rPr>
        <w:t>3</w:t>
      </w:r>
      <w:r>
        <w:rPr>
          <w:rFonts w:hint="eastAsia" w:ascii="宋体" w:hAnsi="宋体" w:cs="宋体"/>
          <w:b/>
          <w:bCs/>
          <w:color w:val="auto"/>
          <w:szCs w:val="21"/>
          <w:highlight w:val="none"/>
        </w:rPr>
        <w:t>、 签订合同</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w:t>
      </w:r>
      <w:r>
        <w:rPr>
          <w:rFonts w:ascii="宋体" w:hAnsi="宋体" w:cs="宋体"/>
          <w:bCs/>
          <w:color w:val="auto"/>
          <w:szCs w:val="21"/>
          <w:highlight w:val="none"/>
        </w:rPr>
        <w:t>3</w:t>
      </w:r>
      <w:r>
        <w:rPr>
          <w:rFonts w:hint="eastAsia" w:ascii="宋体" w:hAnsi="宋体" w:cs="宋体"/>
          <w:color w:val="auto"/>
          <w:szCs w:val="21"/>
          <w:highlight w:val="none"/>
        </w:rPr>
        <w:t>.l中标供应商应按中标通知书规定的时间、地点,按照招标文件确定的事项与采购人签订政府采购合同，且不得迟于中标通知书发出之日起三十日，由此给采购人造成损失的，中标供应商还应承担赔偿责任。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.2招标文件、中标供应商的投标文件及招标过程中有关澄清、承诺文件均应作为合同附件。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 签订合同后，</w:t>
      </w:r>
      <w:r>
        <w:rPr>
          <w:rFonts w:hint="eastAsia" w:ascii="宋体" w:hAnsi="宋体" w:cs="宋体"/>
          <w:i/>
          <w:color w:val="auto"/>
          <w:szCs w:val="21"/>
          <w:highlight w:val="none"/>
          <w:u w:val="single"/>
        </w:rPr>
        <w:t>中标供应商不得将服务及其他相关服务进行转包</w:t>
      </w:r>
      <w:r>
        <w:rPr>
          <w:rFonts w:hint="eastAsia" w:ascii="宋体" w:hAnsi="宋体" w:cs="宋体"/>
          <w:color w:val="auto"/>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.4采购人不得向中标人提出任何不合理的要求作为签订合同的条件，不得与中标人私下订立背离合同实质性内容的协议。所签订的合同不得对招标文件确定事项和中标人投标文件作实质性修改。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34、履约保证金</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本次不采用</w:t>
      </w:r>
      <w:r>
        <w:rPr>
          <w:rFonts w:hint="eastAsia" w:ascii="宋体" w:hAnsi="宋体" w:cs="宋体"/>
          <w:b/>
          <w:bCs/>
          <w:color w:val="auto"/>
          <w:szCs w:val="21"/>
          <w:highlight w:val="none"/>
          <w:lang w:eastAsia="zh-CN"/>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34.1履约保证金及履约保证金的形式：银行电汇、银行汇票、银行保函或现金支票。。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34.2履约保证金的金额：</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34.3投标人中标后，在签订合同前须各向招标人提交足额履约保证金，否则招标人可以取消其中标资格。履约保证金的期限从提交之日起至入围期内所供最后一批次货物质保期结束后终止。在履行合同过程中，如中标人按合同规定履行义务，则招标人到期无息退还；如中标人出现未能按合同规定履行其义务或存在质量问题等情况，招标人有权优先从履约保证金里取得补偿。</w:t>
      </w:r>
      <w:r>
        <w:rPr>
          <w:rFonts w:ascii="宋体" w:hAnsi="宋体" w:cs="宋体"/>
          <w:color w:val="auto"/>
          <w:szCs w:val="21"/>
          <w:highlight w:val="none"/>
        </w:rPr>
        <w:br w:type="page"/>
      </w:r>
    </w:p>
    <w:bookmarkEnd w:id="116"/>
    <w:bookmarkEnd w:id="117"/>
    <w:bookmarkEnd w:id="118"/>
    <w:p>
      <w:pPr>
        <w:tabs>
          <w:tab w:val="left" w:pos="900"/>
        </w:tabs>
        <w:spacing w:line="360" w:lineRule="auto"/>
        <w:ind w:left="120" w:leftChars="57" w:firstLine="723" w:firstLineChars="200"/>
        <w:jc w:val="center"/>
        <w:outlineLvl w:val="0"/>
        <w:rPr>
          <w:rFonts w:ascii="宋体" w:hAnsi="宋体" w:cs="宋体"/>
          <w:b/>
          <w:bCs/>
          <w:color w:val="auto"/>
          <w:kern w:val="44"/>
          <w:sz w:val="36"/>
          <w:szCs w:val="44"/>
          <w:highlight w:val="none"/>
        </w:rPr>
      </w:pPr>
      <w:bookmarkStart w:id="119" w:name="_Toc23126"/>
      <w:bookmarkStart w:id="120" w:name="_Toc497133092"/>
      <w:bookmarkStart w:id="121" w:name="_Toc99380850"/>
      <w:bookmarkStart w:id="122" w:name="_Toc100135570"/>
      <w:r>
        <w:rPr>
          <w:rFonts w:hint="eastAsia" w:ascii="宋体" w:hAnsi="宋体" w:cs="宋体"/>
          <w:b/>
          <w:bCs/>
          <w:color w:val="auto"/>
          <w:kern w:val="44"/>
          <w:sz w:val="36"/>
          <w:szCs w:val="44"/>
          <w:highlight w:val="none"/>
        </w:rPr>
        <w:t>第三章 合同条款及格式</w:t>
      </w:r>
      <w:bookmarkEnd w:id="119"/>
      <w:bookmarkEnd w:id="120"/>
    </w:p>
    <w:p>
      <w:pPr>
        <w:pStyle w:val="14"/>
        <w:spacing w:line="360" w:lineRule="auto"/>
        <w:ind w:firstLine="420" w:firstLineChars="200"/>
        <w:rPr>
          <w:rFonts w:hAnsi="宋体" w:eastAsia="宋体" w:cs="宋体"/>
          <w:color w:val="auto"/>
          <w:highlight w:val="none"/>
        </w:rPr>
      </w:pPr>
      <w:bookmarkStart w:id="123" w:name="_Hlt16619369"/>
      <w:bookmarkEnd w:id="123"/>
      <w:bookmarkStart w:id="124" w:name="_Toc101707002"/>
      <w:bookmarkStart w:id="125" w:name="_Toc24493"/>
      <w:bookmarkStart w:id="126" w:name="_Toc8829"/>
      <w:bookmarkStart w:id="127" w:name="_Toc16750"/>
      <w:bookmarkStart w:id="128" w:name="_Toc5974"/>
      <w:r>
        <w:rPr>
          <w:rFonts w:hint="eastAsia" w:hAnsi="宋体" w:eastAsia="宋体" w:cs="宋体"/>
          <w:color w:val="auto"/>
          <w:highlight w:val="none"/>
        </w:rPr>
        <w:t>以下为中标后签定本项目合同的通用条款，中标投标人不得提出实质性的修改。关于专用条款将由招标人与中标投标人结合本项目具体情况协商后补充，但补充内容对招标文件和投标文件以及通用条款，不得作实质性修改。</w:t>
      </w:r>
    </w:p>
    <w:p>
      <w:pPr>
        <w:spacing w:before="156" w:beforeLines="50" w:after="156" w:afterLines="50"/>
        <w:jc w:val="center"/>
        <w:outlineLvl w:val="0"/>
        <w:rPr>
          <w:rFonts w:hint="eastAsia" w:ascii="宋体" w:hAnsi="宋体"/>
          <w:b/>
          <w:color w:val="auto"/>
          <w:kern w:val="0"/>
          <w:szCs w:val="21"/>
          <w:highlight w:val="none"/>
        </w:rPr>
      </w:pPr>
      <w:r>
        <w:rPr>
          <w:rFonts w:hint="eastAsia" w:ascii="宋体" w:hAnsi="宋体"/>
          <w:b/>
          <w:color w:val="auto"/>
          <w:szCs w:val="21"/>
          <w:highlight w:val="none"/>
        </w:rPr>
        <w:t>政府采购合同</w:t>
      </w:r>
    </w:p>
    <w:p>
      <w:pPr>
        <w:spacing w:before="156" w:beforeLines="50" w:after="156" w:afterLines="50"/>
        <w:jc w:val="center"/>
        <w:outlineLvl w:val="0"/>
        <w:rPr>
          <w:rFonts w:hint="eastAsia" w:ascii="宋体" w:hAnsi="宋体"/>
          <w:b/>
          <w:bCs/>
          <w:color w:val="auto"/>
          <w:szCs w:val="21"/>
          <w:highlight w:val="none"/>
        </w:rPr>
      </w:pPr>
    </w:p>
    <w:p>
      <w:pPr>
        <w:pStyle w:val="14"/>
        <w:snapToGrid w:val="0"/>
        <w:spacing w:before="120" w:after="12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项目名称： </w:t>
      </w:r>
      <w:r>
        <w:rPr>
          <w:rFonts w:hint="eastAsia" w:ascii="宋体" w:hAnsi="宋体" w:eastAsia="宋体" w:cs="宋体"/>
          <w:color w:val="auto"/>
          <w:highlight w:val="none"/>
          <w:lang w:eastAsia="zh-CN"/>
        </w:rPr>
        <w:t xml:space="preserve">      </w:t>
      </w:r>
    </w:p>
    <w:p>
      <w:pPr>
        <w:pStyle w:val="14"/>
        <w:snapToGrid w:val="0"/>
        <w:spacing w:before="120" w:after="12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甲方（买方）：</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 xml:space="preserve">        </w:t>
      </w:r>
    </w:p>
    <w:p>
      <w:pPr>
        <w:pStyle w:val="14"/>
        <w:snapToGrid w:val="0"/>
        <w:spacing w:before="120" w:after="120"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乙方（卖方）：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》等法律法规的规定，甲乙双方按照</w:t>
      </w:r>
      <w:r>
        <w:rPr>
          <w:rFonts w:hint="eastAsia" w:ascii="宋体" w:hAnsi="宋体" w:eastAsia="宋体" w:cs="宋体"/>
          <w:color w:val="auto"/>
          <w:highlight w:val="none"/>
          <w:lang w:eastAsia="zh-CN"/>
        </w:rPr>
        <w:t>江苏中鑫项目管理有限公司</w:t>
      </w:r>
      <w:r>
        <w:rPr>
          <w:rFonts w:hint="eastAsia" w:ascii="宋体" w:hAnsi="宋体" w:eastAsia="宋体" w:cs="宋体"/>
          <w:color w:val="auto"/>
          <w:highlight w:val="none"/>
        </w:rPr>
        <w:t>关于本项目</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的结果签订本合同。</w:t>
      </w:r>
    </w:p>
    <w:p>
      <w:pPr>
        <w:pStyle w:val="14"/>
        <w:snapToGrid w:val="0"/>
        <w:spacing w:before="120" w:after="12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1、合同标的</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乙方根据甲方需求，提供下列</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pStyle w:val="14"/>
        <w:snapToGrid w:val="0"/>
        <w:spacing w:before="120" w:after="120"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lang w:eastAsia="zh-CN"/>
        </w:rPr>
        <w:t>服务内容</w:t>
      </w:r>
      <w:r>
        <w:rPr>
          <w:rFonts w:hint="eastAsia" w:ascii="宋体" w:hAnsi="宋体" w:eastAsia="宋体" w:cs="宋体"/>
          <w:color w:val="auto"/>
          <w:highlight w:val="none"/>
        </w:rPr>
        <w:t>等要求详见</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文件及</w:t>
      </w: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文件。</w:t>
      </w:r>
    </w:p>
    <w:p>
      <w:pPr>
        <w:pStyle w:val="14"/>
        <w:snapToGrid w:val="0"/>
        <w:spacing w:before="120" w:after="12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2、合同总金额</w:t>
      </w:r>
    </w:p>
    <w:p>
      <w:pPr>
        <w:pStyle w:val="14"/>
        <w:snapToGrid w:val="0"/>
        <w:spacing w:before="120" w:after="120" w:line="360" w:lineRule="auto"/>
        <w:ind w:left="315" w:leftChars="150" w:firstLine="105" w:firstLineChars="50"/>
        <w:rPr>
          <w:rFonts w:hint="eastAsia" w:ascii="宋体" w:hAnsi="宋体" w:eastAsia="宋体" w:cs="宋体"/>
          <w:color w:val="auto"/>
          <w:highlight w:val="none"/>
          <w:lang w:eastAsia="zh-CN"/>
        </w:rPr>
      </w:pPr>
      <w:r>
        <w:rPr>
          <w:rFonts w:hint="eastAsia" w:ascii="宋体" w:hAnsi="宋体" w:eastAsia="宋体" w:cs="宋体"/>
          <w:color w:val="auto"/>
          <w:highlight w:val="none"/>
        </w:rPr>
        <w:t>2.1 本合同金额为（大写）：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本合同总金额包括乙方提供</w:t>
      </w:r>
      <w:r>
        <w:rPr>
          <w:rFonts w:hint="eastAsia" w:ascii="宋体" w:hAnsi="宋体" w:eastAsia="宋体" w:cs="宋体"/>
          <w:color w:val="auto"/>
          <w:highlight w:val="none"/>
          <w:lang w:eastAsia="zh-CN"/>
        </w:rPr>
        <w:t>的服务</w:t>
      </w:r>
      <w:r>
        <w:rPr>
          <w:rFonts w:hint="eastAsia" w:ascii="宋体" w:hAnsi="宋体" w:eastAsia="宋体" w:cs="宋体"/>
          <w:color w:val="auto"/>
          <w:highlight w:val="none"/>
        </w:rPr>
        <w:t>及其他有关的为完成本项目发生的所有费用，</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文件中另有规定的除外。</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 在</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文件未列明，而乙方认为履行本合同必需的费用也包含在合同总金额中。</w:t>
      </w:r>
    </w:p>
    <w:p>
      <w:pPr>
        <w:pStyle w:val="14"/>
        <w:snapToGrid w:val="0"/>
        <w:spacing w:before="120" w:after="120"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2.4 本合同总金额还包含乙方提供的伴随服务/售后服务费用。</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 本合同签订后：甲方需追加与合同标的相同</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w:t>
      </w:r>
      <w:r>
        <w:rPr>
          <w:rFonts w:hint="eastAsia" w:hAnsi="宋体" w:eastAsia="宋体" w:cs="宋体"/>
          <w:color w:val="auto"/>
          <w:highlight w:val="none"/>
          <w:lang w:eastAsia="zh-CN"/>
        </w:rPr>
        <w:t>招标</w:t>
      </w:r>
      <w:r>
        <w:rPr>
          <w:rFonts w:hint="eastAsia" w:ascii="宋体" w:hAnsi="宋体" w:eastAsia="宋体" w:cs="宋体"/>
          <w:color w:val="auto"/>
          <w:highlight w:val="none"/>
        </w:rPr>
        <w:t>采购时的价格水平做相应的调减，并据此签订补充合同；除上述情况外，本合同</w:t>
      </w:r>
      <w:r>
        <w:rPr>
          <w:rFonts w:hint="eastAsia" w:ascii="宋体" w:hAnsi="宋体" w:eastAsia="宋体" w:cs="宋体"/>
          <w:color w:val="auto"/>
          <w:highlight w:val="none"/>
          <w:lang w:eastAsia="zh-CN"/>
        </w:rPr>
        <w:t>执行期间合同</w:t>
      </w:r>
      <w:r>
        <w:rPr>
          <w:rFonts w:hint="eastAsia" w:ascii="宋体" w:hAnsi="宋体" w:eastAsia="宋体" w:cs="宋体"/>
          <w:color w:val="auto"/>
          <w:highlight w:val="none"/>
        </w:rPr>
        <w:t>总金额不变。</w:t>
      </w:r>
    </w:p>
    <w:p>
      <w:pPr>
        <w:pStyle w:val="14"/>
        <w:snapToGrid w:val="0"/>
        <w:spacing w:before="120" w:after="12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3、组成本合同的有关文件</w:t>
      </w:r>
    </w:p>
    <w:p>
      <w:pPr>
        <w:pStyle w:val="14"/>
        <w:snapToGrid w:val="0"/>
        <w:spacing w:before="120" w:after="120" w:line="360" w:lineRule="auto"/>
        <w:ind w:left="315" w:leftChars="150" w:firstLine="105" w:firstLineChars="50"/>
        <w:rPr>
          <w:rFonts w:hint="eastAsia" w:ascii="宋体" w:hAnsi="宋体" w:eastAsia="宋体" w:cs="宋体"/>
          <w:color w:val="auto"/>
          <w:highlight w:val="none"/>
          <w:lang w:eastAsia="zh-CN"/>
        </w:rPr>
      </w:pPr>
      <w:r>
        <w:rPr>
          <w:rFonts w:hint="eastAsia" w:ascii="宋体" w:hAnsi="宋体" w:eastAsia="宋体" w:cs="宋体"/>
          <w:color w:val="auto"/>
          <w:highlight w:val="none"/>
        </w:rPr>
        <w:t>3.1乙方应按</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文件文件规定的时间向甲方提供</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的有关技术资料。</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14"/>
        <w:snapToGrid w:val="0"/>
        <w:spacing w:before="120" w:after="120" w:line="360" w:lineRule="auto"/>
        <w:ind w:left="315" w:leftChars="15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3.3 关于本项目采购的</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文件</w:t>
      </w:r>
      <w:r>
        <w:rPr>
          <w:rFonts w:hint="eastAsia" w:ascii="宋体" w:hAnsi="宋体" w:eastAsia="宋体" w:cs="宋体"/>
          <w:color w:val="auto"/>
          <w:highlight w:val="none"/>
          <w:lang w:eastAsia="zh-CN"/>
        </w:rPr>
        <w:t>文件、</w:t>
      </w:r>
      <w:r>
        <w:rPr>
          <w:rFonts w:hint="eastAsia" w:hAnsi="宋体" w:eastAsia="宋体" w:cs="宋体"/>
          <w:color w:val="auto"/>
          <w:highlight w:val="none"/>
          <w:lang w:val="en-US" w:eastAsia="zh-CN"/>
        </w:rPr>
        <w:t>投标</w:t>
      </w:r>
      <w:r>
        <w:rPr>
          <w:rFonts w:hint="eastAsia" w:ascii="宋体" w:hAnsi="宋体" w:eastAsia="宋体" w:cs="宋体"/>
          <w:color w:val="auto"/>
          <w:highlight w:val="none"/>
          <w:lang w:eastAsia="zh-CN"/>
        </w:rPr>
        <w:t>文件以及</w:t>
      </w:r>
      <w:r>
        <w:rPr>
          <w:rFonts w:hint="eastAsia" w:ascii="宋体" w:hAnsi="宋体" w:eastAsia="宋体" w:cs="宋体"/>
          <w:color w:val="auto"/>
          <w:highlight w:val="none"/>
        </w:rPr>
        <w:t>与本次采购活动方式相适应的文件及有关附件是本合同不可分割的组成部分，这些文件包括但不限于：</w:t>
      </w:r>
    </w:p>
    <w:p>
      <w:pPr>
        <w:pStyle w:val="14"/>
        <w:snapToGrid w:val="0"/>
        <w:spacing w:before="120" w:after="120"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（1）</w:t>
      </w:r>
      <w:r>
        <w:rPr>
          <w:rFonts w:hint="eastAsia" w:hAnsi="宋体" w:eastAsia="宋体" w:cs="宋体"/>
          <w:color w:val="auto"/>
          <w:highlight w:val="none"/>
          <w:lang w:val="en-US" w:eastAsia="zh-CN"/>
        </w:rPr>
        <w:t>招标</w:t>
      </w:r>
      <w:r>
        <w:rPr>
          <w:rFonts w:hint="eastAsia" w:ascii="宋体" w:hAnsi="宋体" w:eastAsia="宋体" w:cs="宋体"/>
          <w:color w:val="auto"/>
          <w:highlight w:val="none"/>
        </w:rPr>
        <w:t xml:space="preserve">文件；              </w:t>
      </w: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 xml:space="preserve"> （2）</w:t>
      </w: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报价文件；</w:t>
      </w:r>
    </w:p>
    <w:p>
      <w:pPr>
        <w:pStyle w:val="14"/>
        <w:snapToGrid w:val="0"/>
        <w:spacing w:before="120" w:after="120"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（3）</w:t>
      </w:r>
      <w:r>
        <w:rPr>
          <w:rFonts w:hint="eastAsia" w:ascii="宋体" w:hAnsi="宋体" w:eastAsia="宋体" w:cs="宋体"/>
          <w:color w:val="auto"/>
          <w:highlight w:val="none"/>
          <w:lang w:eastAsia="zh-CN"/>
        </w:rPr>
        <w:t>项目组人员表</w:t>
      </w:r>
      <w:r>
        <w:rPr>
          <w:rFonts w:hint="eastAsia" w:ascii="宋体" w:hAnsi="宋体" w:eastAsia="宋体" w:cs="宋体"/>
          <w:color w:val="auto"/>
          <w:highlight w:val="none"/>
        </w:rPr>
        <w:t xml:space="preserve">                 （4）技术参数</w:t>
      </w:r>
      <w:r>
        <w:rPr>
          <w:rFonts w:hint="eastAsia" w:ascii="宋体" w:hAnsi="宋体" w:eastAsia="宋体" w:cs="宋体"/>
          <w:color w:val="auto"/>
          <w:highlight w:val="none"/>
          <w:lang w:eastAsia="zh-CN"/>
        </w:rPr>
        <w:t>、商务条款</w:t>
      </w:r>
      <w:r>
        <w:rPr>
          <w:rFonts w:hint="eastAsia" w:ascii="宋体" w:hAnsi="宋体" w:eastAsia="宋体" w:cs="宋体"/>
          <w:color w:val="auto"/>
          <w:highlight w:val="none"/>
        </w:rPr>
        <w:t>响应</w:t>
      </w:r>
      <w:r>
        <w:rPr>
          <w:rFonts w:hint="eastAsia" w:ascii="宋体" w:hAnsi="宋体" w:eastAsia="宋体" w:cs="宋体"/>
          <w:color w:val="auto"/>
          <w:highlight w:val="none"/>
          <w:lang w:eastAsia="zh-CN"/>
        </w:rPr>
        <w:t>及偏离</w:t>
      </w:r>
      <w:r>
        <w:rPr>
          <w:rFonts w:hint="eastAsia" w:ascii="宋体" w:hAnsi="宋体" w:eastAsia="宋体" w:cs="宋体"/>
          <w:color w:val="auto"/>
          <w:highlight w:val="none"/>
        </w:rPr>
        <w:t>表；</w:t>
      </w:r>
    </w:p>
    <w:p>
      <w:pPr>
        <w:pStyle w:val="14"/>
        <w:snapToGrid w:val="0"/>
        <w:spacing w:before="120" w:after="120"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（5）服务承诺；                   （6）</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w:t>
      </w:r>
    </w:p>
    <w:p>
      <w:pPr>
        <w:pStyle w:val="14"/>
        <w:snapToGrid w:val="0"/>
        <w:spacing w:before="120" w:after="120" w:line="360" w:lineRule="auto"/>
        <w:ind w:left="359" w:hanging="359" w:hangingChars="171"/>
        <w:rPr>
          <w:rFonts w:hint="eastAsia" w:ascii="宋体" w:hAnsi="宋体" w:eastAsia="宋体" w:cs="宋体"/>
          <w:color w:val="auto"/>
          <w:highlight w:val="none"/>
        </w:rPr>
      </w:pPr>
      <w:r>
        <w:rPr>
          <w:rFonts w:hint="eastAsia" w:ascii="宋体" w:hAnsi="宋体" w:eastAsia="宋体" w:cs="宋体"/>
          <w:color w:val="auto"/>
          <w:highlight w:val="none"/>
        </w:rPr>
        <w:t xml:space="preserve">   （7）甲乙双方补充协议；           （8）乙方</w:t>
      </w:r>
      <w:r>
        <w:rPr>
          <w:rFonts w:hint="eastAsia" w:ascii="宋体" w:hAnsi="宋体" w:eastAsia="宋体" w:cs="宋体"/>
          <w:color w:val="auto"/>
          <w:highlight w:val="none"/>
          <w:lang w:eastAsia="zh-CN"/>
        </w:rPr>
        <w:t>参加</w:t>
      </w: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时提供的</w:t>
      </w:r>
      <w:r>
        <w:rPr>
          <w:rFonts w:hint="eastAsia" w:hAnsi="宋体" w:eastAsia="宋体" w:cs="宋体"/>
          <w:color w:val="auto"/>
          <w:highlight w:val="none"/>
          <w:lang w:val="en-US" w:eastAsia="zh-CN"/>
        </w:rPr>
        <w:t>投标</w:t>
      </w:r>
      <w:r>
        <w:rPr>
          <w:rFonts w:hint="eastAsia" w:ascii="宋体" w:hAnsi="宋体" w:eastAsia="宋体" w:cs="宋体"/>
          <w:color w:val="auto"/>
          <w:highlight w:val="none"/>
        </w:rPr>
        <w:t>文件。</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4、知识产权保证</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14"/>
        <w:snapToGrid w:val="0"/>
        <w:spacing w:before="120" w:after="12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5、产权保证</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乙方保证所交付的服务和服务所涉及的物品所有权无任何抵押、查封等权利瑕疵。</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6、履约保证金</w:t>
      </w:r>
    </w:p>
    <w:p>
      <w:pPr>
        <w:pStyle w:val="14"/>
        <w:snapToGrid w:val="0"/>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2.1收到成交通知书后合同签订前，成交人须向采购人提交合同总价</w:t>
      </w:r>
      <w:r>
        <w:rPr>
          <w:rFonts w:hint="eastAsia"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的履约保证金，以支票、汇票、本票保函等形式缴纳或提交。履约保证金期限为合同生效之日起至项目验收合格之日止。履约保证金用以约束供应商在合同履行中的行为，弥补合同执行中由于自身行为可能给采购人带来的各种损失。</w:t>
      </w:r>
    </w:p>
    <w:p>
      <w:pPr>
        <w:pStyle w:val="14"/>
        <w:snapToGrid w:val="0"/>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2.2履约保证金的退还：合同履行结束后，乙方凭甲方签署的验收报告，向甲方提请办理保证金退还手续。甲方收到提请后15天内以非现金形式予以退还。</w:t>
      </w:r>
    </w:p>
    <w:p>
      <w:pPr>
        <w:pStyle w:val="14"/>
        <w:snapToGrid w:val="0"/>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履约保证金不予退还的情形：合同生效后，如乙方未能履行合同规定的义务，甲方有权根据质量考核的结果从履约保证金中取得补偿。履约保证金扣除甲方应得的补偿后的余额在上述规定时间内无息退还给成乙方。若发现乙方投标属虚假承诺，或经权威部门监测提供的产品不能满足招标文件要求，造成合同无法继续履行的，乙方履约保证金不予退还。</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7、转包或分包</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 本合同禁止转包，本合同范围的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，应由乙方直接</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的，不得转让他人</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经甲方同意，乙方可以依法采取分包方式履行合同，但是分包方式履行的，乙方应就采购项目向甲方负全责。</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、交</w:t>
      </w:r>
      <w:r>
        <w:rPr>
          <w:rFonts w:hint="eastAsia" w:ascii="宋体" w:hAnsi="宋体" w:eastAsia="宋体" w:cs="宋体"/>
          <w:b/>
          <w:bCs/>
          <w:color w:val="auto"/>
          <w:highlight w:val="none"/>
          <w:lang w:eastAsia="zh-CN"/>
        </w:rPr>
        <w:t>付</w:t>
      </w:r>
      <w:r>
        <w:rPr>
          <w:rFonts w:hint="eastAsia" w:ascii="宋体" w:hAnsi="宋体" w:eastAsia="宋体" w:cs="宋体"/>
          <w:b/>
          <w:bCs/>
          <w:color w:val="auto"/>
          <w:highlight w:val="none"/>
        </w:rPr>
        <w:t>期、交</w:t>
      </w:r>
      <w:r>
        <w:rPr>
          <w:rFonts w:hint="eastAsia" w:ascii="宋体" w:hAnsi="宋体" w:eastAsia="宋体" w:cs="宋体"/>
          <w:b/>
          <w:bCs/>
          <w:color w:val="auto"/>
          <w:highlight w:val="none"/>
          <w:lang w:eastAsia="zh-CN"/>
        </w:rPr>
        <w:t>付</w:t>
      </w:r>
      <w:r>
        <w:rPr>
          <w:rFonts w:hint="eastAsia" w:ascii="宋体" w:hAnsi="宋体" w:eastAsia="宋体" w:cs="宋体"/>
          <w:b/>
          <w:bCs/>
          <w:color w:val="auto"/>
          <w:highlight w:val="none"/>
        </w:rPr>
        <w:t>方式及交</w:t>
      </w:r>
      <w:r>
        <w:rPr>
          <w:rFonts w:hint="eastAsia" w:ascii="宋体" w:hAnsi="宋体" w:eastAsia="宋体" w:cs="宋体"/>
          <w:b/>
          <w:bCs/>
          <w:color w:val="auto"/>
          <w:highlight w:val="none"/>
          <w:lang w:eastAsia="zh-CN"/>
        </w:rPr>
        <w:t>付</w:t>
      </w:r>
      <w:r>
        <w:rPr>
          <w:rFonts w:hint="eastAsia" w:ascii="宋体" w:hAnsi="宋体" w:eastAsia="宋体" w:cs="宋体"/>
          <w:b/>
          <w:bCs/>
          <w:color w:val="auto"/>
          <w:highlight w:val="none"/>
        </w:rPr>
        <w:t>地点</w:t>
      </w:r>
    </w:p>
    <w:p>
      <w:pPr>
        <w:pStyle w:val="14"/>
        <w:snapToGrid w:val="0"/>
        <w:spacing w:before="120" w:after="120"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.1 交</w:t>
      </w:r>
      <w:r>
        <w:rPr>
          <w:rFonts w:hint="eastAsia" w:ascii="宋体" w:hAnsi="宋体" w:eastAsia="宋体" w:cs="宋体"/>
          <w:bCs/>
          <w:color w:val="auto"/>
          <w:highlight w:val="none"/>
          <w:lang w:eastAsia="zh-CN"/>
        </w:rPr>
        <w:t>付</w:t>
      </w:r>
      <w:r>
        <w:rPr>
          <w:rFonts w:hint="eastAsia" w:ascii="宋体" w:hAnsi="宋体" w:eastAsia="宋体" w:cs="宋体"/>
          <w:bCs/>
          <w:color w:val="auto"/>
          <w:highlight w:val="none"/>
        </w:rPr>
        <w:t>期：</w:t>
      </w:r>
      <w:r>
        <w:rPr>
          <w:rFonts w:hint="eastAsia" w:ascii="宋体" w:hAnsi="宋体" w:eastAsia="宋体" w:cs="宋体"/>
          <w:color w:val="auto"/>
          <w:highlight w:val="none"/>
          <w:u w:val="single"/>
        </w:rPr>
        <w:t xml:space="preserve">      </w:t>
      </w:r>
    </w:p>
    <w:p>
      <w:pPr>
        <w:pStyle w:val="14"/>
        <w:snapToGrid w:val="0"/>
        <w:spacing w:before="120" w:after="120"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.2 交</w:t>
      </w:r>
      <w:r>
        <w:rPr>
          <w:rFonts w:hint="eastAsia" w:ascii="宋体" w:hAnsi="宋体" w:eastAsia="宋体" w:cs="宋体"/>
          <w:bCs/>
          <w:color w:val="auto"/>
          <w:highlight w:val="none"/>
          <w:lang w:eastAsia="zh-CN"/>
        </w:rPr>
        <w:t>付</w:t>
      </w:r>
      <w:r>
        <w:rPr>
          <w:rFonts w:hint="eastAsia" w:ascii="宋体" w:hAnsi="宋体" w:eastAsia="宋体" w:cs="宋体"/>
          <w:bCs/>
          <w:color w:val="auto"/>
          <w:highlight w:val="none"/>
        </w:rPr>
        <w:t>方式：</w:t>
      </w:r>
      <w:r>
        <w:rPr>
          <w:rFonts w:hint="eastAsia" w:ascii="宋体" w:hAnsi="宋体" w:eastAsia="宋体" w:cs="宋体"/>
          <w:color w:val="auto"/>
          <w:highlight w:val="none"/>
          <w:u w:val="single"/>
        </w:rPr>
        <w:t xml:space="preserve">      </w:t>
      </w:r>
    </w:p>
    <w:p>
      <w:pPr>
        <w:pStyle w:val="14"/>
        <w:snapToGrid w:val="0"/>
        <w:spacing w:before="120" w:after="120"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.3 交</w:t>
      </w:r>
      <w:r>
        <w:rPr>
          <w:rFonts w:hint="eastAsia" w:ascii="宋体" w:hAnsi="宋体" w:eastAsia="宋体" w:cs="宋体"/>
          <w:bCs/>
          <w:color w:val="auto"/>
          <w:highlight w:val="none"/>
          <w:lang w:eastAsia="zh-CN"/>
        </w:rPr>
        <w:t>付</w:t>
      </w:r>
      <w:r>
        <w:rPr>
          <w:rFonts w:hint="eastAsia" w:ascii="宋体" w:hAnsi="宋体" w:eastAsia="宋体" w:cs="宋体"/>
          <w:bCs/>
          <w:color w:val="auto"/>
          <w:highlight w:val="none"/>
        </w:rPr>
        <w:t>地点：</w:t>
      </w:r>
      <w:r>
        <w:rPr>
          <w:rFonts w:hint="eastAsia" w:ascii="宋体" w:hAnsi="宋体" w:eastAsia="宋体" w:cs="宋体"/>
          <w:color w:val="auto"/>
          <w:highlight w:val="none"/>
          <w:u w:val="single"/>
        </w:rPr>
        <w:t xml:space="preserve">      </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、货款支付</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 xml:space="preserve">.1 本合同项下所有款项均以人民币支付。 </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本合同项下的采购资金由甲方支付，付款前乙方向甲方开具发票。</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.3 甲方付款方式：</w:t>
      </w:r>
    </w:p>
    <w:p>
      <w:pPr>
        <w:autoSpaceDE w:val="0"/>
        <w:autoSpaceDN w:val="0"/>
        <w:spacing w:line="360" w:lineRule="auto"/>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中标价即为合同价</w:t>
      </w:r>
      <w:r>
        <w:rPr>
          <w:rFonts w:hint="eastAsia" w:ascii="宋体" w:hAnsi="宋体" w:cs="宋体"/>
          <w:color w:val="auto"/>
          <w:szCs w:val="21"/>
          <w:highlight w:val="yellow"/>
          <w:lang w:eastAsia="zh-CN"/>
        </w:rPr>
        <w:t>。提交水资源论证成果报告</w:t>
      </w:r>
      <w:r>
        <w:rPr>
          <w:rFonts w:hint="eastAsia" w:ascii="宋体" w:hAnsi="宋体" w:cs="宋体"/>
          <w:color w:val="auto"/>
          <w:szCs w:val="21"/>
          <w:highlight w:val="yellow"/>
          <w:lang w:val="en-US" w:eastAsia="zh-CN"/>
        </w:rPr>
        <w:t>后甲方支付合同价的40%；</w:t>
      </w:r>
      <w:r>
        <w:rPr>
          <w:rFonts w:hint="eastAsia" w:ascii="宋体" w:hAnsi="宋体" w:cs="宋体"/>
          <w:color w:val="auto"/>
          <w:szCs w:val="21"/>
          <w:highlight w:val="yellow"/>
          <w:lang w:eastAsia="zh-CN"/>
        </w:rPr>
        <w:t>水资源论证成果报告</w:t>
      </w:r>
      <w:r>
        <w:rPr>
          <w:rFonts w:hint="eastAsia" w:ascii="宋体" w:hAnsi="宋体" w:cs="宋体"/>
          <w:color w:val="auto"/>
          <w:szCs w:val="21"/>
          <w:highlight w:val="yellow"/>
          <w:lang w:val="en-US" w:eastAsia="zh-CN"/>
        </w:rPr>
        <w:t>通过水行政主管部门组织的专家评审并获得取水许可申请批复</w:t>
      </w:r>
      <w:r>
        <w:rPr>
          <w:rFonts w:hint="eastAsia" w:ascii="宋体" w:hAnsi="宋体" w:eastAsia="宋体" w:cs="宋体"/>
          <w:color w:val="auto"/>
          <w:szCs w:val="21"/>
          <w:highlight w:val="yellow"/>
        </w:rPr>
        <w:t>后一次性付清价款。</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hAnsi="宋体" w:eastAsia="宋体" w:cs="宋体"/>
          <w:b/>
          <w:bCs/>
          <w:color w:val="auto"/>
          <w:highlight w:val="none"/>
          <w:lang w:val="en-US" w:eastAsia="zh-CN"/>
        </w:rPr>
        <w:t>0</w:t>
      </w:r>
      <w:r>
        <w:rPr>
          <w:rFonts w:hint="eastAsia" w:ascii="宋体" w:hAnsi="宋体" w:eastAsia="宋体" w:cs="宋体"/>
          <w:b/>
          <w:bCs/>
          <w:color w:val="auto"/>
          <w:highlight w:val="none"/>
        </w:rPr>
        <w:t>、质量保证及售后服务</w:t>
      </w:r>
    </w:p>
    <w:p>
      <w:pPr>
        <w:spacing w:before="156" w:beforeLines="50" w:after="156"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.1 乙方应按</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rPr>
        <w:t>文件规定及</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文件承诺的技术性能、技术要求、质量标准向甲方提供服务；若无特殊说明，则按国家有关部门最新颁布的标准及规范为准。</w:t>
      </w:r>
    </w:p>
    <w:p>
      <w:pPr>
        <w:spacing w:before="156" w:beforeLines="50" w:after="156"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.2乙方应保证其提供的服务是全面和规范的，并完全符合</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rPr>
        <w:t>文件及</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文件。如因乙方提供的服务有瑕疵造成甲方损失的，所需费用由乙方承担。</w:t>
      </w:r>
    </w:p>
    <w:p>
      <w:pPr>
        <w:spacing w:before="156" w:beforeLines="50" w:after="156"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.3 如在使用过程中发生质量问题，乙方在接到甲方通知后在</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小时内到达甲方现场。</w:t>
      </w:r>
    </w:p>
    <w:p>
      <w:pPr>
        <w:spacing w:before="156" w:beforeLines="50" w:after="156" w:after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 xml:space="preserve">.4 </w:t>
      </w:r>
      <w:r>
        <w:rPr>
          <w:rFonts w:hint="eastAsia" w:ascii="宋体" w:hAnsi="宋体" w:cs="宋体"/>
          <w:color w:val="auto"/>
          <w:szCs w:val="21"/>
          <w:highlight w:val="none"/>
          <w:lang w:val="en-US" w:eastAsia="zh-CN"/>
        </w:rPr>
        <w:t>后续服务</w:t>
      </w:r>
      <w:r>
        <w:rPr>
          <w:rFonts w:hint="eastAsia" w:ascii="宋体" w:hAnsi="宋体" w:eastAsia="宋体" w:cs="宋体"/>
          <w:color w:val="auto"/>
          <w:szCs w:val="21"/>
          <w:highlight w:val="none"/>
        </w:rPr>
        <w:t>期内，乙方应对所提供服务出现的质量及安全问题负责处理解决并承担一切费用。</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交付</w:t>
      </w:r>
      <w:r>
        <w:rPr>
          <w:rFonts w:hint="eastAsia" w:ascii="宋体" w:hAnsi="宋体" w:eastAsia="宋体" w:cs="宋体"/>
          <w:b/>
          <w:bCs/>
          <w:color w:val="auto"/>
          <w:highlight w:val="none"/>
        </w:rPr>
        <w:t>和验收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 乙方应当在合同签订后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天内完成服务事项，</w:t>
      </w:r>
      <w:r>
        <w:rPr>
          <w:rFonts w:hint="eastAsia" w:ascii="宋体" w:hAnsi="宋体" w:cs="宋体"/>
          <w:color w:val="auto"/>
          <w:szCs w:val="21"/>
          <w:highlight w:val="none"/>
          <w:lang w:eastAsia="zh-CN"/>
        </w:rPr>
        <w:t>招标</w:t>
      </w:r>
      <w:r>
        <w:rPr>
          <w:rFonts w:hint="eastAsia" w:ascii="宋体" w:hAnsi="宋体" w:eastAsia="宋体" w:cs="宋体"/>
          <w:color w:val="auto"/>
          <w:szCs w:val="21"/>
          <w:highlight w:val="none"/>
        </w:rPr>
        <w:t>文件有约定的，从其约定。</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在交付前，乙方应作出全面检查和对验收文件进行整理，并列出清单，作为甲方初验收和使用的技术条件依据，检验的结果交甲方。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 验收标准：按乙方</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文件的承诺，并不低于国家相关标准。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对于乙方要交付的服务，甲乙双方须在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工作日内初验收，甲方对乙方提交的服务依据</w:t>
      </w:r>
      <w:r>
        <w:rPr>
          <w:rFonts w:hint="eastAsia" w:ascii="宋体" w:hAnsi="宋体" w:cs="宋体"/>
          <w:color w:val="auto"/>
          <w:szCs w:val="21"/>
          <w:highlight w:val="none"/>
          <w:lang w:eastAsia="zh-CN"/>
        </w:rPr>
        <w:t>招标</w:t>
      </w:r>
      <w:r>
        <w:rPr>
          <w:rFonts w:hint="eastAsia" w:ascii="宋体" w:hAnsi="宋体" w:eastAsia="宋体" w:cs="宋体"/>
          <w:color w:val="auto"/>
          <w:szCs w:val="21"/>
          <w:highlight w:val="none"/>
        </w:rPr>
        <w:t>文件上的技术要求和国家有关质量标准进行现场初步验收，外观、说明书、包装符合</w:t>
      </w:r>
      <w:r>
        <w:rPr>
          <w:rFonts w:hint="eastAsia" w:ascii="宋体" w:hAnsi="宋体" w:cs="宋体"/>
          <w:color w:val="auto"/>
          <w:szCs w:val="21"/>
          <w:highlight w:val="none"/>
          <w:lang w:eastAsia="zh-CN"/>
        </w:rPr>
        <w:t>招标</w:t>
      </w:r>
      <w:r>
        <w:rPr>
          <w:rFonts w:hint="eastAsia" w:ascii="宋体" w:hAnsi="宋体" w:eastAsia="宋体" w:cs="宋体"/>
          <w:color w:val="auto"/>
          <w:szCs w:val="21"/>
          <w:highlight w:val="none"/>
        </w:rPr>
        <w:t>文件技术要求的，给予签收，初步验收不合格的不予签收。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.3 乙方按照</w:t>
      </w:r>
      <w:r>
        <w:rPr>
          <w:rFonts w:hint="eastAsia" w:ascii="宋体" w:hAnsi="宋体" w:cs="宋体"/>
          <w:color w:val="auto"/>
          <w:szCs w:val="21"/>
          <w:highlight w:val="none"/>
          <w:lang w:eastAsia="zh-CN"/>
        </w:rPr>
        <w:t>招标</w:t>
      </w:r>
      <w:r>
        <w:rPr>
          <w:rFonts w:hint="eastAsia" w:ascii="宋体" w:hAnsi="宋体" w:eastAsia="宋体" w:cs="宋体"/>
          <w:color w:val="auto"/>
          <w:szCs w:val="21"/>
          <w:highlight w:val="none"/>
        </w:rPr>
        <w:t>文件要求负责安装并培训甲方的使用操作人员，乙方在甲方使用前进行调试，调试直到符合技术要求的甲方才做最终验收。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.5 甲乙双方关于调试和验收的其他约定：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hAnsi="宋体" w:eastAsia="宋体" w:cs="宋体"/>
          <w:b/>
          <w:bCs/>
          <w:color w:val="auto"/>
          <w:highlight w:val="none"/>
          <w:lang w:val="en-US" w:eastAsia="zh-CN"/>
        </w:rPr>
        <w:t>2</w:t>
      </w:r>
      <w:r>
        <w:rPr>
          <w:rFonts w:hint="eastAsia" w:ascii="宋体" w:hAnsi="宋体" w:eastAsia="宋体" w:cs="宋体"/>
          <w:b/>
          <w:bCs/>
          <w:color w:val="auto"/>
          <w:highlight w:val="none"/>
        </w:rPr>
        <w:t>、违约责任</w:t>
      </w:r>
    </w:p>
    <w:p>
      <w:pPr>
        <w:pStyle w:val="14"/>
        <w:snapToGrid w:val="0"/>
        <w:spacing w:before="120" w:after="120"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2</w:t>
      </w:r>
      <w:r>
        <w:rPr>
          <w:rFonts w:hint="eastAsia" w:ascii="宋体" w:hAnsi="宋体" w:eastAsia="宋体" w:cs="宋体"/>
          <w:color w:val="auto"/>
          <w:highlight w:val="none"/>
          <w:lang w:val="en-US" w:eastAsia="zh-CN"/>
        </w:rPr>
        <w:t>.1 甲方无正当理由拒绝初验收和终验收服务项目的，甲方应按未付服务项目款金额每日万分之五向乙方支付违约金。</w:t>
      </w:r>
    </w:p>
    <w:p>
      <w:pPr>
        <w:pStyle w:val="14"/>
        <w:snapToGrid w:val="0"/>
        <w:spacing w:before="120" w:after="120"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2</w:t>
      </w:r>
      <w:r>
        <w:rPr>
          <w:rFonts w:hint="eastAsia" w:ascii="宋体" w:hAnsi="宋体" w:eastAsia="宋体" w:cs="宋体"/>
          <w:color w:val="auto"/>
          <w:highlight w:val="none"/>
          <w:lang w:val="en-US" w:eastAsia="zh-CN"/>
        </w:rPr>
        <w:t>.2 甲方无故逾期验收和无故逾期办理款项支付手续的,甲方应按逾期付款金额每日万分之五向乙方支付违约金。</w:t>
      </w:r>
    </w:p>
    <w:p>
      <w:pPr>
        <w:pStyle w:val="14"/>
        <w:snapToGrid w:val="0"/>
        <w:spacing w:before="120" w:after="120"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2</w:t>
      </w:r>
      <w:r>
        <w:rPr>
          <w:rFonts w:hint="eastAsia" w:ascii="宋体" w:hAnsi="宋体" w:eastAsia="宋体" w:cs="宋体"/>
          <w:color w:val="auto"/>
          <w:highlight w:val="none"/>
          <w:lang w:val="en-US" w:eastAsia="zh-CN"/>
        </w:rPr>
        <w:t>.3乙方违约，在消除违约情形前，应按本合同项目总额每日万分之五向甲方支付违约金，甲方可以从待付款项中扣除。</w:t>
      </w:r>
    </w:p>
    <w:p>
      <w:pPr>
        <w:pStyle w:val="14"/>
        <w:snapToGrid w:val="0"/>
        <w:spacing w:before="120" w:after="120"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2</w:t>
      </w:r>
      <w:r>
        <w:rPr>
          <w:rFonts w:hint="eastAsia" w:ascii="宋体" w:hAnsi="宋体" w:eastAsia="宋体" w:cs="宋体"/>
          <w:color w:val="auto"/>
          <w:highlight w:val="none"/>
          <w:lang w:val="en-US" w:eastAsia="zh-CN"/>
        </w:rPr>
        <w:t>.4乙方因逾期交付服务项目或因其他违约行为，导致甲方解除合同的，乙方应向甲方支付合同总值10%的违约金，如造成甲方损失超过违约金的，超出部分由乙方继续承担赔偿责任。</w:t>
      </w:r>
    </w:p>
    <w:p>
      <w:pPr>
        <w:pStyle w:val="14"/>
        <w:snapToGrid w:val="0"/>
        <w:spacing w:before="120" w:after="120"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2</w:t>
      </w:r>
      <w:r>
        <w:rPr>
          <w:rFonts w:hint="eastAsia" w:ascii="宋体" w:hAnsi="宋体" w:eastAsia="宋体" w:cs="宋体"/>
          <w:color w:val="auto"/>
          <w:highlight w:val="none"/>
          <w:lang w:val="en-US" w:eastAsia="zh-CN"/>
        </w:rPr>
        <w:t>.5 乙方所交的服务项目全部或部分品种、型号、规格、技术参数、质量不符合合同规定及</w:t>
      </w:r>
      <w:r>
        <w:rPr>
          <w:rFonts w:hint="eastAsia" w:hAnsi="宋体" w:eastAsia="宋体" w:cs="宋体"/>
          <w:color w:val="auto"/>
          <w:highlight w:val="none"/>
          <w:lang w:val="en-US" w:eastAsia="zh-CN"/>
        </w:rPr>
        <w:t>招标</w:t>
      </w:r>
      <w:r>
        <w:rPr>
          <w:rFonts w:hint="eastAsia" w:ascii="宋体" w:hAnsi="宋体" w:eastAsia="宋体" w:cs="宋体"/>
          <w:color w:val="auto"/>
          <w:highlight w:val="none"/>
          <w:lang w:val="en-US" w:eastAsia="zh-CN"/>
        </w:rPr>
        <w:t>文件规定标准的，乙方更换服务但逾期交付的（甲方拒绝接受的除外），按乙方逾期交付处理；乙方拒绝更换的，甲方可选择解除本合同或本合同的一部分，并可追究乙方的其他违约责任。</w:t>
      </w:r>
    </w:p>
    <w:p>
      <w:pPr>
        <w:pStyle w:val="14"/>
        <w:snapToGrid w:val="0"/>
        <w:spacing w:before="120" w:after="120"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hAnsi="宋体" w:eastAsia="宋体" w:cs="宋体"/>
          <w:color w:val="auto"/>
          <w:highlight w:val="none"/>
          <w:lang w:val="en-US" w:eastAsia="zh-CN"/>
        </w:rPr>
        <w:t>2</w:t>
      </w:r>
      <w:r>
        <w:rPr>
          <w:rFonts w:hint="eastAsia" w:ascii="宋体" w:hAnsi="宋体" w:eastAsia="宋体" w:cs="宋体"/>
          <w:color w:val="auto"/>
          <w:highlight w:val="none"/>
          <w:lang w:val="en-US" w:eastAsia="zh-CN"/>
        </w:rPr>
        <w:t>.6合同生效后，发现乙方投标属虚假承诺，或经权威部门监测提供的服务不能满足</w:t>
      </w:r>
      <w:r>
        <w:rPr>
          <w:rFonts w:hint="eastAsia" w:hAnsi="宋体" w:eastAsia="宋体" w:cs="宋体"/>
          <w:color w:val="auto"/>
          <w:highlight w:val="none"/>
          <w:lang w:val="en-US" w:eastAsia="zh-CN"/>
        </w:rPr>
        <w:t>招标</w:t>
      </w:r>
      <w:r>
        <w:rPr>
          <w:rFonts w:hint="eastAsia" w:ascii="宋体" w:hAnsi="宋体" w:eastAsia="宋体" w:cs="宋体"/>
          <w:color w:val="auto"/>
          <w:highlight w:val="none"/>
          <w:lang w:val="en-US" w:eastAsia="zh-CN"/>
        </w:rPr>
        <w:t>文件要求，造成合同无法继续履行的，乙方履约保证金不予退还外，还应向甲方支付不少于合同总价</w:t>
      </w:r>
      <w:r>
        <w:rPr>
          <w:rFonts w:hint="eastAsia" w:ascii="宋体" w:hAnsi="宋体" w:eastAsia="宋体" w:cs="宋体"/>
          <w:color w:val="auto"/>
          <w:highlight w:val="none"/>
          <w:u w:val="single"/>
          <w:lang w:val="en-US" w:eastAsia="zh-CN"/>
        </w:rPr>
        <w:t xml:space="preserve"> 10  </w:t>
      </w:r>
      <w:r>
        <w:rPr>
          <w:rFonts w:hint="eastAsia" w:ascii="宋体" w:hAnsi="宋体" w:eastAsia="宋体" w:cs="宋体"/>
          <w:color w:val="auto"/>
          <w:highlight w:val="none"/>
          <w:lang w:val="en-US" w:eastAsia="zh-CN"/>
        </w:rPr>
        <w:t>%赔偿金。</w:t>
      </w:r>
    </w:p>
    <w:p>
      <w:pPr>
        <w:pStyle w:val="14"/>
        <w:snapToGrid w:val="0"/>
        <w:spacing w:before="120" w:after="12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hAnsi="宋体" w:eastAsia="宋体" w:cs="宋体"/>
          <w:b/>
          <w:bCs/>
          <w:color w:val="auto"/>
          <w:highlight w:val="none"/>
          <w:lang w:val="en-US" w:eastAsia="zh-CN"/>
        </w:rPr>
        <w:t>3</w:t>
      </w:r>
      <w:r>
        <w:rPr>
          <w:rFonts w:hint="eastAsia" w:ascii="宋体" w:hAnsi="宋体" w:eastAsia="宋体" w:cs="宋体"/>
          <w:b/>
          <w:bCs/>
          <w:color w:val="auto"/>
          <w:highlight w:val="none"/>
        </w:rPr>
        <w:t>、不可抗力事件处理</w:t>
      </w:r>
    </w:p>
    <w:p>
      <w:pPr>
        <w:pStyle w:val="14"/>
        <w:snapToGrid w:val="0"/>
        <w:spacing w:before="120" w:after="120"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3</w:t>
      </w:r>
      <w:r>
        <w:rPr>
          <w:rFonts w:hint="eastAsia" w:ascii="宋体" w:hAnsi="宋体" w:eastAsia="宋体" w:cs="宋体"/>
          <w:color w:val="auto"/>
          <w:highlight w:val="none"/>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3</w:t>
      </w:r>
      <w:r>
        <w:rPr>
          <w:rFonts w:hint="eastAsia" w:ascii="宋体" w:hAnsi="宋体" w:eastAsia="宋体" w:cs="宋体"/>
          <w:color w:val="auto"/>
          <w:highlight w:val="none"/>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hAnsi="宋体" w:eastAsia="宋体" w:cs="宋体"/>
          <w:b/>
          <w:bCs/>
          <w:color w:val="auto"/>
          <w:highlight w:val="none"/>
          <w:lang w:val="en-US" w:eastAsia="zh-CN"/>
        </w:rPr>
        <w:t>4</w:t>
      </w:r>
      <w:r>
        <w:rPr>
          <w:rFonts w:hint="eastAsia" w:ascii="宋体" w:hAnsi="宋体" w:eastAsia="宋体" w:cs="宋体"/>
          <w:b/>
          <w:bCs/>
          <w:color w:val="auto"/>
          <w:highlight w:val="none"/>
        </w:rPr>
        <w:t>、争议解决</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4</w:t>
      </w:r>
      <w:r>
        <w:rPr>
          <w:rFonts w:hint="eastAsia" w:ascii="宋体" w:hAnsi="宋体" w:eastAsia="宋体" w:cs="宋体"/>
          <w:color w:val="auto"/>
          <w:highlight w:val="none"/>
        </w:rPr>
        <w:t>.1 因服务的品质质量问题发生争议的，可在国家认可的质量检测机构对服务内容质量进行鉴定。服务符合标准的，鉴定费由甲方承担；服务项目不符合质量标准的，鉴定费由乙方承担。</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4</w:t>
      </w:r>
      <w:r>
        <w:rPr>
          <w:rFonts w:hint="eastAsia" w:ascii="宋体" w:hAnsi="宋体" w:eastAsia="宋体" w:cs="宋体"/>
          <w:color w:val="auto"/>
          <w:highlight w:val="none"/>
        </w:rPr>
        <w:t>.2 因履行本合同引起的或与本合同有关的争议，甲、乙双方应首先通过友好协商解决；如果协商不能解决争议，甲乙双方同意采取下列两种方式的第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种方式解决争议：</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（1）向甲方所在地有管辖权的人民法院提起诉讼，适用中华人民共和国法律；</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（2）向扬州仲裁委员会按其仲裁规则申请仲裁。</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4</w:t>
      </w:r>
      <w:r>
        <w:rPr>
          <w:rFonts w:hint="eastAsia" w:ascii="宋体" w:hAnsi="宋体" w:eastAsia="宋体" w:cs="宋体"/>
          <w:color w:val="auto"/>
          <w:highlight w:val="none"/>
        </w:rPr>
        <w:t>.3 若甲乙双方任何一方都没有选择解除合同的，为避免扩大损失，在诉讼或仲裁期间，双方应继续履行。</w:t>
      </w:r>
    </w:p>
    <w:p>
      <w:pPr>
        <w:pStyle w:val="14"/>
        <w:snapToGrid w:val="0"/>
        <w:spacing w:before="120" w:after="120" w:line="360" w:lineRule="auto"/>
        <w:ind w:left="315" w:leftChars="150" w:firstLine="105" w:firstLineChars="5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hAnsi="宋体" w:eastAsia="宋体" w:cs="宋体"/>
          <w:b/>
          <w:bCs/>
          <w:color w:val="auto"/>
          <w:highlight w:val="none"/>
          <w:lang w:val="en-US" w:eastAsia="zh-CN"/>
        </w:rPr>
        <w:t>5</w:t>
      </w:r>
      <w:r>
        <w:rPr>
          <w:rFonts w:hint="eastAsia" w:ascii="宋体" w:hAnsi="宋体" w:eastAsia="宋体" w:cs="宋体"/>
          <w:b/>
          <w:bCs/>
          <w:color w:val="auto"/>
          <w:highlight w:val="none"/>
        </w:rPr>
        <w:t>、合同其它</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5</w:t>
      </w:r>
      <w:r>
        <w:rPr>
          <w:rFonts w:hint="eastAsia" w:ascii="宋体" w:hAnsi="宋体" w:eastAsia="宋体" w:cs="宋体"/>
          <w:color w:val="auto"/>
          <w:highlight w:val="none"/>
        </w:rPr>
        <w:t>.1 乙方应诚实信用，严格按照</w:t>
      </w:r>
      <w:r>
        <w:rPr>
          <w:rFonts w:hint="eastAsia" w:hAnsi="宋体" w:eastAsia="宋体" w:cs="宋体"/>
          <w:color w:val="auto"/>
          <w:highlight w:val="none"/>
          <w:lang w:eastAsia="zh-CN"/>
        </w:rPr>
        <w:t>招标</w:t>
      </w:r>
      <w:r>
        <w:rPr>
          <w:rFonts w:hint="eastAsia" w:ascii="宋体" w:hAnsi="宋体" w:eastAsia="宋体" w:cs="宋体"/>
          <w:color w:val="auto"/>
          <w:highlight w:val="none"/>
        </w:rPr>
        <w:t>文件要求和投标承诺履行合同，不向甲方进行商业贿赂或者提供不正当利益。</w:t>
      </w:r>
    </w:p>
    <w:p>
      <w:pPr>
        <w:pStyle w:val="14"/>
        <w:snapToGrid w:val="0"/>
        <w:spacing w:before="120" w:after="12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本合同未尽事宜，遵照《合同法》有关条文执行。</w:t>
      </w:r>
    </w:p>
    <w:p>
      <w:pPr>
        <w:pStyle w:val="14"/>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本合同正本一式四份，具有同等法律效力，甲方、乙方各执</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份。</w:t>
      </w:r>
    </w:p>
    <w:p>
      <w:pPr>
        <w:pStyle w:val="14"/>
        <w:snapToGrid w:val="0"/>
        <w:spacing w:before="120" w:after="120" w:line="360" w:lineRule="auto"/>
        <w:ind w:firstLine="420" w:firstLineChars="200"/>
        <w:rPr>
          <w:rFonts w:hint="eastAsia" w:ascii="宋体" w:hAnsi="宋体" w:eastAsia="宋体" w:cs="宋体"/>
          <w:color w:val="auto"/>
          <w:highlight w:val="none"/>
          <w:lang w:eastAsia="zh-CN"/>
        </w:rPr>
      </w:pPr>
    </w:p>
    <w:p>
      <w:pPr>
        <w:pStyle w:val="14"/>
        <w:snapToGrid w:val="0"/>
        <w:spacing w:before="120" w:after="120"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 xml:space="preserve">  甲方：</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乙方： </w:t>
      </w:r>
    </w:p>
    <w:p>
      <w:pPr>
        <w:pStyle w:val="14"/>
        <w:snapToGrid w:val="0"/>
        <w:spacing w:before="120" w:after="12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地址：</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地址： </w:t>
      </w:r>
    </w:p>
    <w:p>
      <w:pPr>
        <w:pStyle w:val="14"/>
        <w:snapToGrid w:val="0"/>
        <w:spacing w:before="120" w:after="120"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法定代表人或授权代表：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法定代表人或授权代表：</w:t>
      </w:r>
    </w:p>
    <w:p>
      <w:pPr>
        <w:pStyle w:val="14"/>
        <w:snapToGrid w:val="0"/>
        <w:spacing w:before="120" w:after="12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联系电话：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联系电话：</w:t>
      </w:r>
    </w:p>
    <w:p>
      <w:pPr>
        <w:pStyle w:val="14"/>
        <w:snapToGrid w:val="0"/>
        <w:spacing w:before="120" w:after="120"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日期：      年</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月</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日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日期：      年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日</w:t>
      </w: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14"/>
        <w:snapToGrid w:val="0"/>
        <w:spacing w:before="120" w:after="120" w:line="360" w:lineRule="auto"/>
        <w:ind w:firstLine="210" w:firstLineChars="100"/>
        <w:rPr>
          <w:rFonts w:hint="eastAsia" w:ascii="宋体" w:hAnsi="宋体" w:eastAsia="宋体" w:cs="宋体"/>
          <w:color w:val="auto"/>
          <w:highlight w:val="none"/>
        </w:rPr>
      </w:pPr>
    </w:p>
    <w:p>
      <w:pPr>
        <w:pStyle w:val="61"/>
        <w:spacing w:line="360" w:lineRule="auto"/>
        <w:ind w:firstLine="422" w:firstLineChars="200"/>
        <w:jc w:val="both"/>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 xml:space="preserve">附件一：                </w:t>
      </w:r>
    </w:p>
    <w:p>
      <w:pPr>
        <w:spacing w:line="360" w:lineRule="auto"/>
        <w:ind w:firstLine="562" w:firstLineChars="200"/>
        <w:jc w:val="center"/>
        <w:rPr>
          <w:b/>
          <w:bCs/>
          <w:color w:val="auto"/>
          <w:sz w:val="28"/>
          <w:szCs w:val="28"/>
          <w:highlight w:val="none"/>
        </w:rPr>
      </w:pPr>
      <w:r>
        <w:rPr>
          <w:rFonts w:hint="eastAsia"/>
          <w:b/>
          <w:bCs/>
          <w:color w:val="auto"/>
          <w:sz w:val="28"/>
          <w:szCs w:val="28"/>
          <w:highlight w:val="none"/>
        </w:rPr>
        <w:t>廉洁协议书</w:t>
      </w:r>
    </w:p>
    <w:p>
      <w:pPr>
        <w:spacing w:line="500" w:lineRule="exact"/>
        <w:ind w:firstLine="422" w:firstLineChars="200"/>
        <w:rPr>
          <w:b/>
          <w:bCs/>
          <w:color w:val="auto"/>
          <w:szCs w:val="21"/>
          <w:highlight w:val="none"/>
        </w:rPr>
      </w:pPr>
      <w:r>
        <w:rPr>
          <w:rFonts w:hint="eastAsia"/>
          <w:b/>
          <w:bCs/>
          <w:color w:val="auto"/>
          <w:szCs w:val="21"/>
          <w:highlight w:val="none"/>
        </w:rPr>
        <w:t>甲  方：</w:t>
      </w:r>
      <w:r>
        <w:rPr>
          <w:rFonts w:hint="eastAsia" w:ascii="宋体" w:hAnsi="宋体"/>
          <w:color w:val="auto"/>
          <w:szCs w:val="21"/>
          <w:highlight w:val="none"/>
        </w:rPr>
        <w:t>江苏长江水务股份有限公司</w:t>
      </w:r>
    </w:p>
    <w:p>
      <w:pPr>
        <w:spacing w:line="500" w:lineRule="exact"/>
        <w:ind w:firstLine="422" w:firstLineChars="200"/>
        <w:rPr>
          <w:rFonts w:ascii="宋体" w:hAnsi="宋体"/>
          <w:color w:val="auto"/>
          <w:szCs w:val="21"/>
          <w:highlight w:val="none"/>
        </w:rPr>
      </w:pPr>
      <w:r>
        <w:rPr>
          <w:rFonts w:hint="eastAsia"/>
          <w:b/>
          <w:bCs/>
          <w:color w:val="auto"/>
          <w:szCs w:val="21"/>
          <w:highlight w:val="none"/>
        </w:rPr>
        <w:t>乙  方：</w:t>
      </w:r>
    </w:p>
    <w:p>
      <w:pPr>
        <w:spacing w:line="500" w:lineRule="exact"/>
        <w:ind w:firstLine="422" w:firstLineChars="200"/>
        <w:rPr>
          <w:b/>
          <w:bCs/>
          <w:color w:val="auto"/>
          <w:szCs w:val="21"/>
          <w:highlight w:val="none"/>
        </w:rPr>
      </w:pPr>
      <w:r>
        <w:rPr>
          <w:rFonts w:hint="eastAsia"/>
          <w:b/>
          <w:bCs/>
          <w:color w:val="auto"/>
          <w:szCs w:val="21"/>
          <w:highlight w:val="none"/>
        </w:rPr>
        <w:t>项目名称：</w:t>
      </w:r>
    </w:p>
    <w:p>
      <w:pPr>
        <w:spacing w:line="500" w:lineRule="exact"/>
        <w:ind w:firstLine="420" w:firstLineChars="200"/>
        <w:rPr>
          <w:color w:val="auto"/>
          <w:szCs w:val="21"/>
          <w:highlight w:val="none"/>
        </w:rPr>
      </w:pPr>
      <w:r>
        <w:rPr>
          <w:rFonts w:hint="eastAsia"/>
          <w:color w:val="auto"/>
          <w:szCs w:val="21"/>
          <w:highlight w:val="none"/>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pPr>
        <w:spacing w:line="500" w:lineRule="exact"/>
        <w:ind w:firstLine="422" w:firstLineChars="200"/>
        <w:rPr>
          <w:color w:val="auto"/>
          <w:szCs w:val="21"/>
          <w:highlight w:val="none"/>
        </w:rPr>
      </w:pPr>
      <w:r>
        <w:rPr>
          <w:rFonts w:hint="eastAsia"/>
          <w:b/>
          <w:bCs/>
          <w:color w:val="auto"/>
          <w:szCs w:val="21"/>
          <w:highlight w:val="none"/>
        </w:rPr>
        <w:t>第一条 甲、乙双方的共同责任</w:t>
      </w:r>
    </w:p>
    <w:p>
      <w:pPr>
        <w:spacing w:line="500" w:lineRule="exact"/>
        <w:ind w:firstLine="420" w:firstLineChars="200"/>
        <w:rPr>
          <w:color w:val="auto"/>
          <w:szCs w:val="21"/>
          <w:highlight w:val="none"/>
        </w:rPr>
      </w:pPr>
      <w:r>
        <w:rPr>
          <w:rFonts w:hint="eastAsia"/>
          <w:color w:val="auto"/>
          <w:szCs w:val="21"/>
          <w:highlight w:val="none"/>
        </w:rPr>
        <w:t>1、应自觉遵守国家、地方及建设单位有关廉政建设的各项制度和规定。</w:t>
      </w:r>
    </w:p>
    <w:p>
      <w:pPr>
        <w:spacing w:line="500" w:lineRule="exact"/>
        <w:ind w:firstLine="420" w:firstLineChars="200"/>
        <w:rPr>
          <w:color w:val="auto"/>
          <w:szCs w:val="21"/>
          <w:highlight w:val="none"/>
        </w:rPr>
      </w:pPr>
      <w:r>
        <w:rPr>
          <w:rFonts w:hint="eastAsia"/>
          <w:color w:val="auto"/>
          <w:szCs w:val="21"/>
          <w:highlight w:val="none"/>
        </w:rPr>
        <w:t>2、严格履行合同约定，自觉承担合同义务。</w:t>
      </w:r>
    </w:p>
    <w:p>
      <w:pPr>
        <w:spacing w:line="500" w:lineRule="exact"/>
        <w:ind w:firstLine="420" w:firstLineChars="200"/>
        <w:rPr>
          <w:color w:val="auto"/>
          <w:szCs w:val="21"/>
          <w:highlight w:val="none"/>
        </w:rPr>
      </w:pPr>
      <w:r>
        <w:rPr>
          <w:rFonts w:hint="eastAsia"/>
          <w:color w:val="auto"/>
          <w:szCs w:val="21"/>
          <w:highlight w:val="none"/>
        </w:rPr>
        <w:t>3、开展业务活动必须坚持自愿、公平、公开、公正和诚实守信的原则，不得为谋取不正当利益损害国家、集体和双方权益。</w:t>
      </w:r>
    </w:p>
    <w:p>
      <w:pPr>
        <w:spacing w:line="500" w:lineRule="exact"/>
        <w:ind w:firstLine="420" w:firstLineChars="200"/>
        <w:rPr>
          <w:color w:val="auto"/>
          <w:szCs w:val="21"/>
          <w:highlight w:val="none"/>
        </w:rPr>
      </w:pPr>
      <w:r>
        <w:rPr>
          <w:rFonts w:hint="eastAsia"/>
          <w:color w:val="auto"/>
          <w:szCs w:val="21"/>
          <w:highlight w:val="none"/>
        </w:rPr>
        <w:t>4、建立健全自我制约制度，开展廉洁教育，增强廉洁意识，公布举报电话，监督并认真查处违规违纪违法行为。</w:t>
      </w:r>
    </w:p>
    <w:p>
      <w:pPr>
        <w:spacing w:line="500" w:lineRule="exact"/>
        <w:ind w:firstLine="420" w:firstLineChars="200"/>
        <w:rPr>
          <w:color w:val="auto"/>
          <w:szCs w:val="21"/>
          <w:highlight w:val="none"/>
        </w:rPr>
      </w:pPr>
      <w:r>
        <w:rPr>
          <w:rFonts w:hint="eastAsia"/>
          <w:color w:val="auto"/>
          <w:szCs w:val="21"/>
          <w:highlight w:val="none"/>
        </w:rPr>
        <w:t>5、不得有其他妨碍正常交易的违法行为。</w:t>
      </w:r>
    </w:p>
    <w:p>
      <w:pPr>
        <w:spacing w:line="500" w:lineRule="exact"/>
        <w:ind w:firstLine="422" w:firstLineChars="200"/>
        <w:rPr>
          <w:b/>
          <w:bCs/>
          <w:color w:val="auto"/>
          <w:szCs w:val="21"/>
          <w:highlight w:val="none"/>
        </w:rPr>
      </w:pPr>
      <w:r>
        <w:rPr>
          <w:rFonts w:hint="eastAsia"/>
          <w:b/>
          <w:bCs/>
          <w:color w:val="auto"/>
          <w:szCs w:val="21"/>
          <w:highlight w:val="none"/>
        </w:rPr>
        <w:t>第二条 买受人的责任</w:t>
      </w:r>
    </w:p>
    <w:p>
      <w:pPr>
        <w:spacing w:line="500" w:lineRule="exact"/>
        <w:ind w:firstLine="420" w:firstLineChars="200"/>
        <w:rPr>
          <w:color w:val="auto"/>
          <w:szCs w:val="21"/>
          <w:highlight w:val="none"/>
        </w:rPr>
      </w:pPr>
      <w:r>
        <w:rPr>
          <w:rFonts w:hint="eastAsia"/>
          <w:color w:val="auto"/>
          <w:szCs w:val="21"/>
          <w:highlight w:val="none"/>
        </w:rPr>
        <w:t>1、买受人应按照自愿、公平、公正、公开和诚实守信的原则开展各项业务活动，为乙方提供公平的竞争环境与平台。</w:t>
      </w:r>
    </w:p>
    <w:p>
      <w:pPr>
        <w:spacing w:line="500" w:lineRule="exact"/>
        <w:ind w:firstLine="420" w:firstLineChars="200"/>
        <w:rPr>
          <w:color w:val="auto"/>
          <w:szCs w:val="21"/>
          <w:highlight w:val="none"/>
        </w:rPr>
      </w:pPr>
      <w:r>
        <w:rPr>
          <w:rFonts w:hint="eastAsia"/>
          <w:color w:val="auto"/>
          <w:szCs w:val="21"/>
          <w:highlight w:val="none"/>
        </w:rPr>
        <w:t>2、买受人应严格遵守公司对外服务“五条禁令”：严禁接受服务对象、业务单位的礼金、宴请；严禁违规收费；严禁越权动用供水设施；严禁私揽供水工程；严禁工作期间饮酒和擅离岗位。</w:t>
      </w:r>
    </w:p>
    <w:p>
      <w:pPr>
        <w:spacing w:line="500" w:lineRule="exact"/>
        <w:ind w:firstLine="420" w:firstLineChars="200"/>
        <w:rPr>
          <w:color w:val="auto"/>
          <w:szCs w:val="21"/>
          <w:highlight w:val="none"/>
        </w:rPr>
      </w:pPr>
      <w:r>
        <w:rPr>
          <w:rFonts w:hint="eastAsia"/>
          <w:color w:val="auto"/>
          <w:szCs w:val="21"/>
          <w:highlight w:val="none"/>
        </w:rPr>
        <w:t>3、买受人不得以任何理由要求乙方为其亲属、朋友等安排工作。</w:t>
      </w:r>
    </w:p>
    <w:p>
      <w:pPr>
        <w:spacing w:line="500" w:lineRule="exact"/>
        <w:ind w:firstLine="420" w:firstLineChars="200"/>
        <w:rPr>
          <w:color w:val="auto"/>
          <w:szCs w:val="21"/>
          <w:highlight w:val="none"/>
        </w:rPr>
      </w:pPr>
      <w:r>
        <w:rPr>
          <w:rFonts w:hint="eastAsia"/>
          <w:color w:val="auto"/>
          <w:szCs w:val="21"/>
          <w:highlight w:val="none"/>
        </w:rPr>
        <w:t>4、买受人不得要求乙方及相关单位报销任何应由买受人或个人支付的费用。</w:t>
      </w:r>
    </w:p>
    <w:p>
      <w:pPr>
        <w:spacing w:line="500" w:lineRule="exact"/>
        <w:ind w:firstLine="420" w:firstLineChars="200"/>
        <w:rPr>
          <w:color w:val="auto"/>
          <w:szCs w:val="21"/>
          <w:highlight w:val="none"/>
        </w:rPr>
      </w:pPr>
      <w:r>
        <w:rPr>
          <w:rFonts w:hint="eastAsia"/>
          <w:color w:val="auto"/>
          <w:szCs w:val="21"/>
          <w:highlight w:val="none"/>
        </w:rPr>
        <w:t>5、买受人不得参与影响相关双方正常工作和公正开展的其他活动。</w:t>
      </w:r>
    </w:p>
    <w:p>
      <w:pPr>
        <w:spacing w:line="500" w:lineRule="exact"/>
        <w:ind w:firstLine="420" w:firstLineChars="200"/>
        <w:rPr>
          <w:color w:val="auto"/>
          <w:szCs w:val="21"/>
          <w:highlight w:val="none"/>
        </w:rPr>
      </w:pPr>
      <w:r>
        <w:rPr>
          <w:rFonts w:hint="eastAsia"/>
          <w:color w:val="auto"/>
          <w:szCs w:val="21"/>
          <w:highlight w:val="none"/>
        </w:rPr>
        <w:t>6、买受人不得向乙方泄露涉及有关业务活动的秘密。</w:t>
      </w:r>
    </w:p>
    <w:p>
      <w:pPr>
        <w:spacing w:line="500" w:lineRule="exact"/>
        <w:ind w:firstLine="420" w:firstLineChars="200"/>
        <w:rPr>
          <w:color w:val="auto"/>
          <w:szCs w:val="21"/>
          <w:highlight w:val="none"/>
        </w:rPr>
      </w:pPr>
      <w:r>
        <w:rPr>
          <w:rFonts w:hint="eastAsia"/>
          <w:color w:val="auto"/>
          <w:szCs w:val="21"/>
          <w:highlight w:val="none"/>
        </w:rPr>
        <w:t>7、买受人要求参与公司业务活动的本公司员工主动申报与乙方的关联关系，包括但不限于存在亲属关系、利益关联体等。</w:t>
      </w:r>
    </w:p>
    <w:p>
      <w:pPr>
        <w:spacing w:line="500" w:lineRule="exact"/>
        <w:ind w:firstLine="420" w:firstLineChars="200"/>
        <w:rPr>
          <w:color w:val="auto"/>
          <w:szCs w:val="21"/>
          <w:highlight w:val="none"/>
        </w:rPr>
      </w:pPr>
      <w:r>
        <w:rPr>
          <w:rFonts w:hint="eastAsia"/>
          <w:color w:val="auto"/>
          <w:szCs w:val="21"/>
          <w:highlight w:val="none"/>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pPr>
        <w:spacing w:line="500" w:lineRule="exact"/>
        <w:ind w:firstLine="420" w:firstLineChars="200"/>
        <w:rPr>
          <w:color w:val="auto"/>
          <w:szCs w:val="21"/>
          <w:highlight w:val="none"/>
        </w:rPr>
      </w:pPr>
      <w:r>
        <w:rPr>
          <w:rFonts w:hint="eastAsia"/>
          <w:color w:val="auto"/>
          <w:szCs w:val="21"/>
          <w:highlight w:val="none"/>
        </w:rPr>
        <w:t>9、在合同订立及履行过程中，如乙方人员有行贿行为的，买受人应坚决拒绝，及时向公司领导、纪检监察部门或乙方上级领导或有关部门举报，并向双方单位通报。</w:t>
      </w:r>
    </w:p>
    <w:p>
      <w:pPr>
        <w:spacing w:line="500" w:lineRule="exact"/>
        <w:ind w:firstLine="422" w:firstLineChars="200"/>
        <w:rPr>
          <w:b/>
          <w:bCs/>
          <w:color w:val="auto"/>
          <w:szCs w:val="21"/>
          <w:highlight w:val="none"/>
        </w:rPr>
      </w:pPr>
      <w:r>
        <w:rPr>
          <w:rFonts w:hint="eastAsia"/>
          <w:b/>
          <w:bCs/>
          <w:color w:val="auto"/>
          <w:szCs w:val="21"/>
          <w:highlight w:val="none"/>
        </w:rPr>
        <w:t>第三条 乙方的责任</w:t>
      </w:r>
    </w:p>
    <w:p>
      <w:pPr>
        <w:spacing w:line="500" w:lineRule="exact"/>
        <w:ind w:firstLine="420" w:firstLineChars="200"/>
        <w:rPr>
          <w:color w:val="auto"/>
          <w:szCs w:val="21"/>
          <w:highlight w:val="none"/>
        </w:rPr>
      </w:pPr>
      <w:r>
        <w:rPr>
          <w:rFonts w:hint="eastAsia"/>
          <w:color w:val="auto"/>
          <w:szCs w:val="21"/>
          <w:highlight w:val="none"/>
        </w:rPr>
        <w:t>1、乙方应主动如实向买受人申报是否与买受人员工存在亲属关系、利益关联体关系，是否有买受人在岗或离职人员担任乙方重要岗位等情况。</w:t>
      </w:r>
    </w:p>
    <w:p>
      <w:pPr>
        <w:spacing w:line="500" w:lineRule="exact"/>
        <w:ind w:firstLine="420" w:firstLineChars="200"/>
        <w:rPr>
          <w:color w:val="auto"/>
          <w:szCs w:val="21"/>
          <w:highlight w:val="none"/>
        </w:rPr>
      </w:pPr>
      <w:r>
        <w:rPr>
          <w:rFonts w:hint="eastAsia"/>
          <w:color w:val="auto"/>
          <w:szCs w:val="21"/>
          <w:highlight w:val="none"/>
        </w:rPr>
        <w:t>2、乙方不得接受买受人工作人员介绍的家属或者亲友从事与合同相关的业务，包括但不限于作为乙方的材料供应方、服务提供方等。</w:t>
      </w:r>
    </w:p>
    <w:p>
      <w:pPr>
        <w:spacing w:line="500" w:lineRule="exact"/>
        <w:ind w:firstLine="420" w:firstLineChars="200"/>
        <w:rPr>
          <w:color w:val="auto"/>
          <w:szCs w:val="21"/>
          <w:highlight w:val="none"/>
        </w:rPr>
      </w:pPr>
      <w:r>
        <w:rPr>
          <w:rFonts w:hint="eastAsia"/>
          <w:color w:val="auto"/>
          <w:szCs w:val="21"/>
          <w:highlight w:val="none"/>
        </w:rPr>
        <w:t>3、乙方不得为谋取利益擅自与买受人就工程承包、工程费用、材料设备供应、工程量变动、工程验收、工程质量问题处理进行私下商谈或者达成默契。</w:t>
      </w:r>
    </w:p>
    <w:p>
      <w:pPr>
        <w:spacing w:line="500" w:lineRule="exact"/>
        <w:ind w:firstLine="420" w:firstLineChars="200"/>
        <w:rPr>
          <w:color w:val="auto"/>
          <w:szCs w:val="21"/>
          <w:highlight w:val="none"/>
        </w:rPr>
      </w:pPr>
      <w:r>
        <w:rPr>
          <w:rFonts w:hint="eastAsia"/>
          <w:color w:val="auto"/>
          <w:szCs w:val="21"/>
          <w:highlight w:val="none"/>
        </w:rPr>
        <w:t>4、乙方不得与其他单位串通投标、不得采取恶性竞争等不正当手段竞争业务。</w:t>
      </w:r>
    </w:p>
    <w:p>
      <w:pPr>
        <w:spacing w:line="500" w:lineRule="exact"/>
        <w:ind w:firstLine="420" w:firstLineChars="200"/>
        <w:rPr>
          <w:color w:val="auto"/>
          <w:szCs w:val="21"/>
          <w:highlight w:val="none"/>
        </w:rPr>
      </w:pPr>
      <w:r>
        <w:rPr>
          <w:rFonts w:hint="eastAsia"/>
          <w:color w:val="auto"/>
          <w:szCs w:val="21"/>
          <w:highlight w:val="none"/>
        </w:rPr>
        <w:t>5、乙方应当通过正常途径开展相关工作，不得以任何理由或者形式向买受人工作人员（含配偶、子女及其他特定关系人，同下）提供或赠送礼金、有价证券、贵重物品及手续费、回扣、好处费、感谢费等。</w:t>
      </w:r>
    </w:p>
    <w:p>
      <w:pPr>
        <w:spacing w:line="500" w:lineRule="exact"/>
        <w:ind w:firstLine="420" w:firstLineChars="200"/>
        <w:rPr>
          <w:color w:val="auto"/>
          <w:szCs w:val="21"/>
          <w:highlight w:val="none"/>
        </w:rPr>
      </w:pPr>
      <w:r>
        <w:rPr>
          <w:rFonts w:hint="eastAsia"/>
          <w:color w:val="auto"/>
          <w:szCs w:val="21"/>
          <w:highlight w:val="none"/>
        </w:rPr>
        <w:t>6、乙方不得以任何理由或任何形式邀请买受人工作人员参加有可能影响廉洁、公正的宴请、健身、旅游、娱乐活动。</w:t>
      </w:r>
    </w:p>
    <w:p>
      <w:pPr>
        <w:spacing w:line="500" w:lineRule="exact"/>
        <w:ind w:firstLine="420" w:firstLineChars="200"/>
        <w:rPr>
          <w:color w:val="auto"/>
          <w:szCs w:val="21"/>
          <w:highlight w:val="none"/>
        </w:rPr>
      </w:pPr>
      <w:r>
        <w:rPr>
          <w:rFonts w:hint="eastAsia"/>
          <w:color w:val="auto"/>
          <w:szCs w:val="21"/>
          <w:highlight w:val="none"/>
        </w:rPr>
        <w:t>7、乙方不得和买受人人员及其亲属发生任何形式的经济往来，包含但不限于个人借款、任何形式的费用报销、婚丧嫁娶、工作安排、出国、留学等。</w:t>
      </w:r>
    </w:p>
    <w:p>
      <w:pPr>
        <w:spacing w:line="500" w:lineRule="exact"/>
        <w:ind w:firstLine="420" w:firstLineChars="200"/>
        <w:rPr>
          <w:color w:val="auto"/>
          <w:szCs w:val="21"/>
          <w:highlight w:val="none"/>
        </w:rPr>
      </w:pPr>
      <w:r>
        <w:rPr>
          <w:rFonts w:hint="eastAsia"/>
          <w:color w:val="auto"/>
          <w:szCs w:val="21"/>
          <w:highlight w:val="none"/>
        </w:rPr>
        <w:t>8、乙方不得向买受人员工及其家属购置、提供任何住房、装修、交通工具、通讯工具、家电、高档办公用品等物品。</w:t>
      </w:r>
    </w:p>
    <w:p>
      <w:pPr>
        <w:spacing w:line="500" w:lineRule="exact"/>
        <w:ind w:firstLine="420" w:firstLineChars="200"/>
        <w:rPr>
          <w:color w:val="auto"/>
          <w:szCs w:val="21"/>
          <w:highlight w:val="none"/>
        </w:rPr>
      </w:pPr>
      <w:r>
        <w:rPr>
          <w:rFonts w:hint="eastAsia"/>
          <w:color w:val="auto"/>
          <w:szCs w:val="21"/>
          <w:highlight w:val="none"/>
        </w:rPr>
        <w:t>9、乙方有义务监督买受人员工廉洁从业，对违反者，有向买受人反馈和举报的权利和义务。</w:t>
      </w:r>
    </w:p>
    <w:p>
      <w:pPr>
        <w:spacing w:line="500" w:lineRule="exact"/>
        <w:ind w:firstLine="420" w:firstLineChars="200"/>
        <w:rPr>
          <w:color w:val="auto"/>
          <w:szCs w:val="21"/>
          <w:highlight w:val="none"/>
        </w:rPr>
      </w:pPr>
      <w:r>
        <w:rPr>
          <w:rFonts w:hint="eastAsia"/>
          <w:color w:val="auto"/>
          <w:szCs w:val="21"/>
          <w:highlight w:val="none"/>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pPr>
        <w:spacing w:line="500" w:lineRule="exact"/>
        <w:ind w:firstLine="422" w:firstLineChars="200"/>
        <w:rPr>
          <w:b/>
          <w:bCs/>
          <w:color w:val="auto"/>
          <w:szCs w:val="21"/>
          <w:highlight w:val="none"/>
        </w:rPr>
      </w:pPr>
      <w:r>
        <w:rPr>
          <w:rFonts w:hint="eastAsia"/>
          <w:b/>
          <w:bCs/>
          <w:color w:val="auto"/>
          <w:szCs w:val="21"/>
          <w:highlight w:val="none"/>
        </w:rPr>
        <w:t xml:space="preserve">第四条 违约责任 </w:t>
      </w:r>
    </w:p>
    <w:p>
      <w:pPr>
        <w:spacing w:line="500" w:lineRule="exact"/>
        <w:ind w:firstLine="420" w:firstLineChars="200"/>
        <w:rPr>
          <w:color w:val="auto"/>
          <w:szCs w:val="21"/>
          <w:highlight w:val="none"/>
        </w:rPr>
      </w:pPr>
      <w:r>
        <w:rPr>
          <w:rFonts w:hint="eastAsia"/>
          <w:color w:val="auto"/>
          <w:szCs w:val="21"/>
          <w:highlight w:val="none"/>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pPr>
        <w:spacing w:line="500" w:lineRule="exact"/>
        <w:ind w:firstLine="420" w:firstLineChars="200"/>
        <w:rPr>
          <w:color w:val="auto"/>
          <w:szCs w:val="21"/>
          <w:highlight w:val="none"/>
        </w:rPr>
      </w:pPr>
      <w:r>
        <w:rPr>
          <w:rFonts w:hint="eastAsia"/>
          <w:color w:val="auto"/>
          <w:szCs w:val="21"/>
          <w:highlight w:val="none"/>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pPr>
        <w:spacing w:line="500" w:lineRule="exact"/>
        <w:ind w:firstLine="420" w:firstLineChars="200"/>
        <w:rPr>
          <w:color w:val="auto"/>
          <w:szCs w:val="21"/>
          <w:highlight w:val="none"/>
        </w:rPr>
      </w:pPr>
      <w:r>
        <w:rPr>
          <w:rFonts w:hint="eastAsia"/>
          <w:color w:val="auto"/>
          <w:szCs w:val="21"/>
          <w:highlight w:val="none"/>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pPr>
        <w:spacing w:line="500" w:lineRule="exact"/>
        <w:ind w:firstLine="422" w:firstLineChars="200"/>
        <w:rPr>
          <w:b/>
          <w:bCs/>
          <w:color w:val="auto"/>
          <w:szCs w:val="21"/>
          <w:highlight w:val="none"/>
        </w:rPr>
      </w:pPr>
      <w:r>
        <w:rPr>
          <w:rFonts w:hint="eastAsia"/>
          <w:b/>
          <w:bCs/>
          <w:color w:val="auto"/>
          <w:szCs w:val="21"/>
          <w:highlight w:val="none"/>
        </w:rPr>
        <w:t>第五条 其他约定</w:t>
      </w:r>
    </w:p>
    <w:p>
      <w:pPr>
        <w:spacing w:line="500" w:lineRule="exact"/>
        <w:ind w:firstLine="420" w:firstLineChars="200"/>
        <w:rPr>
          <w:color w:val="auto"/>
          <w:szCs w:val="21"/>
          <w:highlight w:val="none"/>
        </w:rPr>
      </w:pPr>
      <w:r>
        <w:rPr>
          <w:rFonts w:hint="eastAsia"/>
          <w:color w:val="auto"/>
          <w:szCs w:val="21"/>
          <w:highlight w:val="none"/>
        </w:rPr>
        <w:t>1、本协议作为（＊项目全称）合同的附件应一并签订、保管，与该合同具有同等法律效力，经双方签署后立即生效。</w:t>
      </w:r>
    </w:p>
    <w:p>
      <w:pPr>
        <w:spacing w:line="500" w:lineRule="exact"/>
        <w:ind w:firstLine="420" w:firstLineChars="200"/>
        <w:rPr>
          <w:color w:val="auto"/>
          <w:szCs w:val="21"/>
          <w:highlight w:val="none"/>
        </w:rPr>
      </w:pPr>
      <w:r>
        <w:rPr>
          <w:rFonts w:hint="eastAsia"/>
          <w:color w:val="auto"/>
          <w:szCs w:val="21"/>
          <w:highlight w:val="none"/>
        </w:rPr>
        <w:t>2、本协议未尽事宜，双方可增补条款，增补内容如下：</w:t>
      </w:r>
    </w:p>
    <w:p>
      <w:pPr>
        <w:spacing w:line="500" w:lineRule="exact"/>
        <w:ind w:firstLine="420" w:firstLineChars="200"/>
        <w:rPr>
          <w:color w:val="auto"/>
          <w:szCs w:val="21"/>
          <w:highlight w:val="none"/>
          <w:u w:val="single"/>
        </w:rPr>
      </w:pPr>
      <w:r>
        <w:rPr>
          <w:rFonts w:hint="eastAsia"/>
          <w:color w:val="auto"/>
          <w:szCs w:val="21"/>
          <w:highlight w:val="none"/>
          <w:u w:val="single"/>
        </w:rPr>
        <w:t xml:space="preserve">（1）                                           </w:t>
      </w:r>
    </w:p>
    <w:p>
      <w:pPr>
        <w:spacing w:line="500" w:lineRule="exact"/>
        <w:ind w:firstLine="420" w:firstLineChars="200"/>
        <w:rPr>
          <w:color w:val="auto"/>
          <w:szCs w:val="21"/>
          <w:highlight w:val="none"/>
          <w:u w:val="single"/>
        </w:rPr>
      </w:pPr>
      <w:r>
        <w:rPr>
          <w:rFonts w:hint="eastAsia"/>
          <w:color w:val="auto"/>
          <w:szCs w:val="21"/>
          <w:highlight w:val="none"/>
          <w:u w:val="single"/>
        </w:rPr>
        <w:t xml:space="preserve">（2）                                           </w:t>
      </w:r>
    </w:p>
    <w:p>
      <w:pPr>
        <w:spacing w:line="500" w:lineRule="exact"/>
        <w:ind w:firstLine="420" w:firstLineChars="200"/>
        <w:rPr>
          <w:color w:val="auto"/>
          <w:szCs w:val="21"/>
          <w:highlight w:val="none"/>
          <w:u w:val="single"/>
        </w:rPr>
      </w:pPr>
      <w:r>
        <w:rPr>
          <w:rFonts w:hint="eastAsia"/>
          <w:color w:val="auto"/>
          <w:szCs w:val="21"/>
          <w:highlight w:val="none"/>
          <w:u w:val="single"/>
        </w:rPr>
        <w:t xml:space="preserve">（3）                                           </w:t>
      </w:r>
    </w:p>
    <w:p>
      <w:pPr>
        <w:spacing w:line="500" w:lineRule="exact"/>
        <w:ind w:firstLine="420" w:firstLineChars="200"/>
        <w:rPr>
          <w:color w:val="auto"/>
          <w:szCs w:val="21"/>
          <w:highlight w:val="none"/>
        </w:rPr>
      </w:pPr>
      <w:r>
        <w:rPr>
          <w:rFonts w:hint="eastAsia"/>
          <w:color w:val="auto"/>
          <w:szCs w:val="21"/>
          <w:highlight w:val="none"/>
        </w:rPr>
        <w:t>......</w:t>
      </w:r>
    </w:p>
    <w:p>
      <w:pPr>
        <w:spacing w:line="500" w:lineRule="exact"/>
        <w:ind w:firstLine="420" w:firstLineChars="200"/>
        <w:rPr>
          <w:color w:val="auto"/>
          <w:szCs w:val="21"/>
          <w:highlight w:val="none"/>
        </w:rPr>
      </w:pPr>
      <w:r>
        <w:rPr>
          <w:rFonts w:hint="eastAsia"/>
          <w:color w:val="auto"/>
          <w:szCs w:val="21"/>
          <w:highlight w:val="none"/>
        </w:rPr>
        <w:t>3、本协议的有效期为双方签字盖章之日起至项目合同履行完成时止。</w:t>
      </w:r>
    </w:p>
    <w:p>
      <w:pPr>
        <w:spacing w:line="500" w:lineRule="exact"/>
        <w:ind w:firstLine="420" w:firstLineChars="200"/>
        <w:rPr>
          <w:color w:val="auto"/>
          <w:szCs w:val="21"/>
          <w:highlight w:val="none"/>
        </w:rPr>
      </w:pPr>
      <w:r>
        <w:rPr>
          <w:rFonts w:hint="eastAsia"/>
          <w:color w:val="auto"/>
          <w:szCs w:val="21"/>
          <w:highlight w:val="none"/>
        </w:rPr>
        <w:t>4、为增进双方的沟通了解，买受人审计、纪检监察部门会与乙方进行非定期的访谈，乙方需予以配合。</w:t>
      </w:r>
    </w:p>
    <w:p>
      <w:pPr>
        <w:spacing w:line="500" w:lineRule="exact"/>
        <w:ind w:firstLine="420" w:firstLineChars="200"/>
        <w:rPr>
          <w:color w:val="auto"/>
          <w:szCs w:val="21"/>
          <w:highlight w:val="none"/>
        </w:rPr>
      </w:pPr>
      <w:r>
        <w:rPr>
          <w:rFonts w:hint="eastAsia"/>
          <w:color w:val="auto"/>
          <w:szCs w:val="21"/>
          <w:highlight w:val="none"/>
        </w:rPr>
        <w:t>5、乙方对买受人员工有任何意见、建议等，可向买受人审计、纪检监察部门反映，买受人将按规定对反映人、反映情况及个人联系方式进行保密。</w:t>
      </w:r>
    </w:p>
    <w:p>
      <w:pPr>
        <w:spacing w:line="500" w:lineRule="exact"/>
        <w:ind w:firstLine="420" w:firstLineChars="200"/>
        <w:rPr>
          <w:color w:val="auto"/>
          <w:szCs w:val="21"/>
          <w:highlight w:val="none"/>
        </w:rPr>
      </w:pPr>
      <w:r>
        <w:rPr>
          <w:rFonts w:hint="eastAsia"/>
          <w:color w:val="auto"/>
          <w:szCs w:val="21"/>
          <w:highlight w:val="none"/>
        </w:rPr>
        <w:t>6、对于支持审计、纪检监察工作和敢于揭露买受人有廉洁违规行为的乙方，买受人将优先考虑与其合作。</w:t>
      </w:r>
    </w:p>
    <w:p>
      <w:pPr>
        <w:spacing w:line="500" w:lineRule="exact"/>
        <w:ind w:firstLine="420" w:firstLineChars="200"/>
        <w:rPr>
          <w:color w:val="auto"/>
          <w:szCs w:val="21"/>
          <w:highlight w:val="none"/>
        </w:rPr>
      </w:pPr>
      <w:r>
        <w:rPr>
          <w:rFonts w:hint="eastAsia"/>
          <w:color w:val="auto"/>
          <w:szCs w:val="21"/>
          <w:highlight w:val="none"/>
        </w:rPr>
        <w:t>7、买受人举报电话：0514-82883093；邮箱：</w:t>
      </w:r>
      <w:r>
        <w:rPr>
          <w:color w:val="auto"/>
          <w:highlight w:val="none"/>
        </w:rPr>
        <w:fldChar w:fldCharType="begin"/>
      </w:r>
      <w:r>
        <w:rPr>
          <w:color w:val="auto"/>
          <w:highlight w:val="none"/>
        </w:rPr>
        <w:instrText xml:space="preserve"> HYPERLINK "mailto:cjswjw@163.com" </w:instrText>
      </w:r>
      <w:r>
        <w:rPr>
          <w:color w:val="auto"/>
          <w:highlight w:val="none"/>
        </w:rPr>
        <w:fldChar w:fldCharType="separate"/>
      </w:r>
      <w:r>
        <w:rPr>
          <w:rFonts w:hint="eastAsia"/>
          <w:color w:val="auto"/>
          <w:szCs w:val="21"/>
          <w:highlight w:val="none"/>
        </w:rPr>
        <w:t>cjswjw@163.com</w:t>
      </w:r>
      <w:r>
        <w:rPr>
          <w:rFonts w:hint="eastAsia"/>
          <w:color w:val="auto"/>
          <w:szCs w:val="21"/>
          <w:highlight w:val="none"/>
        </w:rPr>
        <w:fldChar w:fldCharType="end"/>
      </w:r>
      <w:r>
        <w:rPr>
          <w:rFonts w:hint="eastAsia"/>
          <w:color w:val="auto"/>
          <w:szCs w:val="21"/>
          <w:highlight w:val="none"/>
        </w:rPr>
        <w:t>。</w:t>
      </w:r>
    </w:p>
    <w:p>
      <w:pPr>
        <w:spacing w:line="500" w:lineRule="exact"/>
        <w:ind w:firstLine="420" w:firstLineChars="200"/>
        <w:rPr>
          <w:color w:val="auto"/>
          <w:szCs w:val="21"/>
          <w:highlight w:val="none"/>
        </w:rPr>
      </w:pPr>
      <w:r>
        <w:rPr>
          <w:rFonts w:hint="eastAsia"/>
          <w:color w:val="auto"/>
          <w:szCs w:val="21"/>
          <w:highlight w:val="none"/>
        </w:rPr>
        <w:t xml:space="preserve">   乙方举报电话：             ；邮箱：              。</w:t>
      </w:r>
    </w:p>
    <w:p>
      <w:pPr>
        <w:numPr>
          <w:ilvl w:val="0"/>
          <w:numId w:val="3"/>
        </w:numPr>
        <w:spacing w:line="500" w:lineRule="exact"/>
        <w:ind w:firstLine="420" w:firstLineChars="200"/>
        <w:rPr>
          <w:color w:val="auto"/>
          <w:szCs w:val="21"/>
          <w:highlight w:val="none"/>
        </w:rPr>
      </w:pPr>
      <w:r>
        <w:rPr>
          <w:rFonts w:hint="eastAsia"/>
          <w:color w:val="auto"/>
          <w:szCs w:val="21"/>
          <w:highlight w:val="none"/>
        </w:rPr>
        <w:t>本协议书一式六份，甲（纪委办留存一份）执四份，乙方执两份。</w:t>
      </w:r>
    </w:p>
    <w:tbl>
      <w:tblPr>
        <w:tblStyle w:val="24"/>
        <w:tblpPr w:leftFromText="180" w:rightFromText="180" w:vertAnchor="text" w:horzAnchor="margin" w:tblpXSpec="center" w:tblpY="9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4621" w:type="dxa"/>
            <w:noWrap/>
          </w:tcPr>
          <w:p>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甲     方</w:t>
            </w:r>
          </w:p>
          <w:p>
            <w:pPr>
              <w:spacing w:line="460" w:lineRule="exact"/>
              <w:rPr>
                <w:rFonts w:ascii="宋体" w:hAnsi="宋体" w:cs="宋体"/>
                <w:color w:val="auto"/>
                <w:szCs w:val="21"/>
                <w:highlight w:val="none"/>
              </w:rPr>
            </w:pPr>
            <w:r>
              <w:rPr>
                <w:rFonts w:hint="eastAsia" w:ascii="宋体" w:hAnsi="宋体" w:cs="宋体"/>
                <w:color w:val="auto"/>
                <w:szCs w:val="21"/>
                <w:highlight w:val="none"/>
              </w:rPr>
              <w:t>买受人单位（盖章）：江苏长江水务股份有限公司</w:t>
            </w:r>
          </w:p>
          <w:p>
            <w:pPr>
              <w:pStyle w:val="22"/>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Style w:val="23"/>
              <w:tabs>
                <w:tab w:val="left" w:pos="0"/>
                <w:tab w:val="left" w:pos="993"/>
                <w:tab w:val="left" w:pos="1134"/>
              </w:tabs>
              <w:ind w:left="0" w:leftChars="0" w:firstLine="0"/>
              <w:rPr>
                <w:rFonts w:ascii="宋体" w:hAnsi="宋体" w:cs="宋体"/>
                <w:color w:val="auto"/>
                <w:sz w:val="21"/>
                <w:szCs w:val="21"/>
                <w:highlight w:val="none"/>
              </w:rPr>
            </w:pPr>
            <w:r>
              <w:rPr>
                <w:rFonts w:hint="eastAsia" w:ascii="宋体" w:hAnsi="宋体" w:cs="宋体"/>
                <w:color w:val="auto"/>
                <w:sz w:val="21"/>
                <w:szCs w:val="21"/>
                <w:highlight w:val="none"/>
              </w:rPr>
              <w:t>委托代理人（签字）：</w:t>
            </w:r>
          </w:p>
          <w:p>
            <w:pPr>
              <w:rPr>
                <w:rFonts w:ascii="宋体" w:hAnsi="宋体" w:cs="宋体"/>
                <w:color w:val="auto"/>
                <w:szCs w:val="21"/>
                <w:highlight w:val="none"/>
              </w:rPr>
            </w:pPr>
            <w:r>
              <w:rPr>
                <w:rFonts w:hint="eastAsia" w:ascii="宋体" w:hAnsi="宋体" w:cs="宋体"/>
                <w:color w:val="auto"/>
                <w:szCs w:val="21"/>
                <w:highlight w:val="none"/>
              </w:rPr>
              <w:t>地  址：</w:t>
            </w:r>
          </w:p>
          <w:p>
            <w:pPr>
              <w:pStyle w:val="22"/>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＊联系方式：0514-82980012</w:t>
            </w:r>
          </w:p>
          <w:p>
            <w:pPr>
              <w:pStyle w:val="23"/>
              <w:tabs>
                <w:tab w:val="left" w:pos="0"/>
                <w:tab w:val="left" w:pos="993"/>
                <w:tab w:val="left" w:pos="1134"/>
              </w:tabs>
              <w:rPr>
                <w:rFonts w:ascii="宋体" w:hAnsi="宋体" w:cs="宋体"/>
                <w:color w:val="auto"/>
                <w:sz w:val="21"/>
                <w:szCs w:val="21"/>
                <w:highlight w:val="none"/>
              </w:rPr>
            </w:pPr>
            <w:r>
              <w:rPr>
                <w:rFonts w:hint="eastAsia" w:ascii="宋体" w:hAnsi="宋体" w:cs="宋体"/>
                <w:color w:val="auto"/>
                <w:sz w:val="21"/>
                <w:szCs w:val="21"/>
                <w:highlight w:val="none"/>
              </w:rPr>
              <w:t xml:space="preserve">年  月  日  </w:t>
            </w:r>
          </w:p>
        </w:tc>
        <w:tc>
          <w:tcPr>
            <w:tcW w:w="4463" w:type="dxa"/>
            <w:noWrap/>
          </w:tcPr>
          <w:p>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乙    方</w:t>
            </w:r>
          </w:p>
          <w:p>
            <w:pPr>
              <w:spacing w:line="460" w:lineRule="exact"/>
              <w:rPr>
                <w:rFonts w:ascii="宋体" w:hAnsi="宋体" w:cs="宋体"/>
                <w:color w:val="auto"/>
                <w:szCs w:val="21"/>
                <w:highlight w:val="none"/>
              </w:rPr>
            </w:pPr>
            <w:r>
              <w:rPr>
                <w:rFonts w:hint="eastAsia" w:ascii="宋体" w:hAnsi="宋体" w:cs="宋体"/>
                <w:color w:val="auto"/>
                <w:szCs w:val="21"/>
                <w:highlight w:val="none"/>
              </w:rPr>
              <w:t>乙方单位（盖章）：</w:t>
            </w:r>
          </w:p>
          <w:p>
            <w:pPr>
              <w:pStyle w:val="22"/>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p>
          <w:p>
            <w:pPr>
              <w:pStyle w:val="23"/>
              <w:tabs>
                <w:tab w:val="left" w:pos="0"/>
                <w:tab w:val="left" w:pos="993"/>
                <w:tab w:val="left" w:pos="1134"/>
              </w:tabs>
              <w:ind w:left="0" w:leftChars="0" w:firstLine="0"/>
              <w:rPr>
                <w:rFonts w:ascii="宋体" w:hAnsi="宋体" w:cs="宋体"/>
                <w:color w:val="auto"/>
                <w:sz w:val="21"/>
                <w:szCs w:val="21"/>
                <w:highlight w:val="none"/>
              </w:rPr>
            </w:pPr>
            <w:r>
              <w:rPr>
                <w:rFonts w:hint="eastAsia" w:ascii="宋体" w:hAnsi="宋体" w:cs="宋体"/>
                <w:color w:val="auto"/>
                <w:sz w:val="21"/>
                <w:szCs w:val="21"/>
                <w:highlight w:val="none"/>
              </w:rPr>
              <w:t>委托代理人（签字）：</w:t>
            </w:r>
          </w:p>
          <w:p>
            <w:pPr>
              <w:rPr>
                <w:rFonts w:ascii="宋体" w:hAnsi="宋体" w:cs="宋体"/>
                <w:color w:val="auto"/>
                <w:szCs w:val="21"/>
                <w:highlight w:val="none"/>
              </w:rPr>
            </w:pPr>
            <w:r>
              <w:rPr>
                <w:rFonts w:hint="eastAsia" w:ascii="宋体" w:hAnsi="宋体" w:cs="宋体"/>
                <w:color w:val="auto"/>
                <w:szCs w:val="21"/>
                <w:highlight w:val="none"/>
              </w:rPr>
              <w:t>地  址：</w:t>
            </w:r>
          </w:p>
          <w:p>
            <w:pPr>
              <w:pStyle w:val="22"/>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p>
            <w:pPr>
              <w:pStyle w:val="22"/>
              <w:ind w:firstLine="21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年  月  日  </w:t>
            </w:r>
          </w:p>
        </w:tc>
      </w:tr>
    </w:tbl>
    <w:p>
      <w:pPr>
        <w:spacing w:line="500" w:lineRule="exact"/>
        <w:rPr>
          <w:color w:val="auto"/>
          <w:szCs w:val="21"/>
          <w:highlight w:val="none"/>
        </w:rPr>
      </w:pPr>
      <w:r>
        <w:rPr>
          <w:rFonts w:hint="eastAsia"/>
          <w:color w:val="auto"/>
          <w:szCs w:val="21"/>
          <w:highlight w:val="none"/>
        </w:rPr>
        <w:t>“＊”为必填项</w:t>
      </w:r>
    </w:p>
    <w:p>
      <w:pPr>
        <w:spacing w:line="450" w:lineRule="atLeast"/>
        <w:ind w:firstLine="3570" w:firstLineChars="1700"/>
        <w:rPr>
          <w:rFonts w:ascii="宋体" w:hAnsi="宋体" w:cs="宋体"/>
          <w:color w:val="auto"/>
          <w:highlight w:val="none"/>
        </w:rPr>
      </w:pPr>
    </w:p>
    <w:p>
      <w:pPr>
        <w:autoSpaceDE w:val="0"/>
        <w:autoSpaceDN w:val="0"/>
        <w:adjustRightInd w:val="0"/>
        <w:snapToGrid w:val="0"/>
        <w:spacing w:line="480" w:lineRule="exact"/>
        <w:ind w:firstLine="561"/>
        <w:rPr>
          <w:rFonts w:ascii="宋体" w:hAnsi="宋体"/>
          <w:b/>
          <w:color w:val="auto"/>
          <w:sz w:val="30"/>
          <w:szCs w:val="30"/>
          <w:highlight w:val="none"/>
        </w:rPr>
      </w:pPr>
    </w:p>
    <w:p>
      <w:pPr>
        <w:pStyle w:val="9"/>
        <w:ind w:left="0" w:leftChars="0"/>
        <w:jc w:val="center"/>
        <w:rPr>
          <w:rFonts w:ascii="宋体" w:hAnsi="宋体" w:cs="宋体"/>
          <w:b/>
          <w:bCs/>
          <w:color w:val="auto"/>
          <w:kern w:val="44"/>
          <w:sz w:val="36"/>
          <w:szCs w:val="44"/>
          <w:highlight w:val="none"/>
        </w:rPr>
      </w:pPr>
      <w:r>
        <w:rPr>
          <w:rFonts w:hint="eastAsia" w:ascii="宋体" w:hAnsi="宋体" w:cs="宋体"/>
          <w:color w:val="auto"/>
          <w:szCs w:val="21"/>
          <w:highlight w:val="none"/>
          <w:shd w:val="clear" w:color="auto" w:fill="FFFFFF"/>
        </w:rPr>
        <w:br w:type="page"/>
      </w:r>
      <w:r>
        <w:rPr>
          <w:rFonts w:hint="eastAsia" w:ascii="宋体" w:hAnsi="宋体" w:cs="宋体"/>
          <w:b/>
          <w:bCs/>
          <w:color w:val="auto"/>
          <w:kern w:val="44"/>
          <w:sz w:val="36"/>
          <w:szCs w:val="44"/>
          <w:highlight w:val="none"/>
        </w:rPr>
        <w:t>第四章 项目需求</w:t>
      </w:r>
      <w:bookmarkEnd w:id="124"/>
      <w:bookmarkEnd w:id="125"/>
      <w:bookmarkEnd w:id="126"/>
      <w:bookmarkEnd w:id="127"/>
      <w:bookmarkEnd w:id="128"/>
    </w:p>
    <w:bookmarkEnd w:id="121"/>
    <w:bookmarkEnd w:id="122"/>
    <w:p>
      <w:pPr>
        <w:snapToGrid w:val="0"/>
        <w:spacing w:line="360" w:lineRule="auto"/>
        <w:rPr>
          <w:rFonts w:hint="default" w:ascii="宋体" w:hAnsi="宋体" w:eastAsia="宋体" w:cs="宋体"/>
          <w:b/>
          <w:bCs/>
          <w:color w:val="auto"/>
          <w:kern w:val="0"/>
          <w:szCs w:val="21"/>
          <w:highlight w:val="none"/>
          <w:lang w:val="en-US" w:eastAsia="zh-CN"/>
        </w:rPr>
      </w:pPr>
      <w:bookmarkStart w:id="129" w:name="_Toc100135571"/>
      <w:bookmarkStart w:id="130" w:name="_Toc99380851"/>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val="en-US" w:eastAsia="zh-CN"/>
        </w:rPr>
        <w:t>工作内容</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rPr>
      </w:pPr>
      <w:r>
        <w:rPr>
          <w:rFonts w:hint="default" w:ascii="宋体" w:hAnsi="宋体"/>
          <w:color w:val="auto"/>
          <w:szCs w:val="21"/>
          <w:highlight w:val="none"/>
          <w:lang w:val="zh-CN"/>
        </w:rPr>
        <w:t>1、项目所在区域水资源状况及其开发利用分析；</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rPr>
      </w:pPr>
      <w:r>
        <w:rPr>
          <w:rFonts w:hint="default" w:ascii="宋体" w:hAnsi="宋体"/>
          <w:color w:val="auto"/>
          <w:szCs w:val="21"/>
          <w:highlight w:val="none"/>
          <w:lang w:val="zh-CN"/>
        </w:rPr>
        <w:t>2、项目取用水合理性分析；</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rPr>
      </w:pPr>
      <w:r>
        <w:rPr>
          <w:rFonts w:hint="default" w:ascii="宋体" w:hAnsi="宋体"/>
          <w:color w:val="auto"/>
          <w:szCs w:val="21"/>
          <w:highlight w:val="none"/>
          <w:lang w:val="zh-CN"/>
        </w:rPr>
        <w:t>3、项目取水水源论证；</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rPr>
      </w:pPr>
      <w:r>
        <w:rPr>
          <w:rFonts w:hint="default" w:ascii="宋体" w:hAnsi="宋体"/>
          <w:color w:val="auto"/>
          <w:szCs w:val="21"/>
          <w:highlight w:val="none"/>
          <w:lang w:val="zh-CN"/>
        </w:rPr>
        <w:t>4、项目取水影响分析；</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rPr>
      </w:pPr>
      <w:r>
        <w:rPr>
          <w:rFonts w:hint="default" w:ascii="宋体" w:hAnsi="宋体"/>
          <w:color w:val="auto"/>
          <w:szCs w:val="21"/>
          <w:highlight w:val="none"/>
          <w:lang w:val="zh-CN"/>
        </w:rPr>
        <w:t>5</w:t>
      </w:r>
      <w:r>
        <w:rPr>
          <w:rFonts w:hint="default" w:ascii="宋体" w:hAnsi="宋体"/>
          <w:color w:val="auto"/>
          <w:szCs w:val="21"/>
          <w:highlight w:val="none"/>
          <w:lang w:val="zh-CN" w:eastAsia="zh-CN"/>
        </w:rPr>
        <w:t>、项目退水影响分析</w:t>
      </w:r>
      <w:r>
        <w:rPr>
          <w:rFonts w:hint="default" w:ascii="宋体" w:hAnsi="宋体"/>
          <w:color w:val="auto"/>
          <w:szCs w:val="21"/>
          <w:highlight w:val="none"/>
          <w:lang w:val="zh-CN"/>
        </w:rPr>
        <w:t>；</w:t>
      </w:r>
    </w:p>
    <w:p>
      <w:pPr>
        <w:autoSpaceDE w:val="0"/>
        <w:autoSpaceDN w:val="0"/>
        <w:adjustRightInd w:val="0"/>
        <w:snapToGrid w:val="0"/>
        <w:spacing w:line="480" w:lineRule="exact"/>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6、水资源监测分析；</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rPr>
      </w:pPr>
      <w:r>
        <w:rPr>
          <w:rFonts w:hint="default" w:ascii="宋体" w:hAnsi="宋体"/>
          <w:color w:val="auto"/>
          <w:szCs w:val="21"/>
          <w:highlight w:val="none"/>
          <w:lang w:val="en-US" w:eastAsia="zh-CN"/>
        </w:rPr>
        <w:t>7</w:t>
      </w:r>
      <w:r>
        <w:rPr>
          <w:rFonts w:hint="default" w:ascii="宋体" w:hAnsi="宋体"/>
          <w:color w:val="auto"/>
          <w:szCs w:val="21"/>
          <w:highlight w:val="none"/>
          <w:lang w:val="zh-CN"/>
        </w:rPr>
        <w:t>、提交水资源论证成果报告，并提供相关后续服务等工作。</w:t>
      </w:r>
    </w:p>
    <w:p>
      <w:pPr>
        <w:autoSpaceDE w:val="0"/>
        <w:autoSpaceDN w:val="0"/>
        <w:adjustRightInd w:val="0"/>
        <w:snapToGrid w:val="0"/>
        <w:spacing w:line="480" w:lineRule="exact"/>
        <w:rPr>
          <w:rFonts w:hint="default" w:ascii="宋体" w:hAnsi="宋体" w:eastAsia="宋体"/>
          <w:color w:val="auto"/>
          <w:szCs w:val="21"/>
          <w:highlight w:val="none"/>
          <w:lang w:val="en-US" w:eastAsia="zh-CN"/>
        </w:rPr>
      </w:pPr>
      <w:r>
        <w:rPr>
          <w:rFonts w:hint="eastAsia" w:ascii="宋体" w:hAnsi="宋体" w:cs="宋体"/>
          <w:b/>
          <w:bCs/>
          <w:color w:val="auto"/>
          <w:szCs w:val="21"/>
          <w:highlight w:val="none"/>
        </w:rPr>
        <w:t>二、</w:t>
      </w:r>
      <w:r>
        <w:rPr>
          <w:rFonts w:hint="eastAsia" w:ascii="宋体" w:hAnsi="宋体" w:cs="宋体"/>
          <w:b/>
          <w:bCs/>
          <w:color w:val="auto"/>
          <w:szCs w:val="21"/>
          <w:highlight w:val="none"/>
          <w:lang w:val="en-US" w:eastAsia="zh-CN"/>
        </w:rPr>
        <w:t>项目要求</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eastAsia="zh-CN"/>
        </w:rPr>
      </w:pPr>
      <w:r>
        <w:rPr>
          <w:rFonts w:hint="default" w:ascii="宋体" w:hAnsi="宋体"/>
          <w:color w:val="auto"/>
          <w:szCs w:val="21"/>
          <w:highlight w:val="none"/>
          <w:lang w:val="zh-CN" w:eastAsia="zh-CN"/>
        </w:rPr>
        <w:t>1、</w:t>
      </w:r>
      <w:r>
        <w:rPr>
          <w:rFonts w:hint="eastAsia" w:ascii="宋体" w:hAnsi="宋体"/>
          <w:color w:val="auto"/>
          <w:szCs w:val="21"/>
          <w:highlight w:val="none"/>
          <w:lang w:val="zh-CN" w:eastAsia="zh-CN"/>
        </w:rPr>
        <w:t>中标人</w:t>
      </w:r>
      <w:r>
        <w:rPr>
          <w:rFonts w:hint="default" w:ascii="宋体" w:hAnsi="宋体"/>
          <w:color w:val="auto"/>
          <w:szCs w:val="21"/>
          <w:highlight w:val="none"/>
          <w:lang w:val="zh-CN" w:eastAsia="zh-CN"/>
        </w:rPr>
        <w:t>应及时向项目建设单位提供所需基础资料清单，安排技术人员配合收集项目所需基础资料。</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eastAsia="zh-CN"/>
        </w:rPr>
      </w:pPr>
      <w:r>
        <w:rPr>
          <w:rFonts w:hint="default" w:ascii="宋体" w:hAnsi="宋体"/>
          <w:color w:val="auto"/>
          <w:szCs w:val="21"/>
          <w:highlight w:val="none"/>
          <w:lang w:val="zh-CN" w:eastAsia="zh-CN"/>
        </w:rPr>
        <w:t>2、</w:t>
      </w:r>
      <w:r>
        <w:rPr>
          <w:rFonts w:hint="eastAsia" w:ascii="宋体" w:hAnsi="宋体"/>
          <w:color w:val="auto"/>
          <w:szCs w:val="21"/>
          <w:highlight w:val="none"/>
          <w:lang w:val="zh-CN" w:eastAsia="zh-CN"/>
        </w:rPr>
        <w:t>中标人</w:t>
      </w:r>
      <w:r>
        <w:rPr>
          <w:rFonts w:hint="default" w:ascii="宋体" w:hAnsi="宋体"/>
          <w:color w:val="auto"/>
          <w:szCs w:val="21"/>
          <w:highlight w:val="none"/>
          <w:lang w:val="zh-CN" w:eastAsia="zh-CN"/>
        </w:rPr>
        <w:t>应组建项目组及时开展工作，明确项目负责人，保证按时提交成果，协助业主通过水行政主管部门组织的专家评审并获得取水许可申请批复。</w:t>
      </w:r>
    </w:p>
    <w:p>
      <w:pPr>
        <w:autoSpaceDE w:val="0"/>
        <w:autoSpaceDN w:val="0"/>
        <w:adjustRightInd w:val="0"/>
        <w:snapToGrid w:val="0"/>
        <w:spacing w:line="480" w:lineRule="exac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三、其他</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eastAsia="zh-CN"/>
        </w:rPr>
      </w:pPr>
      <w:bookmarkStart w:id="131" w:name="_Toc320206887"/>
      <w:r>
        <w:rPr>
          <w:rFonts w:hint="default" w:ascii="宋体" w:hAnsi="宋体"/>
          <w:color w:val="auto"/>
          <w:szCs w:val="21"/>
          <w:highlight w:val="none"/>
          <w:lang w:val="zh-CN" w:eastAsia="zh-CN"/>
        </w:rPr>
        <w:t>1、</w:t>
      </w:r>
      <w:r>
        <w:rPr>
          <w:rFonts w:hint="eastAsia" w:ascii="宋体" w:hAnsi="宋体"/>
          <w:color w:val="auto"/>
          <w:szCs w:val="21"/>
          <w:highlight w:val="none"/>
          <w:lang w:val="zh-CN" w:eastAsia="zh-CN"/>
        </w:rPr>
        <w:t>中标人</w:t>
      </w:r>
      <w:r>
        <w:rPr>
          <w:rFonts w:hint="default" w:ascii="宋体" w:hAnsi="宋体"/>
          <w:color w:val="auto"/>
          <w:szCs w:val="21"/>
          <w:highlight w:val="none"/>
          <w:lang w:val="zh-CN" w:eastAsia="zh-CN"/>
        </w:rPr>
        <w:t>必须在</w:t>
      </w:r>
      <w:r>
        <w:rPr>
          <w:rFonts w:hint="eastAsia" w:ascii="宋体" w:hAnsi="宋体"/>
          <w:color w:val="auto"/>
          <w:szCs w:val="21"/>
          <w:highlight w:val="none"/>
          <w:lang w:val="zh-CN" w:eastAsia="zh-CN"/>
        </w:rPr>
        <w:t>投标</w:t>
      </w:r>
      <w:r>
        <w:rPr>
          <w:rFonts w:hint="default" w:ascii="宋体" w:hAnsi="宋体"/>
          <w:color w:val="auto"/>
          <w:szCs w:val="21"/>
          <w:highlight w:val="none"/>
          <w:lang w:val="zh-CN" w:eastAsia="zh-CN"/>
        </w:rPr>
        <w:t>文件中对以上条款和服务承诺明确列出，承诺内容必须达到本篇及</w:t>
      </w:r>
      <w:r>
        <w:rPr>
          <w:rFonts w:hint="eastAsia" w:ascii="宋体" w:hAnsi="宋体"/>
          <w:color w:val="auto"/>
          <w:szCs w:val="21"/>
          <w:highlight w:val="none"/>
          <w:lang w:val="zh-CN" w:eastAsia="zh-CN"/>
        </w:rPr>
        <w:t>招标</w:t>
      </w:r>
      <w:r>
        <w:rPr>
          <w:rFonts w:hint="default" w:ascii="宋体" w:hAnsi="宋体"/>
          <w:color w:val="auto"/>
          <w:szCs w:val="21"/>
          <w:highlight w:val="none"/>
          <w:lang w:val="zh-CN" w:eastAsia="zh-CN"/>
        </w:rPr>
        <w:t>文件其他条款的要求。</w:t>
      </w:r>
      <w:bookmarkEnd w:id="131"/>
    </w:p>
    <w:p>
      <w:pPr>
        <w:autoSpaceDE w:val="0"/>
        <w:autoSpaceDN w:val="0"/>
        <w:adjustRightInd w:val="0"/>
        <w:snapToGrid w:val="0"/>
        <w:spacing w:line="480" w:lineRule="exact"/>
        <w:ind w:firstLine="420" w:firstLineChars="200"/>
        <w:rPr>
          <w:rFonts w:hint="default" w:ascii="宋体" w:hAnsi="宋体"/>
          <w:color w:val="auto"/>
          <w:szCs w:val="21"/>
          <w:highlight w:val="none"/>
          <w:lang w:val="en-US" w:eastAsia="zh-CN"/>
        </w:rPr>
      </w:pPr>
      <w:bookmarkStart w:id="132" w:name="_Toc320206888"/>
      <w:r>
        <w:rPr>
          <w:rFonts w:hint="default" w:ascii="宋体" w:hAnsi="宋体"/>
          <w:color w:val="auto"/>
          <w:szCs w:val="21"/>
          <w:highlight w:val="none"/>
          <w:lang w:val="zh-CN" w:eastAsia="zh-CN"/>
        </w:rPr>
        <w:t>2、其他未尽事宜由供需双方在采购合同中详细约定。</w:t>
      </w:r>
      <w:bookmarkEnd w:id="132"/>
    </w:p>
    <w:p>
      <w:pPr>
        <w:autoSpaceDE w:val="0"/>
        <w:autoSpaceDN w:val="0"/>
        <w:adjustRightInd w:val="0"/>
        <w:snapToGrid w:val="0"/>
        <w:spacing w:line="480" w:lineRule="exac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四、服务周期</w:t>
      </w:r>
    </w:p>
    <w:p>
      <w:pPr>
        <w:autoSpaceDE w:val="0"/>
        <w:autoSpaceDN w:val="0"/>
        <w:adjustRightInd w:val="0"/>
        <w:snapToGrid w:val="0"/>
        <w:spacing w:line="480" w:lineRule="exact"/>
        <w:ind w:firstLine="420" w:firstLineChars="200"/>
        <w:rPr>
          <w:rFonts w:hint="default" w:ascii="宋体" w:hAnsi="宋体"/>
          <w:color w:val="auto"/>
          <w:szCs w:val="21"/>
          <w:highlight w:val="none"/>
          <w:lang w:val="zh-CN" w:eastAsia="zh-CN"/>
        </w:rPr>
      </w:pPr>
      <w:r>
        <w:rPr>
          <w:rFonts w:hint="default" w:ascii="宋体" w:hAnsi="宋体"/>
          <w:color w:val="auto"/>
          <w:szCs w:val="21"/>
          <w:highlight w:val="none"/>
          <w:lang w:val="zh-CN" w:eastAsia="zh-CN"/>
        </w:rPr>
        <w:t>签订合同后</w:t>
      </w:r>
      <w:r>
        <w:rPr>
          <w:rFonts w:hint="eastAsia" w:ascii="宋体" w:hAnsi="宋体"/>
          <w:color w:val="auto"/>
          <w:szCs w:val="21"/>
          <w:highlight w:val="none"/>
          <w:lang w:val="en-US" w:eastAsia="zh-CN"/>
        </w:rPr>
        <w:t>4</w:t>
      </w:r>
      <w:r>
        <w:rPr>
          <w:rFonts w:hint="default" w:ascii="宋体" w:hAnsi="宋体"/>
          <w:color w:val="auto"/>
          <w:szCs w:val="21"/>
          <w:highlight w:val="none"/>
          <w:lang w:val="en-US" w:eastAsia="zh-CN"/>
        </w:rPr>
        <w:t>0</w:t>
      </w:r>
      <w:r>
        <w:rPr>
          <w:rFonts w:hint="default" w:ascii="宋体" w:hAnsi="宋体"/>
          <w:color w:val="auto"/>
          <w:szCs w:val="21"/>
          <w:highlight w:val="none"/>
          <w:lang w:val="zh-CN" w:eastAsia="zh-CN"/>
        </w:rPr>
        <w:t>个日历</w:t>
      </w:r>
      <w:r>
        <w:rPr>
          <w:rFonts w:hint="eastAsia" w:ascii="宋体" w:hAnsi="宋体"/>
          <w:color w:val="auto"/>
          <w:szCs w:val="21"/>
          <w:highlight w:val="none"/>
          <w:lang w:val="en-US" w:eastAsia="zh-CN"/>
        </w:rPr>
        <w:t>天</w:t>
      </w:r>
      <w:r>
        <w:rPr>
          <w:rFonts w:hint="default" w:ascii="宋体" w:hAnsi="宋体"/>
          <w:color w:val="auto"/>
          <w:szCs w:val="21"/>
          <w:highlight w:val="none"/>
          <w:lang w:val="zh-CN" w:eastAsia="zh-CN"/>
        </w:rPr>
        <w:t>提交报告送审稿。</w:t>
      </w:r>
    </w:p>
    <w:p>
      <w:pPr>
        <w:widowControl/>
        <w:shd w:val="clear" w:color="auto" w:fill="FFFFFF"/>
        <w:spacing w:beforeLines="50"/>
        <w:ind w:firstLine="140" w:firstLineChars="67"/>
        <w:rPr>
          <w:rFonts w:ascii="宋体" w:hAnsi="宋体" w:cs="宋体"/>
          <w:color w:val="auto"/>
          <w:szCs w:val="21"/>
          <w:highlight w:val="none"/>
        </w:rPr>
      </w:pPr>
    </w:p>
    <w:p>
      <w:pPr>
        <w:pStyle w:val="9"/>
        <w:spacing w:beforeLines="50" w:after="0" w:line="360" w:lineRule="auto"/>
        <w:ind w:left="0" w:leftChars="0"/>
        <w:jc w:val="center"/>
        <w:rPr>
          <w:color w:val="auto"/>
          <w:highlight w:val="none"/>
        </w:rPr>
      </w:pPr>
      <w:r>
        <w:rPr>
          <w:rFonts w:ascii="宋体" w:hAnsi="宋体" w:cs="宋体"/>
          <w:b/>
          <w:i/>
          <w:color w:val="auto"/>
          <w:szCs w:val="21"/>
          <w:highlight w:val="none"/>
          <w:u w:val="single"/>
        </w:rPr>
        <w:br w:type="page"/>
      </w:r>
    </w:p>
    <w:p>
      <w:pPr>
        <w:tabs>
          <w:tab w:val="left" w:pos="900"/>
        </w:tabs>
        <w:spacing w:line="360" w:lineRule="auto"/>
        <w:jc w:val="center"/>
        <w:outlineLvl w:val="0"/>
        <w:rPr>
          <w:rFonts w:ascii="宋体" w:hAnsi="宋体" w:cs="宋体"/>
          <w:b/>
          <w:bCs/>
          <w:color w:val="auto"/>
          <w:kern w:val="44"/>
          <w:sz w:val="36"/>
          <w:szCs w:val="44"/>
          <w:highlight w:val="none"/>
        </w:rPr>
      </w:pPr>
      <w:bookmarkStart w:id="133" w:name="_Toc29243"/>
      <w:r>
        <w:rPr>
          <w:rFonts w:hint="eastAsia" w:ascii="宋体" w:hAnsi="宋体" w:cs="宋体"/>
          <w:b/>
          <w:bCs/>
          <w:color w:val="auto"/>
          <w:kern w:val="44"/>
          <w:sz w:val="36"/>
          <w:szCs w:val="44"/>
          <w:highlight w:val="none"/>
        </w:rPr>
        <w:t>第五章 评标方法及评标标准</w:t>
      </w:r>
      <w:bookmarkEnd w:id="129"/>
      <w:bookmarkEnd w:id="130"/>
      <w:bookmarkEnd w:id="133"/>
    </w:p>
    <w:p>
      <w:pPr>
        <w:pStyle w:val="45"/>
        <w:spacing w:before="0" w:after="0"/>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pPr>
        <w:spacing w:line="440" w:lineRule="exact"/>
        <w:ind w:right="-92" w:rightChars="-44" w:firstLine="420" w:firstLineChars="200"/>
        <w:rPr>
          <w:rFonts w:ascii="宋体" w:hAnsi="宋体"/>
          <w:b/>
          <w:color w:val="auto"/>
          <w:szCs w:val="21"/>
          <w:highlight w:val="none"/>
        </w:rPr>
      </w:pPr>
      <w:r>
        <w:rPr>
          <w:rFonts w:hint="eastAsia" w:ascii="宋体" w:hAnsi="宋体" w:cs="宋体"/>
          <w:color w:val="auto"/>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和次高的投标人为排名第一、第二的中标候选人。</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二、评标标准</w:t>
      </w:r>
    </w:p>
    <w:tbl>
      <w:tblPr>
        <w:tblStyle w:val="24"/>
        <w:tblW w:w="8929" w:type="dxa"/>
        <w:jc w:val="center"/>
        <w:tblLayout w:type="fixed"/>
        <w:tblCellMar>
          <w:top w:w="0" w:type="dxa"/>
          <w:left w:w="0" w:type="dxa"/>
          <w:bottom w:w="0" w:type="dxa"/>
          <w:right w:w="0" w:type="dxa"/>
        </w:tblCellMar>
      </w:tblPr>
      <w:tblGrid>
        <w:gridCol w:w="594"/>
        <w:gridCol w:w="1857"/>
        <w:gridCol w:w="6478"/>
      </w:tblGrid>
      <w:tr>
        <w:tblPrEx>
          <w:tblCellMar>
            <w:top w:w="0" w:type="dxa"/>
            <w:left w:w="0" w:type="dxa"/>
            <w:bottom w:w="0" w:type="dxa"/>
            <w:right w:w="0" w:type="dxa"/>
          </w:tblCellMar>
        </w:tblPrEx>
        <w:trPr>
          <w:trHeight w:val="518" w:hRule="atLeast"/>
          <w:jc w:val="center"/>
        </w:trPr>
        <w:tc>
          <w:tcPr>
            <w:tcW w:w="594" w:type="dxa"/>
            <w:tcBorders>
              <w:top w:val="single" w:color="auto" w:sz="8" w:space="0"/>
              <w:left w:val="single" w:color="auto" w:sz="8" w:space="0"/>
              <w:bottom w:val="single" w:color="auto" w:sz="4" w:space="0"/>
              <w:right w:val="single" w:color="auto" w:sz="8" w:space="0"/>
            </w:tcBorders>
            <w:noWrap/>
            <w:vAlign w:val="center"/>
          </w:tcPr>
          <w:p>
            <w:pPr>
              <w:autoSpaceDE w:val="0"/>
              <w:autoSpaceDN w:val="0"/>
              <w:adjustRightInd w:val="0"/>
              <w:spacing w:line="239" w:lineRule="exact"/>
              <w:jc w:val="center"/>
              <w:rPr>
                <w:rFonts w:ascii="宋体" w:hAnsi="宋体" w:cs="宋体"/>
                <w:bCs/>
                <w:color w:val="auto"/>
                <w:szCs w:val="21"/>
                <w:highlight w:val="none"/>
              </w:rPr>
            </w:pPr>
            <w:bookmarkStart w:id="134" w:name="_Toc99380852"/>
            <w:bookmarkStart w:id="135" w:name="_Toc100135572"/>
            <w:r>
              <w:rPr>
                <w:rFonts w:hint="eastAsia" w:ascii="宋体" w:hAnsi="宋体" w:cs="宋体"/>
                <w:bCs/>
                <w:color w:val="auto"/>
                <w:szCs w:val="21"/>
                <w:highlight w:val="none"/>
              </w:rPr>
              <w:t>序号</w:t>
            </w:r>
          </w:p>
        </w:tc>
        <w:tc>
          <w:tcPr>
            <w:tcW w:w="1857" w:type="dxa"/>
            <w:tcBorders>
              <w:top w:val="single" w:color="auto" w:sz="8" w:space="0"/>
              <w:left w:val="nil"/>
              <w:bottom w:val="single" w:color="auto" w:sz="4" w:space="0"/>
              <w:right w:val="single" w:color="auto" w:sz="8" w:space="0"/>
            </w:tcBorders>
            <w:noWrap/>
            <w:vAlign w:val="center"/>
          </w:tcPr>
          <w:p>
            <w:pPr>
              <w:autoSpaceDE w:val="0"/>
              <w:autoSpaceDN w:val="0"/>
              <w:adjustRightInd w:val="0"/>
              <w:spacing w:line="239" w:lineRule="exact"/>
              <w:jc w:val="center"/>
              <w:rPr>
                <w:rFonts w:ascii="宋体" w:hAnsi="宋体" w:cs="宋体"/>
                <w:bCs/>
                <w:color w:val="auto"/>
                <w:szCs w:val="21"/>
                <w:highlight w:val="none"/>
              </w:rPr>
            </w:pPr>
            <w:r>
              <w:rPr>
                <w:rFonts w:hint="eastAsia" w:ascii="宋体" w:hAnsi="宋体" w:cs="宋体"/>
                <w:bCs/>
                <w:color w:val="auto"/>
                <w:szCs w:val="21"/>
                <w:highlight w:val="none"/>
              </w:rPr>
              <w:t>评分因素</w:t>
            </w:r>
          </w:p>
        </w:tc>
        <w:tc>
          <w:tcPr>
            <w:tcW w:w="6478" w:type="dxa"/>
            <w:tcBorders>
              <w:top w:val="single" w:color="auto" w:sz="8" w:space="0"/>
              <w:left w:val="nil"/>
              <w:bottom w:val="single" w:color="auto" w:sz="4" w:space="0"/>
              <w:right w:val="single" w:color="auto" w:sz="8" w:space="0"/>
            </w:tcBorders>
            <w:noWrap/>
            <w:vAlign w:val="center"/>
          </w:tcPr>
          <w:p>
            <w:pPr>
              <w:autoSpaceDE w:val="0"/>
              <w:autoSpaceDN w:val="0"/>
              <w:adjustRightInd w:val="0"/>
              <w:spacing w:line="239" w:lineRule="exact"/>
              <w:ind w:left="2840"/>
              <w:rPr>
                <w:rFonts w:ascii="宋体" w:hAnsi="宋体" w:cs="宋体"/>
                <w:bCs/>
                <w:color w:val="auto"/>
                <w:szCs w:val="21"/>
                <w:highlight w:val="none"/>
              </w:rPr>
            </w:pPr>
            <w:r>
              <w:rPr>
                <w:rFonts w:hint="eastAsia" w:ascii="宋体" w:hAnsi="宋体" w:cs="宋体"/>
                <w:bCs/>
                <w:color w:val="auto"/>
                <w:szCs w:val="21"/>
                <w:highlight w:val="none"/>
              </w:rPr>
              <w:t>评分标准</w:t>
            </w:r>
          </w:p>
        </w:tc>
      </w:tr>
      <w:tr>
        <w:tblPrEx>
          <w:tblCellMar>
            <w:top w:w="0" w:type="dxa"/>
            <w:left w:w="0" w:type="dxa"/>
            <w:bottom w:w="0" w:type="dxa"/>
            <w:right w:w="0" w:type="dxa"/>
          </w:tblCellMar>
        </w:tblPrEx>
        <w:trPr>
          <w:trHeight w:val="1038" w:hRule="atLeast"/>
          <w:jc w:val="center"/>
        </w:trPr>
        <w:tc>
          <w:tcPr>
            <w:tcW w:w="594" w:type="dxa"/>
            <w:tcBorders>
              <w:top w:val="single" w:color="auto" w:sz="4" w:space="0"/>
              <w:left w:val="single" w:color="auto" w:sz="8"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24"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1</w:t>
            </w:r>
          </w:p>
        </w:tc>
        <w:tc>
          <w:tcPr>
            <w:tcW w:w="1857" w:type="dxa"/>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投标报价</w:t>
            </w:r>
          </w:p>
          <w:p>
            <w:pPr>
              <w:keepNext w:val="0"/>
              <w:keepLines w:val="0"/>
              <w:pageBreakBefore w:val="0"/>
              <w:widowControl w:val="0"/>
              <w:kinsoku/>
              <w:wordWrap/>
              <w:overflowPunct/>
              <w:topLinePunct w:val="0"/>
              <w:bidi w:val="0"/>
              <w:snapToGrid/>
              <w:spacing w:line="24" w:lineRule="atLeast"/>
              <w:jc w:val="center"/>
              <w:textAlignment w:val="auto"/>
              <w:rPr>
                <w:rFonts w:ascii="宋体" w:hAnsi="宋体" w:cs="宋体"/>
                <w:color w:val="auto"/>
                <w:sz w:val="21"/>
                <w:szCs w:val="21"/>
                <w:highlight w:val="none"/>
              </w:rPr>
            </w:pPr>
            <w:r>
              <w:rPr>
                <w:rFonts w:hint="eastAsia" w:ascii="宋体" w:hAnsi="宋体" w:cs="宋体"/>
                <w:color w:val="auto"/>
                <w:szCs w:val="21"/>
                <w:highlight w:val="none"/>
                <w:lang w:val="en-US" w:eastAsia="zh-CN"/>
              </w:rPr>
              <w:t>（10分）</w:t>
            </w:r>
          </w:p>
        </w:tc>
        <w:tc>
          <w:tcPr>
            <w:tcW w:w="6478" w:type="dxa"/>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滿足招标文件要求且投标价格最低的报价为评标基准价，其价格分为满分</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0分。其他投标人报价得分=（评标基准价/投标报价）×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0%×100。</w:t>
            </w:r>
          </w:p>
        </w:tc>
      </w:tr>
      <w:tr>
        <w:tblPrEx>
          <w:tblCellMar>
            <w:top w:w="0" w:type="dxa"/>
            <w:left w:w="0" w:type="dxa"/>
            <w:bottom w:w="0" w:type="dxa"/>
            <w:right w:w="0" w:type="dxa"/>
          </w:tblCellMar>
        </w:tblPrEx>
        <w:trPr>
          <w:trHeight w:val="90" w:hRule="atLeast"/>
          <w:jc w:val="center"/>
        </w:trPr>
        <w:tc>
          <w:tcPr>
            <w:tcW w:w="59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24" w:lineRule="atLeast"/>
              <w:jc w:val="center"/>
              <w:textAlignment w:val="auto"/>
              <w:rPr>
                <w:rFonts w:ascii="宋体" w:hAnsi="宋体" w:cs="宋体"/>
                <w:bCs/>
                <w:color w:val="auto"/>
                <w:szCs w:val="21"/>
                <w:highlight w:val="none"/>
              </w:rPr>
            </w:pPr>
            <w:r>
              <w:rPr>
                <w:rFonts w:hint="eastAsia" w:ascii="宋体" w:hAnsi="宋体" w:cs="宋体"/>
                <w:bCs/>
                <w:color w:val="auto"/>
                <w:szCs w:val="21"/>
                <w:highlight w:val="none"/>
              </w:rPr>
              <w:t>2</w:t>
            </w: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工作内容、质量保证体系及进度计划</w:t>
            </w:r>
          </w:p>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（10分）</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rPr>
              <w:t>工作内容完整齐全，报告编制质量保证体系健全，报告编制进度计划编制完整，程序清晰，安排科学，措施有力，</w:t>
            </w:r>
            <w:r>
              <w:rPr>
                <w:rFonts w:hint="eastAsia" w:ascii="宋体" w:hAnsi="宋体" w:cs="宋体"/>
                <w:color w:val="auto"/>
                <w:szCs w:val="21"/>
                <w:highlight w:val="none"/>
                <w:lang w:val="en-US" w:eastAsia="zh-CN"/>
              </w:rPr>
              <w:t>契合</w:t>
            </w:r>
            <w:r>
              <w:rPr>
                <w:rFonts w:hint="default" w:ascii="宋体" w:hAnsi="宋体" w:cs="宋体"/>
                <w:color w:val="auto"/>
                <w:szCs w:val="21"/>
                <w:highlight w:val="none"/>
              </w:rPr>
              <w:t>项目实施地实际需要</w:t>
            </w:r>
            <w:r>
              <w:rPr>
                <w:rFonts w:hint="eastAsia" w:ascii="宋体" w:hAnsi="宋体" w:cs="宋体"/>
                <w:color w:val="auto"/>
                <w:szCs w:val="21"/>
                <w:highlight w:val="none"/>
                <w:lang w:val="en-US" w:eastAsia="zh-CN"/>
              </w:rPr>
              <w:t>的得10</w:t>
            </w:r>
            <w:r>
              <w:rPr>
                <w:rFonts w:hint="default" w:ascii="宋体" w:hAnsi="宋体" w:cs="宋体"/>
                <w:color w:val="auto"/>
                <w:szCs w:val="21"/>
                <w:highlight w:val="none"/>
              </w:rPr>
              <w:t>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2、</w:t>
            </w:r>
            <w:r>
              <w:rPr>
                <w:rFonts w:hint="default" w:ascii="宋体" w:hAnsi="宋体" w:cs="宋体"/>
                <w:color w:val="auto"/>
                <w:szCs w:val="21"/>
                <w:highlight w:val="none"/>
              </w:rPr>
              <w:t>工作内容基本齐全，报告编制质量保证体系基本健全，报告编制进度计划编制完整，程序及安排基本合理可行的</w:t>
            </w:r>
            <w:r>
              <w:rPr>
                <w:rFonts w:hint="eastAsia" w:ascii="宋体" w:hAnsi="宋体" w:cs="宋体"/>
                <w:color w:val="auto"/>
                <w:szCs w:val="21"/>
                <w:highlight w:val="none"/>
                <w:lang w:val="en-US" w:eastAsia="zh-CN"/>
              </w:rPr>
              <w:t>得</w:t>
            </w:r>
            <w:r>
              <w:rPr>
                <w:rFonts w:hint="default" w:ascii="宋体" w:hAnsi="宋体" w:cs="宋体"/>
                <w:color w:val="auto"/>
                <w:szCs w:val="21"/>
                <w:highlight w:val="none"/>
              </w:rPr>
              <w:t>7分；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default" w:ascii="宋体" w:hAnsi="宋体" w:cs="宋体"/>
                <w:color w:val="auto"/>
                <w:szCs w:val="21"/>
                <w:highlight w:val="none"/>
              </w:rPr>
              <w:t>工作内容不齐全，报告编制质量保证体系一般，报告编制进度计划编制不完整，程序及安排有错误的</w:t>
            </w:r>
            <w:r>
              <w:rPr>
                <w:rFonts w:hint="eastAsia" w:ascii="宋体" w:hAnsi="宋体" w:cs="宋体"/>
                <w:color w:val="auto"/>
                <w:szCs w:val="21"/>
                <w:highlight w:val="none"/>
                <w:lang w:val="en-US" w:eastAsia="zh-CN"/>
              </w:rPr>
              <w:t>得4</w:t>
            </w:r>
            <w:r>
              <w:rPr>
                <w:rFonts w:hint="default"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4、未提供的得0分。</w:t>
            </w:r>
          </w:p>
        </w:tc>
      </w:tr>
      <w:tr>
        <w:tblPrEx>
          <w:tblCellMar>
            <w:top w:w="0" w:type="dxa"/>
            <w:left w:w="0" w:type="dxa"/>
            <w:bottom w:w="0" w:type="dxa"/>
            <w:right w:w="0" w:type="dxa"/>
          </w:tblCellMar>
        </w:tblPrEx>
        <w:trPr>
          <w:trHeight w:val="312"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24" w:lineRule="atLeast"/>
              <w:jc w:val="center"/>
              <w:textAlignment w:val="auto"/>
              <w:rPr>
                <w:rFonts w:ascii="宋体" w:hAnsi="宋体" w:cs="宋体"/>
                <w:bCs/>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对本</w:t>
            </w:r>
            <w:r>
              <w:rPr>
                <w:rFonts w:hint="default" w:ascii="宋体" w:hAnsi="宋体" w:cs="宋体"/>
                <w:color w:val="auto"/>
                <w:szCs w:val="21"/>
                <w:highlight w:val="none"/>
                <w:lang w:val="en-US" w:eastAsia="zh-CN"/>
              </w:rPr>
              <w:t>项目的理解</w:t>
            </w:r>
          </w:p>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（10分）</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rPr>
              <w:t>对本项目的理解思路清晰、有较好的编制理念，思路充分体现项目特点及</w:t>
            </w:r>
            <w:r>
              <w:rPr>
                <w:rFonts w:hint="eastAsia" w:ascii="宋体" w:hAnsi="宋体" w:cs="宋体"/>
                <w:color w:val="auto"/>
                <w:szCs w:val="21"/>
                <w:highlight w:val="none"/>
                <w:lang w:eastAsia="zh-CN"/>
              </w:rPr>
              <w:t>招标</w:t>
            </w:r>
            <w:r>
              <w:rPr>
                <w:rFonts w:hint="default" w:ascii="宋体" w:hAnsi="宋体" w:cs="宋体"/>
                <w:color w:val="auto"/>
                <w:szCs w:val="21"/>
                <w:highlight w:val="none"/>
              </w:rPr>
              <w:t>人要求的</w:t>
            </w:r>
            <w:r>
              <w:rPr>
                <w:rFonts w:hint="eastAsia" w:ascii="宋体" w:hAnsi="宋体" w:cs="宋体"/>
                <w:color w:val="auto"/>
                <w:szCs w:val="21"/>
                <w:highlight w:val="none"/>
                <w:lang w:val="en-US" w:eastAsia="zh-CN"/>
              </w:rPr>
              <w:t>得10</w:t>
            </w:r>
            <w:r>
              <w:rPr>
                <w:rFonts w:hint="default" w:ascii="宋体" w:hAnsi="宋体" w:cs="宋体"/>
                <w:color w:val="auto"/>
                <w:szCs w:val="21"/>
                <w:highlight w:val="none"/>
              </w:rPr>
              <w:t>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2、</w:t>
            </w:r>
            <w:r>
              <w:rPr>
                <w:rFonts w:hint="default" w:ascii="宋体" w:hAnsi="宋体" w:cs="宋体"/>
                <w:color w:val="auto"/>
                <w:szCs w:val="21"/>
                <w:highlight w:val="none"/>
              </w:rPr>
              <w:t>对本项目的理解思路一般、基本体现了编制理念，思路基本体现项目特点及</w:t>
            </w:r>
            <w:r>
              <w:rPr>
                <w:rFonts w:hint="eastAsia" w:ascii="宋体" w:hAnsi="宋体" w:cs="宋体"/>
                <w:color w:val="auto"/>
                <w:szCs w:val="21"/>
                <w:highlight w:val="none"/>
                <w:lang w:eastAsia="zh-CN"/>
              </w:rPr>
              <w:t>招标</w:t>
            </w:r>
            <w:r>
              <w:rPr>
                <w:rFonts w:hint="default" w:ascii="宋体" w:hAnsi="宋体" w:cs="宋体"/>
                <w:color w:val="auto"/>
                <w:szCs w:val="21"/>
                <w:highlight w:val="none"/>
              </w:rPr>
              <w:t>人要求的</w:t>
            </w:r>
            <w:r>
              <w:rPr>
                <w:rFonts w:hint="eastAsia" w:ascii="宋体" w:hAnsi="宋体" w:cs="宋体"/>
                <w:color w:val="auto"/>
                <w:szCs w:val="21"/>
                <w:highlight w:val="none"/>
                <w:lang w:val="en-US" w:eastAsia="zh-CN"/>
              </w:rPr>
              <w:t>得7分</w:t>
            </w:r>
            <w:r>
              <w:rPr>
                <w:rFonts w:hint="default" w:ascii="宋体" w:hAnsi="宋体" w:cs="宋体"/>
                <w:color w:val="auto"/>
                <w:szCs w:val="21"/>
                <w:highlight w:val="none"/>
              </w:rPr>
              <w:t>；</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default" w:ascii="宋体" w:hAnsi="宋体" w:cs="宋体"/>
                <w:color w:val="auto"/>
                <w:szCs w:val="21"/>
                <w:highlight w:val="none"/>
              </w:rPr>
              <w:t>对本项目的理解思路较差、没有体现出编制理念，思路不能充分体现项目特点及</w:t>
            </w:r>
            <w:r>
              <w:rPr>
                <w:rFonts w:hint="eastAsia" w:ascii="宋体" w:hAnsi="宋体" w:cs="宋体"/>
                <w:color w:val="auto"/>
                <w:szCs w:val="21"/>
                <w:highlight w:val="none"/>
                <w:lang w:eastAsia="zh-CN"/>
              </w:rPr>
              <w:t>招标</w:t>
            </w:r>
            <w:r>
              <w:rPr>
                <w:rFonts w:hint="default" w:ascii="宋体" w:hAnsi="宋体" w:cs="宋体"/>
                <w:color w:val="auto"/>
                <w:szCs w:val="21"/>
                <w:highlight w:val="none"/>
              </w:rPr>
              <w:t>人要求的</w:t>
            </w:r>
            <w:r>
              <w:rPr>
                <w:rFonts w:hint="eastAsia" w:ascii="宋体" w:hAnsi="宋体" w:cs="宋体"/>
                <w:color w:val="auto"/>
                <w:szCs w:val="21"/>
                <w:highlight w:val="none"/>
                <w:lang w:val="en-US" w:eastAsia="zh-CN"/>
              </w:rPr>
              <w:t>得</w:t>
            </w:r>
            <w:r>
              <w:rPr>
                <w:rFonts w:hint="default" w:ascii="宋体" w:hAnsi="宋体" w:cs="宋体"/>
                <w:color w:val="auto"/>
                <w:szCs w:val="21"/>
                <w:highlight w:val="none"/>
              </w:rPr>
              <w:t>4分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4、未提供的得0分。</w:t>
            </w:r>
          </w:p>
        </w:tc>
      </w:tr>
      <w:tr>
        <w:tblPrEx>
          <w:tblCellMar>
            <w:top w:w="0" w:type="dxa"/>
            <w:left w:w="0" w:type="dxa"/>
            <w:bottom w:w="0" w:type="dxa"/>
            <w:right w:w="0" w:type="dxa"/>
          </w:tblCellMar>
        </w:tblPrEx>
        <w:trPr>
          <w:trHeight w:val="312" w:hRule="atLeast"/>
          <w:jc w:val="center"/>
        </w:trPr>
        <w:tc>
          <w:tcPr>
            <w:tcW w:w="59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24" w:lineRule="atLeast"/>
              <w:jc w:val="center"/>
              <w:textAlignment w:val="auto"/>
              <w:rPr>
                <w:rFonts w:ascii="宋体" w:hAnsi="宋体" w:cs="宋体"/>
                <w:bCs/>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项目的技术分析及处理措施</w:t>
            </w:r>
          </w:p>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val="en-US" w:eastAsia="zh-CN"/>
              </w:rPr>
              <w:t>（10分）</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rPr>
              <w:t>对</w:t>
            </w:r>
            <w:r>
              <w:rPr>
                <w:rFonts w:hint="eastAsia" w:ascii="宋体" w:hAnsi="宋体" w:cs="宋体"/>
                <w:color w:val="auto"/>
                <w:szCs w:val="21"/>
                <w:highlight w:val="none"/>
                <w:lang w:eastAsia="zh-CN"/>
              </w:rPr>
              <w:t>招标</w:t>
            </w:r>
            <w:r>
              <w:rPr>
                <w:rFonts w:hint="default" w:ascii="宋体" w:hAnsi="宋体" w:cs="宋体"/>
                <w:color w:val="auto"/>
                <w:szCs w:val="21"/>
                <w:highlight w:val="none"/>
              </w:rPr>
              <w:t>项目的特点、重点、难点有针对性的切实可行的解决办法，措施科学全面，具有现代先进技术应用及编制理念的</w:t>
            </w:r>
            <w:r>
              <w:rPr>
                <w:rFonts w:hint="eastAsia" w:ascii="宋体" w:hAnsi="宋体" w:cs="宋体"/>
                <w:color w:val="auto"/>
                <w:szCs w:val="21"/>
                <w:highlight w:val="none"/>
                <w:lang w:val="en-US" w:eastAsia="zh-CN"/>
              </w:rPr>
              <w:t>得</w:t>
            </w:r>
            <w:r>
              <w:rPr>
                <w:rFonts w:hint="default" w:ascii="宋体" w:hAnsi="宋体" w:cs="宋体"/>
                <w:color w:val="auto"/>
                <w:szCs w:val="21"/>
                <w:highlight w:val="none"/>
              </w:rPr>
              <w:t>10分；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对</w:t>
            </w:r>
            <w:r>
              <w:rPr>
                <w:rFonts w:hint="default" w:ascii="宋体" w:hAnsi="宋体" w:cs="宋体"/>
                <w:color w:val="auto"/>
                <w:szCs w:val="21"/>
                <w:highlight w:val="none"/>
              </w:rPr>
              <w:t>招标项目的特点、重点、难点的解决办法有一定的针对性，措施基本合理，技术应用落后，编制理念一般的</w:t>
            </w:r>
            <w:r>
              <w:rPr>
                <w:rFonts w:hint="eastAsia" w:ascii="宋体" w:hAnsi="宋体" w:cs="宋体"/>
                <w:color w:val="auto"/>
                <w:szCs w:val="21"/>
                <w:highlight w:val="none"/>
                <w:lang w:val="en-US" w:eastAsia="zh-CN"/>
              </w:rPr>
              <w:t>得</w:t>
            </w:r>
            <w:r>
              <w:rPr>
                <w:rFonts w:hint="default" w:ascii="宋体" w:hAnsi="宋体" w:cs="宋体"/>
                <w:color w:val="auto"/>
                <w:szCs w:val="21"/>
                <w:highlight w:val="none"/>
              </w:rPr>
              <w:t>7分；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default" w:ascii="宋体" w:hAnsi="宋体" w:cs="宋体"/>
                <w:color w:val="auto"/>
                <w:szCs w:val="21"/>
                <w:highlight w:val="none"/>
              </w:rPr>
              <w:t>对招标项目的特点、重点、难点的解决办法无针对性，措施不具体，错误较多，技术应用及编制理念较差的</w:t>
            </w:r>
            <w:r>
              <w:rPr>
                <w:rFonts w:hint="eastAsia" w:ascii="宋体" w:hAnsi="宋体" w:cs="宋体"/>
                <w:color w:val="auto"/>
                <w:szCs w:val="21"/>
                <w:highlight w:val="none"/>
                <w:lang w:val="en-US" w:eastAsia="zh-CN"/>
              </w:rPr>
              <w:t>得4</w:t>
            </w:r>
            <w:r>
              <w:rPr>
                <w:rFonts w:hint="default"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4、未提供的得0分。</w:t>
            </w:r>
          </w:p>
        </w:tc>
      </w:tr>
      <w:tr>
        <w:tblPrEx>
          <w:tblCellMar>
            <w:top w:w="0" w:type="dxa"/>
            <w:left w:w="0" w:type="dxa"/>
            <w:bottom w:w="0" w:type="dxa"/>
            <w:right w:w="0" w:type="dxa"/>
          </w:tblCellMar>
        </w:tblPrEx>
        <w:trPr>
          <w:trHeight w:val="312" w:hRule="atLeast"/>
          <w:jc w:val="center"/>
        </w:trPr>
        <w:tc>
          <w:tcPr>
            <w:tcW w:w="594" w:type="dxa"/>
            <w:vMerge w:val="continue"/>
            <w:tcBorders>
              <w:top w:val="single" w:color="auto" w:sz="4" w:space="0"/>
              <w:left w:val="single" w:color="auto" w:sz="4" w:space="0"/>
              <w:right w:val="single" w:color="auto" w:sz="8"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24" w:lineRule="atLeast"/>
              <w:jc w:val="center"/>
              <w:textAlignment w:val="auto"/>
              <w:rPr>
                <w:rFonts w:ascii="宋体" w:hAnsi="宋体" w:cs="宋体"/>
                <w:bCs/>
                <w:color w:val="auto"/>
                <w:szCs w:val="21"/>
                <w:highlight w:val="none"/>
              </w:rPr>
            </w:pPr>
          </w:p>
        </w:tc>
        <w:tc>
          <w:tcPr>
            <w:tcW w:w="1857" w:type="dxa"/>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技术建议</w:t>
            </w:r>
          </w:p>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6478" w:type="dxa"/>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val="en-US" w:eastAsia="zh-CN"/>
              </w:rPr>
              <w:t>结合项目要求，向业主提出的建议科学</w:t>
            </w:r>
            <w:r>
              <w:rPr>
                <w:rFonts w:hint="eastAsia" w:ascii="宋体" w:hAnsi="宋体" w:cs="宋体"/>
                <w:color w:val="auto"/>
                <w:szCs w:val="21"/>
                <w:highlight w:val="none"/>
                <w:lang w:val="en-US" w:eastAsia="zh-CN"/>
              </w:rPr>
              <w:t>性</w:t>
            </w:r>
            <w:r>
              <w:rPr>
                <w:rFonts w:hint="default" w:ascii="宋体" w:hAnsi="宋体" w:cs="宋体"/>
                <w:color w:val="auto"/>
                <w:szCs w:val="21"/>
                <w:highlight w:val="none"/>
                <w:lang w:val="en-US" w:eastAsia="zh-CN"/>
              </w:rPr>
              <w:t>、实施性强</w:t>
            </w:r>
            <w:r>
              <w:rPr>
                <w:rFonts w:hint="eastAsia" w:ascii="宋体" w:hAnsi="宋体" w:cs="宋体"/>
                <w:color w:val="auto"/>
                <w:szCs w:val="21"/>
                <w:highlight w:val="none"/>
                <w:lang w:val="en-US" w:eastAsia="zh-CN"/>
              </w:rPr>
              <w:t>得</w:t>
            </w:r>
            <w:r>
              <w:rPr>
                <w:rFonts w:hint="default" w:ascii="宋体" w:hAnsi="宋体" w:cs="宋体"/>
                <w:color w:val="auto"/>
                <w:szCs w:val="21"/>
                <w:highlight w:val="none"/>
                <w:lang w:val="en-US" w:eastAsia="zh-CN"/>
              </w:rPr>
              <w:t>10分；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val="en-US" w:eastAsia="zh-CN"/>
              </w:rPr>
              <w:t>结合项目要求，向业主提出的建议科学</w:t>
            </w:r>
            <w:r>
              <w:rPr>
                <w:rFonts w:hint="eastAsia" w:ascii="宋体" w:hAnsi="宋体" w:cs="宋体"/>
                <w:color w:val="auto"/>
                <w:szCs w:val="21"/>
                <w:highlight w:val="none"/>
                <w:lang w:val="en-US" w:eastAsia="zh-CN"/>
              </w:rPr>
              <w:t>性</w:t>
            </w:r>
            <w:r>
              <w:rPr>
                <w:rFonts w:hint="default" w:ascii="宋体" w:hAnsi="宋体" w:cs="宋体"/>
                <w:color w:val="auto"/>
                <w:szCs w:val="21"/>
                <w:highlight w:val="none"/>
                <w:lang w:val="en-US" w:eastAsia="zh-CN"/>
              </w:rPr>
              <w:t>、实施性一般</w:t>
            </w:r>
            <w:r>
              <w:rPr>
                <w:rFonts w:hint="eastAsia" w:ascii="宋体" w:hAnsi="宋体" w:cs="宋体"/>
                <w:color w:val="auto"/>
                <w:szCs w:val="21"/>
                <w:highlight w:val="none"/>
                <w:lang w:val="en-US" w:eastAsia="zh-CN"/>
              </w:rPr>
              <w:t>得7</w:t>
            </w:r>
            <w:r>
              <w:rPr>
                <w:rFonts w:hint="default" w:ascii="宋体" w:hAnsi="宋体" w:cs="宋体"/>
                <w:color w:val="auto"/>
                <w:szCs w:val="21"/>
                <w:highlight w:val="none"/>
                <w:lang w:val="en-US" w:eastAsia="zh-CN"/>
              </w:rPr>
              <w:t>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eastAsia="zh-CN"/>
              </w:rPr>
              <w:t>结合项目要求，向业主提出的建议科学</w:t>
            </w:r>
            <w:r>
              <w:rPr>
                <w:rFonts w:hint="eastAsia" w:ascii="宋体" w:hAnsi="宋体" w:cs="宋体"/>
                <w:color w:val="auto"/>
                <w:szCs w:val="21"/>
                <w:highlight w:val="none"/>
                <w:lang w:val="en-US" w:eastAsia="zh-CN"/>
              </w:rPr>
              <w:t>性</w:t>
            </w:r>
            <w:r>
              <w:rPr>
                <w:rFonts w:hint="default" w:ascii="宋体" w:hAnsi="宋体" w:cs="宋体"/>
                <w:color w:val="auto"/>
                <w:szCs w:val="21"/>
                <w:highlight w:val="none"/>
                <w:lang w:val="en-US" w:eastAsia="zh-CN"/>
              </w:rPr>
              <w:t>、实施性较差</w:t>
            </w:r>
            <w:r>
              <w:rPr>
                <w:rFonts w:hint="eastAsia" w:ascii="宋体" w:hAnsi="宋体" w:cs="宋体"/>
                <w:color w:val="auto"/>
                <w:szCs w:val="21"/>
                <w:highlight w:val="none"/>
                <w:lang w:val="en-US" w:eastAsia="zh-CN"/>
              </w:rPr>
              <w:t>得4分；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4、未提供的得0分</w:t>
            </w:r>
            <w:r>
              <w:rPr>
                <w:rFonts w:hint="default" w:ascii="宋体" w:hAnsi="宋体" w:cs="宋体"/>
                <w:color w:val="auto"/>
                <w:szCs w:val="21"/>
                <w:highlight w:val="none"/>
                <w:lang w:val="en-US" w:eastAsia="zh-CN"/>
              </w:rPr>
              <w:t>。</w:t>
            </w:r>
          </w:p>
        </w:tc>
      </w:tr>
      <w:tr>
        <w:tblPrEx>
          <w:tblCellMar>
            <w:top w:w="0" w:type="dxa"/>
            <w:left w:w="0" w:type="dxa"/>
            <w:bottom w:w="0" w:type="dxa"/>
            <w:right w:w="0" w:type="dxa"/>
          </w:tblCellMar>
        </w:tblPrEx>
        <w:trPr>
          <w:trHeight w:val="982" w:hRule="atLeast"/>
          <w:jc w:val="center"/>
        </w:trPr>
        <w:tc>
          <w:tcPr>
            <w:tcW w:w="594" w:type="dxa"/>
            <w:tcBorders>
              <w:top w:val="single" w:color="auto" w:sz="4" w:space="0"/>
              <w:left w:val="single" w:color="auto" w:sz="8" w:space="0"/>
              <w:bottom w:val="single" w:color="auto" w:sz="4" w:space="0"/>
              <w:right w:val="single" w:color="auto" w:sz="4" w:space="0"/>
            </w:tcBorders>
            <w:noWrap/>
            <w:vAlign w:val="center"/>
          </w:tcPr>
          <w:p>
            <w:pPr>
              <w:autoSpaceDE w:val="0"/>
              <w:autoSpaceDN w:val="0"/>
              <w:adjustRightInd w:val="0"/>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3</w:t>
            </w: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项目负责人</w:t>
            </w:r>
          </w:p>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项目负责人</w:t>
            </w:r>
            <w:r>
              <w:rPr>
                <w:rFonts w:hint="default" w:ascii="宋体" w:hAnsi="宋体" w:cs="宋体"/>
                <w:color w:val="auto"/>
                <w:szCs w:val="21"/>
                <w:highlight w:val="none"/>
                <w:lang w:eastAsia="zh-CN"/>
              </w:rPr>
              <w:t>具备水利工程专业</w:t>
            </w:r>
            <w:r>
              <w:rPr>
                <w:rFonts w:hint="eastAsia" w:ascii="宋体" w:hAnsi="宋体" w:cs="宋体"/>
                <w:color w:val="auto"/>
                <w:szCs w:val="21"/>
                <w:highlight w:val="none"/>
                <w:lang w:val="en-US" w:eastAsia="zh-CN"/>
              </w:rPr>
              <w:t>副</w:t>
            </w:r>
            <w:r>
              <w:rPr>
                <w:rFonts w:hint="default" w:ascii="宋体" w:hAnsi="宋体" w:cs="宋体"/>
                <w:color w:val="auto"/>
                <w:szCs w:val="21"/>
                <w:highlight w:val="none"/>
                <w:lang w:eastAsia="zh-CN"/>
              </w:rPr>
              <w:t>高级职称得</w:t>
            </w: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eastAsia="zh-CN"/>
              </w:rPr>
              <w:t>分</w:t>
            </w:r>
            <w:r>
              <w:rPr>
                <w:rFonts w:hint="eastAsia" w:ascii="宋体" w:hAnsi="宋体" w:cs="宋体"/>
                <w:color w:val="auto"/>
                <w:szCs w:val="21"/>
                <w:highlight w:val="none"/>
                <w:lang w:eastAsia="zh-CN"/>
              </w:rPr>
              <w:t>；</w:t>
            </w:r>
            <w:r>
              <w:rPr>
                <w:rFonts w:hint="default" w:ascii="宋体" w:hAnsi="宋体" w:cs="宋体"/>
                <w:color w:val="auto"/>
                <w:szCs w:val="21"/>
                <w:highlight w:val="none"/>
                <w:lang w:eastAsia="zh-CN"/>
              </w:rPr>
              <w:t>具备水利工程专业</w:t>
            </w:r>
            <w:r>
              <w:rPr>
                <w:rFonts w:hint="eastAsia" w:ascii="宋体" w:hAnsi="宋体" w:cs="宋体"/>
                <w:color w:val="auto"/>
                <w:szCs w:val="21"/>
                <w:highlight w:val="none"/>
                <w:lang w:val="en-US" w:eastAsia="zh-CN"/>
              </w:rPr>
              <w:t>正</w:t>
            </w:r>
            <w:r>
              <w:rPr>
                <w:rFonts w:hint="default" w:ascii="宋体" w:hAnsi="宋体" w:cs="宋体"/>
                <w:color w:val="auto"/>
                <w:szCs w:val="21"/>
                <w:highlight w:val="none"/>
                <w:lang w:eastAsia="zh-CN"/>
              </w:rPr>
              <w:t>高级职称得</w:t>
            </w:r>
            <w:r>
              <w:rPr>
                <w:rFonts w:hint="eastAsia" w:ascii="宋体" w:hAnsi="宋体" w:cs="宋体"/>
                <w:color w:val="auto"/>
                <w:szCs w:val="21"/>
                <w:highlight w:val="none"/>
                <w:lang w:val="en-US" w:eastAsia="zh-CN"/>
              </w:rPr>
              <w:t>4</w:t>
            </w:r>
            <w:r>
              <w:rPr>
                <w:rFonts w:hint="default" w:ascii="宋体" w:hAnsi="宋体" w:cs="宋体"/>
                <w:color w:val="auto"/>
                <w:szCs w:val="21"/>
                <w:highlight w:val="none"/>
                <w:lang w:eastAsia="zh-CN"/>
              </w:rPr>
              <w:t>分。</w:t>
            </w:r>
            <w:r>
              <w:rPr>
                <w:rFonts w:hint="eastAsia" w:ascii="宋体" w:hAnsi="宋体" w:cs="宋体"/>
                <w:color w:val="auto"/>
                <w:szCs w:val="21"/>
                <w:highlight w:val="none"/>
                <w:lang w:val="en-US" w:eastAsia="zh-CN"/>
              </w:rPr>
              <w:t>（提供证书复印件并加盖公章）</w:t>
            </w:r>
          </w:p>
        </w:tc>
      </w:tr>
      <w:tr>
        <w:tblPrEx>
          <w:tblCellMar>
            <w:top w:w="0" w:type="dxa"/>
            <w:left w:w="0" w:type="dxa"/>
            <w:bottom w:w="0" w:type="dxa"/>
            <w:right w:w="0" w:type="dxa"/>
          </w:tblCellMar>
        </w:tblPrEx>
        <w:trPr>
          <w:trHeight w:val="1582" w:hRule="atLeast"/>
          <w:jc w:val="center"/>
        </w:trPr>
        <w:tc>
          <w:tcPr>
            <w:tcW w:w="594" w:type="dxa"/>
            <w:tcBorders>
              <w:top w:val="single" w:color="auto" w:sz="4" w:space="0"/>
              <w:left w:val="single" w:color="auto" w:sz="8" w:space="0"/>
              <w:bottom w:val="single" w:color="auto" w:sz="4" w:space="0"/>
              <w:right w:val="single" w:color="auto" w:sz="4" w:space="0"/>
            </w:tcBorders>
            <w:noWrap/>
            <w:vAlign w:val="center"/>
          </w:tcPr>
          <w:p>
            <w:pPr>
              <w:autoSpaceDE w:val="0"/>
              <w:autoSpaceDN w:val="0"/>
              <w:adjustRightInd w:val="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eastAsia="zh-CN"/>
              </w:rPr>
            </w:pPr>
            <w:r>
              <w:rPr>
                <w:rFonts w:hint="default" w:ascii="宋体" w:hAnsi="宋体" w:cs="宋体"/>
                <w:color w:val="auto"/>
                <w:szCs w:val="21"/>
                <w:highlight w:val="none"/>
                <w:lang w:eastAsia="zh-CN"/>
              </w:rPr>
              <w:t>项目组人员配置</w:t>
            </w:r>
          </w:p>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16分</w:t>
            </w:r>
            <w:r>
              <w:rPr>
                <w:rFonts w:hint="eastAsia" w:ascii="宋体" w:hAnsi="宋体" w:cs="宋体"/>
                <w:color w:val="auto"/>
                <w:szCs w:val="21"/>
                <w:highlight w:val="none"/>
                <w:lang w:eastAsia="zh-CN"/>
              </w:rPr>
              <w:t>）</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1、项目组成员（不含项目负责人）中具备</w:t>
            </w:r>
            <w:r>
              <w:rPr>
                <w:rFonts w:hint="default" w:ascii="宋体" w:hAnsi="宋体" w:cs="宋体"/>
                <w:color w:val="auto"/>
                <w:szCs w:val="21"/>
                <w:highlight w:val="none"/>
                <w:lang w:val="en-US" w:eastAsia="zh-CN"/>
              </w:rPr>
              <w:t>水利</w:t>
            </w:r>
            <w:r>
              <w:rPr>
                <w:rFonts w:hint="eastAsia" w:ascii="宋体" w:hAnsi="宋体" w:cs="宋体"/>
                <w:color w:val="auto"/>
                <w:szCs w:val="21"/>
                <w:highlight w:val="none"/>
                <w:lang w:val="en-US" w:eastAsia="zh-CN"/>
              </w:rPr>
              <w:t>工程</w:t>
            </w:r>
            <w:r>
              <w:rPr>
                <w:rFonts w:hint="default" w:ascii="宋体" w:hAnsi="宋体" w:cs="宋体"/>
                <w:color w:val="auto"/>
                <w:szCs w:val="21"/>
                <w:highlight w:val="none"/>
                <w:lang w:val="en-US" w:eastAsia="zh-CN"/>
              </w:rPr>
              <w:t>专业副高级</w:t>
            </w:r>
            <w:r>
              <w:rPr>
                <w:rFonts w:hint="eastAsia" w:ascii="宋体" w:hAnsi="宋体" w:cs="宋体"/>
                <w:color w:val="auto"/>
                <w:szCs w:val="21"/>
                <w:highlight w:val="none"/>
                <w:lang w:val="en-US" w:eastAsia="zh-CN"/>
              </w:rPr>
              <w:t>及以上职称</w:t>
            </w:r>
            <w:r>
              <w:rPr>
                <w:rFonts w:hint="default" w:ascii="宋体" w:hAnsi="宋体" w:cs="宋体"/>
                <w:color w:val="auto"/>
                <w:szCs w:val="21"/>
                <w:highlight w:val="none"/>
                <w:lang w:val="en-US" w:eastAsia="zh-CN"/>
              </w:rPr>
              <w:t>每</w:t>
            </w:r>
            <w:r>
              <w:rPr>
                <w:rFonts w:hint="eastAsia" w:ascii="宋体" w:hAnsi="宋体" w:cs="宋体"/>
                <w:color w:val="auto"/>
                <w:szCs w:val="21"/>
                <w:highlight w:val="none"/>
                <w:lang w:val="en-US" w:eastAsia="zh-CN"/>
              </w:rPr>
              <w:t>有1</w:t>
            </w:r>
            <w:r>
              <w:rPr>
                <w:rFonts w:hint="default" w:ascii="宋体" w:hAnsi="宋体" w:cs="宋体"/>
                <w:color w:val="auto"/>
                <w:szCs w:val="21"/>
                <w:highlight w:val="none"/>
                <w:lang w:val="en-US" w:eastAsia="zh-CN"/>
              </w:rPr>
              <w:t>人得</w:t>
            </w: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val="en-US" w:eastAsia="zh-CN"/>
              </w:rPr>
              <w:t>分，</w:t>
            </w:r>
            <w:r>
              <w:rPr>
                <w:rFonts w:hint="eastAsia" w:ascii="宋体" w:hAnsi="宋体" w:cs="宋体"/>
                <w:color w:val="auto"/>
                <w:szCs w:val="21"/>
                <w:highlight w:val="none"/>
                <w:lang w:val="en-US" w:eastAsia="zh-CN"/>
              </w:rPr>
              <w:t>满分8</w:t>
            </w:r>
            <w:r>
              <w:rPr>
                <w:rFonts w:hint="default" w:ascii="宋体" w:hAnsi="宋体" w:cs="宋体"/>
                <w:color w:val="auto"/>
                <w:szCs w:val="21"/>
                <w:highlight w:val="none"/>
                <w:lang w:val="en-US" w:eastAsia="zh-CN"/>
              </w:rPr>
              <w:t>分；</w:t>
            </w:r>
          </w:p>
          <w:p>
            <w:pPr>
              <w:keepNext w:val="0"/>
              <w:keepLines w:val="0"/>
              <w:pageBreakBefore w:val="0"/>
              <w:widowControl w:val="0"/>
              <w:kinsoku/>
              <w:wordWrap/>
              <w:overflowPunct/>
              <w:topLinePunct w:val="0"/>
              <w:bidi w:val="0"/>
              <w:snapToGrid/>
              <w:spacing w:line="24" w:lineRule="atLeas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2、项目组成员（不含项目负责人）</w:t>
            </w:r>
            <w:r>
              <w:rPr>
                <w:rFonts w:hint="default" w:ascii="宋体" w:hAnsi="宋体" w:cs="宋体"/>
                <w:color w:val="auto"/>
                <w:szCs w:val="21"/>
                <w:highlight w:val="none"/>
                <w:lang w:val="en-US" w:eastAsia="zh-CN"/>
              </w:rPr>
              <w:t>专业包括水利工程、水文学及水资源、生态学、环境工程，每</w:t>
            </w:r>
            <w:r>
              <w:rPr>
                <w:rFonts w:hint="eastAsia" w:ascii="宋体" w:hAnsi="宋体" w:cs="宋体"/>
                <w:color w:val="auto"/>
                <w:szCs w:val="21"/>
                <w:highlight w:val="none"/>
                <w:lang w:val="en-US" w:eastAsia="zh-CN"/>
              </w:rPr>
              <w:t>有</w:t>
            </w:r>
            <w:r>
              <w:rPr>
                <w:rFonts w:hint="default" w:ascii="宋体" w:hAnsi="宋体" w:cs="宋体"/>
                <w:color w:val="auto"/>
                <w:szCs w:val="21"/>
                <w:highlight w:val="none"/>
                <w:lang w:val="en-US" w:eastAsia="zh-CN"/>
              </w:rPr>
              <w:t>1个专业得</w:t>
            </w: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val="en-US" w:eastAsia="zh-CN"/>
              </w:rPr>
              <w:t>分，</w:t>
            </w:r>
            <w:r>
              <w:rPr>
                <w:rFonts w:hint="eastAsia" w:ascii="宋体" w:hAnsi="宋体" w:cs="宋体"/>
                <w:color w:val="auto"/>
                <w:szCs w:val="21"/>
                <w:highlight w:val="none"/>
                <w:lang w:val="en-US" w:eastAsia="zh-CN"/>
              </w:rPr>
              <w:t>满分8</w:t>
            </w:r>
            <w:r>
              <w:rPr>
                <w:rFonts w:hint="default" w:ascii="宋体" w:hAnsi="宋体" w:cs="宋体"/>
                <w:color w:val="auto"/>
                <w:szCs w:val="21"/>
                <w:highlight w:val="none"/>
                <w:lang w:val="en-US" w:eastAsia="zh-CN"/>
              </w:rPr>
              <w:t>分。</w:t>
            </w:r>
          </w:p>
          <w:p>
            <w:pPr>
              <w:keepNext w:val="0"/>
              <w:keepLines w:val="0"/>
              <w:pageBreakBefore w:val="0"/>
              <w:widowControl w:val="0"/>
              <w:kinsoku/>
              <w:wordWrap/>
              <w:overflowPunct/>
              <w:topLinePunct w:val="0"/>
              <w:bidi w:val="0"/>
              <w:snapToGrid/>
              <w:spacing w:line="24" w:lineRule="atLeas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（提供证书复印件并加盖公章）</w:t>
            </w:r>
          </w:p>
        </w:tc>
      </w:tr>
      <w:tr>
        <w:tblPrEx>
          <w:tblCellMar>
            <w:top w:w="0" w:type="dxa"/>
            <w:left w:w="0" w:type="dxa"/>
            <w:bottom w:w="0" w:type="dxa"/>
            <w:right w:w="0" w:type="dxa"/>
          </w:tblCellMar>
        </w:tblPrEx>
        <w:trPr>
          <w:trHeight w:val="1112" w:hRule="atLeast"/>
          <w:jc w:val="center"/>
        </w:trPr>
        <w:tc>
          <w:tcPr>
            <w:tcW w:w="594" w:type="dxa"/>
            <w:tcBorders>
              <w:top w:val="single" w:color="auto" w:sz="4" w:space="0"/>
              <w:left w:val="single" w:color="auto" w:sz="8" w:space="0"/>
              <w:bottom w:val="single" w:color="auto" w:sz="4" w:space="0"/>
              <w:right w:val="single" w:color="auto" w:sz="4" w:space="0"/>
            </w:tcBorders>
            <w:noWrap/>
            <w:vAlign w:val="center"/>
          </w:tcPr>
          <w:p>
            <w:pPr>
              <w:autoSpaceDE w:val="0"/>
              <w:autoSpaceDN w:val="0"/>
              <w:adjustRightInd w:val="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5</w:t>
            </w: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类似</w:t>
            </w:r>
            <w:r>
              <w:rPr>
                <w:rFonts w:hint="default" w:ascii="宋体" w:hAnsi="宋体" w:cs="宋体"/>
                <w:color w:val="auto"/>
                <w:szCs w:val="21"/>
                <w:highlight w:val="none"/>
              </w:rPr>
              <w:t>业绩</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20分</w:t>
            </w:r>
            <w:r>
              <w:rPr>
                <w:rFonts w:hint="eastAsia" w:ascii="宋体" w:hAnsi="宋体" w:cs="宋体"/>
                <w:color w:val="auto"/>
                <w:szCs w:val="21"/>
                <w:highlight w:val="none"/>
                <w:lang w:eastAsia="zh-CN"/>
              </w:rPr>
              <w:t>）</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default" w:ascii="宋体" w:hAnsi="宋体" w:cs="宋体"/>
                <w:color w:val="auto"/>
                <w:szCs w:val="21"/>
                <w:highlight w:val="none"/>
                <w:lang w:eastAsia="zh-CN"/>
              </w:rPr>
              <w:t>近3年（20</w:t>
            </w:r>
            <w:r>
              <w:rPr>
                <w:rFonts w:hint="eastAsia" w:ascii="宋体" w:hAnsi="宋体" w:cs="宋体"/>
                <w:color w:val="auto"/>
                <w:szCs w:val="21"/>
                <w:highlight w:val="none"/>
                <w:lang w:val="en-US" w:eastAsia="zh-CN"/>
              </w:rPr>
              <w:t>21</w:t>
            </w:r>
            <w:r>
              <w:rPr>
                <w:rFonts w:hint="default"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eastAsia="zh-CN"/>
              </w:rPr>
              <w:t>月至今</w:t>
            </w:r>
            <w:r>
              <w:rPr>
                <w:rFonts w:hint="eastAsia" w:ascii="宋体" w:hAnsi="宋体" w:cs="宋体"/>
                <w:color w:val="auto"/>
                <w:szCs w:val="21"/>
                <w:highlight w:val="none"/>
                <w:lang w:eastAsia="zh-CN"/>
              </w:rPr>
              <w:t>，以取得的批文时间为准</w:t>
            </w:r>
            <w:r>
              <w:rPr>
                <w:rFonts w:hint="default" w:ascii="宋体" w:hAnsi="宋体" w:cs="宋体"/>
                <w:color w:val="auto"/>
                <w:szCs w:val="21"/>
                <w:highlight w:val="none"/>
                <w:lang w:eastAsia="zh-CN"/>
              </w:rPr>
              <w:t>）</w:t>
            </w:r>
            <w:r>
              <w:rPr>
                <w:rFonts w:hint="eastAsia" w:ascii="宋体" w:hAnsi="宋体" w:cs="宋体"/>
                <w:color w:val="auto"/>
                <w:szCs w:val="21"/>
                <w:highlight w:val="none"/>
                <w:lang w:val="en-US" w:eastAsia="zh-CN"/>
              </w:rPr>
              <w:t>承担过省级以上水行政主管部门审批的</w:t>
            </w:r>
            <w:r>
              <w:rPr>
                <w:rFonts w:hint="default" w:ascii="宋体" w:hAnsi="宋体" w:cs="宋体"/>
                <w:color w:val="auto"/>
                <w:szCs w:val="21"/>
                <w:highlight w:val="none"/>
                <w:lang w:eastAsia="zh-CN"/>
              </w:rPr>
              <w:t>类似</w:t>
            </w:r>
            <w:r>
              <w:rPr>
                <w:rFonts w:hint="eastAsia" w:ascii="宋体" w:hAnsi="宋体" w:cs="宋体"/>
                <w:color w:val="auto"/>
                <w:szCs w:val="21"/>
                <w:highlight w:val="none"/>
                <w:lang w:val="en-US" w:eastAsia="zh-CN"/>
              </w:rPr>
              <w:t>项目</w:t>
            </w:r>
            <w:r>
              <w:rPr>
                <w:rFonts w:hint="default" w:ascii="宋体" w:hAnsi="宋体" w:cs="宋体"/>
                <w:color w:val="auto"/>
                <w:szCs w:val="21"/>
                <w:highlight w:val="none"/>
                <w:lang w:eastAsia="zh-CN"/>
              </w:rPr>
              <w:t>业绩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50万以上</w:t>
            </w:r>
            <w:r>
              <w:rPr>
                <w:rFonts w:hint="eastAsia" w:ascii="宋体" w:hAnsi="宋体" w:cs="宋体"/>
                <w:color w:val="auto"/>
                <w:szCs w:val="21"/>
                <w:highlight w:val="none"/>
                <w:lang w:eastAsia="zh-CN"/>
              </w:rPr>
              <w:t>）</w:t>
            </w:r>
            <w:r>
              <w:rPr>
                <w:rFonts w:hint="default" w:ascii="宋体" w:hAnsi="宋体" w:cs="宋体"/>
                <w:color w:val="auto"/>
                <w:szCs w:val="21"/>
                <w:highlight w:val="none"/>
                <w:lang w:eastAsia="zh-CN"/>
              </w:rPr>
              <w:t>的</w:t>
            </w:r>
            <w:r>
              <w:rPr>
                <w:rFonts w:hint="eastAsia" w:ascii="宋体" w:hAnsi="宋体" w:cs="宋体"/>
                <w:color w:val="auto"/>
                <w:szCs w:val="21"/>
                <w:highlight w:val="none"/>
                <w:lang w:val="en-US" w:eastAsia="zh-CN"/>
              </w:rPr>
              <w:t>有1个</w:t>
            </w:r>
            <w:r>
              <w:rPr>
                <w:rFonts w:hint="default" w:ascii="宋体" w:hAnsi="宋体" w:cs="宋体"/>
                <w:color w:val="auto"/>
                <w:szCs w:val="21"/>
                <w:highlight w:val="none"/>
                <w:lang w:eastAsia="zh-CN"/>
              </w:rPr>
              <w:t>得</w:t>
            </w:r>
            <w:r>
              <w:rPr>
                <w:rFonts w:hint="default" w:ascii="宋体" w:hAnsi="宋体" w:cs="宋体"/>
                <w:color w:val="auto"/>
                <w:szCs w:val="21"/>
                <w:highlight w:val="none"/>
                <w:lang w:val="en-US" w:eastAsia="zh-CN"/>
              </w:rPr>
              <w:t>4</w:t>
            </w:r>
            <w:r>
              <w:rPr>
                <w:rFonts w:hint="default" w:ascii="宋体" w:hAnsi="宋体" w:cs="宋体"/>
                <w:color w:val="auto"/>
                <w:szCs w:val="21"/>
                <w:highlight w:val="none"/>
                <w:lang w:eastAsia="zh-CN"/>
              </w:rPr>
              <w:t>分，</w:t>
            </w:r>
            <w:r>
              <w:rPr>
                <w:rFonts w:hint="eastAsia" w:ascii="宋体" w:hAnsi="宋体" w:cs="宋体"/>
                <w:color w:val="auto"/>
                <w:szCs w:val="21"/>
                <w:highlight w:val="none"/>
                <w:lang w:val="en-US" w:eastAsia="zh-CN"/>
              </w:rPr>
              <w:t>满分</w:t>
            </w:r>
            <w:r>
              <w:rPr>
                <w:rFonts w:hint="default" w:ascii="宋体" w:hAnsi="宋体" w:cs="宋体"/>
                <w:color w:val="auto"/>
                <w:szCs w:val="21"/>
                <w:highlight w:val="none"/>
                <w:lang w:val="en-US" w:eastAsia="zh-CN"/>
              </w:rPr>
              <w:t>20</w:t>
            </w:r>
            <w:r>
              <w:rPr>
                <w:rFonts w:hint="default" w:ascii="宋体" w:hAnsi="宋体" w:cs="宋体"/>
                <w:color w:val="auto"/>
                <w:szCs w:val="21"/>
                <w:highlight w:val="none"/>
                <w:lang w:eastAsia="zh-CN"/>
              </w:rPr>
              <w:t>分。（</w:t>
            </w:r>
            <w:r>
              <w:rPr>
                <w:rFonts w:hint="default" w:ascii="宋体" w:hAnsi="宋体" w:cs="宋体"/>
                <w:color w:val="auto"/>
                <w:szCs w:val="21"/>
                <w:highlight w:val="none"/>
                <w:lang w:val="zh-CN" w:eastAsia="zh-CN"/>
              </w:rPr>
              <w:t>需提供合同及批文复印件并加盖公章，</w:t>
            </w:r>
            <w:r>
              <w:rPr>
                <w:rFonts w:hint="eastAsia" w:ascii="宋体" w:hAnsi="宋体" w:cs="宋体"/>
                <w:color w:val="auto"/>
                <w:szCs w:val="21"/>
                <w:highlight w:val="none"/>
                <w:lang w:val="en-US" w:eastAsia="zh-CN"/>
              </w:rPr>
              <w:t>缺一</w:t>
            </w:r>
            <w:r>
              <w:rPr>
                <w:rFonts w:hint="default" w:ascii="宋体" w:hAnsi="宋体" w:cs="宋体"/>
                <w:color w:val="auto"/>
                <w:szCs w:val="21"/>
                <w:highlight w:val="none"/>
                <w:lang w:val="zh-CN" w:eastAsia="zh-CN"/>
              </w:rPr>
              <w:t>不得分</w:t>
            </w:r>
            <w:r>
              <w:rPr>
                <w:rFonts w:hint="default" w:ascii="宋体" w:hAnsi="宋体" w:cs="宋体"/>
                <w:color w:val="auto"/>
                <w:szCs w:val="21"/>
                <w:highlight w:val="none"/>
                <w:lang w:eastAsia="zh-CN"/>
              </w:rPr>
              <w:t>）</w:t>
            </w:r>
          </w:p>
        </w:tc>
      </w:tr>
      <w:tr>
        <w:tblPrEx>
          <w:tblCellMar>
            <w:top w:w="0" w:type="dxa"/>
            <w:left w:w="0" w:type="dxa"/>
            <w:bottom w:w="0" w:type="dxa"/>
            <w:right w:w="0" w:type="dxa"/>
          </w:tblCellMar>
        </w:tblPrEx>
        <w:trPr>
          <w:trHeight w:val="2112" w:hRule="atLeast"/>
          <w:jc w:val="center"/>
        </w:trPr>
        <w:tc>
          <w:tcPr>
            <w:tcW w:w="59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6</w:t>
            </w:r>
          </w:p>
        </w:tc>
        <w:tc>
          <w:tcPr>
            <w:tcW w:w="1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后续服务工作</w:t>
            </w:r>
          </w:p>
          <w:p>
            <w:pPr>
              <w:keepNext w:val="0"/>
              <w:keepLines w:val="0"/>
              <w:pageBreakBefore w:val="0"/>
              <w:widowControl w:val="0"/>
              <w:kinsoku/>
              <w:wordWrap/>
              <w:overflowPunct/>
              <w:topLinePunct w:val="0"/>
              <w:bidi w:val="0"/>
              <w:snapToGrid/>
              <w:spacing w:line="24" w:lineRule="atLeast"/>
              <w:jc w:val="center"/>
              <w:textAlignment w:val="auto"/>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安排及承诺</w:t>
            </w:r>
          </w:p>
          <w:p>
            <w:pPr>
              <w:keepNext w:val="0"/>
              <w:keepLines w:val="0"/>
              <w:pageBreakBefore w:val="0"/>
              <w:widowControl w:val="0"/>
              <w:kinsoku/>
              <w:wordWrap/>
              <w:overflowPunct/>
              <w:topLinePunct w:val="0"/>
              <w:bidi w:val="0"/>
              <w:snapToGrid/>
              <w:spacing w:line="24" w:lineRule="atLeast"/>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6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default" w:ascii="宋体" w:hAnsi="宋体" w:cs="宋体"/>
                <w:color w:val="auto"/>
                <w:szCs w:val="21"/>
                <w:highlight w:val="none"/>
                <w:lang w:val="en-US" w:eastAsia="zh-CN"/>
              </w:rPr>
              <w:t>后续服务工作安排及承诺较优，有具体奖惩承诺，保障措施完善切实可靠的</w:t>
            </w:r>
            <w:r>
              <w:rPr>
                <w:rFonts w:hint="eastAsia" w:ascii="宋体" w:hAnsi="宋体" w:cs="宋体"/>
                <w:color w:val="auto"/>
                <w:szCs w:val="21"/>
                <w:highlight w:val="none"/>
                <w:lang w:val="en-US" w:eastAsia="zh-CN"/>
              </w:rPr>
              <w:t>得</w:t>
            </w:r>
            <w:r>
              <w:rPr>
                <w:rFonts w:hint="default" w:ascii="宋体" w:hAnsi="宋体" w:cs="宋体"/>
                <w:color w:val="auto"/>
                <w:szCs w:val="21"/>
                <w:highlight w:val="none"/>
                <w:lang w:val="en-US" w:eastAsia="zh-CN"/>
              </w:rPr>
              <w:t>10分；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val="en-US" w:eastAsia="zh-CN"/>
              </w:rPr>
              <w:t>后续服务工作安排及承诺一般，有奖惩承诺但有错误，保障措施基本完善的</w:t>
            </w:r>
            <w:r>
              <w:rPr>
                <w:rFonts w:hint="eastAsia" w:ascii="宋体" w:hAnsi="宋体" w:cs="宋体"/>
                <w:color w:val="auto"/>
                <w:szCs w:val="21"/>
                <w:highlight w:val="none"/>
                <w:lang w:val="en-US" w:eastAsia="zh-CN"/>
              </w:rPr>
              <w:t>得7</w:t>
            </w:r>
            <w:r>
              <w:rPr>
                <w:rFonts w:hint="default" w:ascii="宋体" w:hAnsi="宋体" w:cs="宋体"/>
                <w:color w:val="auto"/>
                <w:szCs w:val="21"/>
                <w:highlight w:val="none"/>
                <w:lang w:val="en-US" w:eastAsia="zh-CN"/>
              </w:rPr>
              <w:t>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eastAsia="zh-CN"/>
              </w:rPr>
              <w:t>后续服务工作安排及承诺较差，无奖惩承诺，保障措施不完善的</w:t>
            </w:r>
            <w:r>
              <w:rPr>
                <w:rFonts w:hint="eastAsia" w:ascii="宋体" w:hAnsi="宋体" w:cs="宋体"/>
                <w:color w:val="auto"/>
                <w:szCs w:val="21"/>
                <w:highlight w:val="none"/>
                <w:lang w:val="en-US" w:eastAsia="zh-CN"/>
              </w:rPr>
              <w:t>得4分；</w:t>
            </w:r>
          </w:p>
          <w:p>
            <w:pPr>
              <w:keepNext w:val="0"/>
              <w:keepLines w:val="0"/>
              <w:pageBreakBefore w:val="0"/>
              <w:widowControl w:val="0"/>
              <w:kinsoku/>
              <w:wordWrap/>
              <w:overflowPunct/>
              <w:topLinePunct w:val="0"/>
              <w:bidi w:val="0"/>
              <w:snapToGrid/>
              <w:spacing w:line="24" w:lineRule="atLeas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4、未提供的得0分</w:t>
            </w:r>
            <w:r>
              <w:rPr>
                <w:rFonts w:hint="default" w:ascii="宋体" w:hAnsi="宋体" w:cs="宋体"/>
                <w:color w:val="auto"/>
                <w:szCs w:val="21"/>
                <w:highlight w:val="none"/>
                <w:lang w:val="en-US" w:eastAsia="zh-CN"/>
              </w:rPr>
              <w:t>。</w:t>
            </w:r>
          </w:p>
        </w:tc>
      </w:tr>
    </w:tbl>
    <w:p>
      <w:pPr>
        <w:widowControl/>
        <w:jc w:val="left"/>
        <w:rPr>
          <w:color w:val="auto"/>
          <w:highlight w:val="none"/>
        </w:rPr>
      </w:pPr>
    </w:p>
    <w:p>
      <w:pPr>
        <w:widowControl/>
        <w:jc w:val="left"/>
        <w:rPr>
          <w:color w:val="auto"/>
          <w:szCs w:val="21"/>
          <w:highlight w:val="none"/>
        </w:rPr>
      </w:pPr>
      <w:r>
        <w:rPr>
          <w:color w:val="auto"/>
          <w:highlight w:val="none"/>
        </w:rPr>
        <w:br w:type="page"/>
      </w:r>
    </w:p>
    <w:p>
      <w:pPr>
        <w:tabs>
          <w:tab w:val="left" w:pos="900"/>
        </w:tabs>
        <w:spacing w:line="360" w:lineRule="auto"/>
        <w:jc w:val="center"/>
        <w:outlineLvl w:val="0"/>
        <w:rPr>
          <w:rFonts w:ascii="宋体" w:hAnsi="宋体" w:cs="宋体"/>
          <w:b/>
          <w:bCs/>
          <w:color w:val="auto"/>
          <w:kern w:val="44"/>
          <w:sz w:val="36"/>
          <w:szCs w:val="44"/>
          <w:highlight w:val="none"/>
        </w:rPr>
      </w:pPr>
      <w:bookmarkStart w:id="136" w:name="_Toc13446"/>
      <w:r>
        <w:rPr>
          <w:rFonts w:hint="eastAsia" w:ascii="宋体" w:hAnsi="宋体" w:cs="宋体"/>
          <w:b/>
          <w:bCs/>
          <w:color w:val="auto"/>
          <w:kern w:val="44"/>
          <w:sz w:val="36"/>
          <w:szCs w:val="44"/>
          <w:highlight w:val="none"/>
        </w:rPr>
        <w:t>第六章 投标文件格式</w:t>
      </w:r>
      <w:bookmarkEnd w:id="134"/>
      <w:bookmarkEnd w:id="135"/>
      <w:bookmarkEnd w:id="136"/>
    </w:p>
    <w:p>
      <w:pPr>
        <w:jc w:val="center"/>
        <w:rPr>
          <w:rFonts w:ascii="宋体" w:hAnsi="宋体" w:cs="宋体"/>
          <w:b/>
          <w:color w:val="auto"/>
          <w:sz w:val="36"/>
          <w:highlight w:val="none"/>
        </w:rPr>
      </w:pPr>
    </w:p>
    <w:p>
      <w:pPr>
        <w:jc w:val="center"/>
        <w:rPr>
          <w:rFonts w:ascii="宋体" w:hAnsi="宋体" w:cs="宋体"/>
          <w:b/>
          <w:color w:val="auto"/>
          <w:szCs w:val="21"/>
          <w:highlight w:val="none"/>
        </w:rPr>
      </w:pPr>
    </w:p>
    <w:p>
      <w:pPr>
        <w:jc w:val="center"/>
        <w:rPr>
          <w:rFonts w:ascii="宋体" w:hAnsi="宋体" w:cs="宋体"/>
          <w:b/>
          <w:color w:val="auto"/>
          <w:sz w:val="22"/>
          <w:szCs w:val="21"/>
          <w:highlight w:val="none"/>
        </w:rPr>
      </w:pPr>
    </w:p>
    <w:p>
      <w:pPr>
        <w:jc w:val="center"/>
        <w:rPr>
          <w:rFonts w:ascii="宋体" w:hAnsi="宋体" w:cs="宋体"/>
          <w:b/>
          <w:color w:val="auto"/>
          <w:sz w:val="72"/>
          <w:highlight w:val="none"/>
        </w:rPr>
      </w:pPr>
      <w:r>
        <w:rPr>
          <w:rFonts w:hint="eastAsia" w:ascii="宋体" w:hAnsi="宋体" w:cs="宋体"/>
          <w:b/>
          <w:color w:val="auto"/>
          <w:sz w:val="72"/>
          <w:highlight w:val="none"/>
        </w:rPr>
        <w:t>投  标  文  件</w:t>
      </w:r>
    </w:p>
    <w:p>
      <w:pPr>
        <w:jc w:val="center"/>
        <w:rPr>
          <w:rFonts w:ascii="宋体" w:hAnsi="宋体" w:cs="宋体"/>
          <w:b/>
          <w:color w:val="auto"/>
          <w:sz w:val="72"/>
          <w:highlight w:val="none"/>
        </w:rPr>
      </w:pPr>
    </w:p>
    <w:p>
      <w:pPr>
        <w:jc w:val="center"/>
        <w:rPr>
          <w:rFonts w:ascii="宋体" w:hAnsi="宋体" w:cs="宋体"/>
          <w:b/>
          <w:color w:val="auto"/>
          <w:sz w:val="72"/>
          <w:highlight w:val="none"/>
        </w:rPr>
      </w:pPr>
    </w:p>
    <w:p>
      <w:pPr>
        <w:jc w:val="center"/>
        <w:rPr>
          <w:rFonts w:ascii="宋体" w:hAnsi="宋体" w:cs="宋体"/>
          <w:b/>
          <w:color w:val="auto"/>
          <w:sz w:val="36"/>
          <w:highlight w:val="none"/>
        </w:rPr>
      </w:pPr>
    </w:p>
    <w:p>
      <w:pPr>
        <w:jc w:val="center"/>
        <w:rPr>
          <w:rFonts w:ascii="宋体" w:hAnsi="宋体" w:cs="宋体"/>
          <w:b/>
          <w:color w:val="auto"/>
          <w:sz w:val="36"/>
          <w:highlight w:val="none"/>
        </w:rPr>
      </w:pPr>
    </w:p>
    <w:p>
      <w:pPr>
        <w:jc w:val="center"/>
        <w:rPr>
          <w:rFonts w:ascii="宋体" w:hAnsi="宋体" w:cs="宋体"/>
          <w:b/>
          <w:color w:val="auto"/>
          <w:sz w:val="36"/>
          <w:highlight w:val="none"/>
        </w:rPr>
      </w:pPr>
    </w:p>
    <w:p>
      <w:pPr>
        <w:ind w:firstLine="1084" w:firstLineChars="300"/>
        <w:rPr>
          <w:rFonts w:ascii="宋体" w:hAnsi="宋体" w:cs="宋体"/>
          <w:color w:val="auto"/>
          <w:sz w:val="36"/>
          <w:szCs w:val="36"/>
          <w:highlight w:val="none"/>
        </w:rPr>
      </w:pPr>
      <w:r>
        <w:rPr>
          <w:rFonts w:hint="eastAsia" w:ascii="宋体" w:hAnsi="宋体" w:cs="宋体"/>
          <w:b/>
          <w:color w:val="auto"/>
          <w:sz w:val="36"/>
          <w:highlight w:val="none"/>
        </w:rPr>
        <w:t>项目名称：</w:t>
      </w:r>
    </w:p>
    <w:p>
      <w:pPr>
        <w:ind w:firstLine="1084" w:firstLineChars="300"/>
        <w:rPr>
          <w:rFonts w:ascii="宋体" w:hAnsi="宋体" w:cs="宋体"/>
          <w:b/>
          <w:color w:val="auto"/>
          <w:sz w:val="36"/>
          <w:highlight w:val="none"/>
          <w:u w:val="single"/>
        </w:rPr>
      </w:pPr>
      <w:r>
        <w:rPr>
          <w:rFonts w:hint="eastAsia" w:ascii="宋体" w:hAnsi="宋体" w:cs="宋体"/>
          <w:b/>
          <w:color w:val="auto"/>
          <w:sz w:val="36"/>
          <w:highlight w:val="none"/>
        </w:rPr>
        <w:t>编    号：</w:t>
      </w:r>
    </w:p>
    <w:p>
      <w:pPr>
        <w:ind w:firstLine="1084" w:firstLineChars="300"/>
        <w:rPr>
          <w:rFonts w:ascii="宋体" w:hAnsi="宋体" w:cs="宋体"/>
          <w:b/>
          <w:color w:val="auto"/>
          <w:sz w:val="36"/>
          <w:highlight w:val="none"/>
          <w:u w:val="single"/>
        </w:rPr>
      </w:pPr>
      <w:r>
        <w:rPr>
          <w:rFonts w:hint="eastAsia" w:ascii="宋体" w:hAnsi="宋体" w:cs="宋体"/>
          <w:b/>
          <w:color w:val="auto"/>
          <w:sz w:val="36"/>
          <w:highlight w:val="none"/>
        </w:rPr>
        <w:t>投标人名称 ：</w:t>
      </w:r>
    </w:p>
    <w:p>
      <w:pPr>
        <w:ind w:firstLine="1084" w:firstLineChars="300"/>
        <w:rPr>
          <w:rFonts w:ascii="宋体" w:hAnsi="宋体" w:cs="宋体"/>
          <w:b/>
          <w:color w:val="auto"/>
          <w:sz w:val="36"/>
          <w:highlight w:val="none"/>
        </w:rPr>
      </w:pPr>
      <w:r>
        <w:rPr>
          <w:rFonts w:hint="eastAsia" w:ascii="宋体" w:hAnsi="宋体" w:cs="宋体"/>
          <w:b/>
          <w:color w:val="auto"/>
          <w:sz w:val="36"/>
          <w:highlight w:val="none"/>
        </w:rPr>
        <w:t>日   期 ：</w:t>
      </w:r>
    </w:p>
    <w:p>
      <w:pPr>
        <w:spacing w:line="440" w:lineRule="exact"/>
        <w:jc w:val="center"/>
        <w:rPr>
          <w:rFonts w:ascii="宋体" w:hAnsi="宋体" w:cs="宋体"/>
          <w:b/>
          <w:bCs/>
          <w:color w:val="auto"/>
          <w:sz w:val="32"/>
          <w:szCs w:val="32"/>
          <w:highlight w:val="none"/>
        </w:rPr>
      </w:pPr>
    </w:p>
    <w:p>
      <w:pPr>
        <w:spacing w:line="440" w:lineRule="exact"/>
        <w:ind w:firstLine="480" w:firstLineChars="200"/>
        <w:rPr>
          <w:rFonts w:ascii="宋体" w:hAnsi="宋体" w:cs="宋体"/>
          <w:color w:val="auto"/>
          <w:sz w:val="24"/>
          <w:highlight w:val="none"/>
        </w:rPr>
      </w:pPr>
    </w:p>
    <w:p>
      <w:pPr>
        <w:spacing w:line="440" w:lineRule="exact"/>
        <w:ind w:firstLine="480" w:firstLineChars="200"/>
        <w:rPr>
          <w:rFonts w:ascii="宋体" w:hAnsi="宋体" w:cs="宋体"/>
          <w:color w:val="auto"/>
          <w:sz w:val="24"/>
          <w:highlight w:val="none"/>
        </w:rPr>
      </w:pPr>
    </w:p>
    <w:p>
      <w:pPr>
        <w:spacing w:beforeLines="100" w:afterLines="100"/>
        <w:jc w:val="center"/>
        <w:rPr>
          <w:rFonts w:ascii="宋体" w:hAnsi="宋体" w:cs="宋体"/>
          <w:b/>
          <w:color w:val="auto"/>
          <w:szCs w:val="21"/>
          <w:highlight w:val="none"/>
        </w:rPr>
      </w:pPr>
      <w:r>
        <w:rPr>
          <w:rFonts w:hint="eastAsia" w:ascii="宋体" w:hAnsi="宋体" w:cs="宋体"/>
          <w:color w:val="auto"/>
          <w:sz w:val="24"/>
          <w:highlight w:val="none"/>
        </w:rPr>
        <w:br w:type="page"/>
      </w:r>
      <w:r>
        <w:rPr>
          <w:rFonts w:hint="eastAsia" w:ascii="宋体" w:hAnsi="宋体" w:cs="宋体"/>
          <w:b/>
          <w:color w:val="auto"/>
          <w:szCs w:val="21"/>
          <w:highlight w:val="none"/>
        </w:rPr>
        <w:t>评分索引表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7"/>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评分项目</w:t>
            </w: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r>
              <w:rPr>
                <w:rFonts w:hint="eastAsia" w:ascii="宋体" w:hAnsi="宋体" w:cs="宋体"/>
                <w:b/>
                <w:color w:val="auto"/>
                <w:szCs w:val="21"/>
                <w:highlight w:val="none"/>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2" w:type="dxa"/>
            <w:gridSpan w:val="2"/>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2" w:type="dxa"/>
            <w:gridSpan w:val="2"/>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2" w:type="dxa"/>
            <w:gridSpan w:val="2"/>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7" w:type="dxa"/>
            <w:vAlign w:val="center"/>
          </w:tcPr>
          <w:p>
            <w:pPr>
              <w:pStyle w:val="47"/>
              <w:shd w:val="clear" w:color="auto" w:fill="FFFFFF"/>
              <w:ind w:firstLine="0" w:firstLineChars="0"/>
              <w:jc w:val="center"/>
              <w:rPr>
                <w:rFonts w:ascii="宋体" w:hAnsi="宋体" w:cs="宋体"/>
                <w:b/>
                <w:color w:val="auto"/>
                <w:szCs w:val="21"/>
                <w:highlight w:val="none"/>
              </w:rPr>
            </w:pPr>
          </w:p>
        </w:tc>
        <w:tc>
          <w:tcPr>
            <w:tcW w:w="2895" w:type="dxa"/>
            <w:vAlign w:val="center"/>
          </w:tcPr>
          <w:p>
            <w:pPr>
              <w:pStyle w:val="47"/>
              <w:shd w:val="clear" w:color="auto" w:fill="FFFFFF"/>
              <w:ind w:firstLine="0" w:firstLineChars="0"/>
              <w:jc w:val="center"/>
              <w:rPr>
                <w:rFonts w:ascii="宋体" w:hAnsi="宋体" w:cs="宋体"/>
                <w:b/>
                <w:color w:val="auto"/>
                <w:szCs w:val="21"/>
                <w:highlight w:val="none"/>
              </w:rPr>
            </w:pPr>
          </w:p>
        </w:tc>
      </w:tr>
    </w:tbl>
    <w:p>
      <w:pPr>
        <w:pStyle w:val="3"/>
        <w:spacing w:line="240" w:lineRule="auto"/>
        <w:rPr>
          <w:rFonts w:ascii="宋体" w:hAnsi="宋体" w:cs="宋体"/>
          <w:color w:val="auto"/>
          <w:sz w:val="24"/>
          <w:szCs w:val="24"/>
          <w:highlight w:val="none"/>
        </w:rPr>
      </w:pPr>
    </w:p>
    <w:p>
      <w:pPr>
        <w:rPr>
          <w:rFonts w:ascii="宋体" w:hAnsi="宋体" w:cs="宋体"/>
          <w:b/>
          <w:color w:val="auto"/>
          <w:sz w:val="24"/>
          <w:szCs w:val="24"/>
          <w:highlight w:val="none"/>
        </w:rPr>
      </w:pPr>
    </w:p>
    <w:p>
      <w:pPr>
        <w:pStyle w:val="3"/>
        <w:spacing w:line="240" w:lineRule="auto"/>
        <w:rPr>
          <w:rFonts w:ascii="宋体" w:hAnsi="宋体" w:cs="宋体"/>
          <w:color w:val="auto"/>
          <w:sz w:val="24"/>
          <w:szCs w:val="24"/>
          <w:highlight w:val="none"/>
        </w:rPr>
      </w:pPr>
    </w:p>
    <w:p>
      <w:pPr>
        <w:rPr>
          <w:rFonts w:ascii="宋体" w:hAnsi="宋体" w:cs="宋体"/>
          <w:b/>
          <w:color w:val="auto"/>
          <w:sz w:val="24"/>
          <w:szCs w:val="24"/>
          <w:highlight w:val="none"/>
        </w:rPr>
      </w:pPr>
    </w:p>
    <w:p>
      <w:pPr>
        <w:spacing w:afterLines="100" w:line="360" w:lineRule="auto"/>
        <w:jc w:val="center"/>
        <w:rPr>
          <w:rFonts w:ascii="宋体" w:hAnsi="宋体" w:cs="宋体"/>
          <w:b/>
          <w:bCs/>
          <w:color w:val="auto"/>
          <w:kern w:val="0"/>
          <w:szCs w:val="21"/>
          <w:highlight w:val="none"/>
        </w:rPr>
      </w:pPr>
      <w:r>
        <w:rPr>
          <w:rFonts w:hint="eastAsia" w:ascii="宋体" w:hAnsi="宋体" w:cs="宋体"/>
          <w:b/>
          <w:color w:val="auto"/>
          <w:sz w:val="36"/>
          <w:highlight w:val="none"/>
          <w:u w:val="single"/>
        </w:rPr>
        <w:br w:type="page"/>
      </w:r>
      <w:r>
        <w:rPr>
          <w:rFonts w:hint="eastAsia" w:ascii="宋体" w:hAnsi="宋体" w:cs="宋体"/>
          <w:b/>
          <w:bCs/>
          <w:color w:val="auto"/>
          <w:szCs w:val="21"/>
          <w:highlight w:val="none"/>
        </w:rPr>
        <w:t>投标主要文件目录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二、资格证明文件</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三、开标一览表</w:t>
      </w:r>
    </w:p>
    <w:p>
      <w:pPr>
        <w:rPr>
          <w:rFonts w:ascii="宋体" w:hAnsi="宋体" w:cs="宋体"/>
          <w:color w:val="auto"/>
          <w:szCs w:val="21"/>
          <w:highlight w:val="none"/>
        </w:rPr>
      </w:pPr>
    </w:p>
    <w:p>
      <w:pPr>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四、项目人员组成表</w:t>
      </w:r>
    </w:p>
    <w:p>
      <w:pPr>
        <w:ind w:firstLine="420" w:firstLineChars="200"/>
        <w:rPr>
          <w:rFonts w:hint="eastAsia" w:ascii="宋体" w:hAnsi="宋体" w:cs="宋体"/>
          <w:color w:val="auto"/>
          <w:szCs w:val="21"/>
          <w:highlight w:val="none"/>
          <w:lang w:val="en-US" w:eastAsia="zh-CN"/>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、类似业绩一览表</w:t>
      </w:r>
    </w:p>
    <w:p>
      <w:pPr>
        <w:ind w:firstLine="420" w:firstLineChars="200"/>
        <w:rPr>
          <w:rFonts w:ascii="宋体" w:hAnsi="宋体" w:cs="宋体"/>
          <w:color w:val="auto"/>
          <w:szCs w:val="21"/>
          <w:highlight w:val="none"/>
        </w:rPr>
      </w:pPr>
    </w:p>
    <w:p>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承诺</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、实施方案</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w:t>
      </w: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jc w:val="left"/>
        <w:rPr>
          <w:rFonts w:ascii="宋体" w:hAnsi="宋体" w:cs="宋体"/>
          <w:b/>
          <w:color w:val="auto"/>
          <w:szCs w:val="21"/>
          <w:highlight w:val="none"/>
        </w:rPr>
      </w:pPr>
    </w:p>
    <w:p>
      <w:pPr>
        <w:spacing w:afterLines="100" w:line="360" w:lineRule="auto"/>
        <w:jc w:val="center"/>
        <w:rPr>
          <w:rFonts w:ascii="宋体" w:hAnsi="宋体" w:cs="宋体"/>
          <w:b/>
          <w:color w:val="auto"/>
          <w:szCs w:val="21"/>
          <w:highlight w:val="none"/>
        </w:rPr>
      </w:pPr>
    </w:p>
    <w:p>
      <w:pPr>
        <w:spacing w:afterLines="100" w:line="360" w:lineRule="auto"/>
        <w:jc w:val="center"/>
        <w:rPr>
          <w:rFonts w:ascii="宋体" w:hAnsi="宋体" w:cs="宋体"/>
          <w:b/>
          <w:color w:val="auto"/>
          <w:szCs w:val="21"/>
          <w:highlight w:val="none"/>
        </w:rPr>
      </w:pPr>
    </w:p>
    <w:p>
      <w:pPr>
        <w:spacing w:afterLines="100" w:line="360" w:lineRule="auto"/>
        <w:jc w:val="center"/>
        <w:rPr>
          <w:rFonts w:ascii="宋体" w:hAnsi="宋体" w:cs="宋体"/>
          <w:b/>
          <w:color w:val="auto"/>
          <w:szCs w:val="21"/>
          <w:highlight w:val="none"/>
        </w:rPr>
      </w:pPr>
      <w:r>
        <w:rPr>
          <w:rFonts w:hint="eastAsia" w:ascii="宋体" w:hAnsi="宋体" w:cs="宋体"/>
          <w:b/>
          <w:color w:val="auto"/>
          <w:szCs w:val="21"/>
          <w:highlight w:val="none"/>
        </w:rPr>
        <w:t>一、资格性和符合性检查响应对照表</w:t>
      </w:r>
    </w:p>
    <w:p>
      <w:pPr>
        <w:spacing w:afterLines="100" w:line="360" w:lineRule="auto"/>
        <w:ind w:right="210" w:rightChars="100" w:firstLine="306"/>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726"/>
        <w:gridCol w:w="1611"/>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16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是否响应</w:t>
            </w:r>
          </w:p>
          <w:p>
            <w:pP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投标文件中的</w:t>
            </w:r>
          </w:p>
          <w:p>
            <w:pP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1</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cs="宋体"/>
                <w:i/>
                <w:iCs/>
                <w:color w:val="auto"/>
                <w:szCs w:val="21"/>
                <w:highlight w:val="none"/>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b/>
                <w:color w:val="auto"/>
                <w:szCs w:val="21"/>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2</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cs="宋体"/>
                <w:i/>
                <w:iCs/>
                <w:color w:val="auto"/>
                <w:szCs w:val="21"/>
                <w:highlight w:val="none"/>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3</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cs="宋体"/>
                <w:i/>
                <w:iCs/>
                <w:color w:val="auto"/>
                <w:szCs w:val="21"/>
                <w:highlight w:val="none"/>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4</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cs="宋体"/>
                <w:i/>
                <w:iCs/>
                <w:color w:val="auto"/>
                <w:szCs w:val="21"/>
                <w:highlight w:val="none"/>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5</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cs="宋体"/>
                <w:i/>
                <w:iCs/>
                <w:color w:val="auto"/>
                <w:szCs w:val="21"/>
                <w:highlight w:val="none"/>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6</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cs="宋体"/>
                <w:i/>
                <w:iCs/>
                <w:color w:val="auto"/>
                <w:szCs w:val="21"/>
                <w:highlight w:val="none"/>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s="宋体"/>
                <w:bCs/>
                <w:i/>
                <w:color w:val="auto"/>
                <w:szCs w:val="21"/>
                <w:highlight w:val="none"/>
                <w:u w:val="single"/>
              </w:rPr>
            </w:pPr>
            <w:r>
              <w:rPr>
                <w:rFonts w:hint="eastAsia" w:ascii="宋体" w:hAnsi="宋体" w:cs="宋体"/>
                <w:bCs/>
                <w:i/>
                <w:color w:val="auto"/>
                <w:szCs w:val="21"/>
                <w:highlight w:val="none"/>
                <w:u w:val="single"/>
              </w:rPr>
              <w:t>7</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ascii="宋体" w:hAnsi="宋体" w:cs="宋体"/>
                <w:i/>
                <w:iCs/>
                <w:color w:val="auto"/>
                <w:szCs w:val="21"/>
                <w:highlight w:val="none"/>
                <w:u w:val="single"/>
              </w:rPr>
            </w:pPr>
            <w:r>
              <w:rPr>
                <w:rFonts w:hint="eastAsia" w:ascii="宋体" w:hAnsi="宋体" w:cs="宋体"/>
                <w:i/>
                <w:iCs/>
                <w:color w:val="auto"/>
                <w:szCs w:val="21"/>
                <w:highlight w:val="none"/>
                <w:u w:val="single"/>
              </w:rPr>
              <w:t>招标文件中的其他实质性要求</w:t>
            </w: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s="宋体"/>
                <w:color w:val="auto"/>
                <w:highlight w:val="none"/>
              </w:rPr>
            </w:pPr>
          </w:p>
        </w:tc>
      </w:tr>
    </w:tbl>
    <w:p>
      <w:pPr>
        <w:spacing w:before="50" w:after="50"/>
        <w:rPr>
          <w:rFonts w:ascii="宋体" w:hAnsi="宋体" w:cs="宋体"/>
          <w:color w:val="auto"/>
          <w:szCs w:val="21"/>
          <w:highlight w:val="none"/>
        </w:rPr>
      </w:pPr>
    </w:p>
    <w:p>
      <w:pPr>
        <w:spacing w:before="50" w:after="50"/>
        <w:rPr>
          <w:rFonts w:ascii="宋体" w:hAnsi="宋体" w:cs="宋体"/>
          <w:color w:val="auto"/>
          <w:kern w:val="0"/>
          <w:sz w:val="22"/>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before="50" w:after="50"/>
        <w:rPr>
          <w:rFonts w:ascii="宋体" w:hAnsi="宋体" w:cs="宋体"/>
          <w:color w:val="auto"/>
          <w:szCs w:val="21"/>
          <w:highlight w:val="none"/>
        </w:rPr>
      </w:pPr>
    </w:p>
    <w:p>
      <w:pPr>
        <w:spacing w:after="240" w:line="360" w:lineRule="auto"/>
        <w:ind w:left="3363"/>
        <w:rPr>
          <w:rFonts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二、资格证明文件要求</w:t>
      </w:r>
    </w:p>
    <w:p>
      <w:pPr>
        <w:snapToGrid w:val="0"/>
        <w:spacing w:before="50" w:after="50"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符合政府采购法律法规规定的条件目录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1、满足《中华人民共和国政府采购法》第二十二条规定，并提供下列材料：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1.1投标函(原件)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资格声明(原件)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1.3法人</w:t>
      </w:r>
      <w:r>
        <w:rPr>
          <w:rFonts w:hint="eastAsia" w:ascii="宋体" w:hAnsi="宋体" w:cs="宋体"/>
          <w:color w:val="auto"/>
          <w:szCs w:val="21"/>
          <w:highlight w:val="none"/>
          <w:lang w:val="en-US" w:eastAsia="zh-CN"/>
        </w:rPr>
        <w:t>或其他组织的营业执照等</w:t>
      </w:r>
      <w:r>
        <w:rPr>
          <w:rFonts w:hint="eastAsia" w:ascii="宋体" w:hAnsi="宋体" w:cs="宋体"/>
          <w:color w:val="auto"/>
          <w:szCs w:val="21"/>
          <w:highlight w:val="none"/>
        </w:rPr>
        <w:t>证明材料(复印件加盖供应商公章)，自然人的身份证明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 投标人依法缴纳职工社会保障资金的证明材料 （复印件加盖投标人公章）(税务、银行或社会保险基金管理部门出具的202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月近三个月内任意一个月缴纳职工社会保障资金的缴款凭证或缴款证明)（投标人依法享受缓缴、免缴的提供相关证明材料）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 投标人202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月近三个月内任意一个月依法纳税的缴款凭证（复印件加盖投标人公章）（投标人依法享受缓缴、免缴的提供相关证明材料）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1.7与第（1.6）条相对应的纳税申报表或上一年度财务状况情况（复印件加盖投标人公章）（成立不满一年不需提供）</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 参加本次采购活动前3年内在经营活动中没有重大违法记录的书面声明（原件）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1.9供应商信用承诺书（原件）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1.10未被“信用中国”网站（www.creditchina.gov.cn）、“中国政府采购网"(www.ccgp.gov.cn)列入失信被执行人、重大税收违法案件当事人名单、政府采购严重违法失信行为记录名单（提供网页截图加盖供应商公章）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、本项目的特定资格要求：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（1）投标人须</w:t>
      </w:r>
      <w:r>
        <w:rPr>
          <w:rFonts w:hint="eastAsia" w:ascii="宋体" w:hAnsi="宋体" w:cs="宋体"/>
          <w:color w:val="auto"/>
          <w:szCs w:val="21"/>
          <w:highlight w:val="none"/>
          <w:lang w:val="en-US" w:eastAsia="zh-CN"/>
        </w:rPr>
        <w:t>具备建设项目水资源论证乙级及以上资质</w:t>
      </w:r>
      <w:r>
        <w:rPr>
          <w:rFonts w:hint="eastAsia" w:ascii="宋体" w:hAnsi="宋体" w:cs="宋体"/>
          <w:color w:val="auto"/>
          <w:szCs w:val="21"/>
          <w:highlight w:val="none"/>
        </w:rPr>
        <w:t>(提供证书复印件加盖投标人公章)</w:t>
      </w:r>
      <w:r>
        <w:rPr>
          <w:rFonts w:hint="eastAsia" w:ascii="宋体" w:hAnsi="宋体" w:cs="宋体"/>
          <w:color w:val="auto"/>
          <w:szCs w:val="21"/>
          <w:highlight w:val="none"/>
          <w:lang w:val="en-US" w:eastAsia="zh-CN"/>
        </w:rPr>
        <w:t>。</w:t>
      </w:r>
    </w:p>
    <w:p>
      <w:pPr>
        <w:spacing w:line="360" w:lineRule="auto"/>
        <w:rPr>
          <w:rFonts w:ascii="宋体" w:hAnsi="宋体" w:cs="宋体"/>
          <w:b/>
          <w:bCs/>
          <w:color w:val="auto"/>
          <w:szCs w:val="21"/>
          <w:highlight w:val="none"/>
        </w:rPr>
      </w:pPr>
      <w:r>
        <w:rPr>
          <w:rFonts w:ascii="宋体" w:hAnsi="宋体" w:cs="宋体"/>
          <w:b/>
          <w:bCs/>
          <w:color w:val="auto"/>
          <w:szCs w:val="21"/>
          <w:highlight w:val="none"/>
        </w:rPr>
        <w:br w:type="page"/>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投标函</w:t>
      </w:r>
    </w:p>
    <w:p>
      <w:pPr>
        <w:pStyle w:val="45"/>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致：江苏中鑫项目管理有限公司</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kern w:val="2"/>
          <w:sz w:val="21"/>
          <w:szCs w:val="21"/>
          <w:highlight w:val="none"/>
          <w:u w:val="single"/>
          <w:lang w:val="en-US" w:eastAsia="zh-CN"/>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招标文件，正式授权下述签字</w:t>
      </w:r>
      <w:r>
        <w:rPr>
          <w:rFonts w:hint="eastAsia" w:ascii="宋体" w:hAnsi="宋体" w:cs="宋体"/>
          <w:color w:val="auto"/>
          <w:kern w:val="2"/>
          <w:sz w:val="21"/>
          <w:szCs w:val="21"/>
          <w:highlight w:val="none"/>
          <w:lang w:val="en-US" w:eastAsia="zh-CN"/>
        </w:rPr>
        <w:t>人</w:t>
      </w:r>
      <w:r>
        <w:rPr>
          <w:rFonts w:hint="eastAsia" w:ascii="宋体" w:hAnsi="宋体" w:cs="宋体"/>
          <w:color w:val="auto"/>
          <w:kern w:val="2"/>
          <w:sz w:val="21"/>
          <w:szCs w:val="21"/>
          <w:highlight w:val="none"/>
          <w:u w:val="single"/>
          <w:lang w:val="en-US" w:eastAsia="zh-CN"/>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lang w:val="en-US" w:eastAsia="zh-CN"/>
        </w:rPr>
        <w:t xml:space="preserve">           </w:t>
      </w:r>
      <w:r>
        <w:rPr>
          <w:rFonts w:hint="eastAsia" w:ascii="宋体" w:hAnsi="宋体" w:cs="宋体"/>
          <w:color w:val="auto"/>
          <w:kern w:val="2"/>
          <w:sz w:val="21"/>
          <w:szCs w:val="21"/>
          <w:highlight w:val="none"/>
        </w:rPr>
        <w:t>（投标人的名称），全权处理本次项目投标的有关事宜。</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据此函，签字人</w:t>
      </w:r>
      <w:r>
        <w:rPr>
          <w:rFonts w:hint="eastAsia" w:ascii="宋体" w:hAnsi="宋体" w:cs="宋体"/>
          <w:color w:val="auto"/>
          <w:kern w:val="2"/>
          <w:sz w:val="21"/>
          <w:szCs w:val="21"/>
          <w:highlight w:val="none"/>
          <w:u w:val="single"/>
          <w:lang w:val="en-US" w:eastAsia="zh-CN"/>
        </w:rPr>
        <w:t xml:space="preserve">       </w:t>
      </w:r>
      <w:r>
        <w:rPr>
          <w:rFonts w:hint="eastAsia" w:ascii="宋体" w:hAnsi="宋体" w:cs="宋体"/>
          <w:color w:val="auto"/>
          <w:kern w:val="2"/>
          <w:sz w:val="21"/>
          <w:szCs w:val="21"/>
          <w:highlight w:val="none"/>
        </w:rPr>
        <w:t>兹宣布同意如下：</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1.按招标文件规定的各项要求，向买方提供所需服务。</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2.我们完全理解贵方不一定将合同授予最低报价的投标人。</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3.我们已详细审核全部招标文件及其有效补充文件，我们知道必须放弃提出含糊不清或误解问题的权利。</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4.我们同意从规定的开标日期起遵循本投标文件，并在规定的投标有效期期满之前均具有约束力。</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5.同意向贵方提供贵方可能另外要求的与投标有关的任何证据或资料，并保证我方已提供和将要提供的文件是真实的、准确的。</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6.一旦我方中标,我方将根据招标文件的规定，严格履行合同的责任和义务,并保证在招标文件规定的时间完成项目，交付买方验收、使用。</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7.与本投标有关的正式通讯地址为：</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投标人开户行：</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投标人名称（公章）： </w:t>
      </w:r>
    </w:p>
    <w:p>
      <w:pPr>
        <w:pStyle w:val="45"/>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期：年月日</w:t>
      </w:r>
    </w:p>
    <w:p>
      <w:pPr>
        <w:spacing w:line="360" w:lineRule="auto"/>
        <w:ind w:firstLine="422" w:firstLineChars="200"/>
        <w:jc w:val="center"/>
        <w:rPr>
          <w:rFonts w:ascii="宋体" w:hAnsi="宋体" w:cs="宋体"/>
          <w:b/>
          <w:bCs/>
          <w:color w:val="auto"/>
          <w:szCs w:val="21"/>
          <w:highlight w:val="none"/>
        </w:rPr>
      </w:pPr>
    </w:p>
    <w:p>
      <w:pPr>
        <w:spacing w:line="360" w:lineRule="auto"/>
        <w:jc w:val="center"/>
        <w:rPr>
          <w:rFonts w:ascii="宋体" w:hAnsi="宋体" w:cs="宋体"/>
          <w:b/>
          <w:bCs/>
          <w:color w:val="auto"/>
          <w:kern w:val="0"/>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资 格 声 明</w:t>
      </w:r>
    </w:p>
    <w:p>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（1）投标人名称：</w:t>
      </w:r>
    </w:p>
    <w:p>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rPr>
        <w:tab/>
      </w:r>
      <w:r>
        <w:rPr>
          <w:rFonts w:hint="eastAsia" w:ascii="宋体" w:hAnsi="宋体" w:cs="宋体"/>
          <w:color w:val="auto"/>
          <w:szCs w:val="21"/>
          <w:highlight w:val="none"/>
        </w:rPr>
        <w:t>邮编：</w:t>
      </w:r>
    </w:p>
    <w:p>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  传真：</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24"/>
        <w:tblpPr w:leftFromText="180" w:rightFromText="180" w:vertAnchor="text" w:horzAnchor="page" w:tblpXSpec="center" w:tblpY="478"/>
        <w:tblOverlap w:val="never"/>
        <w:tblW w:w="0" w:type="auto"/>
        <w:jc w:val="center"/>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jc w:val="center"/>
              <w:rPr>
                <w:rFonts w:ascii="宋体" w:hAnsi="宋体" w:cs="宋体"/>
                <w:color w:val="auto"/>
                <w:highlight w:val="none"/>
                <w:u w:val="single"/>
              </w:rPr>
            </w:pPr>
            <w:r>
              <w:rPr>
                <w:rFonts w:hint="eastAsia" w:ascii="宋体" w:hAnsi="宋体" w:cs="宋体"/>
                <w:color w:val="auto"/>
                <w:highlight w:val="none"/>
                <w:u w:val="single"/>
              </w:rPr>
              <w:t>甲方名称、联系人、联系方式</w:t>
            </w:r>
          </w:p>
        </w:tc>
        <w:tc>
          <w:tcPr>
            <w:tcW w:w="4251" w:type="dxa"/>
          </w:tcPr>
          <w:p>
            <w:pPr>
              <w:adjustRightInd w:val="0"/>
              <w:snapToGrid w:val="0"/>
              <w:spacing w:after="200" w:line="360" w:lineRule="auto"/>
              <w:jc w:val="center"/>
              <w:rPr>
                <w:rFonts w:ascii="宋体" w:hAnsi="宋体" w:cs="宋体"/>
                <w:color w:val="auto"/>
                <w:highlight w:val="none"/>
                <w:u w:val="single"/>
              </w:rPr>
            </w:pPr>
            <w:r>
              <w:rPr>
                <w:rFonts w:hint="eastAsia" w:ascii="宋体" w:hAnsi="宋体" w:cs="宋体"/>
                <w:color w:val="auto"/>
                <w:highlight w:val="none"/>
                <w:u w:val="single"/>
              </w:rPr>
              <w:t>项   目   名   称</w:t>
            </w:r>
          </w:p>
        </w:tc>
      </w:tr>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rPr>
                <w:rFonts w:ascii="宋体" w:hAnsi="宋体" w:cs="宋体"/>
                <w:color w:val="auto"/>
                <w:highlight w:val="none"/>
              </w:rPr>
            </w:pPr>
          </w:p>
        </w:tc>
        <w:tc>
          <w:tcPr>
            <w:tcW w:w="4251" w:type="dxa"/>
          </w:tcPr>
          <w:p>
            <w:pPr>
              <w:adjustRightInd w:val="0"/>
              <w:snapToGrid w:val="0"/>
              <w:spacing w:after="200" w:line="360" w:lineRule="auto"/>
              <w:rPr>
                <w:rFonts w:ascii="宋体" w:hAnsi="宋体" w:cs="宋体"/>
                <w:color w:val="auto"/>
                <w:highlight w:val="none"/>
              </w:rPr>
            </w:pPr>
          </w:p>
        </w:tc>
      </w:tr>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rPr>
                <w:rFonts w:ascii="宋体" w:hAnsi="宋体" w:cs="宋体"/>
                <w:color w:val="auto"/>
                <w:highlight w:val="none"/>
              </w:rPr>
            </w:pPr>
          </w:p>
        </w:tc>
        <w:tc>
          <w:tcPr>
            <w:tcW w:w="4251" w:type="dxa"/>
          </w:tcPr>
          <w:p>
            <w:pPr>
              <w:adjustRightInd w:val="0"/>
              <w:snapToGrid w:val="0"/>
              <w:spacing w:after="200" w:line="360" w:lineRule="auto"/>
              <w:rPr>
                <w:rFonts w:ascii="宋体" w:hAnsi="宋体" w:cs="宋体"/>
                <w:color w:val="auto"/>
                <w:highlight w:val="none"/>
              </w:rPr>
            </w:pPr>
          </w:p>
        </w:tc>
      </w:tr>
    </w:tbl>
    <w:p>
      <w:pPr>
        <w:spacing w:line="360" w:lineRule="auto"/>
        <w:rPr>
          <w:rFonts w:ascii="宋体" w:hAnsi="宋体" w:cs="宋体"/>
          <w:color w:val="auto"/>
          <w:highlight w:val="none"/>
        </w:rPr>
      </w:pPr>
    </w:p>
    <w:p>
      <w:pPr>
        <w:spacing w:line="360" w:lineRule="auto"/>
        <w:ind w:left="105" w:leftChars="50"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3、本次招标要求的其他资格文件以及投标人认为需要声明的其他情况：</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s="宋体"/>
          <w:color w:val="auto"/>
          <w:highlight w:val="none"/>
        </w:rPr>
      </w:pPr>
      <w:r>
        <w:rPr>
          <w:rFonts w:hint="eastAsia" w:ascii="宋体" w:hAnsi="宋体" w:cs="宋体"/>
          <w:color w:val="auto"/>
          <w:highlight w:val="none"/>
        </w:rPr>
        <w:t>投标人公章：</w:t>
      </w:r>
    </w:p>
    <w:p>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p>
    <w:p>
      <w:pPr>
        <w:spacing w:line="360" w:lineRule="auto"/>
        <w:rPr>
          <w:rFonts w:ascii="宋体" w:hAnsi="宋体" w:cs="宋体"/>
          <w:color w:val="auto"/>
          <w:highlight w:val="none"/>
        </w:rPr>
      </w:pPr>
      <w:r>
        <w:rPr>
          <w:rFonts w:hint="eastAsia" w:ascii="宋体" w:hAnsi="宋体" w:cs="宋体"/>
          <w:color w:val="auto"/>
          <w:highlight w:val="none"/>
        </w:rPr>
        <w:t xml:space="preserve">日期：年月日        </w:t>
      </w:r>
    </w:p>
    <w:p>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（注：资格声明为格式文件,请勿修改，否则将导致投标文件无效。）</w:t>
      </w:r>
    </w:p>
    <w:p>
      <w:pPr>
        <w:spacing w:line="460" w:lineRule="exact"/>
        <w:rPr>
          <w:rFonts w:ascii="宋体" w:hAnsi="宋体" w:cs="宋体"/>
          <w:bCs/>
          <w:color w:val="auto"/>
          <w:sz w:val="24"/>
          <w:highlight w:val="none"/>
        </w:rPr>
      </w:pPr>
    </w:p>
    <w:p>
      <w:pPr>
        <w:pStyle w:val="48"/>
        <w:spacing w:afterLines="100" w:line="360" w:lineRule="auto"/>
        <w:ind w:firstLine="0" w:firstLineChars="0"/>
        <w:rPr>
          <w:rFonts w:ascii="宋体" w:hAnsi="宋体" w:cs="宋体"/>
          <w:b/>
          <w:color w:val="auto"/>
          <w:sz w:val="21"/>
          <w:szCs w:val="21"/>
          <w:highlight w:val="none"/>
        </w:rPr>
      </w:pPr>
    </w:p>
    <w:p>
      <w:pPr>
        <w:rPr>
          <w:rFonts w:ascii="宋体" w:hAnsi="宋体" w:cs="宋体"/>
          <w:b/>
          <w:color w:val="auto"/>
          <w:szCs w:val="21"/>
          <w:highlight w:val="none"/>
        </w:rPr>
      </w:pPr>
      <w:r>
        <w:rPr>
          <w:rFonts w:hint="eastAsia" w:ascii="宋体" w:hAnsi="宋体" w:cs="宋体"/>
          <w:b/>
          <w:color w:val="auto"/>
          <w:szCs w:val="21"/>
          <w:highlight w:val="none"/>
        </w:rPr>
        <w:br w:type="page"/>
      </w:r>
    </w:p>
    <w:p>
      <w:pPr>
        <w:pStyle w:val="48"/>
        <w:spacing w:afterLines="100"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法人授权书</w:t>
      </w:r>
    </w:p>
    <w:p>
      <w:pPr>
        <w:pStyle w:val="48"/>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（被授权人的姓名）为我方就</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号采购活动的合法代理人，以本公司名义全权处理一切与该项目采购有关的事务。</w:t>
      </w:r>
    </w:p>
    <w:p>
      <w:pPr>
        <w:pStyle w:val="48"/>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日起生效，特此声明。</w:t>
      </w:r>
    </w:p>
    <w:p>
      <w:pPr>
        <w:pStyle w:val="48"/>
        <w:spacing w:line="360" w:lineRule="auto"/>
        <w:ind w:firstLine="0" w:firstLineChars="0"/>
        <w:rPr>
          <w:rFonts w:ascii="宋体" w:hAnsi="宋体" w:cs="宋体"/>
          <w:color w:val="auto"/>
          <w:sz w:val="21"/>
          <w:szCs w:val="21"/>
          <w:highlight w:val="none"/>
        </w:rPr>
      </w:pPr>
    </w:p>
    <w:p>
      <w:pPr>
        <w:pStyle w:val="48"/>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p>
    <w:p>
      <w:pPr>
        <w:pStyle w:val="48"/>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p>
    <w:p>
      <w:pPr>
        <w:pStyle w:val="48"/>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p>
    <w:p>
      <w:pPr>
        <w:pStyle w:val="48"/>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p>
    <w:p>
      <w:pPr>
        <w:pStyle w:val="48"/>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p>
    <w:p>
      <w:pPr>
        <w:pStyle w:val="48"/>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p>
    <w:p>
      <w:pPr>
        <w:spacing w:line="460" w:lineRule="exact"/>
        <w:rPr>
          <w:rFonts w:ascii="宋体" w:hAnsi="宋体" w:cs="宋体"/>
          <w:bCs/>
          <w:color w:val="auto"/>
          <w:szCs w:val="21"/>
          <w:highlight w:val="none"/>
        </w:rPr>
      </w:pPr>
    </w:p>
    <w:p>
      <w:pPr>
        <w:spacing w:line="460" w:lineRule="exact"/>
        <w:rPr>
          <w:rFonts w:ascii="宋体" w:hAnsi="宋体" w:cs="宋体"/>
          <w:bCs/>
          <w:color w:val="auto"/>
          <w:sz w:val="24"/>
          <w:highlight w:val="none"/>
        </w:rPr>
      </w:pPr>
    </w:p>
    <w:p>
      <w:pP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beforeLines="50" w:afterLines="50" w:line="360" w:lineRule="auto"/>
        <w:rPr>
          <w:rFonts w:ascii="宋体" w:hAnsi="宋体" w:cs="宋体"/>
          <w:b/>
          <w:bCs/>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本次采购活动前 3 年内在经营活动中没有重大违法记录的书面声明</w:t>
      </w:r>
    </w:p>
    <w:p>
      <w:pPr>
        <w:spacing w:line="360" w:lineRule="auto"/>
        <w:rPr>
          <w:rFonts w:ascii="宋体" w:hAnsi="宋体" w:cs="宋体"/>
          <w:color w:val="auto"/>
          <w:szCs w:val="21"/>
          <w:highlight w:val="none"/>
        </w:rPr>
      </w:pPr>
    </w:p>
    <w:p>
      <w:pPr>
        <w:spacing w:afterLines="10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声  明</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供应商名称（公章）：</w:t>
      </w:r>
    </w:p>
    <w:p>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日期：年月日</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spacing w:line="460" w:lineRule="exact"/>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pStyle w:val="12"/>
        <w:numPr>
          <w:ilvl w:val="0"/>
          <w:numId w:val="0"/>
        </w:numPr>
        <w:rPr>
          <w:rFonts w:ascii="宋体" w:hAnsi="宋体" w:cs="宋体"/>
          <w:bCs/>
          <w:color w:val="auto"/>
          <w:sz w:val="24"/>
          <w:highlight w:val="none"/>
        </w:rPr>
      </w:pPr>
    </w:p>
    <w:p>
      <w:pPr>
        <w:spacing w:line="460" w:lineRule="exact"/>
        <w:rPr>
          <w:rFonts w:ascii="宋体" w:hAnsi="宋体" w:cs="宋体"/>
          <w:bCs/>
          <w:color w:val="auto"/>
          <w:sz w:val="24"/>
          <w:highlight w:val="none"/>
        </w:rPr>
      </w:pPr>
    </w:p>
    <w:p>
      <w:pPr>
        <w:rPr>
          <w:rFonts w:ascii="宋体" w:hAnsi="宋体"/>
          <w:b/>
          <w:color w:val="auto"/>
          <w:szCs w:val="21"/>
          <w:highlight w:val="none"/>
        </w:rPr>
      </w:pPr>
      <w:r>
        <w:rPr>
          <w:rFonts w:hint="eastAsia" w:ascii="宋体" w:hAnsi="宋体"/>
          <w:b/>
          <w:color w:val="auto"/>
          <w:szCs w:val="21"/>
          <w:highlight w:val="none"/>
        </w:rPr>
        <w:br w:type="page"/>
      </w:r>
    </w:p>
    <w:p>
      <w:pP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pPr>
        <w:spacing w:line="560" w:lineRule="exact"/>
        <w:rPr>
          <w:rFonts w:ascii="宋体" w:hAnsi="宋体" w:cs="宋体"/>
          <w:color w:val="auto"/>
          <w:szCs w:val="32"/>
          <w:highlight w:val="none"/>
        </w:rPr>
      </w:pPr>
      <w:r>
        <w:rPr>
          <w:rFonts w:hint="eastAsia" w:ascii="宋体" w:hAnsi="宋体" w:cs="宋体"/>
          <w:color w:val="auto"/>
          <w:szCs w:val="32"/>
          <w:highlight w:val="none"/>
        </w:rPr>
        <w:t>承诺主体名称：</w:t>
      </w:r>
    </w:p>
    <w:p>
      <w:pPr>
        <w:spacing w:line="560" w:lineRule="exact"/>
        <w:rPr>
          <w:rFonts w:ascii="宋体" w:hAnsi="宋体" w:cs="宋体"/>
          <w:color w:val="auto"/>
          <w:szCs w:val="32"/>
          <w:highlight w:val="none"/>
        </w:rPr>
      </w:pPr>
      <w:r>
        <w:rPr>
          <w:rFonts w:hint="eastAsia" w:ascii="宋体" w:hAnsi="宋体" w:cs="宋体"/>
          <w:color w:val="auto"/>
          <w:szCs w:val="32"/>
          <w:highlight w:val="none"/>
        </w:rPr>
        <w:t>统一社会信用代码：</w:t>
      </w:r>
    </w:p>
    <w:p>
      <w:pPr>
        <w:spacing w:line="560" w:lineRule="exact"/>
        <w:rPr>
          <w:rFonts w:ascii="宋体" w:hAnsi="宋体" w:cs="宋体"/>
          <w:color w:val="auto"/>
          <w:szCs w:val="32"/>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为维护公平竞争、规范有序的市场秩序，营造诚实守信的信用环境，共同推进社会信用体系建设完善，树立企业诚信守法形象，本企业对项目政府采购活动郑重承诺如下: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四、自觉接受行政管理部门、行业组织、社会公众、新闻舆论的监督；</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六、提出政府采购质疑和投诉坚持依法依规、诚实信用原则，在全国范围12个月内没有三次以上查无实据的政府采购投诉；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七、严格遵守信用信息公示相关规定，向社会公示信用信息；</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八、在“信用中国”和“中国政府采购网”网站中无违法违规、较重或严重失信记录；</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十、本承诺书自签订之日起生效。</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（注：法定代表人或负责人、主体名称发生变更的应当重新做出承诺。）</w:t>
      </w:r>
    </w:p>
    <w:p>
      <w:pPr>
        <w:spacing w:line="560" w:lineRule="exact"/>
        <w:rPr>
          <w:rFonts w:ascii="宋体" w:hAnsi="宋体" w:cs="宋体"/>
          <w:color w:val="auto"/>
          <w:szCs w:val="32"/>
          <w:highlight w:val="none"/>
        </w:rPr>
      </w:pPr>
    </w:p>
    <w:p>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xml:space="preserve">　　　　　　　　　　                     承诺单位（签章）：           </w:t>
      </w:r>
    </w:p>
    <w:p>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法定代表人（负责人）：</w:t>
      </w:r>
    </w:p>
    <w:p>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年    月    日</w:t>
      </w:r>
    </w:p>
    <w:p>
      <w:pPr>
        <w:rPr>
          <w:rFonts w:ascii="宋体" w:hAnsi="宋体" w:cs="宋体"/>
          <w:b/>
          <w:color w:val="auto"/>
          <w:szCs w:val="21"/>
          <w:highlight w:val="none"/>
        </w:rPr>
      </w:pPr>
      <w:r>
        <w:rPr>
          <w:rFonts w:hint="eastAsia"/>
          <w:b/>
          <w:bCs/>
          <w:color w:val="auto"/>
          <w:highlight w:val="none"/>
        </w:rPr>
        <w:br w:type="page"/>
      </w:r>
    </w:p>
    <w:p>
      <w:pPr>
        <w:spacing w:line="360" w:lineRule="auto"/>
        <w:jc w:val="center"/>
        <w:rPr>
          <w:rFonts w:ascii="宋体" w:hAnsi="宋体" w:cs="宋体"/>
          <w:bCs/>
          <w:color w:val="auto"/>
          <w:sz w:val="24"/>
          <w:highlight w:val="none"/>
        </w:rPr>
      </w:pPr>
      <w:r>
        <w:rPr>
          <w:rFonts w:hint="eastAsia" w:ascii="宋体" w:hAnsi="宋体" w:cs="宋体"/>
          <w:b/>
          <w:color w:val="auto"/>
          <w:szCs w:val="21"/>
          <w:highlight w:val="none"/>
        </w:rPr>
        <w:t>三、开标一览表</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投标人全称（加盖公章）：</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395" w:type="pct"/>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360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395" w:type="pct"/>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00" w:lineRule="auto"/>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c>
          <w:tcPr>
            <w:tcW w:w="3604" w:type="pct"/>
            <w:tcBorders>
              <w:top w:val="single" w:color="auto" w:sz="4" w:space="0"/>
              <w:left w:val="single" w:color="auto" w:sz="4" w:space="0"/>
              <w:bottom w:val="single" w:color="auto" w:sz="4" w:space="0"/>
              <w:right w:val="single" w:color="auto" w:sz="4" w:space="0"/>
            </w:tcBorders>
            <w:vAlign w:val="center"/>
          </w:tcPr>
          <w:p>
            <w:pPr>
              <w:pStyle w:val="45"/>
              <w:spacing w:before="0" w:after="0" w:line="500" w:lineRule="exact"/>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投标报价：¥</w:t>
            </w:r>
            <w:r>
              <w:rPr>
                <w:rFonts w:hint="eastAsia" w:ascii="宋体" w:hAnsi="宋体" w:cs="宋体"/>
                <w:color w:val="auto"/>
                <w:kern w:val="2"/>
                <w:sz w:val="21"/>
                <w:szCs w:val="21"/>
                <w:highlight w:val="none"/>
                <w:u w:val="single"/>
                <w:lang w:val="en-US" w:eastAsia="zh-CN"/>
              </w:rPr>
              <w:t xml:space="preserve">               </w:t>
            </w:r>
            <w:r>
              <w:rPr>
                <w:rFonts w:hint="eastAsia" w:ascii="宋体" w:hAnsi="宋体" w:cs="宋体"/>
                <w:color w:val="auto"/>
                <w:kern w:val="2"/>
                <w:sz w:val="21"/>
                <w:szCs w:val="21"/>
                <w:highlight w:val="none"/>
              </w:rPr>
              <w:t>元</w:t>
            </w:r>
          </w:p>
          <w:p>
            <w:pPr>
              <w:pStyle w:val="45"/>
              <w:spacing w:before="0" w:after="0" w:line="500" w:lineRule="exact"/>
              <w:rPr>
                <w:rFonts w:hint="default" w:ascii="宋体" w:hAnsi="宋体" w:eastAsia="宋体" w:cs="宋体"/>
                <w:color w:val="auto"/>
                <w:kern w:val="2"/>
                <w:sz w:val="21"/>
                <w:szCs w:val="21"/>
                <w:highlight w:val="none"/>
                <w:u w:val="single"/>
                <w:lang w:val="en-US" w:eastAsia="zh-CN"/>
              </w:rPr>
            </w:pPr>
            <w:r>
              <w:rPr>
                <w:rFonts w:hint="eastAsia" w:ascii="宋体" w:hAnsi="宋体" w:cs="宋体"/>
                <w:color w:val="auto"/>
                <w:kern w:val="2"/>
                <w:sz w:val="21"/>
                <w:szCs w:val="21"/>
                <w:highlight w:val="none"/>
              </w:rPr>
              <w:t>（大写：人民币）：</w:t>
            </w:r>
            <w:r>
              <w:rPr>
                <w:rFonts w:hint="eastAsia" w:ascii="宋体" w:hAnsi="宋体" w:cs="宋体"/>
                <w:color w:val="auto"/>
                <w:kern w:val="2"/>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395" w:type="pct"/>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3604" w:type="pct"/>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300" w:lineRule="auto"/>
              <w:rPr>
                <w:rFonts w:ascii="宋体" w:hAnsi="宋体" w:eastAsia="宋体" w:cs="宋体"/>
                <w:color w:val="auto"/>
                <w:kern w:val="2"/>
                <w:sz w:val="21"/>
                <w:szCs w:val="21"/>
                <w:highlight w:val="none"/>
              </w:rPr>
            </w:pPr>
          </w:p>
        </w:tc>
      </w:tr>
    </w:tbl>
    <w:p>
      <w:pPr>
        <w:rPr>
          <w:rFonts w:ascii="宋体" w:hAnsi="宋体" w:cs="宋体"/>
          <w:color w:val="auto"/>
          <w:szCs w:val="21"/>
          <w:highlight w:val="none"/>
        </w:rPr>
      </w:pP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 xml:space="preserve">供应商名称（公章）：                             </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 xml:space="preserve">法定代表人或授权代表签字：                        </w:t>
      </w: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 xml:space="preserve">日期：     年    月    日 </w:t>
      </w:r>
    </w:p>
    <w:p>
      <w:pPr>
        <w:spacing w:line="360" w:lineRule="auto"/>
        <w:jc w:val="center"/>
        <w:rPr>
          <w:rFonts w:ascii="宋体" w:hAnsi="宋体" w:cs="宋体"/>
          <w:b/>
          <w:color w:val="auto"/>
          <w:szCs w:val="21"/>
          <w:highlight w:val="none"/>
        </w:rPr>
      </w:pPr>
    </w:p>
    <w:p>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填写说明：</w:t>
      </w:r>
    </w:p>
    <w:p>
      <w:pPr>
        <w:spacing w:line="360" w:lineRule="auto"/>
        <w:ind w:firstLine="480"/>
        <w:rPr>
          <w:rFonts w:ascii="宋体" w:hAnsi="宋体" w:cs="宋体"/>
          <w:iCs/>
          <w:color w:val="auto"/>
          <w:szCs w:val="21"/>
          <w:highlight w:val="none"/>
          <w:u w:val="single"/>
        </w:rPr>
      </w:pPr>
      <w:r>
        <w:rPr>
          <w:rFonts w:hint="eastAsia" w:ascii="宋体" w:hAnsi="宋体" w:cs="宋体"/>
          <w:iCs/>
          <w:color w:val="auto"/>
          <w:szCs w:val="21"/>
          <w:highlight w:val="none"/>
        </w:rPr>
        <w:t>1、</w:t>
      </w:r>
      <w:r>
        <w:rPr>
          <w:rFonts w:hint="eastAsia" w:ascii="宋体" w:hAnsi="宋体" w:cs="宋体"/>
          <w:b/>
          <w:bCs/>
          <w:iCs/>
          <w:color w:val="auto"/>
          <w:szCs w:val="21"/>
          <w:highlight w:val="none"/>
          <w:u w:val="single"/>
        </w:rPr>
        <w:t>开标一览表</w:t>
      </w:r>
      <w:r>
        <w:rPr>
          <w:rFonts w:hint="eastAsia" w:ascii="宋体" w:hAnsi="宋体" w:cs="宋体"/>
          <w:iCs/>
          <w:color w:val="auto"/>
          <w:szCs w:val="21"/>
          <w:highlight w:val="none"/>
          <w:u w:val="single"/>
        </w:rPr>
        <w:t>必须单独密封，在投标截止时间前与投标文件分别递交。</w:t>
      </w:r>
    </w:p>
    <w:p>
      <w:pPr>
        <w:spacing w:line="360" w:lineRule="auto"/>
        <w:ind w:firstLine="420" w:firstLineChars="200"/>
        <w:rPr>
          <w:color w:val="auto"/>
          <w:highlight w:val="none"/>
        </w:rPr>
      </w:pPr>
      <w:r>
        <w:rPr>
          <w:rFonts w:hint="eastAsia" w:ascii="宋体" w:hAnsi="宋体" w:cs="宋体"/>
          <w:iCs/>
          <w:color w:val="auto"/>
          <w:szCs w:val="21"/>
          <w:highlight w:val="none"/>
        </w:rPr>
        <w:t>2、</w:t>
      </w:r>
      <w:r>
        <w:rPr>
          <w:rFonts w:hint="eastAsia" w:ascii="宋体" w:hAnsi="宋体" w:cs="宋体"/>
          <w:bCs/>
          <w:iCs/>
          <w:color w:val="auto"/>
          <w:szCs w:val="21"/>
          <w:highlight w:val="none"/>
          <w:u w:val="single"/>
        </w:rPr>
        <w:t>开标一览表必须加盖投标人公章（复印件无效）</w:t>
      </w:r>
      <w:r>
        <w:rPr>
          <w:rFonts w:hint="eastAsia" w:ascii="宋体" w:hAnsi="宋体" w:cs="宋体"/>
          <w:iCs/>
          <w:color w:val="auto"/>
          <w:szCs w:val="21"/>
          <w:highlight w:val="none"/>
        </w:rPr>
        <w:t>。</w:t>
      </w:r>
    </w:p>
    <w:p>
      <w:pPr>
        <w:spacing w:line="460" w:lineRule="exact"/>
        <w:rPr>
          <w:rFonts w:ascii="宋体" w:hAnsi="宋体" w:cs="宋体"/>
          <w:bCs/>
          <w:color w:val="auto"/>
          <w:sz w:val="24"/>
          <w:highlight w:val="none"/>
        </w:rPr>
      </w:pPr>
    </w:p>
    <w:p>
      <w:pPr>
        <w:spacing w:line="460" w:lineRule="exact"/>
        <w:rPr>
          <w:rFonts w:ascii="宋体" w:hAnsi="宋体" w:cs="宋体"/>
          <w:bCs/>
          <w:color w:val="auto"/>
          <w:sz w:val="24"/>
          <w:highlight w:val="none"/>
        </w:rPr>
      </w:pPr>
    </w:p>
    <w:p>
      <w:pPr>
        <w:spacing w:line="220" w:lineRule="atLeast"/>
        <w:rPr>
          <w:rFonts w:ascii="宋体" w:hAnsi="宋体" w:cs="宋体"/>
          <w:color w:val="auto"/>
          <w:sz w:val="22"/>
          <w:highlight w:val="none"/>
        </w:rPr>
      </w:pPr>
    </w:p>
    <w:p>
      <w:pPr>
        <w:pStyle w:val="9"/>
        <w:rPr>
          <w:rFonts w:ascii="宋体" w:hAnsi="宋体" w:cs="宋体"/>
          <w:color w:val="auto"/>
          <w:sz w:val="22"/>
          <w:highlight w:val="none"/>
        </w:rPr>
      </w:pPr>
    </w:p>
    <w:p>
      <w:pPr>
        <w:pStyle w:val="9"/>
        <w:rPr>
          <w:rFonts w:ascii="宋体" w:hAnsi="宋体" w:cs="宋体"/>
          <w:color w:val="auto"/>
          <w:sz w:val="22"/>
          <w:highlight w:val="none"/>
        </w:rPr>
      </w:pPr>
    </w:p>
    <w:p>
      <w:pPr>
        <w:pStyle w:val="9"/>
        <w:rPr>
          <w:rFonts w:ascii="宋体" w:hAnsi="宋体" w:cs="宋体"/>
          <w:color w:val="auto"/>
          <w:sz w:val="22"/>
          <w:highlight w:val="none"/>
        </w:rPr>
      </w:pPr>
    </w:p>
    <w:p>
      <w:pPr>
        <w:pStyle w:val="9"/>
        <w:rPr>
          <w:rFonts w:ascii="宋体" w:hAnsi="宋体" w:cs="宋体"/>
          <w:color w:val="auto"/>
          <w:sz w:val="22"/>
          <w:highlight w:val="none"/>
        </w:rPr>
      </w:pPr>
    </w:p>
    <w:p>
      <w:pPr>
        <w:pStyle w:val="9"/>
        <w:rPr>
          <w:rFonts w:ascii="宋体" w:hAnsi="宋体" w:cs="宋体"/>
          <w:color w:val="auto"/>
          <w:sz w:val="22"/>
          <w:highlight w:val="none"/>
        </w:rPr>
      </w:pPr>
    </w:p>
    <w:p>
      <w:pPr>
        <w:rPr>
          <w:color w:val="auto"/>
          <w:highlight w:val="none"/>
        </w:rPr>
      </w:pPr>
    </w:p>
    <w:p>
      <w:pPr>
        <w:pStyle w:val="9"/>
        <w:rPr>
          <w:rFonts w:ascii="宋体" w:hAnsi="宋体" w:cs="宋体"/>
          <w:color w:val="auto"/>
          <w:sz w:val="22"/>
          <w:highlight w:val="none"/>
        </w:rPr>
      </w:pPr>
    </w:p>
    <w:p>
      <w:pPr>
        <w:rPr>
          <w:rFonts w:ascii="宋体" w:hAnsi="宋体"/>
          <w:b/>
          <w:color w:val="auto"/>
          <w:highlight w:val="none"/>
        </w:rPr>
      </w:pPr>
      <w:r>
        <w:rPr>
          <w:rFonts w:hint="eastAsia" w:ascii="宋体" w:hAnsi="宋体"/>
          <w:b/>
          <w:color w:val="auto"/>
          <w:highlight w:val="none"/>
        </w:rPr>
        <w:br w:type="page"/>
      </w:r>
    </w:p>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项目人员组成表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51"/>
        <w:gridCol w:w="1809"/>
        <w:gridCol w:w="1025"/>
        <w:gridCol w:w="1390"/>
        <w:gridCol w:w="162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vMerge w:val="restart"/>
            <w:noWrap w:val="0"/>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850" w:type="dxa"/>
            <w:vMerge w:val="restart"/>
            <w:noWrap w:val="0"/>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职务</w:t>
            </w:r>
          </w:p>
        </w:tc>
        <w:tc>
          <w:tcPr>
            <w:tcW w:w="851" w:type="dxa"/>
            <w:vMerge w:val="restart"/>
            <w:noWrap w:val="0"/>
            <w:vAlign w:val="center"/>
          </w:tcPr>
          <w:p>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职称</w:t>
            </w:r>
          </w:p>
        </w:tc>
        <w:tc>
          <w:tcPr>
            <w:tcW w:w="5849" w:type="dxa"/>
            <w:gridSpan w:val="4"/>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992" w:type="dxa"/>
            <w:vMerge w:val="restar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vMerge w:val="continue"/>
            <w:noWrap w:val="0"/>
            <w:vAlign w:val="center"/>
          </w:tcPr>
          <w:p>
            <w:pPr>
              <w:spacing w:line="500" w:lineRule="exact"/>
              <w:jc w:val="center"/>
              <w:rPr>
                <w:rFonts w:hint="eastAsia" w:ascii="宋体" w:hAnsi="宋体" w:eastAsia="宋体" w:cs="宋体"/>
                <w:sz w:val="21"/>
                <w:szCs w:val="21"/>
              </w:rPr>
            </w:pPr>
          </w:p>
        </w:tc>
        <w:tc>
          <w:tcPr>
            <w:tcW w:w="850" w:type="dxa"/>
            <w:vMerge w:val="continue"/>
            <w:noWrap w:val="0"/>
            <w:vAlign w:val="center"/>
          </w:tcPr>
          <w:p>
            <w:pPr>
              <w:spacing w:line="500" w:lineRule="exact"/>
              <w:jc w:val="center"/>
              <w:rPr>
                <w:rFonts w:hint="eastAsia" w:ascii="宋体" w:hAnsi="宋体" w:eastAsia="宋体" w:cs="宋体"/>
                <w:sz w:val="21"/>
                <w:szCs w:val="21"/>
              </w:rPr>
            </w:pPr>
          </w:p>
        </w:tc>
        <w:tc>
          <w:tcPr>
            <w:tcW w:w="851" w:type="dxa"/>
            <w:vMerge w:val="continue"/>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025"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级别</w:t>
            </w:r>
          </w:p>
        </w:tc>
        <w:tc>
          <w:tcPr>
            <w:tcW w:w="1390"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证号</w:t>
            </w:r>
          </w:p>
        </w:tc>
        <w:tc>
          <w:tcPr>
            <w:tcW w:w="1625"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专业</w:t>
            </w:r>
          </w:p>
        </w:tc>
        <w:tc>
          <w:tcPr>
            <w:tcW w:w="992" w:type="dxa"/>
            <w:vMerge w:val="continue"/>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51" w:type="dxa"/>
            <w:noWrap w:val="0"/>
            <w:vAlign w:val="center"/>
          </w:tcPr>
          <w:p>
            <w:pPr>
              <w:spacing w:line="500" w:lineRule="exact"/>
              <w:jc w:val="center"/>
              <w:rPr>
                <w:rFonts w:hint="eastAsia" w:ascii="宋体" w:hAnsi="宋体" w:eastAsia="宋体" w:cs="宋体"/>
                <w:sz w:val="21"/>
                <w:szCs w:val="21"/>
              </w:rPr>
            </w:pPr>
          </w:p>
        </w:tc>
        <w:tc>
          <w:tcPr>
            <w:tcW w:w="850" w:type="dxa"/>
            <w:noWrap w:val="0"/>
            <w:vAlign w:val="center"/>
          </w:tcPr>
          <w:p>
            <w:pPr>
              <w:spacing w:line="500" w:lineRule="exact"/>
              <w:jc w:val="center"/>
              <w:rPr>
                <w:rFonts w:hint="eastAsia" w:ascii="宋体" w:hAnsi="宋体" w:eastAsia="宋体" w:cs="宋体"/>
                <w:sz w:val="21"/>
                <w:szCs w:val="21"/>
              </w:rPr>
            </w:pPr>
          </w:p>
        </w:tc>
        <w:tc>
          <w:tcPr>
            <w:tcW w:w="851" w:type="dxa"/>
            <w:noWrap w:val="0"/>
            <w:vAlign w:val="center"/>
          </w:tcPr>
          <w:p>
            <w:pPr>
              <w:spacing w:line="500" w:lineRule="exact"/>
              <w:jc w:val="center"/>
              <w:rPr>
                <w:rFonts w:hint="eastAsia" w:ascii="宋体" w:hAnsi="宋体" w:eastAsia="宋体" w:cs="宋体"/>
                <w:sz w:val="21"/>
                <w:szCs w:val="21"/>
              </w:rPr>
            </w:pPr>
          </w:p>
        </w:tc>
        <w:tc>
          <w:tcPr>
            <w:tcW w:w="1809" w:type="dxa"/>
            <w:noWrap w:val="0"/>
            <w:vAlign w:val="center"/>
          </w:tcPr>
          <w:p>
            <w:pPr>
              <w:spacing w:line="500" w:lineRule="exact"/>
              <w:jc w:val="center"/>
              <w:rPr>
                <w:rFonts w:hint="eastAsia" w:ascii="宋体" w:hAnsi="宋体" w:eastAsia="宋体" w:cs="宋体"/>
                <w:sz w:val="21"/>
                <w:szCs w:val="21"/>
              </w:rPr>
            </w:pPr>
          </w:p>
        </w:tc>
        <w:tc>
          <w:tcPr>
            <w:tcW w:w="1025" w:type="dxa"/>
            <w:noWrap w:val="0"/>
            <w:vAlign w:val="center"/>
          </w:tcPr>
          <w:p>
            <w:pPr>
              <w:spacing w:line="500" w:lineRule="exact"/>
              <w:jc w:val="center"/>
              <w:rPr>
                <w:rFonts w:hint="eastAsia" w:ascii="宋体" w:hAnsi="宋体" w:eastAsia="宋体" w:cs="宋体"/>
                <w:sz w:val="21"/>
                <w:szCs w:val="21"/>
              </w:rPr>
            </w:pPr>
          </w:p>
        </w:tc>
        <w:tc>
          <w:tcPr>
            <w:tcW w:w="1390" w:type="dxa"/>
            <w:noWrap w:val="0"/>
            <w:vAlign w:val="center"/>
          </w:tcPr>
          <w:p>
            <w:pPr>
              <w:spacing w:line="500" w:lineRule="exact"/>
              <w:jc w:val="center"/>
              <w:rPr>
                <w:rFonts w:hint="eastAsia" w:ascii="宋体" w:hAnsi="宋体" w:eastAsia="宋体" w:cs="宋体"/>
                <w:sz w:val="21"/>
                <w:szCs w:val="21"/>
              </w:rPr>
            </w:pPr>
          </w:p>
        </w:tc>
        <w:tc>
          <w:tcPr>
            <w:tcW w:w="1625" w:type="dxa"/>
            <w:noWrap w:val="0"/>
            <w:vAlign w:val="center"/>
          </w:tcPr>
          <w:p>
            <w:pPr>
              <w:spacing w:line="500" w:lineRule="exact"/>
              <w:jc w:val="center"/>
              <w:rPr>
                <w:rFonts w:hint="eastAsia" w:ascii="宋体" w:hAnsi="宋体" w:eastAsia="宋体" w:cs="宋体"/>
                <w:sz w:val="21"/>
                <w:szCs w:val="21"/>
              </w:rPr>
            </w:pPr>
          </w:p>
        </w:tc>
        <w:tc>
          <w:tcPr>
            <w:tcW w:w="992" w:type="dxa"/>
            <w:noWrap w:val="0"/>
            <w:vAlign w:val="center"/>
          </w:tcPr>
          <w:p>
            <w:pPr>
              <w:spacing w:line="500" w:lineRule="exact"/>
              <w:jc w:val="center"/>
              <w:rPr>
                <w:rFonts w:hint="eastAsia" w:ascii="宋体" w:hAnsi="宋体" w:eastAsia="宋体" w:cs="宋体"/>
                <w:sz w:val="21"/>
                <w:szCs w:val="21"/>
              </w:rPr>
            </w:pPr>
          </w:p>
        </w:tc>
      </w:tr>
    </w:tbl>
    <w:p>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cs="宋体"/>
          <w:sz w:val="21"/>
          <w:szCs w:val="21"/>
          <w:lang w:val="en-US" w:eastAsia="zh-CN"/>
        </w:rPr>
        <w:t>本表后附</w:t>
      </w:r>
      <w:r>
        <w:rPr>
          <w:rFonts w:hint="eastAsia" w:ascii="宋体" w:hAnsi="宋体" w:eastAsia="宋体" w:cs="宋体"/>
          <w:sz w:val="21"/>
          <w:szCs w:val="21"/>
        </w:rPr>
        <w:t>项目人员执业证书或职称证</w:t>
      </w:r>
      <w:r>
        <w:rPr>
          <w:rFonts w:hint="eastAsia" w:ascii="宋体" w:hAnsi="宋体" w:eastAsia="宋体" w:cs="宋体"/>
          <w:sz w:val="21"/>
          <w:szCs w:val="21"/>
          <w:lang w:val="en-US" w:eastAsia="zh-CN"/>
        </w:rPr>
        <w:t>书等相关评分项</w:t>
      </w:r>
      <w:r>
        <w:rPr>
          <w:rFonts w:hint="eastAsia" w:ascii="宋体" w:hAnsi="宋体" w:eastAsia="宋体" w:cs="宋体"/>
          <w:sz w:val="21"/>
          <w:szCs w:val="21"/>
        </w:rPr>
        <w:t>复印件并加</w:t>
      </w:r>
      <w:r>
        <w:rPr>
          <w:rFonts w:hint="eastAsia" w:ascii="宋体" w:hAnsi="宋体" w:eastAsia="宋体" w:cs="宋体"/>
          <w:sz w:val="21"/>
          <w:szCs w:val="21"/>
          <w:lang w:eastAsia="zh-CN"/>
        </w:rPr>
        <w:t>盖</w:t>
      </w:r>
      <w:r>
        <w:rPr>
          <w:rFonts w:hint="eastAsia" w:ascii="宋体" w:hAnsi="宋体" w:eastAsia="宋体" w:cs="宋体"/>
          <w:sz w:val="21"/>
          <w:szCs w:val="21"/>
        </w:rPr>
        <w:t>公章。</w:t>
      </w:r>
    </w:p>
    <w:p>
      <w:pPr>
        <w:spacing w:line="500" w:lineRule="exact"/>
        <w:jc w:val="both"/>
        <w:rPr>
          <w:rFonts w:hint="eastAsia" w:ascii="仿宋" w:hAnsi="仿宋" w:eastAsia="仿宋" w:cs="仿宋"/>
          <w:b/>
          <w:bCs/>
          <w:color w:val="auto"/>
          <w:sz w:val="28"/>
          <w:szCs w:val="28"/>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hint="eastAsia" w:ascii="宋体" w:hAnsi="宋体"/>
          <w:b/>
          <w:color w:val="auto"/>
          <w:highlight w:val="none"/>
          <w:lang w:val="en-US" w:eastAsia="zh-CN"/>
        </w:rPr>
      </w:pPr>
    </w:p>
    <w:p>
      <w:pPr>
        <w:spacing w:line="360" w:lineRule="auto"/>
        <w:ind w:firstLine="422" w:firstLineChars="200"/>
        <w:jc w:val="center"/>
        <w:rPr>
          <w:rFonts w:ascii="宋体" w:hAnsi="宋体"/>
          <w:b/>
          <w:color w:val="auto"/>
          <w:highlight w:val="none"/>
        </w:rPr>
      </w:pPr>
      <w:r>
        <w:rPr>
          <w:rFonts w:hint="eastAsia" w:ascii="宋体" w:hAnsi="宋体"/>
          <w:b/>
          <w:color w:val="auto"/>
          <w:highlight w:val="none"/>
          <w:lang w:val="en-US" w:eastAsia="zh-CN"/>
        </w:rPr>
        <w:t>五</w:t>
      </w:r>
      <w:r>
        <w:rPr>
          <w:rFonts w:hint="eastAsia" w:ascii="宋体" w:hAnsi="宋体"/>
          <w:b/>
          <w:color w:val="auto"/>
          <w:highlight w:val="none"/>
        </w:rPr>
        <w:t>、类似业绩一览表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p>
    <w:tbl>
      <w:tblPr>
        <w:tblStyle w:val="24"/>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185"/>
        <w:gridCol w:w="1758"/>
        <w:gridCol w:w="1758"/>
        <w:gridCol w:w="176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8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758" w:type="dxa"/>
            <w:vAlign w:val="center"/>
          </w:tcPr>
          <w:p>
            <w:pPr>
              <w:tabs>
                <w:tab w:val="left" w:pos="6252"/>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委托人</w:t>
            </w:r>
          </w:p>
        </w:tc>
        <w:tc>
          <w:tcPr>
            <w:tcW w:w="1758" w:type="dxa"/>
            <w:vAlign w:val="center"/>
          </w:tcPr>
          <w:p>
            <w:pPr>
              <w:tabs>
                <w:tab w:val="left" w:pos="6252"/>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合同金额</w:t>
            </w:r>
          </w:p>
        </w:tc>
        <w:tc>
          <w:tcPr>
            <w:tcW w:w="1761" w:type="dxa"/>
            <w:vAlign w:val="center"/>
          </w:tcPr>
          <w:p>
            <w:pPr>
              <w:tabs>
                <w:tab w:val="left" w:pos="6252"/>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批文备案时间</w:t>
            </w:r>
          </w:p>
        </w:tc>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185"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61" w:type="dxa"/>
            <w:vAlign w:val="center"/>
          </w:tcPr>
          <w:p>
            <w:pPr>
              <w:jc w:val="center"/>
              <w:rPr>
                <w:rFonts w:ascii="宋体" w:hAnsi="宋体" w:cs="宋体"/>
                <w:color w:val="auto"/>
                <w:szCs w:val="21"/>
                <w:highlight w:val="none"/>
              </w:rPr>
            </w:pPr>
          </w:p>
        </w:tc>
        <w:tc>
          <w:tcPr>
            <w:tcW w:w="68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185"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61" w:type="dxa"/>
            <w:vAlign w:val="center"/>
          </w:tcPr>
          <w:p>
            <w:pPr>
              <w:jc w:val="center"/>
              <w:rPr>
                <w:rFonts w:ascii="宋体" w:hAnsi="宋体" w:cs="宋体"/>
                <w:color w:val="auto"/>
                <w:szCs w:val="21"/>
                <w:highlight w:val="none"/>
              </w:rPr>
            </w:pPr>
          </w:p>
        </w:tc>
        <w:tc>
          <w:tcPr>
            <w:tcW w:w="68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185"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61" w:type="dxa"/>
            <w:vAlign w:val="center"/>
          </w:tcPr>
          <w:p>
            <w:pPr>
              <w:jc w:val="center"/>
              <w:rPr>
                <w:rFonts w:ascii="宋体" w:hAnsi="宋体" w:cs="宋体"/>
                <w:color w:val="auto"/>
                <w:szCs w:val="21"/>
                <w:highlight w:val="none"/>
              </w:rPr>
            </w:pPr>
          </w:p>
        </w:tc>
        <w:tc>
          <w:tcPr>
            <w:tcW w:w="68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185"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61" w:type="dxa"/>
            <w:vAlign w:val="center"/>
          </w:tcPr>
          <w:p>
            <w:pPr>
              <w:jc w:val="center"/>
              <w:rPr>
                <w:rFonts w:ascii="宋体" w:hAnsi="宋体" w:cs="宋体"/>
                <w:color w:val="auto"/>
                <w:szCs w:val="21"/>
                <w:highlight w:val="none"/>
              </w:rPr>
            </w:pPr>
          </w:p>
        </w:tc>
        <w:tc>
          <w:tcPr>
            <w:tcW w:w="68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185"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61" w:type="dxa"/>
            <w:vAlign w:val="center"/>
          </w:tcPr>
          <w:p>
            <w:pPr>
              <w:jc w:val="center"/>
              <w:rPr>
                <w:rFonts w:ascii="宋体" w:hAnsi="宋体" w:cs="宋体"/>
                <w:color w:val="auto"/>
                <w:szCs w:val="21"/>
                <w:highlight w:val="none"/>
              </w:rPr>
            </w:pPr>
          </w:p>
        </w:tc>
        <w:tc>
          <w:tcPr>
            <w:tcW w:w="687" w:type="dxa"/>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185"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58" w:type="dxa"/>
            <w:vAlign w:val="center"/>
          </w:tcPr>
          <w:p>
            <w:pPr>
              <w:jc w:val="center"/>
              <w:rPr>
                <w:rFonts w:ascii="宋体" w:hAnsi="宋体" w:cs="宋体"/>
                <w:color w:val="auto"/>
                <w:szCs w:val="21"/>
                <w:highlight w:val="none"/>
              </w:rPr>
            </w:pPr>
          </w:p>
        </w:tc>
        <w:tc>
          <w:tcPr>
            <w:tcW w:w="1761" w:type="dxa"/>
            <w:vAlign w:val="center"/>
          </w:tcPr>
          <w:p>
            <w:pPr>
              <w:jc w:val="center"/>
              <w:rPr>
                <w:rFonts w:ascii="宋体" w:hAnsi="宋体" w:cs="宋体"/>
                <w:color w:val="auto"/>
                <w:szCs w:val="21"/>
                <w:highlight w:val="none"/>
              </w:rPr>
            </w:pPr>
          </w:p>
        </w:tc>
        <w:tc>
          <w:tcPr>
            <w:tcW w:w="687" w:type="dxa"/>
            <w:vAlign w:val="center"/>
          </w:tcPr>
          <w:p>
            <w:pPr>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法定代表人或授权代表签字：</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日期：年月日</w:t>
      </w:r>
    </w:p>
    <w:p>
      <w:pPr>
        <w:spacing w:line="360" w:lineRule="auto"/>
        <w:rPr>
          <w:rFonts w:ascii="宋体" w:hAnsi="宋体" w:cs="宋体"/>
          <w:color w:val="auto"/>
          <w:szCs w:val="21"/>
          <w:highlight w:val="none"/>
        </w:rPr>
      </w:pPr>
    </w:p>
    <w:p>
      <w:pPr>
        <w:spacing w:line="360" w:lineRule="auto"/>
        <w:rPr>
          <w:rFonts w:ascii="宋体" w:hAnsi="宋体" w:cs="宋体"/>
          <w:bCs/>
          <w:color w:val="auto"/>
          <w:szCs w:val="21"/>
          <w:highlight w:val="none"/>
        </w:rPr>
      </w:pPr>
      <w:r>
        <w:rPr>
          <w:rFonts w:hint="eastAsia" w:ascii="宋体" w:hAnsi="宋体" w:cs="宋体"/>
          <w:color w:val="auto"/>
          <w:szCs w:val="21"/>
          <w:highlight w:val="none"/>
        </w:rPr>
        <w:t>注：</w:t>
      </w:r>
      <w:r>
        <w:rPr>
          <w:rFonts w:hint="eastAsia" w:ascii="宋体" w:hAnsi="宋体" w:cs="宋体"/>
          <w:bCs/>
          <w:color w:val="auto"/>
          <w:szCs w:val="21"/>
          <w:highlight w:val="none"/>
        </w:rPr>
        <w:t>须提供合同</w:t>
      </w:r>
      <w:r>
        <w:rPr>
          <w:rFonts w:hint="eastAsia" w:ascii="宋体" w:hAnsi="宋体" w:cs="宋体"/>
          <w:bCs/>
          <w:color w:val="auto"/>
          <w:szCs w:val="21"/>
          <w:highlight w:val="none"/>
          <w:lang w:val="en-US" w:eastAsia="zh-CN"/>
        </w:rPr>
        <w:t>及批文</w:t>
      </w:r>
      <w:r>
        <w:rPr>
          <w:rFonts w:hint="eastAsia" w:ascii="宋体" w:hAnsi="宋体" w:cs="宋体"/>
          <w:bCs/>
          <w:color w:val="auto"/>
          <w:szCs w:val="21"/>
          <w:highlight w:val="none"/>
        </w:rPr>
        <w:t>复印件加盖投标人公章等证明材料。</w:t>
      </w:r>
    </w:p>
    <w:p>
      <w:pPr>
        <w:jc w:val="center"/>
        <w:rPr>
          <w:rFonts w:ascii="宋体" w:hAnsi="宋体" w:cs="宋体"/>
          <w:bCs/>
          <w:color w:val="auto"/>
          <w:szCs w:val="21"/>
          <w:highlight w:val="none"/>
        </w:rPr>
      </w:pPr>
      <w:r>
        <w:rPr>
          <w:rFonts w:hint="eastAsia" w:ascii="宋体" w:hAnsi="宋体" w:cs="宋体"/>
          <w:bCs/>
          <w:color w:val="auto"/>
          <w:szCs w:val="21"/>
          <w:highlight w:val="none"/>
        </w:rPr>
        <w:br w:type="page"/>
      </w:r>
    </w:p>
    <w:p>
      <w:pPr>
        <w:jc w:val="center"/>
        <w:rPr>
          <w:rFonts w:ascii="宋体" w:hAnsi="宋体"/>
          <w:b/>
          <w:color w:val="auto"/>
          <w:highlight w:val="none"/>
        </w:rPr>
      </w:pPr>
    </w:p>
    <w:p>
      <w:pPr>
        <w:jc w:val="center"/>
        <w:rPr>
          <w:rFonts w:hint="eastAsia" w:ascii="宋体" w:hAnsi="宋体" w:eastAsia="宋体"/>
          <w:b/>
          <w:color w:val="auto"/>
          <w:highlight w:val="none"/>
          <w:lang w:val="en-US" w:eastAsia="zh-CN"/>
        </w:rPr>
      </w:pPr>
      <w:r>
        <w:rPr>
          <w:rFonts w:hint="eastAsia" w:ascii="宋体" w:hAnsi="宋体"/>
          <w:b/>
          <w:color w:val="auto"/>
          <w:highlight w:val="none"/>
          <w:lang w:val="en-US" w:eastAsia="zh-CN"/>
        </w:rPr>
        <w:t>六</w:t>
      </w:r>
      <w:r>
        <w:rPr>
          <w:rFonts w:hint="eastAsia" w:ascii="宋体" w:hAnsi="宋体"/>
          <w:b/>
          <w:color w:val="auto"/>
          <w:highlight w:val="none"/>
        </w:rPr>
        <w:t>、服务</w:t>
      </w:r>
      <w:r>
        <w:rPr>
          <w:rFonts w:hint="eastAsia" w:ascii="宋体" w:hAnsi="宋体"/>
          <w:b/>
          <w:color w:val="auto"/>
          <w:highlight w:val="none"/>
          <w:lang w:val="en-US" w:eastAsia="zh-CN"/>
        </w:rPr>
        <w:t>承诺</w:t>
      </w:r>
    </w:p>
    <w:p>
      <w:pPr>
        <w:jc w:val="left"/>
        <w:rPr>
          <w:rFonts w:ascii="宋体" w:hAnsi="宋体"/>
          <w:b/>
          <w:color w:val="auto"/>
          <w:highlight w:val="none"/>
        </w:rPr>
      </w:pPr>
    </w:p>
    <w:p>
      <w:pPr>
        <w:spacing w:line="360" w:lineRule="auto"/>
        <w:jc w:val="center"/>
        <w:rPr>
          <w:rFonts w:ascii="宋体" w:hAnsi="宋体"/>
          <w:color w:val="auto"/>
          <w:highlight w:val="none"/>
        </w:rPr>
      </w:pPr>
      <w:r>
        <w:rPr>
          <w:rFonts w:hint="eastAsia" w:ascii="宋体" w:hAnsi="宋体"/>
          <w:color w:val="auto"/>
          <w:highlight w:val="none"/>
        </w:rPr>
        <w:t>（根据评分标准自行编制）</w:t>
      </w:r>
    </w:p>
    <w:p>
      <w:pPr>
        <w:pStyle w:val="3"/>
        <w:rPr>
          <w:rFonts w:ascii="宋体" w:hAnsi="宋体"/>
          <w:color w:val="auto"/>
          <w:highlight w:val="none"/>
        </w:rPr>
      </w:pPr>
    </w:p>
    <w:p>
      <w:pPr>
        <w:jc w:val="center"/>
        <w:rPr>
          <w:rFonts w:ascii="宋体" w:hAnsi="宋体"/>
          <w:b/>
          <w:color w:val="auto"/>
          <w:highlight w:val="none"/>
        </w:rPr>
      </w:pPr>
      <w:r>
        <w:rPr>
          <w:rFonts w:hint="eastAsia" w:ascii="宋体" w:hAnsi="宋体"/>
          <w:b/>
          <w:color w:val="auto"/>
          <w:highlight w:val="none"/>
          <w:lang w:val="en-US" w:eastAsia="zh-CN"/>
        </w:rPr>
        <w:t>七</w:t>
      </w:r>
      <w:r>
        <w:rPr>
          <w:rFonts w:hint="eastAsia" w:ascii="宋体" w:hAnsi="宋体"/>
          <w:b/>
          <w:color w:val="auto"/>
          <w:highlight w:val="none"/>
        </w:rPr>
        <w:t>、实施方案</w:t>
      </w:r>
    </w:p>
    <w:p>
      <w:pPr>
        <w:jc w:val="left"/>
        <w:rPr>
          <w:rFonts w:ascii="宋体" w:hAnsi="宋体"/>
          <w:b/>
          <w:color w:val="auto"/>
          <w:highlight w:val="none"/>
        </w:rPr>
      </w:pPr>
    </w:p>
    <w:p>
      <w:pPr>
        <w:spacing w:line="360" w:lineRule="auto"/>
        <w:jc w:val="center"/>
        <w:rPr>
          <w:bCs/>
          <w:color w:val="auto"/>
          <w:highlight w:val="none"/>
        </w:rPr>
      </w:pPr>
      <w:r>
        <w:rPr>
          <w:rFonts w:hint="eastAsia" w:ascii="宋体" w:hAnsi="宋体"/>
          <w:color w:val="auto"/>
          <w:highlight w:val="none"/>
        </w:rPr>
        <w:t>（根据评分标准自行编制）</w:t>
      </w:r>
    </w:p>
    <w:p>
      <w:pPr>
        <w:rPr>
          <w:color w:val="auto"/>
          <w:highlight w:val="none"/>
        </w:rPr>
      </w:pPr>
    </w:p>
    <w:sectPr>
      <w:headerReference r:id="rId3" w:type="default"/>
      <w:footerReference r:id="rId4" w:type="default"/>
      <w:pgSz w:w="11906" w:h="16838"/>
      <w:pgMar w:top="144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sdt>
                <w:sdtPr>
                  <w:id w:val="-732242583"/>
                </w:sdtPr>
                <w:sdtContent>
                  <w:p>
                    <w:pPr>
                      <w:pStyle w:val="17"/>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2"/>
                  <w:ind w:firstLine="420"/>
                </w:pPr>
              </w:p>
            </w:txbxContent>
          </v:textbox>
        </v:shape>
      </w:pic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35EDC"/>
    <w:multiLevelType w:val="singleLevel"/>
    <w:tmpl w:val="84435EDC"/>
    <w:lvl w:ilvl="0" w:tentative="0">
      <w:start w:val="8"/>
      <w:numFmt w:val="decimal"/>
      <w:suff w:val="nothing"/>
      <w:lvlText w:val="%1、"/>
      <w:lvlJc w:val="left"/>
    </w:lvl>
  </w:abstractNum>
  <w:abstractNum w:abstractNumId="1">
    <w:nsid w:val="69466438"/>
    <w:multiLevelType w:val="multilevel"/>
    <w:tmpl w:val="69466438"/>
    <w:lvl w:ilvl="0" w:tentative="0">
      <w:start w:val="6"/>
      <w:numFmt w:val="japaneseCounting"/>
      <w:pStyle w:val="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pStyle w:val="29"/>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5MDg3NzE2YTA5MjdkMTY0MjlkOGU4MzAwOWFiZGEifQ=="/>
  </w:docVars>
  <w:rsids>
    <w:rsidRoot w:val="00A5101D"/>
    <w:rsid w:val="000466BE"/>
    <w:rsid w:val="00046A61"/>
    <w:rsid w:val="00050768"/>
    <w:rsid w:val="000516BC"/>
    <w:rsid w:val="00061B6C"/>
    <w:rsid w:val="000A1760"/>
    <w:rsid w:val="000B616E"/>
    <w:rsid w:val="0021274E"/>
    <w:rsid w:val="00223660"/>
    <w:rsid w:val="00230098"/>
    <w:rsid w:val="002A3BDB"/>
    <w:rsid w:val="002B0494"/>
    <w:rsid w:val="002B0AEE"/>
    <w:rsid w:val="002D0B18"/>
    <w:rsid w:val="002D5336"/>
    <w:rsid w:val="002E0FF4"/>
    <w:rsid w:val="002E623F"/>
    <w:rsid w:val="00311B29"/>
    <w:rsid w:val="0034374E"/>
    <w:rsid w:val="00351835"/>
    <w:rsid w:val="00353D8F"/>
    <w:rsid w:val="0037693B"/>
    <w:rsid w:val="003C05C0"/>
    <w:rsid w:val="003E4C0D"/>
    <w:rsid w:val="00443FCE"/>
    <w:rsid w:val="00445826"/>
    <w:rsid w:val="004814D6"/>
    <w:rsid w:val="00497303"/>
    <w:rsid w:val="004A46C0"/>
    <w:rsid w:val="004B7140"/>
    <w:rsid w:val="00523BFD"/>
    <w:rsid w:val="00535C96"/>
    <w:rsid w:val="005877B6"/>
    <w:rsid w:val="005C1BB6"/>
    <w:rsid w:val="005D0DDE"/>
    <w:rsid w:val="0066117F"/>
    <w:rsid w:val="006C7418"/>
    <w:rsid w:val="006D2A98"/>
    <w:rsid w:val="006D4541"/>
    <w:rsid w:val="006F1D64"/>
    <w:rsid w:val="00704687"/>
    <w:rsid w:val="00720646"/>
    <w:rsid w:val="0074290A"/>
    <w:rsid w:val="007640CE"/>
    <w:rsid w:val="007818C1"/>
    <w:rsid w:val="00783B99"/>
    <w:rsid w:val="00887727"/>
    <w:rsid w:val="009026D3"/>
    <w:rsid w:val="0091668F"/>
    <w:rsid w:val="00961F7F"/>
    <w:rsid w:val="00966646"/>
    <w:rsid w:val="009875E4"/>
    <w:rsid w:val="0099111A"/>
    <w:rsid w:val="009C1137"/>
    <w:rsid w:val="009E740E"/>
    <w:rsid w:val="00A5101D"/>
    <w:rsid w:val="00A7112D"/>
    <w:rsid w:val="00A87CA2"/>
    <w:rsid w:val="00AB0157"/>
    <w:rsid w:val="00AB3698"/>
    <w:rsid w:val="00AD462B"/>
    <w:rsid w:val="00AE6615"/>
    <w:rsid w:val="00B0583D"/>
    <w:rsid w:val="00B24547"/>
    <w:rsid w:val="00B4644A"/>
    <w:rsid w:val="00B50D3C"/>
    <w:rsid w:val="00B80E34"/>
    <w:rsid w:val="00B85F4D"/>
    <w:rsid w:val="00B877EB"/>
    <w:rsid w:val="00BB5C89"/>
    <w:rsid w:val="00BF3AFC"/>
    <w:rsid w:val="00BF3DE5"/>
    <w:rsid w:val="00C31344"/>
    <w:rsid w:val="00C34CED"/>
    <w:rsid w:val="00C43608"/>
    <w:rsid w:val="00C5691C"/>
    <w:rsid w:val="00CB018F"/>
    <w:rsid w:val="00CB6434"/>
    <w:rsid w:val="00CC6736"/>
    <w:rsid w:val="00CF48E5"/>
    <w:rsid w:val="00D40328"/>
    <w:rsid w:val="00D41E5C"/>
    <w:rsid w:val="00D56B10"/>
    <w:rsid w:val="00DD08E7"/>
    <w:rsid w:val="00DD7BD8"/>
    <w:rsid w:val="00DF2F1B"/>
    <w:rsid w:val="00E023DB"/>
    <w:rsid w:val="00E70B59"/>
    <w:rsid w:val="00E746C9"/>
    <w:rsid w:val="00EE1787"/>
    <w:rsid w:val="00F36CCE"/>
    <w:rsid w:val="00FC14AD"/>
    <w:rsid w:val="00FC2DED"/>
    <w:rsid w:val="013C61FA"/>
    <w:rsid w:val="01C96D0E"/>
    <w:rsid w:val="01E10E76"/>
    <w:rsid w:val="01FD5165"/>
    <w:rsid w:val="027F1706"/>
    <w:rsid w:val="02F70D3E"/>
    <w:rsid w:val="033678A9"/>
    <w:rsid w:val="033E5543"/>
    <w:rsid w:val="03C6403E"/>
    <w:rsid w:val="03F81772"/>
    <w:rsid w:val="03FA6D38"/>
    <w:rsid w:val="0410030A"/>
    <w:rsid w:val="042A46C1"/>
    <w:rsid w:val="04BC5D9C"/>
    <w:rsid w:val="05A32387"/>
    <w:rsid w:val="06950D05"/>
    <w:rsid w:val="069B58C9"/>
    <w:rsid w:val="06CB7068"/>
    <w:rsid w:val="06F000C4"/>
    <w:rsid w:val="06FF01C2"/>
    <w:rsid w:val="071531E1"/>
    <w:rsid w:val="07485D75"/>
    <w:rsid w:val="07B4418B"/>
    <w:rsid w:val="07CC44A3"/>
    <w:rsid w:val="08D51D74"/>
    <w:rsid w:val="096C1857"/>
    <w:rsid w:val="09926E4D"/>
    <w:rsid w:val="09EE0F0C"/>
    <w:rsid w:val="0A846B09"/>
    <w:rsid w:val="0A8F2B63"/>
    <w:rsid w:val="0ABE1004"/>
    <w:rsid w:val="0AE71855"/>
    <w:rsid w:val="0B36035D"/>
    <w:rsid w:val="0B5C3B6D"/>
    <w:rsid w:val="0BCE06F6"/>
    <w:rsid w:val="0C832502"/>
    <w:rsid w:val="0D295DC7"/>
    <w:rsid w:val="0D656657"/>
    <w:rsid w:val="0DAA559A"/>
    <w:rsid w:val="0E223337"/>
    <w:rsid w:val="0F036C57"/>
    <w:rsid w:val="1007764D"/>
    <w:rsid w:val="108C2B57"/>
    <w:rsid w:val="11002D49"/>
    <w:rsid w:val="111F74C2"/>
    <w:rsid w:val="11465397"/>
    <w:rsid w:val="11A12B6A"/>
    <w:rsid w:val="123E1747"/>
    <w:rsid w:val="125F6E0B"/>
    <w:rsid w:val="12A14FB7"/>
    <w:rsid w:val="13781284"/>
    <w:rsid w:val="139F5206"/>
    <w:rsid w:val="13A63124"/>
    <w:rsid w:val="13D94406"/>
    <w:rsid w:val="13FD6452"/>
    <w:rsid w:val="151829DD"/>
    <w:rsid w:val="154F471B"/>
    <w:rsid w:val="1579277C"/>
    <w:rsid w:val="159C0046"/>
    <w:rsid w:val="15F64E32"/>
    <w:rsid w:val="16891C16"/>
    <w:rsid w:val="16D15681"/>
    <w:rsid w:val="16DD3198"/>
    <w:rsid w:val="16E17CE0"/>
    <w:rsid w:val="1724110D"/>
    <w:rsid w:val="17604A64"/>
    <w:rsid w:val="178E650A"/>
    <w:rsid w:val="17BF5E77"/>
    <w:rsid w:val="18532E5F"/>
    <w:rsid w:val="18C97170"/>
    <w:rsid w:val="19952103"/>
    <w:rsid w:val="1B713DB0"/>
    <w:rsid w:val="1B8C096F"/>
    <w:rsid w:val="1BC2131D"/>
    <w:rsid w:val="1BEB5062"/>
    <w:rsid w:val="1C673580"/>
    <w:rsid w:val="1CB30208"/>
    <w:rsid w:val="1D2928BE"/>
    <w:rsid w:val="1D4448AD"/>
    <w:rsid w:val="1D867D95"/>
    <w:rsid w:val="1E3A525C"/>
    <w:rsid w:val="1F335E15"/>
    <w:rsid w:val="214E287D"/>
    <w:rsid w:val="225C272E"/>
    <w:rsid w:val="227C193D"/>
    <w:rsid w:val="22AB75E9"/>
    <w:rsid w:val="23435A49"/>
    <w:rsid w:val="234E4EA7"/>
    <w:rsid w:val="23C12B2D"/>
    <w:rsid w:val="25DC15CA"/>
    <w:rsid w:val="260534EB"/>
    <w:rsid w:val="26140D83"/>
    <w:rsid w:val="268B2061"/>
    <w:rsid w:val="26C06D43"/>
    <w:rsid w:val="26FA0C9C"/>
    <w:rsid w:val="271E6D18"/>
    <w:rsid w:val="27C263A0"/>
    <w:rsid w:val="28544C70"/>
    <w:rsid w:val="287037E5"/>
    <w:rsid w:val="28EF0DFE"/>
    <w:rsid w:val="292D6E86"/>
    <w:rsid w:val="296574B0"/>
    <w:rsid w:val="298323EF"/>
    <w:rsid w:val="2A8F7F85"/>
    <w:rsid w:val="2B3E75BA"/>
    <w:rsid w:val="2B676B24"/>
    <w:rsid w:val="2B7425B3"/>
    <w:rsid w:val="2C5D762D"/>
    <w:rsid w:val="2D635F72"/>
    <w:rsid w:val="2DBA63C5"/>
    <w:rsid w:val="2E1611C8"/>
    <w:rsid w:val="2EA645EA"/>
    <w:rsid w:val="2F1021B8"/>
    <w:rsid w:val="2F311CD3"/>
    <w:rsid w:val="2F55650B"/>
    <w:rsid w:val="2FAD659D"/>
    <w:rsid w:val="308E197E"/>
    <w:rsid w:val="31E70327"/>
    <w:rsid w:val="31FD4AA0"/>
    <w:rsid w:val="326326AD"/>
    <w:rsid w:val="32DD7C4A"/>
    <w:rsid w:val="32E9317E"/>
    <w:rsid w:val="33B2140A"/>
    <w:rsid w:val="33F31B7D"/>
    <w:rsid w:val="34183DF3"/>
    <w:rsid w:val="346E0E6A"/>
    <w:rsid w:val="34955E0D"/>
    <w:rsid w:val="34FD33E3"/>
    <w:rsid w:val="35452497"/>
    <w:rsid w:val="35F46606"/>
    <w:rsid w:val="35FF3AF3"/>
    <w:rsid w:val="366A35F7"/>
    <w:rsid w:val="36E77967"/>
    <w:rsid w:val="36E817DD"/>
    <w:rsid w:val="370D2870"/>
    <w:rsid w:val="371E1BE5"/>
    <w:rsid w:val="37B95D33"/>
    <w:rsid w:val="382177D6"/>
    <w:rsid w:val="383A69FC"/>
    <w:rsid w:val="38A95BD3"/>
    <w:rsid w:val="38AC419E"/>
    <w:rsid w:val="392E0314"/>
    <w:rsid w:val="39640388"/>
    <w:rsid w:val="3A4848F3"/>
    <w:rsid w:val="3A630531"/>
    <w:rsid w:val="3A6D6409"/>
    <w:rsid w:val="3B31058A"/>
    <w:rsid w:val="3B7E7E33"/>
    <w:rsid w:val="3C340232"/>
    <w:rsid w:val="3C771E06"/>
    <w:rsid w:val="3CF33D92"/>
    <w:rsid w:val="3D216882"/>
    <w:rsid w:val="3DF21949"/>
    <w:rsid w:val="4021297B"/>
    <w:rsid w:val="405E722E"/>
    <w:rsid w:val="41206B0B"/>
    <w:rsid w:val="41EF2605"/>
    <w:rsid w:val="42BA4840"/>
    <w:rsid w:val="42E17AB5"/>
    <w:rsid w:val="438F22F2"/>
    <w:rsid w:val="441617EF"/>
    <w:rsid w:val="44A52B7D"/>
    <w:rsid w:val="44ED286E"/>
    <w:rsid w:val="45DB2A77"/>
    <w:rsid w:val="45EE7CB8"/>
    <w:rsid w:val="4698406B"/>
    <w:rsid w:val="47A74C0A"/>
    <w:rsid w:val="47C63E40"/>
    <w:rsid w:val="484E210D"/>
    <w:rsid w:val="48F1663C"/>
    <w:rsid w:val="491D214E"/>
    <w:rsid w:val="49B95769"/>
    <w:rsid w:val="4A233ED0"/>
    <w:rsid w:val="4A7A501C"/>
    <w:rsid w:val="4A9E78A6"/>
    <w:rsid w:val="4AAE709F"/>
    <w:rsid w:val="4AC64E75"/>
    <w:rsid w:val="4B5C5665"/>
    <w:rsid w:val="4B633C9E"/>
    <w:rsid w:val="4BA8113C"/>
    <w:rsid w:val="4C1718C3"/>
    <w:rsid w:val="4C26756B"/>
    <w:rsid w:val="4C3C4AFB"/>
    <w:rsid w:val="4CB703AD"/>
    <w:rsid w:val="4CBB4931"/>
    <w:rsid w:val="4D2B5D1A"/>
    <w:rsid w:val="4DA132EC"/>
    <w:rsid w:val="4DB16256"/>
    <w:rsid w:val="4DC3347D"/>
    <w:rsid w:val="4E0C429F"/>
    <w:rsid w:val="4E3441C2"/>
    <w:rsid w:val="4F2E279F"/>
    <w:rsid w:val="4F6A7D50"/>
    <w:rsid w:val="4F7924E3"/>
    <w:rsid w:val="50270816"/>
    <w:rsid w:val="50B448F3"/>
    <w:rsid w:val="515C7A82"/>
    <w:rsid w:val="51956A24"/>
    <w:rsid w:val="51AB0DB7"/>
    <w:rsid w:val="51B32EA7"/>
    <w:rsid w:val="51B605F8"/>
    <w:rsid w:val="52080CB7"/>
    <w:rsid w:val="5456453C"/>
    <w:rsid w:val="546413E9"/>
    <w:rsid w:val="54972E53"/>
    <w:rsid w:val="555A0DDC"/>
    <w:rsid w:val="56110B2B"/>
    <w:rsid w:val="561F730F"/>
    <w:rsid w:val="56247069"/>
    <w:rsid w:val="56CE7683"/>
    <w:rsid w:val="574A5B4F"/>
    <w:rsid w:val="577B236C"/>
    <w:rsid w:val="580959D0"/>
    <w:rsid w:val="582A0FB5"/>
    <w:rsid w:val="586F7A04"/>
    <w:rsid w:val="588A78FA"/>
    <w:rsid w:val="59D803A9"/>
    <w:rsid w:val="5A32779B"/>
    <w:rsid w:val="5A4A3489"/>
    <w:rsid w:val="5AAC7EFE"/>
    <w:rsid w:val="5B772EA5"/>
    <w:rsid w:val="5B8E6A04"/>
    <w:rsid w:val="5C032708"/>
    <w:rsid w:val="5C093851"/>
    <w:rsid w:val="5C1E7BF4"/>
    <w:rsid w:val="5C325CB8"/>
    <w:rsid w:val="5C6F47CB"/>
    <w:rsid w:val="5C9352DD"/>
    <w:rsid w:val="5C9A13C5"/>
    <w:rsid w:val="5D6238F8"/>
    <w:rsid w:val="5D7900CA"/>
    <w:rsid w:val="5DB01D09"/>
    <w:rsid w:val="5E59139B"/>
    <w:rsid w:val="5EC200EC"/>
    <w:rsid w:val="5F4F0732"/>
    <w:rsid w:val="5F4F0EF3"/>
    <w:rsid w:val="5F8F35F9"/>
    <w:rsid w:val="60136C47"/>
    <w:rsid w:val="61293DF3"/>
    <w:rsid w:val="6146146A"/>
    <w:rsid w:val="62BC61DE"/>
    <w:rsid w:val="63227F57"/>
    <w:rsid w:val="6360709F"/>
    <w:rsid w:val="63B43622"/>
    <w:rsid w:val="647226F7"/>
    <w:rsid w:val="649C1C26"/>
    <w:rsid w:val="65055217"/>
    <w:rsid w:val="66625263"/>
    <w:rsid w:val="66EB0CD7"/>
    <w:rsid w:val="670D2F87"/>
    <w:rsid w:val="672D0F2C"/>
    <w:rsid w:val="6766353D"/>
    <w:rsid w:val="67B213FE"/>
    <w:rsid w:val="6828492B"/>
    <w:rsid w:val="685D0C28"/>
    <w:rsid w:val="68F2080B"/>
    <w:rsid w:val="69760037"/>
    <w:rsid w:val="6A04687E"/>
    <w:rsid w:val="6A250A93"/>
    <w:rsid w:val="6A865CFF"/>
    <w:rsid w:val="6B874FA4"/>
    <w:rsid w:val="6C854CBC"/>
    <w:rsid w:val="6C972BDB"/>
    <w:rsid w:val="6D0D353A"/>
    <w:rsid w:val="6D4636F7"/>
    <w:rsid w:val="6DAB5A29"/>
    <w:rsid w:val="6EA620FA"/>
    <w:rsid w:val="6EC5055E"/>
    <w:rsid w:val="6F1E31CA"/>
    <w:rsid w:val="6F742218"/>
    <w:rsid w:val="6F7A7BBB"/>
    <w:rsid w:val="6F96006C"/>
    <w:rsid w:val="70B9544F"/>
    <w:rsid w:val="713F07A5"/>
    <w:rsid w:val="71764206"/>
    <w:rsid w:val="71A566B9"/>
    <w:rsid w:val="722A4917"/>
    <w:rsid w:val="727A0B83"/>
    <w:rsid w:val="72A10820"/>
    <w:rsid w:val="73DA5384"/>
    <w:rsid w:val="7414425C"/>
    <w:rsid w:val="744A64C5"/>
    <w:rsid w:val="74503B5E"/>
    <w:rsid w:val="74F1743F"/>
    <w:rsid w:val="75375698"/>
    <w:rsid w:val="75454707"/>
    <w:rsid w:val="754C147A"/>
    <w:rsid w:val="75575362"/>
    <w:rsid w:val="75D84E01"/>
    <w:rsid w:val="76633EC3"/>
    <w:rsid w:val="77041E07"/>
    <w:rsid w:val="771A00D7"/>
    <w:rsid w:val="771A3CB7"/>
    <w:rsid w:val="77AC693B"/>
    <w:rsid w:val="77BA756E"/>
    <w:rsid w:val="78063D47"/>
    <w:rsid w:val="780F5E0D"/>
    <w:rsid w:val="79CA57A1"/>
    <w:rsid w:val="7A945088"/>
    <w:rsid w:val="7B31720F"/>
    <w:rsid w:val="7B8C50E2"/>
    <w:rsid w:val="7C6249AD"/>
    <w:rsid w:val="7CA81E21"/>
    <w:rsid w:val="7CE56503"/>
    <w:rsid w:val="7CE87873"/>
    <w:rsid w:val="7D262E1B"/>
    <w:rsid w:val="7DC9260B"/>
    <w:rsid w:val="7E676E21"/>
    <w:rsid w:val="7E996E10"/>
    <w:rsid w:val="7EAD3051"/>
    <w:rsid w:val="7EB6399F"/>
    <w:rsid w:val="7ED134F8"/>
    <w:rsid w:val="7F3E6E99"/>
    <w:rsid w:val="7FCD6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4">
    <w:name w:val="heading 3"/>
    <w:basedOn w:val="1"/>
    <w:next w:val="1"/>
    <w:autoRedefine/>
    <w:unhideWhenUsed/>
    <w:qFormat/>
    <w:uiPriority w:val="99"/>
    <w:pPr>
      <w:keepNext/>
      <w:keepLines/>
      <w:spacing w:before="260" w:after="260" w:line="416" w:lineRule="auto"/>
      <w:outlineLvl w:val="2"/>
    </w:pPr>
    <w:rPr>
      <w:rFonts w:eastAsia="黑体"/>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autoRedefine/>
    <w:qFormat/>
    <w:uiPriority w:val="0"/>
    <w:pPr>
      <w:spacing w:before="156" w:after="156"/>
      <w:ind w:firstLine="480" w:firstLineChars="200"/>
    </w:pPr>
  </w:style>
  <w:style w:type="paragraph" w:styleId="5">
    <w:name w:val="Normal Indent"/>
    <w:basedOn w:val="1"/>
    <w:next w:val="1"/>
    <w:autoRedefine/>
    <w:unhideWhenUsed/>
    <w:qFormat/>
    <w:uiPriority w:val="0"/>
    <w:pPr>
      <w:ind w:firstLine="420" w:firstLineChars="200"/>
    </w:pPr>
  </w:style>
  <w:style w:type="paragraph" w:styleId="6">
    <w:name w:val="annotation text"/>
    <w:basedOn w:val="1"/>
    <w:link w:val="39"/>
    <w:autoRedefine/>
    <w:unhideWhenUsed/>
    <w:qFormat/>
    <w:uiPriority w:val="99"/>
    <w:pPr>
      <w:jc w:val="left"/>
    </w:pPr>
  </w:style>
  <w:style w:type="paragraph" w:styleId="7">
    <w:name w:val="Body Text 3"/>
    <w:basedOn w:val="1"/>
    <w:next w:val="1"/>
    <w:autoRedefine/>
    <w:semiHidden/>
    <w:unhideWhenUsed/>
    <w:qFormat/>
    <w:uiPriority w:val="99"/>
    <w:pPr>
      <w:snapToGrid w:val="0"/>
      <w:spacing w:before="50" w:after="50"/>
    </w:pPr>
    <w:rPr>
      <w:rFonts w:ascii="Calibri" w:hAnsi="宋体" w:eastAsia="仿宋_GB2312"/>
      <w:b/>
      <w:bCs/>
      <w:sz w:val="24"/>
      <w:szCs w:val="20"/>
    </w:rPr>
  </w:style>
  <w:style w:type="paragraph" w:styleId="8">
    <w:name w:val="Body Text"/>
    <w:basedOn w:val="1"/>
    <w:next w:val="1"/>
    <w:link w:val="40"/>
    <w:autoRedefine/>
    <w:qFormat/>
    <w:uiPriority w:val="0"/>
    <w:rPr>
      <w:rFonts w:ascii="楷体_GB2312" w:hAnsi="Arial" w:eastAsia="楷体_GB2312"/>
      <w:kern w:val="0"/>
      <w:sz w:val="28"/>
      <w:szCs w:val="28"/>
    </w:rPr>
  </w:style>
  <w:style w:type="paragraph" w:styleId="9">
    <w:name w:val="Body Text Indent"/>
    <w:basedOn w:val="1"/>
    <w:next w:val="10"/>
    <w:link w:val="52"/>
    <w:autoRedefine/>
    <w:semiHidden/>
    <w:unhideWhenUsed/>
    <w:qFormat/>
    <w:uiPriority w:val="99"/>
    <w:pPr>
      <w:spacing w:after="120"/>
      <w:ind w:left="420" w:leftChars="200"/>
    </w:pPr>
  </w:style>
  <w:style w:type="paragraph" w:styleId="10">
    <w:name w:val="envelope return"/>
    <w:basedOn w:val="1"/>
    <w:next w:val="11"/>
    <w:autoRedefine/>
    <w:qFormat/>
    <w:uiPriority w:val="0"/>
    <w:pPr>
      <w:snapToGrid w:val="0"/>
    </w:pPr>
    <w:rPr>
      <w:rFonts w:ascii="Arial" w:hAnsi="Arial"/>
    </w:rPr>
  </w:style>
  <w:style w:type="paragraph" w:styleId="11">
    <w:name w:val="Title"/>
    <w:basedOn w:val="1"/>
    <w:next w:val="1"/>
    <w:autoRedefine/>
    <w:qFormat/>
    <w:uiPriority w:val="10"/>
    <w:pPr>
      <w:spacing w:before="240" w:after="60"/>
      <w:jc w:val="center"/>
      <w:outlineLvl w:val="0"/>
    </w:pPr>
    <w:rPr>
      <w:rFonts w:ascii="Cambria" w:hAnsi="Cambria"/>
      <w:b/>
      <w:bCs/>
      <w:kern w:val="0"/>
      <w:sz w:val="32"/>
      <w:szCs w:val="32"/>
    </w:rPr>
  </w:style>
  <w:style w:type="paragraph" w:styleId="12">
    <w:name w:val="List Bullet 2"/>
    <w:basedOn w:val="1"/>
    <w:autoRedefine/>
    <w:unhideWhenUsed/>
    <w:qFormat/>
    <w:uiPriority w:val="99"/>
    <w:pPr>
      <w:numPr>
        <w:ilvl w:val="0"/>
        <w:numId w:val="1"/>
      </w:numPr>
      <w:tabs>
        <w:tab w:val="left" w:pos="780"/>
      </w:tabs>
    </w:pPr>
  </w:style>
  <w:style w:type="paragraph" w:styleId="13">
    <w:name w:val="index 4"/>
    <w:basedOn w:val="1"/>
    <w:next w:val="1"/>
    <w:autoRedefine/>
    <w:semiHidden/>
    <w:unhideWhenUsed/>
    <w:qFormat/>
    <w:uiPriority w:val="99"/>
    <w:pPr>
      <w:ind w:left="600" w:leftChars="600"/>
    </w:pPr>
  </w:style>
  <w:style w:type="paragraph" w:styleId="14">
    <w:name w:val="Plain Text"/>
    <w:basedOn w:val="1"/>
    <w:link w:val="41"/>
    <w:autoRedefine/>
    <w:qFormat/>
    <w:uiPriority w:val="99"/>
    <w:rPr>
      <w:rFonts w:ascii="宋体" w:hAnsi="Courier New" w:eastAsiaTheme="minorEastAsia" w:cstheme="minorBidi"/>
    </w:rPr>
  </w:style>
  <w:style w:type="paragraph" w:styleId="15">
    <w:name w:val="Date"/>
    <w:basedOn w:val="1"/>
    <w:next w:val="1"/>
    <w:link w:val="42"/>
    <w:autoRedefine/>
    <w:qFormat/>
    <w:uiPriority w:val="99"/>
    <w:rPr>
      <w:sz w:val="24"/>
      <w:szCs w:val="20"/>
    </w:rPr>
  </w:style>
  <w:style w:type="paragraph" w:styleId="16">
    <w:name w:val="Balloon Text"/>
    <w:basedOn w:val="1"/>
    <w:link w:val="57"/>
    <w:autoRedefine/>
    <w:semiHidden/>
    <w:unhideWhenUsed/>
    <w:qFormat/>
    <w:uiPriority w:val="99"/>
    <w:rPr>
      <w:sz w:val="18"/>
      <w:szCs w:val="18"/>
    </w:rPr>
  </w:style>
  <w:style w:type="paragraph" w:styleId="17">
    <w:name w:val="footer"/>
    <w:basedOn w:val="1"/>
    <w:link w:val="43"/>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8296"/>
      </w:tabs>
      <w:jc w:val="center"/>
    </w:pPr>
    <w:rPr>
      <w:rFonts w:ascii="宋体" w:hAnsi="宋体" w:cs="宋体"/>
      <w:sz w:val="28"/>
      <w:szCs w:val="28"/>
    </w:rPr>
  </w:style>
  <w:style w:type="paragraph" w:styleId="20">
    <w:name w:val="toc 9"/>
    <w:basedOn w:val="1"/>
    <w:next w:val="1"/>
    <w:autoRedefine/>
    <w:semiHidden/>
    <w:qFormat/>
    <w:uiPriority w:val="0"/>
    <w:pPr>
      <w:ind w:left="3360" w:leftChars="1600"/>
    </w:pPr>
  </w:style>
  <w:style w:type="paragraph" w:styleId="21">
    <w:name w:val="annotation subject"/>
    <w:basedOn w:val="6"/>
    <w:next w:val="6"/>
    <w:link w:val="59"/>
    <w:autoRedefine/>
    <w:semiHidden/>
    <w:unhideWhenUsed/>
    <w:qFormat/>
    <w:uiPriority w:val="99"/>
    <w:rPr>
      <w:b/>
      <w:bCs/>
    </w:rPr>
  </w:style>
  <w:style w:type="paragraph" w:styleId="22">
    <w:name w:val="Body Text First Indent"/>
    <w:basedOn w:val="8"/>
    <w:next w:val="23"/>
    <w:autoRedefine/>
    <w:semiHidden/>
    <w:unhideWhenUsed/>
    <w:qFormat/>
    <w:uiPriority w:val="99"/>
    <w:pPr>
      <w:ind w:firstLine="100" w:firstLineChars="100"/>
    </w:pPr>
  </w:style>
  <w:style w:type="paragraph" w:styleId="23">
    <w:name w:val="Body Text First Indent 2"/>
    <w:basedOn w:val="9"/>
    <w:next w:val="1"/>
    <w:link w:val="53"/>
    <w:autoRedefine/>
    <w:qFormat/>
    <w:uiPriority w:val="0"/>
    <w:pPr>
      <w:ind w:firstLine="420"/>
    </w:pPr>
    <w:rPr>
      <w:kern w:val="0"/>
      <w:sz w:val="20"/>
      <w:szCs w:val="24"/>
    </w:r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autoRedefine/>
    <w:unhideWhenUsed/>
    <w:qFormat/>
    <w:uiPriority w:val="99"/>
    <w:rPr>
      <w:color w:val="333333"/>
      <w:u w:val="none"/>
    </w:rPr>
  </w:style>
  <w:style w:type="character" w:styleId="28">
    <w:name w:val="annotation reference"/>
    <w:autoRedefine/>
    <w:unhideWhenUsed/>
    <w:qFormat/>
    <w:uiPriority w:val="0"/>
    <w:rPr>
      <w:sz w:val="21"/>
      <w:szCs w:val="21"/>
    </w:rPr>
  </w:style>
  <w:style w:type="paragraph" w:customStyle="1" w:styleId="29">
    <w:name w:val="标题 5（有编号）（绿盟科技）"/>
    <w:basedOn w:val="1"/>
    <w:next w:val="30"/>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首行缩进"/>
    <w:basedOn w:val="1"/>
    <w:autoRedefine/>
    <w:qFormat/>
    <w:uiPriority w:val="0"/>
    <w:pPr>
      <w:spacing w:line="360" w:lineRule="auto"/>
      <w:ind w:firstLine="480" w:firstLineChars="200"/>
      <w:jc w:val="left"/>
    </w:pPr>
    <w:rPr>
      <w:rFonts w:ascii="宋体" w:hAnsi="宋体"/>
      <w:sz w:val="24"/>
      <w:szCs w:val="24"/>
    </w:rPr>
  </w:style>
  <w:style w:type="paragraph" w:customStyle="1" w:styleId="32">
    <w:name w:val="Char Char Char Char Char Char Char Char Char"/>
    <w:basedOn w:val="1"/>
    <w:next w:val="33"/>
    <w:autoRedefine/>
    <w:qFormat/>
    <w:uiPriority w:val="99"/>
    <w:pPr>
      <w:ind w:left="360" w:firstLine="5784"/>
    </w:pPr>
  </w:style>
  <w:style w:type="paragraph" w:customStyle="1" w:styleId="33">
    <w:name w:val="正文文本 21"/>
    <w:basedOn w:val="1"/>
    <w:next w:val="34"/>
    <w:autoRedefine/>
    <w:qFormat/>
    <w:uiPriority w:val="99"/>
    <w:pPr>
      <w:widowControl/>
      <w:autoSpaceDE w:val="0"/>
      <w:autoSpaceDN w:val="0"/>
      <w:ind w:left="720" w:firstLine="5680"/>
    </w:pPr>
    <w:rPr>
      <w:szCs w:val="21"/>
    </w:rPr>
  </w:style>
  <w:style w:type="paragraph" w:customStyle="1" w:styleId="34">
    <w:name w:val="默认段落字体 Para Char Char Char Char Char Char Char"/>
    <w:basedOn w:val="1"/>
    <w:next w:val="35"/>
    <w:autoRedefine/>
    <w:qFormat/>
    <w:uiPriority w:val="99"/>
    <w:pPr>
      <w:ind w:firstLine="200" w:firstLineChars="200"/>
    </w:pPr>
    <w:rPr>
      <w:rFonts w:cs="Arial"/>
    </w:rPr>
  </w:style>
  <w:style w:type="paragraph" w:customStyle="1" w:styleId="35">
    <w:name w:val="样式 首行缩进:  2 字符"/>
    <w:basedOn w:val="1"/>
    <w:next w:val="36"/>
    <w:qFormat/>
    <w:uiPriority w:val="99"/>
    <w:pPr>
      <w:spacing w:line="360" w:lineRule="auto"/>
      <w:ind w:left="480" w:firstLine="5856"/>
    </w:pPr>
  </w:style>
  <w:style w:type="paragraph" w:customStyle="1" w:styleId="36">
    <w:name w:val="样式 段后: 0.25 行"/>
    <w:basedOn w:val="1"/>
    <w:next w:val="37"/>
    <w:autoRedefine/>
    <w:qFormat/>
    <w:uiPriority w:val="99"/>
    <w:pPr>
      <w:widowControl/>
      <w:spacing w:line="300" w:lineRule="auto"/>
      <w:ind w:left="420" w:firstLine="5796"/>
    </w:pPr>
  </w:style>
  <w:style w:type="paragraph" w:customStyle="1" w:styleId="37">
    <w:name w:val="正文 New New New New New New New New New New New New New New"/>
    <w:next w:val="20"/>
    <w:autoRedefine/>
    <w:qFormat/>
    <w:uiPriority w:val="99"/>
    <w:pPr>
      <w:widowControl w:val="0"/>
      <w:ind w:firstLine="2048"/>
      <w:jc w:val="both"/>
    </w:pPr>
    <w:rPr>
      <w:rFonts w:ascii="Calibri" w:hAnsi="Calibri" w:eastAsia="宋体" w:cs="Times New Roman"/>
      <w:lang w:val="en-US" w:eastAsia="zh-CN" w:bidi="ar-SA"/>
    </w:rPr>
  </w:style>
  <w:style w:type="character" w:customStyle="1" w:styleId="38">
    <w:name w:val="标题 1 Char"/>
    <w:basedOn w:val="26"/>
    <w:link w:val="3"/>
    <w:autoRedefine/>
    <w:qFormat/>
    <w:uiPriority w:val="9"/>
    <w:rPr>
      <w:rFonts w:ascii="Times New Roman" w:hAnsi="Times New Roman" w:eastAsia="宋体" w:cs="Times New Roman"/>
      <w:b/>
      <w:bCs/>
      <w:kern w:val="44"/>
      <w:sz w:val="44"/>
      <w:szCs w:val="44"/>
    </w:rPr>
  </w:style>
  <w:style w:type="character" w:customStyle="1" w:styleId="39">
    <w:name w:val="批注文字 Char"/>
    <w:basedOn w:val="26"/>
    <w:link w:val="6"/>
    <w:autoRedefine/>
    <w:qFormat/>
    <w:uiPriority w:val="99"/>
    <w:rPr>
      <w:rFonts w:ascii="Times New Roman" w:hAnsi="Times New Roman" w:eastAsia="宋体" w:cs="Times New Roman"/>
    </w:rPr>
  </w:style>
  <w:style w:type="character" w:customStyle="1" w:styleId="40">
    <w:name w:val="正文文本 Char"/>
    <w:basedOn w:val="26"/>
    <w:link w:val="8"/>
    <w:autoRedefine/>
    <w:qFormat/>
    <w:uiPriority w:val="0"/>
    <w:rPr>
      <w:rFonts w:ascii="楷体_GB2312" w:hAnsi="Arial" w:eastAsia="楷体_GB2312" w:cs="Times New Roman"/>
      <w:kern w:val="0"/>
      <w:sz w:val="28"/>
      <w:szCs w:val="28"/>
    </w:rPr>
  </w:style>
  <w:style w:type="character" w:customStyle="1" w:styleId="41">
    <w:name w:val="纯文本 Char1"/>
    <w:basedOn w:val="26"/>
    <w:link w:val="14"/>
    <w:autoRedefine/>
    <w:qFormat/>
    <w:uiPriority w:val="99"/>
    <w:rPr>
      <w:rFonts w:ascii="宋体" w:hAnsi="Courier New"/>
    </w:rPr>
  </w:style>
  <w:style w:type="character" w:customStyle="1" w:styleId="42">
    <w:name w:val="日期 Char"/>
    <w:basedOn w:val="26"/>
    <w:link w:val="15"/>
    <w:autoRedefine/>
    <w:qFormat/>
    <w:uiPriority w:val="99"/>
    <w:rPr>
      <w:rFonts w:ascii="Times New Roman" w:hAnsi="Times New Roman" w:eastAsia="宋体" w:cs="Times New Roman"/>
      <w:sz w:val="24"/>
      <w:szCs w:val="20"/>
    </w:rPr>
  </w:style>
  <w:style w:type="character" w:customStyle="1" w:styleId="43">
    <w:name w:val="页脚 Char"/>
    <w:basedOn w:val="26"/>
    <w:link w:val="17"/>
    <w:autoRedefine/>
    <w:qFormat/>
    <w:uiPriority w:val="99"/>
    <w:rPr>
      <w:rFonts w:ascii="Times New Roman" w:hAnsi="Times New Roman" w:eastAsia="宋体" w:cs="Times New Roman"/>
      <w:kern w:val="0"/>
      <w:sz w:val="18"/>
      <w:szCs w:val="18"/>
    </w:rPr>
  </w:style>
  <w:style w:type="character" w:customStyle="1" w:styleId="44">
    <w:name w:val="页眉 Char"/>
    <w:basedOn w:val="26"/>
    <w:link w:val="18"/>
    <w:autoRedefine/>
    <w:qFormat/>
    <w:uiPriority w:val="99"/>
    <w:rPr>
      <w:rFonts w:ascii="Times New Roman" w:hAnsi="Times New Roman" w:eastAsia="宋体" w:cs="Times New Roman"/>
      <w:sz w:val="18"/>
      <w:szCs w:val="18"/>
    </w:rPr>
  </w:style>
  <w:style w:type="paragraph" w:customStyle="1" w:styleId="4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6">
    <w:name w:val="列出段落 Char"/>
    <w:link w:val="47"/>
    <w:autoRedefine/>
    <w:qFormat/>
    <w:locked/>
    <w:uiPriority w:val="0"/>
    <w:rPr>
      <w:rFonts w:ascii="Calibri" w:hAnsi="Calibri" w:eastAsia="宋体" w:cs="Times New Roman"/>
    </w:rPr>
  </w:style>
  <w:style w:type="paragraph" w:customStyle="1" w:styleId="47">
    <w:name w:val="列出段落1"/>
    <w:basedOn w:val="1"/>
    <w:link w:val="46"/>
    <w:autoRedefine/>
    <w:qFormat/>
    <w:uiPriority w:val="0"/>
    <w:pPr>
      <w:ind w:firstLine="200" w:firstLineChars="200"/>
    </w:pPr>
    <w:rPr>
      <w:rFonts w:ascii="Calibri" w:hAnsi="Calibri"/>
    </w:rPr>
  </w:style>
  <w:style w:type="paragraph" w:customStyle="1" w:styleId="48">
    <w:name w:val="Char"/>
    <w:basedOn w:val="1"/>
    <w:autoRedefine/>
    <w:qFormat/>
    <w:uiPriority w:val="0"/>
    <w:pPr>
      <w:tabs>
        <w:tab w:val="left" w:pos="360"/>
      </w:tabs>
      <w:ind w:firstLine="200" w:firstLineChars="200"/>
    </w:pPr>
    <w:rPr>
      <w:sz w:val="28"/>
      <w:szCs w:val="30"/>
    </w:rPr>
  </w:style>
  <w:style w:type="paragraph" w:styleId="49">
    <w:name w:val="List Paragraph"/>
    <w:basedOn w:val="1"/>
    <w:autoRedefine/>
    <w:qFormat/>
    <w:uiPriority w:val="34"/>
    <w:pPr>
      <w:ind w:firstLine="420" w:firstLineChars="200"/>
    </w:pPr>
  </w:style>
  <w:style w:type="paragraph" w:customStyle="1" w:styleId="50">
    <w:name w:val="正文1"/>
    <w:next w:val="9"/>
    <w:autoRedefine/>
    <w:qFormat/>
    <w:uiPriority w:val="3"/>
    <w:rPr>
      <w:rFonts w:ascii="Times New Roman" w:hAnsi="Times New Roman" w:eastAsia="宋体" w:cs="Times New Roman"/>
      <w:lang w:val="en-US" w:eastAsia="zh-CN" w:bidi="ar-SA"/>
    </w:rPr>
  </w:style>
  <w:style w:type="character" w:customStyle="1" w:styleId="51">
    <w:name w:val="纯文本 Char"/>
    <w:autoRedefine/>
    <w:qFormat/>
    <w:uiPriority w:val="99"/>
    <w:rPr>
      <w:rFonts w:ascii="宋体" w:hAnsi="Courier New" w:eastAsia="宋体" w:cs="Times New Roman"/>
      <w:kern w:val="0"/>
      <w:sz w:val="20"/>
      <w:szCs w:val="21"/>
    </w:rPr>
  </w:style>
  <w:style w:type="character" w:customStyle="1" w:styleId="52">
    <w:name w:val="正文文本缩进 Char"/>
    <w:basedOn w:val="26"/>
    <w:link w:val="9"/>
    <w:autoRedefine/>
    <w:semiHidden/>
    <w:qFormat/>
    <w:uiPriority w:val="99"/>
    <w:rPr>
      <w:rFonts w:ascii="Times New Roman" w:hAnsi="Times New Roman" w:eastAsia="宋体" w:cs="Times New Roman"/>
      <w:kern w:val="2"/>
      <w:sz w:val="21"/>
      <w:szCs w:val="22"/>
    </w:rPr>
  </w:style>
  <w:style w:type="character" w:customStyle="1" w:styleId="53">
    <w:name w:val="正文首行缩进 2 Char"/>
    <w:basedOn w:val="52"/>
    <w:link w:val="23"/>
    <w:autoRedefine/>
    <w:qFormat/>
    <w:uiPriority w:val="0"/>
    <w:rPr>
      <w:rFonts w:ascii="Times New Roman" w:hAnsi="Times New Roman" w:eastAsia="宋体" w:cs="Times New Roman"/>
      <w:kern w:val="2"/>
      <w:sz w:val="21"/>
      <w:szCs w:val="24"/>
    </w:rPr>
  </w:style>
  <w:style w:type="character" w:customStyle="1" w:styleId="54">
    <w:name w:val="font11"/>
    <w:autoRedefine/>
    <w:qFormat/>
    <w:uiPriority w:val="0"/>
    <w:rPr>
      <w:rFonts w:hint="eastAsia" w:ascii="宋体" w:hAnsi="宋体" w:eastAsia="宋体" w:cs="宋体"/>
      <w:color w:val="000000"/>
      <w:sz w:val="24"/>
      <w:szCs w:val="24"/>
      <w:u w:val="none"/>
    </w:rPr>
  </w:style>
  <w:style w:type="character" w:customStyle="1" w:styleId="55">
    <w:name w:val="font21"/>
    <w:basedOn w:val="26"/>
    <w:autoRedefine/>
    <w:qFormat/>
    <w:uiPriority w:val="0"/>
    <w:rPr>
      <w:rFonts w:hint="default" w:ascii="Times New Roman" w:hAnsi="Times New Roman" w:cs="Times New Roman"/>
      <w:color w:val="000000"/>
      <w:sz w:val="24"/>
      <w:szCs w:val="24"/>
      <w:u w:val="none"/>
    </w:rPr>
  </w:style>
  <w:style w:type="character" w:customStyle="1" w:styleId="56">
    <w:name w:val="font31"/>
    <w:basedOn w:val="26"/>
    <w:autoRedefine/>
    <w:qFormat/>
    <w:uiPriority w:val="0"/>
    <w:rPr>
      <w:rFonts w:hint="default" w:ascii="Times New Roman" w:hAnsi="Times New Roman" w:cs="Times New Roman"/>
      <w:color w:val="000000"/>
      <w:sz w:val="24"/>
      <w:szCs w:val="24"/>
      <w:u w:val="none"/>
    </w:rPr>
  </w:style>
  <w:style w:type="character" w:customStyle="1" w:styleId="57">
    <w:name w:val="批注框文本 Char"/>
    <w:basedOn w:val="26"/>
    <w:link w:val="16"/>
    <w:autoRedefine/>
    <w:semiHidden/>
    <w:qFormat/>
    <w:uiPriority w:val="99"/>
    <w:rPr>
      <w:kern w:val="2"/>
      <w:sz w:val="18"/>
      <w:szCs w:val="18"/>
    </w:rPr>
  </w:style>
  <w:style w:type="paragraph" w:customStyle="1" w:styleId="58">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59">
    <w:name w:val="批注主题 Char"/>
    <w:basedOn w:val="39"/>
    <w:link w:val="21"/>
    <w:autoRedefine/>
    <w:semiHidden/>
    <w:qFormat/>
    <w:uiPriority w:val="99"/>
    <w:rPr>
      <w:b/>
      <w:bCs/>
      <w:kern w:val="2"/>
      <w:sz w:val="21"/>
      <w:szCs w:val="22"/>
    </w:rPr>
  </w:style>
  <w:style w:type="paragraph" w:customStyle="1" w:styleId="60">
    <w:name w:val="正文文本1"/>
    <w:basedOn w:val="50"/>
    <w:autoRedefine/>
    <w:qFormat/>
    <w:uiPriority w:val="0"/>
    <w:pPr>
      <w:spacing w:line="400" w:lineRule="exact"/>
    </w:pPr>
    <w:rPr>
      <w:rFonts w:ascii="楷体_GB2312" w:hAnsi="楷体_GB2312" w:eastAsia="楷体_GB2312"/>
      <w:sz w:val="24"/>
    </w:rPr>
  </w:style>
  <w:style w:type="paragraph" w:customStyle="1" w:styleId="61">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40F9E5-BBF4-4D57-AA9D-1F408FCEEDDE}">
  <ds:schemaRefs/>
</ds:datastoreItem>
</file>

<file path=docProps/app.xml><?xml version="1.0" encoding="utf-8"?>
<Properties xmlns="http://schemas.openxmlformats.org/officeDocument/2006/extended-properties" xmlns:vt="http://schemas.openxmlformats.org/officeDocument/2006/docPropsVTypes">
  <Template>Normal</Template>
  <Pages>42</Pages>
  <Words>4599</Words>
  <Characters>26218</Characters>
  <Lines>218</Lines>
  <Paragraphs>61</Paragraphs>
  <TotalTime>32</TotalTime>
  <ScaleCrop>false</ScaleCrop>
  <LinksUpToDate>false</LinksUpToDate>
  <CharactersWithSpaces>30756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2022-04-25T09:29:00Z</dcterms:created>
  <dc:creator>Lenovo</dc:creator>
  <cp:lastModifiedBy>Administrator</cp:lastModifiedBy>
  <cp:lastPrinted>2023-11-02T01:45:00Z</cp:lastPrinted>
  <dcterms:modified xsi:type="dcterms:W3CDTF">2024-04-24T01:41:05Z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31801A31D0BA46B2A20DC6F0FC6C2EAD_13</vt:lpwstr>
  </property>
</Properties>
</file>