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eastAsia="黑体"/>
          <w:b/>
          <w:snapToGrid w:val="0"/>
          <w:sz w:val="48"/>
          <w:szCs w:val="48"/>
        </w:rPr>
      </w:pPr>
    </w:p>
    <w:p>
      <w:pPr>
        <w:adjustRightInd w:val="0"/>
        <w:snapToGrid w:val="0"/>
        <w:spacing w:line="360" w:lineRule="auto"/>
        <w:jc w:val="center"/>
        <w:rPr>
          <w:rFonts w:ascii="黑体" w:eastAsia="黑体"/>
          <w:b/>
          <w:snapToGrid w:val="0"/>
          <w:sz w:val="48"/>
          <w:szCs w:val="48"/>
        </w:rPr>
      </w:pPr>
    </w:p>
    <w:p>
      <w:pPr>
        <w:adjustRightInd w:val="0"/>
        <w:snapToGrid w:val="0"/>
        <w:spacing w:line="360" w:lineRule="auto"/>
        <w:jc w:val="center"/>
        <w:rPr>
          <w:rFonts w:ascii="宋体" w:hAnsi="宋体"/>
          <w:b/>
          <w:sz w:val="36"/>
          <w:szCs w:val="36"/>
        </w:rPr>
      </w:pPr>
      <w:r>
        <w:rPr>
          <w:rFonts w:hint="eastAsia" w:ascii="宋体" w:hAnsi="宋体"/>
          <w:b/>
          <w:sz w:val="36"/>
          <w:szCs w:val="36"/>
        </w:rPr>
        <w:t>运河南北路快速化改造一期工程(七里河路至万福路)先导段桩基检测比价文件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p>
    <w:p>
      <w:pPr>
        <w:adjustRightInd w:val="0"/>
        <w:snapToGrid w:val="0"/>
        <w:spacing w:line="480" w:lineRule="auto"/>
        <w:ind w:firstLine="160" w:firstLineChars="50"/>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比 价 人：</w:t>
      </w:r>
      <w:bookmarkStart w:id="0" w:name="EB7dd9507bfbbb44b69fb3d3bc35395409"/>
      <w:r>
        <w:rPr>
          <w:rFonts w:hint="eastAsia" w:ascii="华文楷体" w:hAnsi="华文楷体" w:eastAsia="华文楷体"/>
          <w:b/>
          <w:bCs/>
          <w:snapToGrid w:val="0"/>
          <w:sz w:val="32"/>
          <w:szCs w:val="32"/>
          <w:u w:val="single"/>
        </w:rPr>
        <w:t>扬州万福投资发展有限责任公司</w:t>
      </w:r>
      <w:bookmarkEnd w:id="0"/>
    </w:p>
    <w:p>
      <w:pPr>
        <w:adjustRightInd w:val="0"/>
        <w:snapToGrid w:val="0"/>
        <w:spacing w:line="480" w:lineRule="auto"/>
        <w:rPr>
          <w:rFonts w:hint="eastAsia" w:ascii="华文楷体" w:hAnsi="华文楷体" w:eastAsia="华文楷体"/>
          <w:b/>
          <w:bCs/>
          <w:snapToGrid w:val="0"/>
          <w:sz w:val="32"/>
          <w:szCs w:val="32"/>
          <w:u w:val="single"/>
        </w:rPr>
      </w:pPr>
      <w:r>
        <w:rPr>
          <w:rFonts w:hint="eastAsia" w:ascii="华文楷体" w:hAnsi="华文楷体" w:eastAsia="华文楷体"/>
          <w:b/>
          <w:bCs/>
          <w:snapToGrid w:val="0"/>
          <w:sz w:val="32"/>
          <w:szCs w:val="32"/>
        </w:rPr>
        <w:t xml:space="preserve"> 发放日期：</w:t>
      </w:r>
      <w:bookmarkStart w:id="1" w:name="EB59c3faf64f2a4bd092a206fb1d0c3c03"/>
      <w:bookmarkEnd w:id="1"/>
      <w:r>
        <w:rPr>
          <w:rFonts w:hint="eastAsia" w:ascii="华文楷体" w:hAnsi="华文楷体" w:eastAsia="华文楷体"/>
          <w:b/>
          <w:bCs/>
          <w:snapToGrid w:val="0"/>
          <w:sz w:val="32"/>
          <w:szCs w:val="32"/>
          <w:u w:val="single"/>
        </w:rPr>
        <w:t xml:space="preserve"> 2018年10月</w:t>
      </w:r>
      <w:r>
        <w:rPr>
          <w:rFonts w:hint="eastAsia" w:ascii="华文楷体" w:hAnsi="华文楷体" w:eastAsia="华文楷体"/>
          <w:b/>
          <w:bCs/>
          <w:snapToGrid w:val="0"/>
          <w:sz w:val="32"/>
          <w:szCs w:val="32"/>
          <w:u w:val="single"/>
          <w:lang w:val="en-US" w:eastAsia="zh-CN"/>
        </w:rPr>
        <w:t>31</w:t>
      </w:r>
      <w:r>
        <w:rPr>
          <w:rFonts w:hint="eastAsia" w:ascii="华文楷体" w:hAnsi="华文楷体" w:eastAsia="华文楷体"/>
          <w:b/>
          <w:bCs/>
          <w:snapToGrid w:val="0"/>
          <w:sz w:val="32"/>
          <w:szCs w:val="32"/>
          <w:u w:val="single"/>
        </w:rPr>
        <w:t xml:space="preserve">日  </w:t>
      </w:r>
      <w:bookmarkStart w:id="2" w:name="EB6ea16da7b15743eea2725672f72d6ef5"/>
      <w:bookmarkEnd w:id="2"/>
      <w:bookmarkStart w:id="3" w:name="EBae3932507ea447db8869e9e90f30bd27"/>
      <w:bookmarkEnd w:id="3"/>
    </w:p>
    <w:p>
      <w:pPr>
        <w:spacing w:line="360" w:lineRule="auto"/>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r>
        <w:rPr>
          <w:rFonts w:hint="eastAsia" w:ascii="宋体" w:hAnsi="宋体"/>
          <w:b/>
          <w:sz w:val="30"/>
          <w:szCs w:val="30"/>
        </w:rPr>
        <w:t>运河南北路快速化改造一期工程(七里河路至万福路)先导段</w:t>
      </w:r>
    </w:p>
    <w:p>
      <w:pPr>
        <w:adjustRightInd w:val="0"/>
        <w:snapToGrid w:val="0"/>
        <w:spacing w:line="360" w:lineRule="auto"/>
        <w:jc w:val="center"/>
        <w:rPr>
          <w:rFonts w:hint="eastAsia" w:ascii="宋体" w:hAnsi="宋体"/>
          <w:b/>
          <w:sz w:val="30"/>
          <w:szCs w:val="30"/>
        </w:rPr>
      </w:pPr>
      <w:r>
        <w:rPr>
          <w:rFonts w:hint="eastAsia" w:ascii="宋体" w:hAnsi="宋体"/>
          <w:b/>
          <w:sz w:val="30"/>
          <w:szCs w:val="30"/>
        </w:rPr>
        <w:t>桩基检测比价公告</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一、项目名称：</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运河南北路快速化改造一期工程(七里河路至万福路)先导段桩基检测比价</w:t>
      </w:r>
    </w:p>
    <w:p>
      <w:pPr>
        <w:numPr>
          <w:ilvl w:val="0"/>
          <w:numId w:val="3"/>
        </w:numPr>
        <w:spacing w:line="360" w:lineRule="auto"/>
        <w:rPr>
          <w:rFonts w:ascii="仿宋_GB2312" w:hAnsi="华文中宋" w:eastAsia="仿宋_GB2312"/>
          <w:b/>
          <w:sz w:val="28"/>
          <w:szCs w:val="28"/>
        </w:rPr>
      </w:pPr>
      <w:r>
        <w:rPr>
          <w:rFonts w:hint="eastAsia" w:ascii="仿宋_GB2312" w:hAnsi="华文中宋" w:eastAsia="仿宋_GB2312"/>
          <w:b/>
          <w:sz w:val="28"/>
          <w:szCs w:val="28"/>
        </w:rPr>
        <w:t>项目概况及内容：</w:t>
      </w:r>
    </w:p>
    <w:p>
      <w:pPr>
        <w:ind w:firstLine="560" w:firstLineChars="200"/>
        <w:rPr>
          <w:rFonts w:ascii="仿宋_GB2312" w:hAnsi="华文中宋" w:eastAsia="仿宋_GB2312"/>
          <w:sz w:val="28"/>
          <w:szCs w:val="28"/>
        </w:rPr>
      </w:pPr>
      <w:r>
        <w:rPr>
          <w:rFonts w:hint="eastAsia" w:ascii="仿宋_GB2312" w:hAnsi="华文中宋" w:eastAsia="仿宋_GB2312"/>
          <w:sz w:val="28"/>
          <w:szCs w:val="28"/>
        </w:rPr>
        <w:t>运河路作为扬州市中心城区快速内环的东环，是快速路网的重要一纵。运河南北路快速化改造一期工程（七里河路至万福路）北起万福西路，顺接新万福路互通，向南延伸终于七里河路，道路全长 3.9km。本次实施段为</w:t>
      </w:r>
      <w:bookmarkStart w:id="4" w:name="EBbdd517f0fe6547968417af922c95536c"/>
      <w:r>
        <w:rPr>
          <w:rFonts w:hint="eastAsia" w:ascii="仿宋_GB2312" w:hAnsi="华文中宋" w:eastAsia="仿宋_GB2312"/>
          <w:sz w:val="28"/>
          <w:szCs w:val="28"/>
        </w:rPr>
        <w:t>一期工程(七里河路至万福路)先导段施工图及清单范围内道路、高架桥（含部分既有高架桥的顶升）、道路排水工程施工</w:t>
      </w:r>
      <w:bookmarkEnd w:id="4"/>
      <w:r>
        <w:rPr>
          <w:rFonts w:hint="eastAsia" w:ascii="仿宋_GB2312" w:hAnsi="华文中宋" w:eastAsia="仿宋_GB2312"/>
          <w:sz w:val="28"/>
          <w:szCs w:val="28"/>
        </w:rPr>
        <w:t>。</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三、工期要求：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现场检测工期根据现场施工情况确定,具体时间根据桩基施工进展情况,由业主代表或监理工程师通知到现场检测,不得影响总施工进程。</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四、</w:t>
      </w:r>
      <w:r>
        <w:rPr>
          <w:rFonts w:ascii="仿宋_GB2312" w:hAnsi="华文中宋" w:eastAsia="仿宋_GB2312"/>
          <w:b/>
          <w:sz w:val="28"/>
          <w:szCs w:val="28"/>
        </w:rPr>
        <w:t>对</w:t>
      </w:r>
      <w:r>
        <w:rPr>
          <w:rFonts w:hint="eastAsia" w:ascii="仿宋_GB2312" w:hAnsi="华文中宋" w:eastAsia="仿宋_GB2312"/>
          <w:b/>
          <w:sz w:val="28"/>
          <w:szCs w:val="28"/>
        </w:rPr>
        <w:t>报价</w:t>
      </w:r>
      <w:r>
        <w:rPr>
          <w:rFonts w:ascii="仿宋_GB2312" w:hAnsi="华文中宋" w:eastAsia="仿宋_GB2312"/>
          <w:b/>
          <w:sz w:val="28"/>
          <w:szCs w:val="28"/>
        </w:rPr>
        <w:t>人资质要求：</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1、具有独立订立合同的能力；</w:t>
      </w:r>
    </w:p>
    <w:p>
      <w:pPr>
        <w:spacing w:line="360" w:lineRule="auto"/>
        <w:rPr>
          <w:rFonts w:ascii="仿宋_GB2312" w:hAnsi="宋体" w:eastAsia="仿宋_GB2312" w:cs="宋体"/>
          <w:sz w:val="28"/>
          <w:szCs w:val="28"/>
        </w:rPr>
      </w:pPr>
      <w:r>
        <w:rPr>
          <w:rFonts w:hint="eastAsia" w:ascii="仿宋_GB2312" w:hAnsi="华文中宋" w:eastAsia="仿宋_GB2312"/>
          <w:bCs/>
          <w:sz w:val="28"/>
          <w:szCs w:val="28"/>
        </w:rPr>
        <w:t>2、</w:t>
      </w:r>
      <w:r>
        <w:rPr>
          <w:rFonts w:hint="eastAsia" w:ascii="仿宋_GB2312" w:hAnsi="宋体" w:eastAsia="仿宋_GB2312" w:cs="宋体"/>
          <w:sz w:val="28"/>
          <w:szCs w:val="28"/>
        </w:rPr>
        <w:t>建设工程质量检测机构资质证书（核定项目：地基基础工程检测：高应力检测、声波透射法、单桩承载力静载检测（桩的承载力不小于10000KN）），且具有省级及以上计量行政部门颁发的《CMA计量认证书》</w:t>
      </w:r>
    </w:p>
    <w:p>
      <w:pPr>
        <w:spacing w:line="360" w:lineRule="auto"/>
        <w:rPr>
          <w:rFonts w:ascii="仿宋_GB2312" w:hAnsi="华文中宋" w:eastAsia="仿宋_GB2312"/>
          <w:bCs/>
          <w:sz w:val="28"/>
          <w:szCs w:val="28"/>
        </w:rPr>
      </w:pPr>
      <w:r>
        <w:rPr>
          <w:rFonts w:hint="eastAsia" w:ascii="仿宋_GB2312" w:hAnsi="华文中宋" w:eastAsia="仿宋_GB2312"/>
          <w:bCs/>
          <w:sz w:val="28"/>
          <w:szCs w:val="28"/>
        </w:rPr>
        <w:t xml:space="preserve">3、本工程不接受联合体报价 </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4、符合法律、法规规定的其他条件</w:t>
      </w:r>
    </w:p>
    <w:p>
      <w:pPr>
        <w:pStyle w:val="16"/>
        <w:spacing w:before="120" w:beforeAutospacing="0" w:after="120" w:afterAutospacing="0" w:line="320" w:lineRule="atLeast"/>
        <w:ind w:firstLine="137" w:firstLineChars="49"/>
        <w:rPr>
          <w:rFonts w:ascii="华文中宋" w:hAnsi="华文中宋" w:eastAsia="华文中宋"/>
          <w:kern w:val="2"/>
          <w:sz w:val="28"/>
          <w:szCs w:val="28"/>
        </w:rPr>
      </w:pPr>
      <w:r>
        <w:rPr>
          <w:rFonts w:hint="eastAsia" w:ascii="仿宋_GB2312" w:hAnsi="华文中宋" w:eastAsia="仿宋_GB2312"/>
          <w:b/>
          <w:sz w:val="28"/>
          <w:szCs w:val="28"/>
        </w:rPr>
        <w:t>五、</w:t>
      </w:r>
      <w:r>
        <w:rPr>
          <w:rFonts w:hint="eastAsia" w:ascii="华文中宋" w:hAnsi="华文中宋" w:eastAsia="华文中宋"/>
          <w:b/>
          <w:kern w:val="2"/>
          <w:sz w:val="28"/>
          <w:szCs w:val="28"/>
        </w:rPr>
        <w:t>资格审查方法：</w:t>
      </w:r>
    </w:p>
    <w:p>
      <w:pPr>
        <w:pStyle w:val="16"/>
        <w:spacing w:before="120" w:beforeAutospacing="0" w:after="120" w:afterAutospacing="0" w:line="320" w:lineRule="atLeast"/>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本工程比价采用：资格后审；</w:t>
      </w:r>
    </w:p>
    <w:p>
      <w:pPr>
        <w:pStyle w:val="16"/>
        <w:spacing w:before="120" w:beforeAutospacing="0" w:after="120" w:afterAutospacing="0" w:line="320" w:lineRule="atLeast"/>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资格审查方法： 合格制 。</w:t>
      </w:r>
    </w:p>
    <w:p>
      <w:pPr>
        <w:spacing w:line="360" w:lineRule="auto"/>
        <w:rPr>
          <w:rFonts w:ascii="仿宋_GB2312" w:hAnsi="华文中宋" w:eastAsia="仿宋_GB2312"/>
          <w:b/>
          <w:sz w:val="30"/>
          <w:szCs w:val="30"/>
        </w:rPr>
      </w:pPr>
      <w:r>
        <w:rPr>
          <w:rFonts w:hint="eastAsia" w:ascii="仿宋_GB2312" w:hAnsi="华文中宋" w:eastAsia="仿宋_GB2312"/>
          <w:b/>
          <w:sz w:val="30"/>
          <w:szCs w:val="30"/>
        </w:rPr>
        <w:t>六、报价文件的递交：</w:t>
      </w:r>
    </w:p>
    <w:p>
      <w:pPr>
        <w:spacing w:line="360" w:lineRule="auto"/>
        <w:ind w:firstLine="140" w:firstLineChars="50"/>
        <w:rPr>
          <w:rFonts w:ascii="仿宋_GB2312" w:hAnsi="华文中宋" w:eastAsia="仿宋_GB2312"/>
          <w:sz w:val="28"/>
          <w:szCs w:val="28"/>
        </w:rPr>
      </w:pPr>
      <w:r>
        <w:rPr>
          <w:rFonts w:hint="eastAsia" w:ascii="仿宋_GB2312" w:hAnsi="华文中宋" w:eastAsia="仿宋_GB2312"/>
          <w:sz w:val="28"/>
          <w:szCs w:val="28"/>
        </w:rPr>
        <w:t>1、报价文件递交地点：</w:t>
      </w:r>
    </w:p>
    <w:p>
      <w:pPr>
        <w:spacing w:line="360" w:lineRule="auto"/>
        <w:ind w:firstLine="140" w:firstLineChars="50"/>
        <w:rPr>
          <w:rFonts w:ascii="仿宋_GB2312" w:hAnsi="华文中宋" w:eastAsia="仿宋_GB2312"/>
          <w:sz w:val="28"/>
          <w:szCs w:val="28"/>
        </w:rPr>
      </w:pPr>
      <w:r>
        <w:rPr>
          <w:rFonts w:hint="eastAsia" w:ascii="仿宋_GB2312" w:hAnsi="华文中宋" w:eastAsia="仿宋_GB2312"/>
          <w:sz w:val="28"/>
          <w:szCs w:val="28"/>
        </w:rPr>
        <w:t>史可法路58-21号扬州万福公司二楼审计处</w:t>
      </w:r>
    </w:p>
    <w:p>
      <w:pPr>
        <w:numPr>
          <w:ilvl w:val="0"/>
          <w:numId w:val="4"/>
        </w:numPr>
        <w:spacing w:line="360" w:lineRule="auto"/>
        <w:ind w:firstLine="140" w:firstLineChars="50"/>
        <w:rPr>
          <w:rFonts w:hint="eastAsia" w:ascii="仿宋_GB2312" w:hAnsi="华文中宋" w:eastAsia="仿宋_GB2312"/>
          <w:sz w:val="28"/>
          <w:szCs w:val="28"/>
        </w:rPr>
      </w:pPr>
      <w:r>
        <w:rPr>
          <w:rFonts w:hint="eastAsia" w:ascii="仿宋_GB2312" w:hAnsi="华文中宋" w:eastAsia="仿宋_GB2312"/>
          <w:sz w:val="28"/>
          <w:szCs w:val="28"/>
        </w:rPr>
        <w:t>递交报价文件时间：2018年1</w:t>
      </w:r>
      <w:r>
        <w:rPr>
          <w:rFonts w:hint="eastAsia" w:ascii="仿宋_GB2312" w:hAnsi="华文中宋" w:eastAsia="仿宋_GB2312"/>
          <w:sz w:val="28"/>
          <w:szCs w:val="28"/>
          <w:lang w:val="en-US" w:eastAsia="zh-CN"/>
        </w:rPr>
        <w:t>1</w:t>
      </w:r>
      <w:r>
        <w:rPr>
          <w:rFonts w:hint="eastAsia" w:ascii="仿宋_GB2312" w:hAnsi="华文中宋" w:eastAsia="仿宋_GB2312"/>
          <w:sz w:val="28"/>
          <w:szCs w:val="28"/>
        </w:rPr>
        <w:t>月</w:t>
      </w:r>
      <w:r>
        <w:rPr>
          <w:rFonts w:hint="eastAsia" w:ascii="仿宋_GB2312" w:hAnsi="华文中宋" w:eastAsia="仿宋_GB2312"/>
          <w:sz w:val="28"/>
          <w:szCs w:val="28"/>
          <w:lang w:val="en-US" w:eastAsia="zh-CN"/>
        </w:rPr>
        <w:t>5</w:t>
      </w:r>
      <w:r>
        <w:rPr>
          <w:rFonts w:hint="eastAsia" w:ascii="仿宋_GB2312" w:hAnsi="华文中宋" w:eastAsia="仿宋_GB2312"/>
          <w:sz w:val="28"/>
          <w:szCs w:val="28"/>
        </w:rPr>
        <w:t>日上午11:00前；</w:t>
      </w:r>
    </w:p>
    <w:p>
      <w:pPr>
        <w:numPr>
          <w:ilvl w:val="0"/>
          <w:numId w:val="4"/>
        </w:numPr>
        <w:spacing w:line="360" w:lineRule="auto"/>
        <w:ind w:firstLine="140" w:firstLineChars="50"/>
        <w:rPr>
          <w:rFonts w:ascii="仿宋_GB2312" w:hAnsi="华文中宋" w:eastAsia="仿宋_GB2312"/>
          <w:sz w:val="28"/>
          <w:szCs w:val="28"/>
        </w:rPr>
      </w:pPr>
      <w:r>
        <w:rPr>
          <w:rFonts w:hint="eastAsia" w:ascii="仿宋_GB2312" w:hAnsi="华文中宋" w:eastAsia="仿宋_GB2312"/>
          <w:sz w:val="28"/>
          <w:szCs w:val="28"/>
        </w:rPr>
        <w:t>联系人：</w:t>
      </w:r>
      <w:r>
        <w:rPr>
          <w:rFonts w:hint="eastAsia" w:ascii="仿宋_GB2312" w:hAnsi="华文中宋" w:eastAsia="仿宋_GB2312" w:cs="Times New Roman"/>
          <w:kern w:val="2"/>
          <w:sz w:val="28"/>
          <w:szCs w:val="28"/>
        </w:rPr>
        <w:t>陈工18936228190</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 xml:space="preserve">            姚工18151448897</w:t>
      </w: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spacing w:line="360" w:lineRule="auto"/>
        <w:rPr>
          <w:rFonts w:ascii="黑体" w:eastAsia="黑体"/>
          <w:b/>
          <w:snapToGrid w:val="0"/>
          <w:sz w:val="32"/>
          <w:szCs w:val="32"/>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p>
    <w:p>
      <w:pPr>
        <w:adjustRightInd w:val="0"/>
        <w:snapToGrid w:val="0"/>
        <w:spacing w:line="360" w:lineRule="auto"/>
        <w:jc w:val="center"/>
        <w:rPr>
          <w:rFonts w:ascii="宋体" w:hAnsi="宋体"/>
          <w:b/>
          <w:sz w:val="30"/>
          <w:szCs w:val="30"/>
        </w:rPr>
      </w:pPr>
      <w:r>
        <w:rPr>
          <w:rFonts w:hint="eastAsia" w:ascii="宋体" w:hAnsi="宋体"/>
          <w:b/>
          <w:sz w:val="30"/>
          <w:szCs w:val="30"/>
        </w:rPr>
        <w:t>运河南北路快速化改造一期工程(七里河路至万福路)先导段</w:t>
      </w:r>
    </w:p>
    <w:p>
      <w:pPr>
        <w:adjustRightInd w:val="0"/>
        <w:snapToGrid w:val="0"/>
        <w:spacing w:line="360" w:lineRule="auto"/>
        <w:jc w:val="center"/>
        <w:rPr>
          <w:rFonts w:hint="eastAsia" w:ascii="宋体" w:hAnsi="宋体"/>
          <w:b/>
          <w:sz w:val="30"/>
          <w:szCs w:val="30"/>
        </w:rPr>
      </w:pPr>
      <w:r>
        <w:rPr>
          <w:rFonts w:hint="eastAsia" w:ascii="宋体" w:hAnsi="宋体"/>
          <w:b/>
          <w:sz w:val="30"/>
          <w:szCs w:val="30"/>
        </w:rPr>
        <w:t>桩基检测比价文件</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一、项目名称：</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 xml:space="preserve">   运河南北路快速化改造一期工程(七里河路至万福路)先导段桩基检测比价</w:t>
      </w:r>
    </w:p>
    <w:p>
      <w:pPr>
        <w:numPr>
          <w:ilvl w:val="0"/>
          <w:numId w:val="3"/>
        </w:numPr>
        <w:spacing w:line="360" w:lineRule="auto"/>
        <w:rPr>
          <w:rFonts w:ascii="仿宋_GB2312" w:hAnsi="华文中宋" w:eastAsia="仿宋_GB2312"/>
          <w:b/>
          <w:sz w:val="28"/>
          <w:szCs w:val="28"/>
        </w:rPr>
      </w:pPr>
      <w:r>
        <w:rPr>
          <w:rFonts w:hint="eastAsia" w:ascii="仿宋_GB2312" w:hAnsi="华文中宋" w:eastAsia="仿宋_GB2312"/>
          <w:b/>
          <w:sz w:val="28"/>
          <w:szCs w:val="28"/>
        </w:rPr>
        <w:t>项目概况及内容：</w:t>
      </w:r>
    </w:p>
    <w:p>
      <w:pPr>
        <w:ind w:firstLine="560" w:firstLineChars="200"/>
        <w:rPr>
          <w:rFonts w:ascii="仿宋_GB2312" w:hAnsi="华文中宋" w:eastAsia="仿宋_GB2312"/>
          <w:sz w:val="28"/>
          <w:szCs w:val="28"/>
        </w:rPr>
      </w:pPr>
      <w:r>
        <w:rPr>
          <w:rFonts w:hint="eastAsia" w:ascii="仿宋_GB2312" w:hAnsi="华文中宋" w:eastAsia="仿宋_GB2312"/>
          <w:sz w:val="28"/>
          <w:szCs w:val="28"/>
        </w:rPr>
        <w:t>运河路作为扬州市中心城区快速内环的东环，是快速路网的重要一纵。运河南北路快速化改造一期工程（七里河路至万福路）北起万福西路，顺接新万福路互通，向南延伸终于七里河路，道路全长 3.9km。本次实施段为一期工程(七里河路至万福路)先导段施工图及清单范围内道路、高架桥（含部分既有高架桥的顶升）、道路排水工程施工。</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三、工期要求：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现场检测工期根据现场施工情况确定,具体时间根据桩基施工进展情况,由业主代表或监理工程师通知到现场检测,不得影响总施工进程。</w:t>
      </w:r>
    </w:p>
    <w:p>
      <w:pPr>
        <w:spacing w:line="360" w:lineRule="auto"/>
        <w:rPr>
          <w:rFonts w:ascii="仿宋_GB2312" w:hAnsi="华文中宋" w:eastAsia="仿宋_GB2312"/>
          <w:b/>
          <w:sz w:val="28"/>
          <w:szCs w:val="28"/>
        </w:rPr>
      </w:pPr>
      <w:r>
        <w:rPr>
          <w:rFonts w:hint="eastAsia" w:ascii="仿宋_GB2312" w:hAnsi="华文中宋" w:eastAsia="仿宋_GB2312"/>
          <w:b/>
          <w:sz w:val="28"/>
          <w:szCs w:val="28"/>
        </w:rPr>
        <w:t>四、</w:t>
      </w:r>
      <w:r>
        <w:rPr>
          <w:rFonts w:ascii="仿宋_GB2312" w:hAnsi="华文中宋" w:eastAsia="仿宋_GB2312"/>
          <w:b/>
          <w:sz w:val="28"/>
          <w:szCs w:val="28"/>
        </w:rPr>
        <w:t>对</w:t>
      </w:r>
      <w:r>
        <w:rPr>
          <w:rFonts w:hint="eastAsia" w:ascii="仿宋_GB2312" w:hAnsi="华文中宋" w:eastAsia="仿宋_GB2312"/>
          <w:b/>
          <w:sz w:val="28"/>
          <w:szCs w:val="28"/>
        </w:rPr>
        <w:t>报价</w:t>
      </w:r>
      <w:r>
        <w:rPr>
          <w:rFonts w:ascii="仿宋_GB2312" w:hAnsi="华文中宋" w:eastAsia="仿宋_GB2312"/>
          <w:b/>
          <w:sz w:val="28"/>
          <w:szCs w:val="28"/>
        </w:rPr>
        <w:t>人资质要求：</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1、具有独立订立合同的能力；</w:t>
      </w:r>
    </w:p>
    <w:p>
      <w:pPr>
        <w:spacing w:line="360" w:lineRule="auto"/>
        <w:rPr>
          <w:rFonts w:ascii="仿宋_GB2312" w:hAnsi="宋体" w:eastAsia="仿宋_GB2312" w:cs="宋体"/>
          <w:sz w:val="28"/>
          <w:szCs w:val="28"/>
        </w:rPr>
      </w:pPr>
      <w:r>
        <w:rPr>
          <w:rFonts w:hint="eastAsia" w:ascii="仿宋_GB2312" w:hAnsi="华文中宋" w:eastAsia="仿宋_GB2312"/>
          <w:bCs/>
          <w:sz w:val="28"/>
          <w:szCs w:val="28"/>
        </w:rPr>
        <w:t>2、</w:t>
      </w:r>
      <w:r>
        <w:rPr>
          <w:rFonts w:hint="eastAsia" w:ascii="仿宋_GB2312" w:hAnsi="宋体" w:eastAsia="仿宋_GB2312" w:cs="宋体"/>
          <w:sz w:val="28"/>
          <w:szCs w:val="28"/>
        </w:rPr>
        <w:t>建设工程质量检测机构资质证书（核定项目：地基基础工程检测：高应力检测、声波透射法、单桩承载力静载检测（桩的承载力不小于10000KN）），且具有省级及以上计量行政部门颁发的《CMA计量认证书》</w:t>
      </w:r>
    </w:p>
    <w:p>
      <w:pPr>
        <w:spacing w:line="360" w:lineRule="auto"/>
        <w:rPr>
          <w:rFonts w:ascii="仿宋_GB2312" w:hAnsi="华文中宋" w:eastAsia="仿宋_GB2312"/>
          <w:bCs/>
          <w:sz w:val="28"/>
          <w:szCs w:val="28"/>
        </w:rPr>
      </w:pPr>
      <w:r>
        <w:rPr>
          <w:rFonts w:hint="eastAsia" w:ascii="仿宋_GB2312" w:hAnsi="华文中宋" w:eastAsia="仿宋_GB2312"/>
          <w:bCs/>
          <w:sz w:val="28"/>
          <w:szCs w:val="28"/>
        </w:rPr>
        <w:t xml:space="preserve">3、本工程不接受联合体报价 </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4、符合法律、法规规定的其他条件</w:t>
      </w:r>
    </w:p>
    <w:p>
      <w:pPr>
        <w:pStyle w:val="16"/>
        <w:spacing w:before="0" w:beforeAutospacing="0" w:after="0" w:afterAutospacing="0" w:line="360" w:lineRule="auto"/>
        <w:rPr>
          <w:rFonts w:ascii="仿宋_GB2312" w:hAnsi="华文中宋" w:eastAsia="仿宋_GB2312"/>
          <w:sz w:val="30"/>
          <w:szCs w:val="30"/>
        </w:rPr>
      </w:pPr>
      <w:r>
        <w:rPr>
          <w:rFonts w:hint="eastAsia" w:ascii="仿宋_GB2312" w:hAnsi="华文中宋" w:eastAsia="仿宋_GB2312" w:cs="Times New Roman"/>
          <w:b/>
          <w:kern w:val="2"/>
          <w:sz w:val="30"/>
          <w:szCs w:val="30"/>
        </w:rPr>
        <w:t>五、报价文件组成及要求</w:t>
      </w:r>
    </w:p>
    <w:p>
      <w:pPr>
        <w:pStyle w:val="16"/>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3、承接本次设计任务的技术（或项目）负责人、团队成员的情况介绍、资历证明以及其他可以证明其工作与组织能力的材料；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pPr>
        <w:pStyle w:val="16"/>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16"/>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六、废标条款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16"/>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七、付款及进度：</w:t>
      </w:r>
    </w:p>
    <w:p>
      <w:pPr>
        <w:spacing w:line="360" w:lineRule="auto"/>
        <w:ind w:firstLine="630" w:firstLineChars="225"/>
        <w:rPr>
          <w:rFonts w:ascii="仿宋_GB2312" w:hAnsi="华文中宋" w:eastAsia="仿宋_GB2312"/>
          <w:sz w:val="28"/>
          <w:szCs w:val="28"/>
        </w:rPr>
      </w:pPr>
      <w:r>
        <w:rPr>
          <w:rFonts w:hint="eastAsia" w:ascii="仿宋_GB2312" w:hAnsi="华文中宋" w:eastAsia="仿宋_GB2312"/>
          <w:sz w:val="28"/>
          <w:szCs w:val="28"/>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sz w:val="28"/>
          <w:szCs w:val="28"/>
        </w:rPr>
      </w:pPr>
      <w:r>
        <w:rPr>
          <w:rFonts w:hint="eastAsia" w:ascii="仿宋_GB2312" w:hAnsi="华文中宋" w:eastAsia="仿宋_GB2312"/>
          <w:sz w:val="28"/>
          <w:szCs w:val="28"/>
        </w:rPr>
        <w:t>参加单位须自行对工程现场及周围环境进行踏勘。因踏勘现场所发生的费用自行承担。并应承担踏勘现场的责任和风险。组织单位向参加单位提供的有关数据和资料，是组织单位现有的能被参加单位利用的资料，组织单位对参加单位做出的任何推论、理解和结论均不负责任。</w:t>
      </w:r>
    </w:p>
    <w:p>
      <w:pPr>
        <w:spacing w:line="360" w:lineRule="auto"/>
        <w:ind w:firstLine="630" w:firstLineChars="225"/>
        <w:rPr>
          <w:rFonts w:hint="eastAsia" w:ascii="仿宋_GB2312" w:hAnsi="华文中宋" w:eastAsia="仿宋_GB2312"/>
          <w:sz w:val="28"/>
          <w:szCs w:val="28"/>
        </w:rPr>
      </w:pPr>
      <w:r>
        <w:rPr>
          <w:rFonts w:hint="eastAsia" w:ascii="仿宋_GB2312" w:hAnsi="华文中宋" w:eastAsia="仿宋_GB2312"/>
          <w:sz w:val="28"/>
          <w:szCs w:val="28"/>
        </w:rPr>
        <w:t>2、付款条件：</w:t>
      </w:r>
      <w:r>
        <w:rPr>
          <w:rFonts w:hint="eastAsia" w:ascii="仿宋_GB2312" w:hAnsi="宋体" w:eastAsia="仿宋_GB2312"/>
          <w:sz w:val="28"/>
          <w:szCs w:val="28"/>
        </w:rPr>
        <w:t>在承包人完成相应桥梁桩基检测等全部工作，并提交相关检测报告，经业主认可后，支付相应工作合同金额的</w:t>
      </w:r>
      <w:r>
        <w:rPr>
          <w:rFonts w:hint="eastAsia" w:ascii="仿宋_GB2312" w:hAnsi="华文中宋" w:eastAsia="仿宋_GB2312"/>
          <w:sz w:val="28"/>
          <w:szCs w:val="28"/>
        </w:rPr>
        <w:t>70%，工程竣工且审计（二审）结束、资料归档后六个月内，一次付清剩余款项（不计息）。</w:t>
      </w:r>
    </w:p>
    <w:p>
      <w:pPr>
        <w:pStyle w:val="16"/>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八、报价、结算方式、最高限价</w:t>
      </w:r>
    </w:p>
    <w:p>
      <w:pPr>
        <w:rPr>
          <w:rFonts w:ascii="仿宋_GB2312" w:hAnsi="华文中宋" w:eastAsia="仿宋_GB2312"/>
          <w:sz w:val="28"/>
          <w:szCs w:val="28"/>
        </w:rPr>
      </w:pPr>
      <w:r>
        <w:rPr>
          <w:rFonts w:hint="eastAsia" w:ascii="仿宋_GB2312" w:hAnsi="华文中宋" w:eastAsia="仿宋_GB2312"/>
          <w:sz w:val="28"/>
          <w:szCs w:val="28"/>
        </w:rPr>
        <w:t>1、报价清单：附后</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2、结算方式</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本工程为单价合同，工程量按实结算，以双方现场签证确认作为结算依据(监理作为第三方见证）。甲方现场签证人员为甲方技术人员。</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3、若甲方需在本合同约定的标的或工作量以外委托乙方完成一定工作量，应以正式书面形式将具体工作范围、价款、完成时间、付款进度等主要内容通知乙方。没有甲方正式书面委托而进行的工作量，甲方不予结算。</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4、本项目检测费最高限价为29万。</w:t>
      </w:r>
    </w:p>
    <w:p>
      <w:pPr>
        <w:spacing w:line="360" w:lineRule="auto"/>
        <w:rPr>
          <w:rFonts w:ascii="仿宋_GB2312" w:hAnsi="华文中宋" w:eastAsia="仿宋_GB2312"/>
          <w:bCs/>
          <w:sz w:val="28"/>
          <w:szCs w:val="28"/>
        </w:rPr>
      </w:pPr>
      <w:r>
        <w:rPr>
          <w:rFonts w:hint="eastAsia" w:ascii="仿宋_GB2312" w:hAnsi="华文中宋" w:eastAsia="仿宋_GB2312"/>
          <w:bCs/>
          <w:sz w:val="28"/>
          <w:szCs w:val="28"/>
        </w:rPr>
        <w:t>如报价单位报价超过最高限价，即为无效报价。</w:t>
      </w:r>
    </w:p>
    <w:p>
      <w:pPr>
        <w:pStyle w:val="16"/>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cs="Times New Roman"/>
          <w:b/>
          <w:kern w:val="2"/>
          <w:sz w:val="30"/>
          <w:szCs w:val="30"/>
        </w:rPr>
        <w:t>九、评标方法</w:t>
      </w:r>
    </w:p>
    <w:p>
      <w:pPr>
        <w:pStyle w:val="21"/>
        <w:numPr>
          <w:ilvl w:val="0"/>
          <w:numId w:val="0"/>
        </w:numPr>
        <w:adjustRightInd w:val="0"/>
        <w:snapToGrid w:val="0"/>
        <w:spacing w:line="360" w:lineRule="auto"/>
        <w:rPr>
          <w:rFonts w:ascii="宋体" w:hAnsi="宋体"/>
          <w:b/>
          <w:sz w:val="24"/>
          <w:szCs w:val="24"/>
        </w:rPr>
      </w:pPr>
      <w:r>
        <w:rPr>
          <w:rFonts w:hint="eastAsia" w:ascii="宋体" w:hAnsi="宋体"/>
          <w:b/>
          <w:sz w:val="24"/>
          <w:szCs w:val="24"/>
        </w:rPr>
        <w:t>综合评估法满分100分：技术标20分，商务标80分。</w:t>
      </w:r>
    </w:p>
    <w:p>
      <w:pPr>
        <w:rPr>
          <w:rFonts w:ascii="仿宋" w:hAnsi="仿宋" w:eastAsia="仿宋"/>
          <w:b/>
          <w:sz w:val="24"/>
          <w:szCs w:val="24"/>
        </w:rPr>
      </w:pPr>
      <w:r>
        <w:rPr>
          <w:rFonts w:ascii="仿宋" w:hAnsi="仿宋" w:eastAsia="仿宋"/>
          <w:b/>
          <w:sz w:val="24"/>
          <w:szCs w:val="24"/>
        </w:rPr>
        <w:t>1、技术标评分标准（满分</w:t>
      </w:r>
      <w:r>
        <w:rPr>
          <w:rFonts w:hint="eastAsia" w:ascii="仿宋" w:hAnsi="仿宋" w:eastAsia="仿宋"/>
          <w:b/>
          <w:sz w:val="24"/>
          <w:szCs w:val="24"/>
        </w:rPr>
        <w:t>20</w:t>
      </w:r>
      <w:r>
        <w:rPr>
          <w:rFonts w:ascii="仿宋" w:hAnsi="仿宋" w:eastAsia="仿宋"/>
          <w:b/>
          <w:sz w:val="24"/>
          <w:szCs w:val="24"/>
        </w:rPr>
        <w:t>分）</w:t>
      </w:r>
    </w:p>
    <w:tbl>
      <w:tblPr>
        <w:tblStyle w:val="10"/>
        <w:tblW w:w="9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485"/>
        <w:gridCol w:w="1020"/>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shd w:val="clear" w:color="auto" w:fill="auto"/>
            <w:vAlign w:val="center"/>
          </w:tcPr>
          <w:p>
            <w:pPr>
              <w:jc w:val="center"/>
              <w:rPr>
                <w:rFonts w:ascii="仿宋" w:hAnsi="仿宋" w:eastAsia="仿宋"/>
              </w:rPr>
            </w:pPr>
            <w:r>
              <w:rPr>
                <w:rFonts w:ascii="仿宋" w:hAnsi="仿宋" w:eastAsia="仿宋"/>
              </w:rPr>
              <w:t>评分项目</w:t>
            </w:r>
          </w:p>
        </w:tc>
        <w:tc>
          <w:tcPr>
            <w:tcW w:w="1485" w:type="dxa"/>
            <w:shd w:val="clear" w:color="auto" w:fill="auto"/>
            <w:vAlign w:val="center"/>
          </w:tcPr>
          <w:p>
            <w:pPr>
              <w:jc w:val="center"/>
              <w:rPr>
                <w:rFonts w:ascii="仿宋" w:hAnsi="仿宋" w:eastAsia="仿宋"/>
              </w:rPr>
            </w:pPr>
            <w:r>
              <w:rPr>
                <w:rFonts w:ascii="仿宋" w:hAnsi="仿宋" w:eastAsia="仿宋"/>
              </w:rPr>
              <w:t>评审内容</w:t>
            </w:r>
          </w:p>
        </w:tc>
        <w:tc>
          <w:tcPr>
            <w:tcW w:w="1020" w:type="dxa"/>
            <w:shd w:val="clear" w:color="auto" w:fill="auto"/>
            <w:vAlign w:val="center"/>
          </w:tcPr>
          <w:p>
            <w:pPr>
              <w:jc w:val="center"/>
              <w:rPr>
                <w:rFonts w:ascii="仿宋" w:hAnsi="仿宋" w:eastAsia="仿宋"/>
              </w:rPr>
            </w:pPr>
            <w:r>
              <w:rPr>
                <w:rFonts w:ascii="仿宋" w:hAnsi="仿宋" w:eastAsia="仿宋"/>
              </w:rPr>
              <w:t>分值</w:t>
            </w:r>
          </w:p>
        </w:tc>
        <w:tc>
          <w:tcPr>
            <w:tcW w:w="5279" w:type="dxa"/>
            <w:shd w:val="clear" w:color="auto" w:fill="auto"/>
            <w:vAlign w:val="center"/>
          </w:tcPr>
          <w:p>
            <w:pPr>
              <w:jc w:val="center"/>
              <w:rPr>
                <w:rFonts w:ascii="仿宋" w:hAnsi="仿宋" w:eastAsia="仿宋"/>
              </w:rPr>
            </w:pPr>
            <w:r>
              <w:rPr>
                <w:rFonts w:ascii="仿宋" w:hAnsi="仿宋" w:eastAsia="仿宋"/>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vMerge w:val="restart"/>
            <w:shd w:val="clear" w:color="auto" w:fill="auto"/>
            <w:vAlign w:val="center"/>
          </w:tcPr>
          <w:p>
            <w:pPr>
              <w:jc w:val="center"/>
              <w:rPr>
                <w:rFonts w:ascii="仿宋" w:hAnsi="仿宋" w:eastAsia="仿宋"/>
              </w:rPr>
            </w:pPr>
            <w:r>
              <w:rPr>
                <w:rFonts w:ascii="仿宋" w:hAnsi="仿宋" w:eastAsia="仿宋"/>
              </w:rPr>
              <w:t>技术方案</w:t>
            </w:r>
          </w:p>
        </w:tc>
        <w:tc>
          <w:tcPr>
            <w:tcW w:w="1485" w:type="dxa"/>
            <w:vMerge w:val="restart"/>
            <w:shd w:val="clear" w:color="auto" w:fill="auto"/>
            <w:vAlign w:val="center"/>
          </w:tcPr>
          <w:p>
            <w:pPr>
              <w:jc w:val="center"/>
              <w:rPr>
                <w:rFonts w:ascii="仿宋" w:hAnsi="仿宋" w:eastAsia="仿宋"/>
              </w:rPr>
            </w:pPr>
            <w:r>
              <w:rPr>
                <w:rFonts w:ascii="仿宋" w:hAnsi="仿宋" w:eastAsia="仿宋"/>
              </w:rPr>
              <w:t>检测方案</w:t>
            </w:r>
            <w:r>
              <w:rPr>
                <w:rFonts w:hint="eastAsia" w:ascii="仿宋" w:hAnsi="仿宋" w:eastAsia="仿宋"/>
              </w:rPr>
              <w:t>（20分）</w:t>
            </w:r>
          </w:p>
        </w:tc>
        <w:tc>
          <w:tcPr>
            <w:tcW w:w="1020" w:type="dxa"/>
            <w:shd w:val="clear" w:color="auto" w:fill="auto"/>
            <w:vAlign w:val="center"/>
          </w:tcPr>
          <w:p>
            <w:pPr>
              <w:jc w:val="center"/>
              <w:rPr>
                <w:rFonts w:ascii="仿宋" w:hAnsi="仿宋" w:eastAsia="仿宋"/>
              </w:rPr>
            </w:pPr>
            <w:r>
              <w:rPr>
                <w:rFonts w:hint="eastAsia" w:ascii="仿宋" w:hAnsi="仿宋" w:eastAsia="仿宋"/>
              </w:rPr>
              <w:t>4</w:t>
            </w:r>
          </w:p>
        </w:tc>
        <w:tc>
          <w:tcPr>
            <w:tcW w:w="5279" w:type="dxa"/>
            <w:shd w:val="clear" w:color="auto" w:fill="auto"/>
          </w:tcPr>
          <w:p>
            <w:pPr>
              <w:spacing w:line="360" w:lineRule="auto"/>
              <w:rPr>
                <w:rFonts w:ascii="仿宋" w:hAnsi="仿宋" w:eastAsia="仿宋"/>
                <w:snapToGrid w:val="0"/>
                <w:sz w:val="24"/>
              </w:rPr>
            </w:pPr>
            <w:r>
              <w:rPr>
                <w:rFonts w:hint="eastAsia" w:ascii="仿宋" w:hAnsi="仿宋" w:eastAsia="仿宋"/>
                <w:snapToGrid w:val="0"/>
                <w:sz w:val="24"/>
              </w:rPr>
              <w:t>检测方案符合基本要求，项目目标、范围、任务和依据明确、具体，符合招标文件要求的；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vMerge w:val="continue"/>
            <w:shd w:val="clear" w:color="auto" w:fill="auto"/>
            <w:vAlign w:val="center"/>
          </w:tcPr>
          <w:p>
            <w:pPr>
              <w:jc w:val="center"/>
              <w:rPr>
                <w:rFonts w:ascii="仿宋" w:hAnsi="仿宋" w:eastAsia="仿宋"/>
              </w:rPr>
            </w:pPr>
          </w:p>
        </w:tc>
        <w:tc>
          <w:tcPr>
            <w:tcW w:w="1485" w:type="dxa"/>
            <w:vMerge w:val="continue"/>
            <w:shd w:val="clear" w:color="auto" w:fill="auto"/>
            <w:vAlign w:val="center"/>
          </w:tcPr>
          <w:p>
            <w:pPr>
              <w:jc w:val="center"/>
              <w:rPr>
                <w:rFonts w:ascii="仿宋" w:hAnsi="仿宋" w:eastAsia="仿宋"/>
              </w:rPr>
            </w:pPr>
          </w:p>
        </w:tc>
        <w:tc>
          <w:tcPr>
            <w:tcW w:w="1020" w:type="dxa"/>
            <w:shd w:val="clear" w:color="auto" w:fill="auto"/>
            <w:vAlign w:val="center"/>
          </w:tcPr>
          <w:p>
            <w:pPr>
              <w:jc w:val="center"/>
              <w:rPr>
                <w:rFonts w:ascii="仿宋" w:hAnsi="仿宋" w:eastAsia="仿宋"/>
              </w:rPr>
            </w:pPr>
            <w:r>
              <w:rPr>
                <w:rFonts w:hint="eastAsia" w:ascii="仿宋" w:hAnsi="仿宋" w:eastAsia="仿宋"/>
              </w:rPr>
              <w:t>2</w:t>
            </w:r>
          </w:p>
        </w:tc>
        <w:tc>
          <w:tcPr>
            <w:tcW w:w="5279" w:type="dxa"/>
            <w:shd w:val="clear" w:color="auto" w:fill="auto"/>
          </w:tcPr>
          <w:p>
            <w:pPr>
              <w:spacing w:line="360" w:lineRule="auto"/>
              <w:rPr>
                <w:rFonts w:ascii="仿宋" w:hAnsi="仿宋" w:eastAsia="仿宋"/>
                <w:snapToGrid w:val="0"/>
                <w:sz w:val="24"/>
              </w:rPr>
            </w:pPr>
            <w:r>
              <w:rPr>
                <w:rFonts w:hint="eastAsia" w:ascii="仿宋" w:hAnsi="仿宋" w:eastAsia="仿宋"/>
                <w:snapToGrid w:val="0"/>
                <w:sz w:val="24"/>
              </w:rPr>
              <w:t>检测机构成员职责任务明确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vMerge w:val="continue"/>
            <w:shd w:val="clear" w:color="auto" w:fill="auto"/>
            <w:vAlign w:val="center"/>
          </w:tcPr>
          <w:p>
            <w:pPr>
              <w:jc w:val="center"/>
              <w:rPr>
                <w:rFonts w:ascii="仿宋" w:hAnsi="仿宋" w:eastAsia="仿宋"/>
              </w:rPr>
            </w:pPr>
          </w:p>
        </w:tc>
        <w:tc>
          <w:tcPr>
            <w:tcW w:w="1485" w:type="dxa"/>
            <w:vMerge w:val="continue"/>
            <w:shd w:val="clear" w:color="auto" w:fill="auto"/>
            <w:vAlign w:val="center"/>
          </w:tcPr>
          <w:p>
            <w:pPr>
              <w:jc w:val="center"/>
              <w:rPr>
                <w:rFonts w:ascii="仿宋" w:hAnsi="仿宋" w:eastAsia="仿宋"/>
              </w:rPr>
            </w:pPr>
          </w:p>
        </w:tc>
        <w:tc>
          <w:tcPr>
            <w:tcW w:w="1020" w:type="dxa"/>
            <w:shd w:val="clear" w:color="auto" w:fill="auto"/>
            <w:vAlign w:val="center"/>
          </w:tcPr>
          <w:p>
            <w:pPr>
              <w:jc w:val="center"/>
              <w:rPr>
                <w:rFonts w:ascii="仿宋" w:hAnsi="仿宋" w:eastAsia="仿宋"/>
              </w:rPr>
            </w:pPr>
            <w:r>
              <w:rPr>
                <w:rFonts w:hint="eastAsia" w:ascii="仿宋" w:hAnsi="仿宋" w:eastAsia="仿宋"/>
              </w:rPr>
              <w:t>2</w:t>
            </w:r>
          </w:p>
        </w:tc>
        <w:tc>
          <w:tcPr>
            <w:tcW w:w="5279" w:type="dxa"/>
            <w:shd w:val="clear" w:color="auto" w:fill="auto"/>
          </w:tcPr>
          <w:p>
            <w:pPr>
              <w:spacing w:line="360" w:lineRule="auto"/>
              <w:rPr>
                <w:rFonts w:ascii="仿宋" w:hAnsi="仿宋" w:eastAsia="仿宋"/>
                <w:snapToGrid w:val="0"/>
                <w:sz w:val="24"/>
              </w:rPr>
            </w:pPr>
            <w:r>
              <w:rPr>
                <w:rFonts w:hint="eastAsia" w:ascii="仿宋" w:hAnsi="仿宋" w:eastAsia="仿宋"/>
                <w:snapToGrid w:val="0"/>
                <w:sz w:val="24"/>
              </w:rPr>
              <w:t>检测工作制度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vMerge w:val="continue"/>
            <w:shd w:val="clear" w:color="auto" w:fill="auto"/>
            <w:vAlign w:val="center"/>
          </w:tcPr>
          <w:p>
            <w:pPr>
              <w:jc w:val="center"/>
              <w:rPr>
                <w:rFonts w:ascii="仿宋" w:hAnsi="仿宋" w:eastAsia="仿宋"/>
              </w:rPr>
            </w:pPr>
          </w:p>
        </w:tc>
        <w:tc>
          <w:tcPr>
            <w:tcW w:w="1485" w:type="dxa"/>
            <w:vMerge w:val="continue"/>
            <w:shd w:val="clear" w:color="auto" w:fill="auto"/>
            <w:vAlign w:val="center"/>
          </w:tcPr>
          <w:p>
            <w:pPr>
              <w:jc w:val="center"/>
              <w:rPr>
                <w:rFonts w:ascii="仿宋" w:hAnsi="仿宋" w:eastAsia="仿宋"/>
              </w:rPr>
            </w:pPr>
          </w:p>
        </w:tc>
        <w:tc>
          <w:tcPr>
            <w:tcW w:w="1020" w:type="dxa"/>
            <w:shd w:val="clear" w:color="auto" w:fill="auto"/>
            <w:vAlign w:val="center"/>
          </w:tcPr>
          <w:p>
            <w:pPr>
              <w:jc w:val="center"/>
              <w:rPr>
                <w:rFonts w:ascii="仿宋" w:hAnsi="仿宋" w:eastAsia="仿宋"/>
              </w:rPr>
            </w:pPr>
            <w:r>
              <w:rPr>
                <w:rFonts w:hint="eastAsia" w:ascii="仿宋" w:hAnsi="仿宋" w:eastAsia="仿宋"/>
              </w:rPr>
              <w:t>4</w:t>
            </w:r>
          </w:p>
        </w:tc>
        <w:tc>
          <w:tcPr>
            <w:tcW w:w="5279" w:type="dxa"/>
            <w:shd w:val="clear" w:color="auto" w:fill="auto"/>
          </w:tcPr>
          <w:p>
            <w:pPr>
              <w:spacing w:line="360" w:lineRule="auto"/>
              <w:rPr>
                <w:rFonts w:ascii="仿宋" w:hAnsi="仿宋" w:eastAsia="仿宋"/>
                <w:snapToGrid w:val="0"/>
                <w:sz w:val="24"/>
              </w:rPr>
            </w:pPr>
            <w:r>
              <w:rPr>
                <w:rFonts w:hint="eastAsia" w:ascii="仿宋" w:hAnsi="仿宋" w:eastAsia="仿宋"/>
                <w:snapToGrid w:val="0"/>
                <w:sz w:val="24"/>
              </w:rPr>
              <w:t>检测目标控制措施和手段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vMerge w:val="continue"/>
            <w:shd w:val="clear" w:color="auto" w:fill="auto"/>
            <w:vAlign w:val="center"/>
          </w:tcPr>
          <w:p>
            <w:pPr>
              <w:jc w:val="center"/>
              <w:rPr>
                <w:rFonts w:ascii="仿宋" w:hAnsi="仿宋" w:eastAsia="仿宋"/>
              </w:rPr>
            </w:pPr>
          </w:p>
        </w:tc>
        <w:tc>
          <w:tcPr>
            <w:tcW w:w="1485" w:type="dxa"/>
            <w:vMerge w:val="continue"/>
            <w:shd w:val="clear" w:color="auto" w:fill="auto"/>
            <w:vAlign w:val="center"/>
          </w:tcPr>
          <w:p>
            <w:pPr>
              <w:jc w:val="center"/>
              <w:rPr>
                <w:rFonts w:ascii="仿宋" w:hAnsi="仿宋" w:eastAsia="仿宋"/>
              </w:rPr>
            </w:pPr>
          </w:p>
        </w:tc>
        <w:tc>
          <w:tcPr>
            <w:tcW w:w="1020" w:type="dxa"/>
            <w:shd w:val="clear" w:color="auto" w:fill="auto"/>
            <w:vAlign w:val="center"/>
          </w:tcPr>
          <w:p>
            <w:pPr>
              <w:jc w:val="center"/>
              <w:rPr>
                <w:rFonts w:ascii="仿宋" w:hAnsi="仿宋" w:eastAsia="仿宋"/>
              </w:rPr>
            </w:pPr>
            <w:r>
              <w:rPr>
                <w:rFonts w:hint="eastAsia" w:ascii="仿宋" w:hAnsi="仿宋" w:eastAsia="仿宋"/>
              </w:rPr>
              <w:t>4</w:t>
            </w:r>
          </w:p>
        </w:tc>
        <w:tc>
          <w:tcPr>
            <w:tcW w:w="5279" w:type="dxa"/>
            <w:shd w:val="clear" w:color="auto" w:fill="auto"/>
          </w:tcPr>
          <w:p>
            <w:pPr>
              <w:spacing w:line="360" w:lineRule="auto"/>
              <w:rPr>
                <w:rFonts w:ascii="仿宋" w:hAnsi="仿宋" w:eastAsia="仿宋"/>
                <w:snapToGrid w:val="0"/>
                <w:sz w:val="24"/>
              </w:rPr>
            </w:pPr>
            <w:r>
              <w:rPr>
                <w:rFonts w:hint="eastAsia" w:ascii="仿宋" w:hAnsi="仿宋" w:eastAsia="仿宋"/>
                <w:snapToGrid w:val="0"/>
                <w:sz w:val="24"/>
              </w:rPr>
              <w:t>针对本工程特点、技术难点的分析及相应的控制措施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vMerge w:val="continue"/>
            <w:shd w:val="clear" w:color="auto" w:fill="auto"/>
            <w:vAlign w:val="center"/>
          </w:tcPr>
          <w:p>
            <w:pPr>
              <w:jc w:val="center"/>
              <w:rPr>
                <w:rFonts w:ascii="仿宋" w:hAnsi="仿宋" w:eastAsia="仿宋"/>
              </w:rPr>
            </w:pPr>
          </w:p>
        </w:tc>
        <w:tc>
          <w:tcPr>
            <w:tcW w:w="1485" w:type="dxa"/>
            <w:vMerge w:val="continue"/>
            <w:shd w:val="clear" w:color="auto" w:fill="auto"/>
            <w:vAlign w:val="center"/>
          </w:tcPr>
          <w:p>
            <w:pPr>
              <w:jc w:val="center"/>
              <w:rPr>
                <w:rFonts w:ascii="仿宋" w:hAnsi="仿宋" w:eastAsia="仿宋"/>
              </w:rPr>
            </w:pPr>
          </w:p>
        </w:tc>
        <w:tc>
          <w:tcPr>
            <w:tcW w:w="1020" w:type="dxa"/>
            <w:shd w:val="clear" w:color="auto" w:fill="auto"/>
            <w:vAlign w:val="center"/>
          </w:tcPr>
          <w:p>
            <w:pPr>
              <w:jc w:val="center"/>
              <w:rPr>
                <w:rFonts w:ascii="仿宋" w:hAnsi="仿宋" w:eastAsia="仿宋"/>
              </w:rPr>
            </w:pPr>
            <w:r>
              <w:rPr>
                <w:rFonts w:hint="eastAsia" w:ascii="仿宋" w:hAnsi="仿宋" w:eastAsia="仿宋"/>
              </w:rPr>
              <w:t>2</w:t>
            </w:r>
          </w:p>
        </w:tc>
        <w:tc>
          <w:tcPr>
            <w:tcW w:w="5279" w:type="dxa"/>
            <w:shd w:val="clear" w:color="auto" w:fill="auto"/>
          </w:tcPr>
          <w:p>
            <w:pPr>
              <w:spacing w:line="360" w:lineRule="auto"/>
              <w:rPr>
                <w:rFonts w:ascii="仿宋" w:hAnsi="仿宋" w:eastAsia="仿宋"/>
                <w:snapToGrid w:val="0"/>
                <w:sz w:val="24"/>
              </w:rPr>
            </w:pPr>
            <w:r>
              <w:rPr>
                <w:rFonts w:hint="eastAsia" w:ascii="仿宋" w:hAnsi="仿宋" w:eastAsia="仿宋"/>
                <w:snapToGrid w:val="0"/>
                <w:sz w:val="24"/>
              </w:rPr>
              <w:t>检测工作流程图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4" w:type="dxa"/>
            <w:vMerge w:val="continue"/>
            <w:shd w:val="clear" w:color="auto" w:fill="auto"/>
            <w:vAlign w:val="center"/>
          </w:tcPr>
          <w:p>
            <w:pPr>
              <w:jc w:val="center"/>
              <w:rPr>
                <w:rFonts w:ascii="仿宋" w:hAnsi="仿宋" w:eastAsia="仿宋"/>
              </w:rPr>
            </w:pPr>
          </w:p>
        </w:tc>
        <w:tc>
          <w:tcPr>
            <w:tcW w:w="1485" w:type="dxa"/>
            <w:vMerge w:val="continue"/>
            <w:shd w:val="clear" w:color="auto" w:fill="auto"/>
            <w:vAlign w:val="center"/>
          </w:tcPr>
          <w:p>
            <w:pPr>
              <w:jc w:val="center"/>
              <w:rPr>
                <w:rFonts w:ascii="仿宋" w:hAnsi="仿宋" w:eastAsia="仿宋"/>
              </w:rPr>
            </w:pPr>
          </w:p>
        </w:tc>
        <w:tc>
          <w:tcPr>
            <w:tcW w:w="1020" w:type="dxa"/>
            <w:shd w:val="clear" w:color="auto" w:fill="auto"/>
            <w:vAlign w:val="center"/>
          </w:tcPr>
          <w:p>
            <w:pPr>
              <w:jc w:val="center"/>
              <w:rPr>
                <w:rFonts w:ascii="仿宋" w:hAnsi="仿宋" w:eastAsia="仿宋"/>
              </w:rPr>
            </w:pPr>
            <w:r>
              <w:rPr>
                <w:rFonts w:hint="eastAsia" w:ascii="仿宋" w:hAnsi="仿宋" w:eastAsia="仿宋"/>
              </w:rPr>
              <w:t>2</w:t>
            </w:r>
          </w:p>
        </w:tc>
        <w:tc>
          <w:tcPr>
            <w:tcW w:w="5279" w:type="dxa"/>
            <w:shd w:val="clear" w:color="auto" w:fill="auto"/>
          </w:tcPr>
          <w:p>
            <w:pPr>
              <w:rPr>
                <w:rFonts w:ascii="仿宋" w:hAnsi="仿宋" w:eastAsia="仿宋"/>
                <w:snapToGrid w:val="0"/>
                <w:sz w:val="24"/>
              </w:rPr>
            </w:pPr>
            <w:r>
              <w:rPr>
                <w:rFonts w:hint="eastAsia" w:ascii="仿宋" w:hAnsi="仿宋" w:eastAsia="仿宋"/>
                <w:snapToGrid w:val="0"/>
                <w:sz w:val="24"/>
              </w:rPr>
              <w:t>根据工程情况需要的其它内容</w:t>
            </w:r>
          </w:p>
        </w:tc>
      </w:tr>
    </w:tbl>
    <w:p>
      <w:pPr>
        <w:rPr>
          <w:rFonts w:ascii="仿宋" w:hAnsi="仿宋" w:eastAsia="仿宋"/>
          <w:b/>
          <w:sz w:val="24"/>
          <w:szCs w:val="24"/>
        </w:rPr>
      </w:pPr>
    </w:p>
    <w:p>
      <w:pPr>
        <w:rPr>
          <w:rFonts w:ascii="仿宋" w:hAnsi="仿宋" w:eastAsia="仿宋"/>
          <w:b/>
          <w:sz w:val="24"/>
          <w:szCs w:val="24"/>
        </w:rPr>
      </w:pPr>
      <w:r>
        <w:rPr>
          <w:rFonts w:ascii="仿宋" w:hAnsi="仿宋" w:eastAsia="仿宋"/>
          <w:b/>
          <w:sz w:val="24"/>
          <w:szCs w:val="24"/>
        </w:rPr>
        <w:t>2、商务标评分标准（满分</w:t>
      </w:r>
      <w:r>
        <w:rPr>
          <w:rFonts w:hint="eastAsia" w:ascii="仿宋" w:hAnsi="仿宋" w:eastAsia="仿宋"/>
          <w:b/>
          <w:sz w:val="24"/>
          <w:szCs w:val="24"/>
        </w:rPr>
        <w:t>8</w:t>
      </w:r>
      <w:r>
        <w:rPr>
          <w:rFonts w:ascii="仿宋" w:hAnsi="仿宋" w:eastAsia="仿宋"/>
          <w:b/>
          <w:sz w:val="24"/>
          <w:szCs w:val="24"/>
        </w:rPr>
        <w:t>0分）</w:t>
      </w:r>
    </w:p>
    <w:tbl>
      <w:tblPr>
        <w:tblStyle w:val="1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665"/>
        <w:gridCol w:w="984"/>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shd w:val="clear" w:color="auto" w:fill="auto"/>
          </w:tcPr>
          <w:p>
            <w:pPr>
              <w:jc w:val="center"/>
              <w:rPr>
                <w:rFonts w:ascii="仿宋" w:hAnsi="仿宋" w:eastAsia="仿宋"/>
              </w:rPr>
            </w:pPr>
            <w:r>
              <w:rPr>
                <w:rFonts w:ascii="仿宋" w:hAnsi="仿宋" w:eastAsia="仿宋"/>
              </w:rPr>
              <w:t>评分项目</w:t>
            </w:r>
          </w:p>
        </w:tc>
        <w:tc>
          <w:tcPr>
            <w:tcW w:w="1665" w:type="dxa"/>
            <w:shd w:val="clear" w:color="auto" w:fill="auto"/>
          </w:tcPr>
          <w:p>
            <w:pPr>
              <w:jc w:val="center"/>
              <w:rPr>
                <w:rFonts w:ascii="仿宋" w:hAnsi="仿宋" w:eastAsia="仿宋"/>
              </w:rPr>
            </w:pPr>
            <w:r>
              <w:rPr>
                <w:rFonts w:ascii="仿宋" w:hAnsi="仿宋" w:eastAsia="仿宋"/>
              </w:rPr>
              <w:t>评审内容</w:t>
            </w:r>
          </w:p>
        </w:tc>
        <w:tc>
          <w:tcPr>
            <w:tcW w:w="984" w:type="dxa"/>
            <w:shd w:val="clear" w:color="auto" w:fill="auto"/>
          </w:tcPr>
          <w:p>
            <w:pPr>
              <w:jc w:val="center"/>
              <w:rPr>
                <w:rFonts w:ascii="仿宋" w:hAnsi="仿宋" w:eastAsia="仿宋"/>
              </w:rPr>
            </w:pPr>
            <w:r>
              <w:rPr>
                <w:rFonts w:ascii="仿宋" w:hAnsi="仿宋" w:eastAsia="仿宋"/>
              </w:rPr>
              <w:t>分值</w:t>
            </w:r>
          </w:p>
        </w:tc>
        <w:tc>
          <w:tcPr>
            <w:tcW w:w="5263" w:type="dxa"/>
            <w:shd w:val="clear" w:color="auto" w:fill="auto"/>
          </w:tcPr>
          <w:p>
            <w:pPr>
              <w:jc w:val="center"/>
              <w:rPr>
                <w:rFonts w:ascii="仿宋" w:hAnsi="仿宋" w:eastAsia="仿宋"/>
              </w:rPr>
            </w:pPr>
            <w:r>
              <w:rPr>
                <w:rFonts w:ascii="仿宋" w:hAnsi="仿宋" w:eastAsia="仿宋"/>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vMerge w:val="restart"/>
            <w:shd w:val="clear" w:color="auto" w:fill="auto"/>
            <w:vAlign w:val="center"/>
          </w:tcPr>
          <w:p>
            <w:pPr>
              <w:jc w:val="center"/>
              <w:rPr>
                <w:rFonts w:ascii="仿宋" w:hAnsi="仿宋" w:eastAsia="仿宋"/>
              </w:rPr>
            </w:pPr>
            <w:r>
              <w:rPr>
                <w:rFonts w:ascii="仿宋" w:hAnsi="仿宋" w:eastAsia="仿宋"/>
              </w:rPr>
              <w:t>主要检测人员（</w:t>
            </w:r>
            <w:r>
              <w:rPr>
                <w:rFonts w:hint="eastAsia" w:ascii="仿宋" w:hAnsi="仿宋" w:eastAsia="仿宋"/>
              </w:rPr>
              <w:t>20</w:t>
            </w:r>
            <w:r>
              <w:rPr>
                <w:rFonts w:ascii="仿宋" w:hAnsi="仿宋" w:eastAsia="仿宋"/>
              </w:rPr>
              <w:t>分）</w:t>
            </w:r>
          </w:p>
        </w:tc>
        <w:tc>
          <w:tcPr>
            <w:tcW w:w="1665" w:type="dxa"/>
            <w:vMerge w:val="restart"/>
            <w:shd w:val="clear" w:color="auto" w:fill="auto"/>
            <w:vAlign w:val="center"/>
          </w:tcPr>
          <w:p>
            <w:pPr>
              <w:jc w:val="center"/>
              <w:rPr>
                <w:rFonts w:ascii="仿宋" w:hAnsi="仿宋" w:eastAsia="仿宋"/>
              </w:rPr>
            </w:pPr>
            <w:r>
              <w:rPr>
                <w:rFonts w:ascii="仿宋" w:hAnsi="仿宋" w:eastAsia="仿宋"/>
              </w:rPr>
              <w:t>项目负责人</w:t>
            </w:r>
            <w:r>
              <w:rPr>
                <w:rFonts w:hint="eastAsia" w:ascii="仿宋" w:hAnsi="仿宋" w:eastAsia="仿宋"/>
              </w:rPr>
              <w:t>（10分）</w:t>
            </w:r>
          </w:p>
        </w:tc>
        <w:tc>
          <w:tcPr>
            <w:tcW w:w="984"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分</w:t>
            </w:r>
          </w:p>
        </w:tc>
        <w:tc>
          <w:tcPr>
            <w:tcW w:w="5263" w:type="dxa"/>
            <w:shd w:val="clear" w:color="auto" w:fill="auto"/>
          </w:tcPr>
          <w:p>
            <w:pPr>
              <w:jc w:val="left"/>
              <w:rPr>
                <w:rFonts w:ascii="仿宋" w:hAnsi="仿宋" w:eastAsia="仿宋"/>
                <w:sz w:val="24"/>
                <w:szCs w:val="24"/>
              </w:rPr>
            </w:pPr>
            <w:r>
              <w:rPr>
                <w:rFonts w:hint="eastAsia" w:ascii="仿宋" w:hAnsi="仿宋" w:eastAsia="仿宋"/>
                <w:kern w:val="0"/>
                <w:sz w:val="24"/>
                <w:szCs w:val="24"/>
              </w:rPr>
              <w:t>具有高级工程师职称的加4分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vMerge w:val="continue"/>
            <w:shd w:val="clear" w:color="auto" w:fill="auto"/>
            <w:vAlign w:val="center"/>
          </w:tcPr>
          <w:p>
            <w:pPr>
              <w:jc w:val="center"/>
              <w:rPr>
                <w:rFonts w:ascii="仿宋" w:hAnsi="仿宋" w:eastAsia="仿宋"/>
              </w:rPr>
            </w:pPr>
          </w:p>
        </w:tc>
        <w:tc>
          <w:tcPr>
            <w:tcW w:w="1665" w:type="dxa"/>
            <w:vMerge w:val="continue"/>
            <w:shd w:val="clear" w:color="auto" w:fill="auto"/>
            <w:vAlign w:val="center"/>
          </w:tcPr>
          <w:p>
            <w:pPr>
              <w:jc w:val="center"/>
              <w:rPr>
                <w:rFonts w:ascii="仿宋" w:hAnsi="仿宋" w:eastAsia="仿宋"/>
              </w:rPr>
            </w:pPr>
          </w:p>
        </w:tc>
        <w:tc>
          <w:tcPr>
            <w:tcW w:w="984"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分</w:t>
            </w:r>
          </w:p>
        </w:tc>
        <w:tc>
          <w:tcPr>
            <w:tcW w:w="5263" w:type="dxa"/>
            <w:shd w:val="clear" w:color="auto" w:fill="auto"/>
          </w:tcPr>
          <w:p>
            <w:pPr>
              <w:jc w:val="left"/>
              <w:rPr>
                <w:rFonts w:ascii="仿宋" w:hAnsi="仿宋" w:eastAsia="仿宋"/>
                <w:sz w:val="24"/>
                <w:szCs w:val="24"/>
              </w:rPr>
            </w:pPr>
            <w:r>
              <w:rPr>
                <w:rFonts w:hint="eastAsia" w:ascii="仿宋" w:hAnsi="仿宋" w:eastAsia="仿宋"/>
                <w:kern w:val="0"/>
                <w:sz w:val="24"/>
                <w:szCs w:val="24"/>
              </w:rPr>
              <w:t>2013年10月1日至今（以合同签订时间为准），曾以项目负责人身份从事过1个以上市政或公路桩基试验检测的，每增加1个项目加2分，最多加6分。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vMerge w:val="continue"/>
            <w:shd w:val="clear" w:color="auto" w:fill="auto"/>
            <w:vAlign w:val="center"/>
          </w:tcPr>
          <w:p>
            <w:pPr>
              <w:jc w:val="center"/>
              <w:rPr>
                <w:rFonts w:ascii="仿宋" w:hAnsi="仿宋" w:eastAsia="仿宋"/>
              </w:rPr>
            </w:pPr>
          </w:p>
        </w:tc>
        <w:tc>
          <w:tcPr>
            <w:tcW w:w="1665" w:type="dxa"/>
            <w:vMerge w:val="restart"/>
            <w:shd w:val="clear" w:color="auto" w:fill="auto"/>
            <w:vAlign w:val="center"/>
          </w:tcPr>
          <w:p>
            <w:pPr>
              <w:jc w:val="center"/>
              <w:rPr>
                <w:rFonts w:ascii="仿宋" w:hAnsi="仿宋" w:eastAsia="仿宋"/>
              </w:rPr>
            </w:pPr>
            <w:r>
              <w:rPr>
                <w:rFonts w:ascii="仿宋" w:hAnsi="仿宋" w:eastAsia="仿宋"/>
              </w:rPr>
              <w:t>检测工程师</w:t>
            </w:r>
            <w:r>
              <w:rPr>
                <w:rFonts w:hint="eastAsia" w:ascii="仿宋" w:hAnsi="仿宋" w:eastAsia="仿宋"/>
              </w:rPr>
              <w:t>（5分）</w:t>
            </w:r>
          </w:p>
        </w:tc>
        <w:tc>
          <w:tcPr>
            <w:tcW w:w="984"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分</w:t>
            </w:r>
          </w:p>
        </w:tc>
        <w:tc>
          <w:tcPr>
            <w:tcW w:w="5263" w:type="dxa"/>
            <w:shd w:val="clear" w:color="auto" w:fill="auto"/>
          </w:tcPr>
          <w:p>
            <w:pPr>
              <w:jc w:val="left"/>
              <w:rPr>
                <w:rFonts w:ascii="仿宋" w:hAnsi="仿宋" w:eastAsia="仿宋"/>
                <w:sz w:val="24"/>
                <w:szCs w:val="24"/>
              </w:rPr>
            </w:pPr>
            <w:r>
              <w:rPr>
                <w:rFonts w:hint="eastAsia" w:ascii="仿宋" w:hAnsi="仿宋" w:eastAsia="仿宋"/>
                <w:kern w:val="0"/>
                <w:sz w:val="24"/>
                <w:szCs w:val="24"/>
              </w:rPr>
              <w:t>具有高级工程师职称的加2分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vMerge w:val="continue"/>
            <w:shd w:val="clear" w:color="auto" w:fill="auto"/>
            <w:vAlign w:val="center"/>
          </w:tcPr>
          <w:p>
            <w:pPr>
              <w:jc w:val="center"/>
              <w:rPr>
                <w:rFonts w:ascii="仿宋" w:hAnsi="仿宋" w:eastAsia="仿宋"/>
              </w:rPr>
            </w:pPr>
          </w:p>
        </w:tc>
        <w:tc>
          <w:tcPr>
            <w:tcW w:w="1665" w:type="dxa"/>
            <w:vMerge w:val="continue"/>
            <w:shd w:val="clear" w:color="auto" w:fill="auto"/>
            <w:vAlign w:val="center"/>
          </w:tcPr>
          <w:p>
            <w:pPr>
              <w:jc w:val="center"/>
              <w:rPr>
                <w:rFonts w:ascii="仿宋" w:hAnsi="仿宋" w:eastAsia="仿宋"/>
              </w:rPr>
            </w:pPr>
          </w:p>
        </w:tc>
        <w:tc>
          <w:tcPr>
            <w:tcW w:w="984" w:type="dxa"/>
            <w:shd w:val="clear" w:color="auto" w:fill="auto"/>
            <w:vAlign w:val="center"/>
          </w:tcPr>
          <w:p>
            <w:pPr>
              <w:jc w:val="center"/>
              <w:rPr>
                <w:rFonts w:ascii="仿宋" w:hAnsi="仿宋" w:eastAsia="仿宋"/>
              </w:rPr>
            </w:pPr>
            <w:r>
              <w:rPr>
                <w:rFonts w:hint="eastAsia" w:ascii="仿宋" w:hAnsi="仿宋" w:eastAsia="仿宋"/>
              </w:rPr>
              <w:t>3分</w:t>
            </w:r>
          </w:p>
        </w:tc>
        <w:tc>
          <w:tcPr>
            <w:tcW w:w="5263" w:type="dxa"/>
            <w:shd w:val="clear" w:color="auto" w:fill="auto"/>
          </w:tcPr>
          <w:p>
            <w:pPr>
              <w:jc w:val="left"/>
              <w:rPr>
                <w:rFonts w:ascii="仿宋" w:hAnsi="仿宋" w:eastAsia="仿宋"/>
                <w:kern w:val="0"/>
                <w:sz w:val="24"/>
                <w:szCs w:val="24"/>
              </w:rPr>
            </w:pPr>
            <w:r>
              <w:rPr>
                <w:rFonts w:hint="eastAsia" w:ascii="仿宋" w:hAnsi="仿宋" w:eastAsia="仿宋"/>
                <w:kern w:val="0"/>
                <w:sz w:val="24"/>
                <w:szCs w:val="24"/>
              </w:rPr>
              <w:t>2013年10月1日至今（以合同签订时间为准），曾以检测工程师身份从事过1个以上市政或公路桩基试验检测的，每增加1个项目加1分，最多加3分。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vMerge w:val="continue"/>
            <w:shd w:val="clear" w:color="auto" w:fill="auto"/>
            <w:vAlign w:val="center"/>
          </w:tcPr>
          <w:p>
            <w:pPr>
              <w:jc w:val="center"/>
              <w:rPr>
                <w:rFonts w:ascii="仿宋" w:hAnsi="仿宋" w:eastAsia="仿宋"/>
              </w:rPr>
            </w:pPr>
          </w:p>
        </w:tc>
        <w:tc>
          <w:tcPr>
            <w:tcW w:w="1665" w:type="dxa"/>
            <w:vMerge w:val="restart"/>
            <w:shd w:val="clear" w:color="auto" w:fill="auto"/>
            <w:vAlign w:val="center"/>
          </w:tcPr>
          <w:p>
            <w:pPr>
              <w:jc w:val="center"/>
              <w:rPr>
                <w:rFonts w:ascii="仿宋" w:hAnsi="仿宋" w:eastAsia="仿宋"/>
              </w:rPr>
            </w:pPr>
            <w:r>
              <w:rPr>
                <w:rFonts w:ascii="仿宋" w:hAnsi="仿宋" w:eastAsia="仿宋"/>
              </w:rPr>
              <w:t>检测员</w:t>
            </w:r>
            <w:r>
              <w:rPr>
                <w:rFonts w:hint="eastAsia" w:ascii="仿宋" w:hAnsi="仿宋" w:eastAsia="仿宋"/>
              </w:rPr>
              <w:t>（5分）</w:t>
            </w:r>
          </w:p>
        </w:tc>
        <w:tc>
          <w:tcPr>
            <w:tcW w:w="984" w:type="dxa"/>
            <w:shd w:val="clear" w:color="auto" w:fill="auto"/>
            <w:vAlign w:val="center"/>
          </w:tcPr>
          <w:p>
            <w:pPr>
              <w:jc w:val="center"/>
              <w:rPr>
                <w:rFonts w:ascii="仿宋" w:hAnsi="仿宋" w:eastAsia="仿宋"/>
              </w:rPr>
            </w:pPr>
            <w:r>
              <w:rPr>
                <w:rFonts w:hint="eastAsia" w:ascii="仿宋" w:hAnsi="仿宋" w:eastAsia="仿宋"/>
              </w:rPr>
              <w:t>2</w:t>
            </w:r>
            <w:r>
              <w:rPr>
                <w:rFonts w:ascii="仿宋" w:hAnsi="仿宋" w:eastAsia="仿宋"/>
              </w:rPr>
              <w:t>分</w:t>
            </w:r>
          </w:p>
        </w:tc>
        <w:tc>
          <w:tcPr>
            <w:tcW w:w="5263" w:type="dxa"/>
            <w:shd w:val="clear" w:color="auto" w:fill="auto"/>
          </w:tcPr>
          <w:p>
            <w:pPr>
              <w:jc w:val="left"/>
              <w:rPr>
                <w:rFonts w:ascii="仿宋" w:hAnsi="仿宋" w:eastAsia="仿宋"/>
                <w:sz w:val="24"/>
                <w:szCs w:val="24"/>
              </w:rPr>
            </w:pPr>
            <w:r>
              <w:rPr>
                <w:rFonts w:hint="eastAsia" w:ascii="仿宋" w:hAnsi="仿宋" w:eastAsia="仿宋"/>
                <w:sz w:val="24"/>
                <w:szCs w:val="24"/>
              </w:rPr>
              <w:t>每具有1名工程师及以上职称或增加1人加1分，最多加2分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vMerge w:val="continue"/>
            <w:shd w:val="clear" w:color="auto" w:fill="auto"/>
            <w:vAlign w:val="center"/>
          </w:tcPr>
          <w:p>
            <w:pPr>
              <w:jc w:val="center"/>
              <w:rPr>
                <w:rFonts w:ascii="仿宋" w:hAnsi="仿宋" w:eastAsia="仿宋"/>
              </w:rPr>
            </w:pPr>
          </w:p>
        </w:tc>
        <w:tc>
          <w:tcPr>
            <w:tcW w:w="1665" w:type="dxa"/>
            <w:vMerge w:val="continue"/>
            <w:shd w:val="clear" w:color="auto" w:fill="auto"/>
            <w:vAlign w:val="center"/>
          </w:tcPr>
          <w:p>
            <w:pPr>
              <w:jc w:val="center"/>
              <w:rPr>
                <w:rFonts w:ascii="仿宋" w:hAnsi="仿宋" w:eastAsia="仿宋"/>
              </w:rPr>
            </w:pPr>
          </w:p>
        </w:tc>
        <w:tc>
          <w:tcPr>
            <w:tcW w:w="984" w:type="dxa"/>
            <w:shd w:val="clear" w:color="auto" w:fill="auto"/>
            <w:vAlign w:val="center"/>
          </w:tcPr>
          <w:p>
            <w:pPr>
              <w:jc w:val="center"/>
              <w:rPr>
                <w:rFonts w:ascii="仿宋" w:hAnsi="仿宋" w:eastAsia="仿宋"/>
              </w:rPr>
            </w:pPr>
            <w:r>
              <w:rPr>
                <w:rFonts w:hint="eastAsia" w:ascii="仿宋" w:hAnsi="仿宋" w:eastAsia="仿宋"/>
              </w:rPr>
              <w:t>3分</w:t>
            </w:r>
          </w:p>
        </w:tc>
        <w:tc>
          <w:tcPr>
            <w:tcW w:w="5263" w:type="dxa"/>
            <w:shd w:val="clear" w:color="auto" w:fill="auto"/>
          </w:tcPr>
          <w:p>
            <w:pPr>
              <w:jc w:val="left"/>
              <w:rPr>
                <w:rFonts w:ascii="仿宋" w:hAnsi="仿宋" w:eastAsia="仿宋"/>
              </w:rPr>
            </w:pPr>
            <w:r>
              <w:rPr>
                <w:rFonts w:hint="eastAsia" w:ascii="仿宋" w:hAnsi="仿宋" w:eastAsia="仿宋"/>
              </w:rPr>
              <w:t>除项目负责人及检测工程师外的人员中，具有中级职称及以上的人员占80%以上的可得3分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vMerge w:val="continue"/>
            <w:shd w:val="clear" w:color="auto" w:fill="auto"/>
          </w:tcPr>
          <w:p>
            <w:pPr>
              <w:rPr>
                <w:rFonts w:ascii="仿宋" w:hAnsi="仿宋" w:eastAsia="仿宋"/>
              </w:rPr>
            </w:pPr>
          </w:p>
        </w:tc>
        <w:tc>
          <w:tcPr>
            <w:tcW w:w="7912" w:type="dxa"/>
            <w:gridSpan w:val="3"/>
            <w:shd w:val="clear" w:color="auto" w:fill="auto"/>
          </w:tcPr>
          <w:p>
            <w:pPr>
              <w:rPr>
                <w:rFonts w:ascii="仿宋" w:hAnsi="仿宋" w:eastAsia="仿宋"/>
              </w:rPr>
            </w:pPr>
            <w:r>
              <w:rPr>
                <w:rFonts w:ascii="仿宋" w:hAnsi="仿宋" w:eastAsia="仿宋"/>
              </w:rPr>
              <w:t>备注：以上人员均不可兼任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1374" w:type="dxa"/>
            <w:vMerge w:val="restart"/>
            <w:shd w:val="clear" w:color="auto" w:fill="auto"/>
            <w:vAlign w:val="center"/>
          </w:tcPr>
          <w:p>
            <w:pPr>
              <w:jc w:val="center"/>
              <w:rPr>
                <w:rFonts w:ascii="仿宋" w:hAnsi="仿宋" w:eastAsia="仿宋"/>
              </w:rPr>
            </w:pPr>
            <w:r>
              <w:rPr>
                <w:rFonts w:ascii="仿宋" w:hAnsi="仿宋" w:eastAsia="仿宋"/>
              </w:rPr>
              <w:t>企业业绩与信誉（</w:t>
            </w:r>
            <w:r>
              <w:rPr>
                <w:rFonts w:hint="eastAsia" w:ascii="仿宋" w:hAnsi="仿宋" w:eastAsia="仿宋"/>
              </w:rPr>
              <w:t>15</w:t>
            </w:r>
            <w:r>
              <w:rPr>
                <w:rFonts w:ascii="仿宋" w:hAnsi="仿宋" w:eastAsia="仿宋"/>
              </w:rPr>
              <w:t>分）</w:t>
            </w:r>
          </w:p>
        </w:tc>
        <w:tc>
          <w:tcPr>
            <w:tcW w:w="1665" w:type="dxa"/>
            <w:shd w:val="clear" w:color="auto" w:fill="auto"/>
            <w:vAlign w:val="center"/>
          </w:tcPr>
          <w:p>
            <w:pPr>
              <w:jc w:val="center"/>
              <w:rPr>
                <w:rFonts w:ascii="仿宋" w:hAnsi="仿宋" w:eastAsia="仿宋"/>
              </w:rPr>
            </w:pPr>
            <w:r>
              <w:rPr>
                <w:rFonts w:ascii="仿宋" w:hAnsi="仿宋" w:eastAsia="仿宋"/>
              </w:rPr>
              <w:t>企业业绩</w:t>
            </w:r>
          </w:p>
        </w:tc>
        <w:tc>
          <w:tcPr>
            <w:tcW w:w="984" w:type="dxa"/>
            <w:shd w:val="clear" w:color="auto" w:fill="auto"/>
            <w:vAlign w:val="center"/>
          </w:tcPr>
          <w:p>
            <w:pPr>
              <w:jc w:val="center"/>
              <w:rPr>
                <w:rFonts w:ascii="仿宋" w:hAnsi="仿宋" w:eastAsia="仿宋"/>
              </w:rPr>
            </w:pPr>
            <w:r>
              <w:rPr>
                <w:rFonts w:hint="eastAsia" w:ascii="仿宋" w:hAnsi="仿宋" w:eastAsia="仿宋"/>
              </w:rPr>
              <w:t>10</w:t>
            </w:r>
          </w:p>
        </w:tc>
        <w:tc>
          <w:tcPr>
            <w:tcW w:w="5263" w:type="dxa"/>
            <w:shd w:val="clear" w:color="auto" w:fill="auto"/>
            <w:vAlign w:val="center"/>
          </w:tcPr>
          <w:p>
            <w:pPr>
              <w:rPr>
                <w:rFonts w:ascii="仿宋" w:hAnsi="仿宋" w:eastAsia="仿宋"/>
              </w:rPr>
            </w:pPr>
            <w:r>
              <w:rPr>
                <w:rFonts w:hint="eastAsia" w:ascii="仿宋" w:hAnsi="仿宋" w:eastAsia="仿宋"/>
              </w:rPr>
              <w:t>2013年10月1日至今（以合同签订时间为准），完成过2个市政或公路桩基试验检测的，得6分；每增加1个加2分，最多加4分。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jc w:val="center"/>
        </w:trPr>
        <w:tc>
          <w:tcPr>
            <w:tcW w:w="1374" w:type="dxa"/>
            <w:vMerge w:val="continue"/>
            <w:shd w:val="clear" w:color="auto" w:fill="auto"/>
            <w:vAlign w:val="center"/>
          </w:tcPr>
          <w:p>
            <w:pPr>
              <w:jc w:val="center"/>
              <w:rPr>
                <w:rFonts w:ascii="仿宋" w:hAnsi="仿宋" w:eastAsia="仿宋"/>
              </w:rPr>
            </w:pPr>
          </w:p>
        </w:tc>
        <w:tc>
          <w:tcPr>
            <w:tcW w:w="1665" w:type="dxa"/>
            <w:shd w:val="clear" w:color="auto" w:fill="auto"/>
            <w:vAlign w:val="center"/>
          </w:tcPr>
          <w:p>
            <w:pPr>
              <w:jc w:val="center"/>
              <w:rPr>
                <w:rFonts w:ascii="仿宋" w:hAnsi="仿宋" w:eastAsia="仿宋"/>
              </w:rPr>
            </w:pPr>
            <w:r>
              <w:rPr>
                <w:rFonts w:ascii="仿宋" w:hAnsi="仿宋" w:eastAsia="仿宋"/>
              </w:rPr>
              <w:t>企业信誉</w:t>
            </w:r>
          </w:p>
        </w:tc>
        <w:tc>
          <w:tcPr>
            <w:tcW w:w="984" w:type="dxa"/>
            <w:shd w:val="clear" w:color="auto" w:fill="auto"/>
            <w:vAlign w:val="center"/>
          </w:tcPr>
          <w:p>
            <w:pPr>
              <w:jc w:val="center"/>
              <w:rPr>
                <w:rFonts w:ascii="仿宋" w:hAnsi="仿宋" w:eastAsia="仿宋"/>
              </w:rPr>
            </w:pPr>
            <w:r>
              <w:rPr>
                <w:rFonts w:hint="eastAsia" w:ascii="仿宋" w:hAnsi="仿宋" w:eastAsia="仿宋"/>
              </w:rPr>
              <w:t>5</w:t>
            </w:r>
          </w:p>
        </w:tc>
        <w:tc>
          <w:tcPr>
            <w:tcW w:w="5263" w:type="dxa"/>
            <w:shd w:val="clear" w:color="auto" w:fill="auto"/>
            <w:vAlign w:val="center"/>
          </w:tcPr>
          <w:p>
            <w:pPr>
              <w:spacing w:line="360" w:lineRule="auto"/>
              <w:rPr>
                <w:rFonts w:ascii="仿宋" w:hAnsi="仿宋" w:eastAsia="仿宋"/>
              </w:rPr>
            </w:pPr>
            <w:r>
              <w:rPr>
                <w:rFonts w:hint="eastAsia" w:ascii="仿宋" w:hAnsi="仿宋" w:eastAsia="仿宋"/>
              </w:rPr>
              <w:t>以建设行政主管部门的建筑市场信用管理信息系统上年度的评定的等级为基础，打满5为止。</w:t>
            </w:r>
          </w:p>
          <w:p>
            <w:pPr>
              <w:spacing w:line="360" w:lineRule="auto"/>
              <w:rPr>
                <w:rFonts w:ascii="仿宋" w:hAnsi="仿宋" w:eastAsia="仿宋"/>
              </w:rPr>
            </w:pPr>
            <w:r>
              <w:rPr>
                <w:rFonts w:hint="eastAsia" w:ascii="仿宋" w:hAnsi="仿宋" w:eastAsia="仿宋"/>
              </w:rPr>
              <w:t>绿色信用等级优秀的加5；</w:t>
            </w:r>
          </w:p>
          <w:p>
            <w:pPr>
              <w:spacing w:line="360" w:lineRule="auto"/>
              <w:rPr>
                <w:rFonts w:ascii="仿宋" w:hAnsi="仿宋" w:eastAsia="仿宋"/>
              </w:rPr>
            </w:pPr>
            <w:r>
              <w:rPr>
                <w:rFonts w:hint="eastAsia" w:ascii="仿宋" w:hAnsi="仿宋" w:eastAsia="仿宋"/>
              </w:rPr>
              <w:t>蓝色信用等级良好的加3；</w:t>
            </w:r>
          </w:p>
          <w:p>
            <w:pPr>
              <w:rPr>
                <w:rFonts w:ascii="仿宋" w:hAnsi="仿宋" w:eastAsia="仿宋"/>
              </w:rPr>
            </w:pPr>
            <w:r>
              <w:rPr>
                <w:rFonts w:hint="eastAsia" w:ascii="仿宋" w:hAnsi="仿宋" w:eastAsia="仿宋"/>
              </w:rPr>
              <w:t>外省(市)企业无信用等级的按蓝色信用等级计算得分。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9" w:hRule="atLeast"/>
          <w:jc w:val="center"/>
        </w:trPr>
        <w:tc>
          <w:tcPr>
            <w:tcW w:w="1374" w:type="dxa"/>
            <w:shd w:val="clear" w:color="auto" w:fill="auto"/>
            <w:vAlign w:val="center"/>
          </w:tcPr>
          <w:p>
            <w:pPr>
              <w:jc w:val="center"/>
              <w:rPr>
                <w:rFonts w:ascii="仿宋" w:hAnsi="仿宋" w:eastAsia="仿宋"/>
              </w:rPr>
            </w:pPr>
            <w:r>
              <w:rPr>
                <w:rFonts w:ascii="仿宋" w:hAnsi="仿宋" w:eastAsia="仿宋"/>
              </w:rPr>
              <w:t>投标报价</w:t>
            </w:r>
          </w:p>
          <w:p>
            <w:pPr>
              <w:jc w:val="center"/>
              <w:rPr>
                <w:rFonts w:ascii="仿宋" w:hAnsi="仿宋" w:eastAsia="仿宋"/>
              </w:rPr>
            </w:pPr>
            <w:r>
              <w:rPr>
                <w:rFonts w:ascii="仿宋" w:hAnsi="仿宋" w:eastAsia="仿宋"/>
              </w:rPr>
              <w:t>（</w:t>
            </w:r>
            <w:r>
              <w:rPr>
                <w:rFonts w:hint="eastAsia" w:ascii="仿宋" w:hAnsi="仿宋" w:eastAsia="仿宋"/>
              </w:rPr>
              <w:t>45</w:t>
            </w:r>
            <w:r>
              <w:rPr>
                <w:rFonts w:ascii="仿宋" w:hAnsi="仿宋" w:eastAsia="仿宋"/>
              </w:rPr>
              <w:t>分）</w:t>
            </w:r>
          </w:p>
        </w:tc>
        <w:tc>
          <w:tcPr>
            <w:tcW w:w="1665" w:type="dxa"/>
            <w:shd w:val="clear" w:color="auto" w:fill="auto"/>
            <w:vAlign w:val="center"/>
          </w:tcPr>
          <w:p>
            <w:pPr>
              <w:jc w:val="center"/>
              <w:rPr>
                <w:rFonts w:ascii="仿宋" w:hAnsi="仿宋" w:eastAsia="仿宋"/>
              </w:rPr>
            </w:pPr>
            <w:r>
              <w:rPr>
                <w:rFonts w:ascii="仿宋" w:hAnsi="仿宋" w:eastAsia="仿宋"/>
              </w:rPr>
              <w:t>投标报价</w:t>
            </w:r>
          </w:p>
        </w:tc>
        <w:tc>
          <w:tcPr>
            <w:tcW w:w="984" w:type="dxa"/>
            <w:shd w:val="clear" w:color="auto" w:fill="auto"/>
            <w:vAlign w:val="center"/>
          </w:tcPr>
          <w:p>
            <w:pPr>
              <w:jc w:val="center"/>
              <w:rPr>
                <w:rFonts w:ascii="仿宋" w:hAnsi="仿宋" w:eastAsia="仿宋"/>
              </w:rPr>
            </w:pPr>
            <w:r>
              <w:rPr>
                <w:rFonts w:hint="eastAsia" w:ascii="仿宋" w:hAnsi="仿宋" w:eastAsia="仿宋"/>
              </w:rPr>
              <w:t>45</w:t>
            </w:r>
            <w:r>
              <w:rPr>
                <w:rFonts w:ascii="仿宋" w:hAnsi="仿宋" w:eastAsia="仿宋"/>
              </w:rPr>
              <w:t>分</w:t>
            </w:r>
          </w:p>
        </w:tc>
        <w:tc>
          <w:tcPr>
            <w:tcW w:w="5263" w:type="dxa"/>
            <w:shd w:val="clear" w:color="auto" w:fill="auto"/>
          </w:tcPr>
          <w:p>
            <w:pPr>
              <w:spacing w:line="360" w:lineRule="auto"/>
              <w:rPr>
                <w:rFonts w:ascii="仿宋" w:hAnsi="仿宋" w:eastAsia="仿宋"/>
              </w:rPr>
            </w:pPr>
            <w:r>
              <w:rPr>
                <w:rFonts w:hint="eastAsia" w:ascii="仿宋" w:hAnsi="仿宋" w:eastAsia="仿宋"/>
              </w:rPr>
              <w:t xml:space="preserve">（1）低于招标文件规定的最高限价的报价为有效投标报价，高于最高限价的报价为无效报价，无效报价不参与评审，做废标处理。本工程最高限价为 </w:t>
            </w:r>
            <w:r>
              <w:rPr>
                <w:rFonts w:hint="eastAsia" w:ascii="仿宋" w:hAnsi="仿宋" w:eastAsia="仿宋"/>
                <w:lang w:val="en-US" w:eastAsia="zh-CN"/>
              </w:rPr>
              <w:t>29</w:t>
            </w:r>
            <w:r>
              <w:rPr>
                <w:rFonts w:hint="eastAsia" w:ascii="仿宋" w:hAnsi="仿宋" w:eastAsia="仿宋"/>
              </w:rPr>
              <w:t xml:space="preserve"> 万元。</w:t>
            </w:r>
          </w:p>
          <w:p>
            <w:pPr>
              <w:rPr>
                <w:rFonts w:ascii="仿宋" w:hAnsi="仿宋" w:eastAsia="仿宋"/>
              </w:rPr>
            </w:pPr>
            <w:r>
              <w:rPr>
                <w:rFonts w:hint="eastAsia" w:ascii="仿宋" w:hAnsi="仿宋" w:eastAsia="仿宋"/>
              </w:rPr>
              <w:t>（2）以有效投标文件的评标价算术平均值为评标基准价，等于基准价的得满分45分。每高于评标基准价1%扣1分，每低于评标基准价1%扣0.3分，偏离不足1%的，按照插入法计算得分。</w:t>
            </w:r>
          </w:p>
        </w:tc>
      </w:tr>
    </w:tbl>
    <w:p>
      <w:pPr>
        <w:pStyle w:val="7"/>
        <w:widowControl/>
        <w:shd w:val="clear" w:color="auto" w:fill="FFFFFF"/>
        <w:spacing w:beforeAutospacing="0" w:afterAutospacing="0"/>
        <w:rPr>
          <w:rFonts w:ascii="仿宋_GB2312" w:hAnsi="华文中宋" w:eastAsia="仿宋_GB2312"/>
          <w:b/>
          <w:sz w:val="30"/>
          <w:szCs w:val="30"/>
        </w:rPr>
      </w:pPr>
      <w:r>
        <w:rPr>
          <w:rFonts w:hint="eastAsia" w:ascii="仿宋_GB2312" w:hAnsi="华文中宋" w:eastAsia="仿宋_GB2312"/>
          <w:b/>
          <w:sz w:val="30"/>
          <w:szCs w:val="30"/>
        </w:rPr>
        <w:t>十、其他</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1、报价文件递交地点：史可法路58-21号扬州万福公司二楼审计处；</w:t>
      </w:r>
    </w:p>
    <w:p>
      <w:pPr>
        <w:pStyle w:val="16"/>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2、如有疑问，请于</w:t>
      </w:r>
      <w:r>
        <w:rPr>
          <w:rFonts w:hint="eastAsia" w:ascii="仿宋_GB2312" w:hAnsi="华文中宋" w:eastAsia="仿宋_GB2312" w:cs="Times New Roman"/>
          <w:kern w:val="2"/>
          <w:sz w:val="28"/>
          <w:szCs w:val="28"/>
          <w:highlight w:val="none"/>
        </w:rPr>
        <w:t>2018年</w:t>
      </w:r>
      <w:r>
        <w:rPr>
          <w:rFonts w:hint="eastAsia" w:ascii="仿宋_GB2312" w:hAnsi="华文中宋" w:eastAsia="仿宋_GB2312" w:cs="Times New Roman"/>
          <w:kern w:val="2"/>
          <w:sz w:val="28"/>
          <w:szCs w:val="28"/>
          <w:highlight w:val="none"/>
          <w:lang w:val="en-US" w:eastAsia="zh-CN"/>
        </w:rPr>
        <w:t>11</w:t>
      </w:r>
      <w:r>
        <w:rPr>
          <w:rFonts w:hint="eastAsia" w:ascii="仿宋_GB2312" w:hAnsi="华文中宋" w:eastAsia="仿宋_GB2312" w:cs="Times New Roman"/>
          <w:kern w:val="2"/>
          <w:sz w:val="28"/>
          <w:szCs w:val="28"/>
          <w:highlight w:val="none"/>
        </w:rPr>
        <w:t>月</w:t>
      </w:r>
      <w:r>
        <w:rPr>
          <w:rFonts w:hint="eastAsia" w:ascii="仿宋_GB2312" w:hAnsi="华文中宋" w:eastAsia="仿宋_GB2312" w:cs="Times New Roman"/>
          <w:kern w:val="2"/>
          <w:sz w:val="28"/>
          <w:szCs w:val="28"/>
          <w:highlight w:val="none"/>
          <w:lang w:val="en-US" w:eastAsia="zh-CN"/>
        </w:rPr>
        <w:t>2</w:t>
      </w:r>
      <w:r>
        <w:rPr>
          <w:rFonts w:hint="eastAsia" w:ascii="仿宋_GB2312" w:hAnsi="华文中宋" w:eastAsia="仿宋_GB2312" w:cs="Times New Roman"/>
          <w:kern w:val="2"/>
          <w:sz w:val="28"/>
          <w:szCs w:val="28"/>
          <w:highlight w:val="none"/>
        </w:rPr>
        <w:t>日上午10点前</w:t>
      </w:r>
      <w:r>
        <w:rPr>
          <w:rFonts w:hint="eastAsia" w:ascii="仿宋_GB2312" w:hAnsi="华文中宋" w:eastAsia="仿宋_GB2312" w:cs="Times New Roman"/>
          <w:kern w:val="2"/>
          <w:sz w:val="28"/>
          <w:szCs w:val="28"/>
        </w:rPr>
        <w:t>提出，过时按同意以上条款处理。</w:t>
      </w:r>
    </w:p>
    <w:p>
      <w:pPr>
        <w:pStyle w:val="16"/>
        <w:topLinePunct/>
        <w:spacing w:before="0" w:beforeAutospacing="0" w:after="0" w:afterAutospacing="0" w:line="360" w:lineRule="auto"/>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3、递交报价文件时间：</w:t>
      </w:r>
      <w:r>
        <w:rPr>
          <w:rFonts w:hint="eastAsia" w:ascii="仿宋_GB2312" w:hAnsi="华文中宋" w:eastAsia="仿宋_GB2312" w:cs="Times New Roman"/>
          <w:color w:val="auto"/>
          <w:kern w:val="2"/>
          <w:sz w:val="28"/>
          <w:szCs w:val="28"/>
          <w:highlight w:val="none"/>
        </w:rPr>
        <w:t>2018年</w:t>
      </w:r>
      <w:r>
        <w:rPr>
          <w:rFonts w:hint="eastAsia" w:ascii="仿宋_GB2312" w:hAnsi="华文中宋" w:eastAsia="仿宋_GB2312" w:cs="Times New Roman"/>
          <w:color w:val="auto"/>
          <w:kern w:val="2"/>
          <w:sz w:val="28"/>
          <w:szCs w:val="28"/>
          <w:highlight w:val="none"/>
          <w:lang w:val="en-US" w:eastAsia="zh-CN"/>
        </w:rPr>
        <w:t>11</w:t>
      </w:r>
      <w:r>
        <w:rPr>
          <w:rFonts w:hint="eastAsia" w:ascii="仿宋_GB2312" w:hAnsi="华文中宋" w:eastAsia="仿宋_GB2312" w:cs="Times New Roman"/>
          <w:color w:val="auto"/>
          <w:kern w:val="2"/>
          <w:sz w:val="28"/>
          <w:szCs w:val="28"/>
          <w:highlight w:val="none"/>
        </w:rPr>
        <w:t>月</w:t>
      </w:r>
      <w:r>
        <w:rPr>
          <w:rFonts w:hint="eastAsia" w:ascii="仿宋_GB2312" w:hAnsi="华文中宋" w:eastAsia="仿宋_GB2312" w:cs="Times New Roman"/>
          <w:color w:val="auto"/>
          <w:kern w:val="2"/>
          <w:sz w:val="28"/>
          <w:szCs w:val="28"/>
          <w:highlight w:val="none"/>
          <w:lang w:val="en-US" w:eastAsia="zh-CN"/>
        </w:rPr>
        <w:t>5</w:t>
      </w:r>
      <w:r>
        <w:rPr>
          <w:rFonts w:hint="eastAsia" w:ascii="仿宋_GB2312" w:hAnsi="华文中宋" w:eastAsia="仿宋_GB2312" w:cs="Times New Roman"/>
          <w:color w:val="auto"/>
          <w:kern w:val="2"/>
          <w:sz w:val="28"/>
          <w:szCs w:val="28"/>
          <w:highlight w:val="none"/>
        </w:rPr>
        <w:t>日上午10:00前</w:t>
      </w:r>
      <w:r>
        <w:rPr>
          <w:rFonts w:hint="eastAsia" w:ascii="仿宋_GB2312" w:hAnsi="华文中宋" w:eastAsia="仿宋_GB2312" w:cs="Times New Roman"/>
          <w:kern w:val="2"/>
          <w:sz w:val="28"/>
          <w:szCs w:val="28"/>
        </w:rPr>
        <w:t>；</w:t>
      </w:r>
    </w:p>
    <w:p>
      <w:pPr>
        <w:pStyle w:val="16"/>
        <w:topLinePunct/>
        <w:spacing w:before="0" w:beforeAutospacing="0" w:after="0" w:afterAutospacing="0" w:line="360" w:lineRule="auto"/>
        <w:ind w:firstLine="420" w:firstLineChars="150"/>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联系人：陈工18936228190、</w:t>
      </w:r>
    </w:p>
    <w:p>
      <w:pPr>
        <w:pStyle w:val="16"/>
        <w:topLinePunct/>
        <w:spacing w:before="0" w:beforeAutospacing="0" w:after="0" w:afterAutospacing="0" w:line="360" w:lineRule="auto"/>
        <w:ind w:firstLine="1540" w:firstLineChars="550"/>
        <w:rPr>
          <w:rFonts w:ascii="仿宋_GB2312" w:hAnsi="华文中宋" w:eastAsia="仿宋_GB2312" w:cs="Times New Roman"/>
          <w:kern w:val="2"/>
          <w:sz w:val="28"/>
          <w:szCs w:val="28"/>
        </w:rPr>
      </w:pPr>
      <w:r>
        <w:rPr>
          <w:rFonts w:hint="eastAsia" w:ascii="仿宋_GB2312" w:hAnsi="华文中宋" w:eastAsia="仿宋_GB2312" w:cs="Times New Roman"/>
          <w:kern w:val="2"/>
          <w:sz w:val="28"/>
          <w:szCs w:val="28"/>
        </w:rPr>
        <w:t>姚工18151448897</w:t>
      </w: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rFonts w:ascii="仿宋_GB2312" w:hAnsi="华文中宋" w:eastAsia="仿宋_GB2312"/>
          <w:sz w:val="28"/>
          <w:szCs w:val="28"/>
        </w:rPr>
      </w:pPr>
    </w:p>
    <w:p>
      <w:pPr>
        <w:rPr>
          <w:b/>
          <w:kern w:val="0"/>
          <w:sz w:val="32"/>
          <w:szCs w:val="32"/>
        </w:rPr>
      </w:pPr>
    </w:p>
    <w:p>
      <w:pPr>
        <w:jc w:val="center"/>
        <w:rPr>
          <w:rFonts w:ascii="仿宋" w:hAnsi="仿宋" w:eastAsia="仿宋"/>
          <w:b/>
          <w:kern w:val="0"/>
          <w:sz w:val="28"/>
          <w:szCs w:val="28"/>
        </w:rPr>
      </w:pPr>
      <w:r>
        <w:rPr>
          <w:rFonts w:hint="eastAsia" w:ascii="仿宋" w:hAnsi="仿宋" w:eastAsia="仿宋"/>
          <w:b/>
          <w:kern w:val="0"/>
          <w:sz w:val="28"/>
          <w:szCs w:val="28"/>
        </w:rPr>
        <w:t>合同主要条款</w:t>
      </w:r>
    </w:p>
    <w:p>
      <w:pPr>
        <w:autoSpaceDE w:val="0"/>
        <w:autoSpaceDN w:val="0"/>
        <w:adjustRightInd w:val="0"/>
        <w:spacing w:line="360" w:lineRule="auto"/>
        <w:jc w:val="left"/>
        <w:rPr>
          <w:rFonts w:ascii="仿宋" w:hAnsi="仿宋" w:eastAsia="仿宋" w:cs="宋体"/>
          <w:b/>
          <w:bCs/>
          <w:kern w:val="0"/>
          <w:sz w:val="28"/>
          <w:szCs w:val="28"/>
        </w:rPr>
      </w:pPr>
      <w:bookmarkStart w:id="5" w:name="_Toc457826207"/>
      <w:bookmarkStart w:id="6" w:name="_Toc406150478"/>
      <w:r>
        <w:rPr>
          <w:rFonts w:hint="eastAsia" w:ascii="仿宋" w:hAnsi="仿宋" w:eastAsia="仿宋" w:cs="宋体"/>
          <w:b/>
          <w:bCs/>
          <w:kern w:val="0"/>
          <w:sz w:val="28"/>
          <w:szCs w:val="28"/>
        </w:rPr>
        <w:t>一、主要检测业务</w:t>
      </w:r>
    </w:p>
    <w:p>
      <w:pPr>
        <w:autoSpaceDE w:val="0"/>
        <w:autoSpaceDN w:val="0"/>
        <w:adjustRightIn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按比价人提供的图纸设计要求及工程量清单，实施</w:t>
      </w:r>
      <w:r>
        <w:rPr>
          <w:rFonts w:hint="eastAsia" w:ascii="仿宋" w:hAnsi="仿宋" w:eastAsia="仿宋"/>
          <w:sz w:val="28"/>
          <w:szCs w:val="28"/>
        </w:rPr>
        <w:t>运河南北路快速化改造一期工程(七里河路至万福路)先导段桩基检测项目</w:t>
      </w:r>
      <w:r>
        <w:rPr>
          <w:rFonts w:hint="eastAsia" w:ascii="仿宋" w:hAnsi="仿宋" w:eastAsia="仿宋" w:cs="宋体"/>
          <w:kern w:val="0"/>
          <w:sz w:val="28"/>
          <w:szCs w:val="28"/>
        </w:rPr>
        <w:t>。</w:t>
      </w:r>
    </w:p>
    <w:p>
      <w:pPr>
        <w:autoSpaceDE w:val="0"/>
        <w:autoSpaceDN w:val="0"/>
        <w:adjustRightIn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二、检测费支付</w:t>
      </w:r>
    </w:p>
    <w:p>
      <w:pPr>
        <w:tabs>
          <w:tab w:val="right" w:pos="8486"/>
        </w:tabs>
        <w:spacing w:line="360" w:lineRule="auto"/>
        <w:ind w:firstLine="560" w:firstLineChars="200"/>
        <w:rPr>
          <w:rFonts w:ascii="仿宋" w:hAnsi="仿宋" w:eastAsia="仿宋"/>
          <w:sz w:val="28"/>
          <w:szCs w:val="28"/>
        </w:rPr>
      </w:pPr>
      <w:r>
        <w:rPr>
          <w:rFonts w:hint="eastAsia" w:ascii="仿宋" w:hAnsi="仿宋" w:eastAsia="仿宋"/>
          <w:sz w:val="28"/>
          <w:szCs w:val="28"/>
        </w:rPr>
        <w:t>1、乙方完成检测工作并提交有效的桩基检测报告，经甲方确认并办妥结算</w:t>
      </w:r>
    </w:p>
    <w:p>
      <w:pPr>
        <w:tabs>
          <w:tab w:val="right" w:pos="8486"/>
        </w:tabs>
        <w:spacing w:line="360" w:lineRule="auto"/>
        <w:rPr>
          <w:rFonts w:ascii="仿宋" w:hAnsi="仿宋" w:eastAsia="仿宋"/>
          <w:sz w:val="28"/>
          <w:szCs w:val="28"/>
        </w:rPr>
      </w:pPr>
      <w:r>
        <w:rPr>
          <w:rFonts w:hint="eastAsia" w:ascii="仿宋" w:hAnsi="仿宋" w:eastAsia="仿宋"/>
          <w:sz w:val="28"/>
          <w:szCs w:val="28"/>
        </w:rPr>
        <w:t>手续后20个工作日内，甲方按照如下方式结算：</w:t>
      </w:r>
    </w:p>
    <w:p>
      <w:pPr>
        <w:tabs>
          <w:tab w:val="right" w:pos="8486"/>
        </w:tabs>
        <w:spacing w:line="360" w:lineRule="auto"/>
        <w:ind w:firstLine="560" w:firstLineChars="200"/>
        <w:rPr>
          <w:rFonts w:hint="eastAsia" w:ascii="仿宋" w:hAnsi="仿宋" w:eastAsia="仿宋"/>
          <w:sz w:val="28"/>
          <w:szCs w:val="28"/>
        </w:rPr>
      </w:pPr>
      <w:r>
        <w:rPr>
          <w:rFonts w:hint="eastAsia" w:ascii="仿宋" w:hAnsi="仿宋" w:eastAsia="仿宋"/>
          <w:sz w:val="28"/>
          <w:szCs w:val="28"/>
        </w:rPr>
        <w:t>在承包人完成相应桥梁桩基检测等全部工作，并提交相关检测报告，经业主认可后，支付相应工作合同金额的70%，工程竣工且审计（二审）结束、资料归档后六个月内，一次付清剩余款项（不计息）。</w:t>
      </w:r>
      <w:bookmarkStart w:id="7" w:name="_GoBack"/>
      <w:bookmarkEnd w:id="7"/>
    </w:p>
    <w:p>
      <w:pPr>
        <w:tabs>
          <w:tab w:val="right" w:pos="8486"/>
        </w:tabs>
        <w:spacing w:line="360" w:lineRule="auto"/>
        <w:ind w:firstLine="560" w:firstLineChars="200"/>
        <w:rPr>
          <w:rFonts w:ascii="仿宋" w:hAnsi="仿宋" w:eastAsia="仿宋"/>
          <w:sz w:val="28"/>
          <w:szCs w:val="28"/>
        </w:rPr>
      </w:pPr>
      <w:r>
        <w:rPr>
          <w:rFonts w:hint="eastAsia" w:ascii="仿宋" w:hAnsi="仿宋" w:eastAsia="仿宋"/>
          <w:sz w:val="28"/>
          <w:szCs w:val="28"/>
        </w:rPr>
        <w:t>2、工程量按实结算，以双方现场签证确认作为结算依据(监理作为第三方见证）。甲方现场签证人员为甲方技术人员。</w:t>
      </w:r>
    </w:p>
    <w:p>
      <w:pPr>
        <w:autoSpaceDE w:val="0"/>
        <w:autoSpaceDN w:val="0"/>
        <w:adjustRightInd w:val="0"/>
        <w:spacing w:line="360" w:lineRule="auto"/>
        <w:ind w:firstLine="560" w:firstLineChars="200"/>
        <w:jc w:val="left"/>
        <w:rPr>
          <w:rFonts w:ascii="仿宋" w:hAnsi="仿宋" w:eastAsia="仿宋" w:cs="宋体"/>
          <w:kern w:val="0"/>
          <w:sz w:val="28"/>
          <w:szCs w:val="28"/>
        </w:rPr>
      </w:pPr>
      <w:r>
        <w:rPr>
          <w:rFonts w:hint="eastAsia" w:ascii="仿宋" w:hAnsi="仿宋" w:eastAsia="仿宋"/>
          <w:sz w:val="28"/>
          <w:szCs w:val="28"/>
        </w:rPr>
        <w:t>3、若甲方需在本合同约定的标的或工作量以外委托乙方完成一定工作量，应以正式书面形式将具体工作范围、价款、完成时间、付款进度等主要内容通知乙方。没有甲方正式书面委托而进行的工作量，甲方不予结算。</w:t>
      </w:r>
    </w:p>
    <w:p>
      <w:pPr>
        <w:autoSpaceDE w:val="0"/>
        <w:autoSpaceDN w:val="0"/>
        <w:adjustRightIn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三、双方义务</w:t>
      </w:r>
    </w:p>
    <w:bookmarkEnd w:id="5"/>
    <w:bookmarkEnd w:id="6"/>
    <w:p>
      <w:pPr>
        <w:spacing w:line="540" w:lineRule="exact"/>
        <w:ind w:firstLine="480"/>
        <w:rPr>
          <w:rFonts w:ascii="仿宋" w:hAnsi="仿宋" w:eastAsia="仿宋"/>
          <w:sz w:val="28"/>
          <w:szCs w:val="28"/>
        </w:rPr>
      </w:pPr>
      <w:r>
        <w:rPr>
          <w:rFonts w:hint="eastAsia" w:ascii="仿宋" w:hAnsi="仿宋" w:eastAsia="仿宋"/>
          <w:sz w:val="28"/>
          <w:szCs w:val="28"/>
        </w:rPr>
        <w:t>（一）甲方义务</w:t>
      </w:r>
    </w:p>
    <w:p>
      <w:pPr>
        <w:spacing w:line="540" w:lineRule="exact"/>
        <w:ind w:left="105" w:firstLine="420"/>
        <w:rPr>
          <w:rFonts w:ascii="仿宋" w:hAnsi="仿宋" w:eastAsia="仿宋"/>
          <w:sz w:val="28"/>
          <w:szCs w:val="28"/>
        </w:rPr>
      </w:pPr>
      <w:r>
        <w:rPr>
          <w:rFonts w:hint="eastAsia" w:ascii="仿宋" w:hAnsi="仿宋" w:eastAsia="仿宋"/>
          <w:sz w:val="28"/>
          <w:szCs w:val="28"/>
        </w:rPr>
        <w:t>1、委派现场代表负责对检测工作进行全面管理，解决检测过程中出现的需要甲方协调的相关问题，并参与检测的初验、各种验收和签证工作。如变更现场代表应及时通知乙方。</w:t>
      </w:r>
    </w:p>
    <w:p>
      <w:pPr>
        <w:autoSpaceDE w:val="0"/>
        <w:autoSpaceDN w:val="0"/>
        <w:adjustRightInd w:val="0"/>
        <w:spacing w:line="520" w:lineRule="exact"/>
        <w:ind w:right="26" w:firstLine="480"/>
        <w:rPr>
          <w:rFonts w:ascii="仿宋" w:hAnsi="仿宋" w:eastAsia="仿宋"/>
          <w:sz w:val="28"/>
          <w:szCs w:val="28"/>
        </w:rPr>
      </w:pPr>
      <w:r>
        <w:rPr>
          <w:rFonts w:hint="eastAsia" w:ascii="仿宋" w:hAnsi="仿宋" w:eastAsia="仿宋"/>
          <w:sz w:val="28"/>
          <w:szCs w:val="28"/>
        </w:rPr>
        <w:t>2、向乙方提供检测场地，保证运输道路畅通，同时提供现场检测用水、用电接驳点（水电费由乙方承担）。</w:t>
      </w:r>
    </w:p>
    <w:p>
      <w:pPr>
        <w:autoSpaceDE w:val="0"/>
        <w:autoSpaceDN w:val="0"/>
        <w:adjustRightInd w:val="0"/>
        <w:spacing w:line="520" w:lineRule="exact"/>
        <w:ind w:right="26" w:firstLine="406" w:firstLineChars="145"/>
        <w:rPr>
          <w:rFonts w:ascii="仿宋" w:hAnsi="仿宋" w:eastAsia="仿宋"/>
          <w:sz w:val="28"/>
          <w:szCs w:val="28"/>
        </w:rPr>
      </w:pPr>
      <w:r>
        <w:rPr>
          <w:rFonts w:hint="eastAsia" w:ascii="仿宋" w:hAnsi="仿宋" w:eastAsia="仿宋"/>
          <w:sz w:val="28"/>
          <w:szCs w:val="28"/>
        </w:rPr>
        <w:t xml:space="preserve"> 3、负责协调乙方与其他各承包单位的关系，并协助解决材料堆放场地，费用由乙方承担并直接向总承包单位支付。</w:t>
      </w:r>
    </w:p>
    <w:p>
      <w:pPr>
        <w:spacing w:line="540" w:lineRule="exact"/>
        <w:ind w:firstLine="480"/>
        <w:rPr>
          <w:rFonts w:ascii="仿宋" w:hAnsi="仿宋" w:eastAsia="仿宋"/>
          <w:sz w:val="28"/>
          <w:szCs w:val="28"/>
        </w:rPr>
      </w:pPr>
      <w:r>
        <w:rPr>
          <w:rFonts w:hint="eastAsia" w:ascii="仿宋" w:hAnsi="仿宋" w:eastAsia="仿宋"/>
          <w:sz w:val="28"/>
          <w:szCs w:val="28"/>
        </w:rPr>
        <w:t>4、按相关规定办理检测所需证件、手续，提供有关的资料，包括：桩基础平面图、地质资料、桩径、桩长及砼标号。</w:t>
      </w:r>
    </w:p>
    <w:p>
      <w:pPr>
        <w:spacing w:line="540" w:lineRule="exact"/>
        <w:rPr>
          <w:rFonts w:ascii="仿宋" w:hAnsi="仿宋" w:eastAsia="仿宋"/>
          <w:sz w:val="28"/>
          <w:szCs w:val="28"/>
        </w:rPr>
      </w:pPr>
      <w:r>
        <w:rPr>
          <w:rFonts w:hint="eastAsia" w:ascii="仿宋" w:hAnsi="仿宋" w:eastAsia="仿宋"/>
          <w:sz w:val="28"/>
          <w:szCs w:val="28"/>
        </w:rPr>
        <w:t xml:space="preserve">   （二）乙方义务</w:t>
      </w:r>
    </w:p>
    <w:p>
      <w:pPr>
        <w:spacing w:line="540" w:lineRule="exact"/>
        <w:ind w:firstLine="480"/>
        <w:rPr>
          <w:rFonts w:ascii="仿宋" w:hAnsi="仿宋" w:eastAsia="仿宋"/>
          <w:sz w:val="28"/>
          <w:szCs w:val="28"/>
        </w:rPr>
      </w:pPr>
      <w:r>
        <w:rPr>
          <w:rFonts w:hint="eastAsia" w:ascii="仿宋" w:hAnsi="仿宋" w:eastAsia="仿宋"/>
          <w:sz w:val="28"/>
          <w:szCs w:val="28"/>
        </w:rPr>
        <w:t>1、委派现场代表负责检测期间的全面管理。该现场代表须持有与本检测项目相适应的资格证书</w:t>
      </w:r>
      <w:r>
        <w:rPr>
          <w:rFonts w:hint="eastAsia" w:ascii="仿宋" w:hAnsi="仿宋" w:eastAsia="仿宋"/>
          <w:i/>
          <w:iCs/>
          <w:sz w:val="28"/>
          <w:szCs w:val="28"/>
        </w:rPr>
        <w:t>，</w:t>
      </w:r>
      <w:r>
        <w:rPr>
          <w:rFonts w:hint="eastAsia" w:ascii="仿宋" w:hAnsi="仿宋" w:eastAsia="仿宋"/>
          <w:sz w:val="28"/>
          <w:szCs w:val="28"/>
        </w:rPr>
        <w:t>如变更现场代表应事先经甲方书面同意。</w:t>
      </w:r>
    </w:p>
    <w:p>
      <w:pPr>
        <w:spacing w:line="540" w:lineRule="exact"/>
        <w:ind w:firstLine="480"/>
        <w:rPr>
          <w:rFonts w:ascii="仿宋" w:hAnsi="仿宋" w:eastAsia="仿宋"/>
          <w:sz w:val="28"/>
          <w:szCs w:val="28"/>
        </w:rPr>
      </w:pPr>
      <w:r>
        <w:rPr>
          <w:rFonts w:hint="eastAsia" w:ascii="仿宋" w:hAnsi="仿宋" w:eastAsia="仿宋"/>
          <w:sz w:val="28"/>
          <w:szCs w:val="28"/>
        </w:rPr>
        <w:t>2、检测工作开始前三天内应将检测工作的主要负责人报甲方确认、备案，如乙方更换检测工作主要负责人，应事先征得甲方的书面同意。</w:t>
      </w:r>
    </w:p>
    <w:p>
      <w:pPr>
        <w:spacing w:line="540" w:lineRule="exact"/>
        <w:ind w:firstLine="480"/>
        <w:rPr>
          <w:rFonts w:ascii="仿宋" w:hAnsi="仿宋" w:eastAsia="仿宋"/>
          <w:sz w:val="28"/>
          <w:szCs w:val="28"/>
        </w:rPr>
      </w:pPr>
      <w:r>
        <w:rPr>
          <w:rFonts w:hint="eastAsia" w:ascii="仿宋" w:hAnsi="仿宋" w:eastAsia="仿宋"/>
          <w:sz w:val="28"/>
          <w:szCs w:val="28"/>
        </w:rPr>
        <w:t>3、乙方应当具备中华人民共和国政府认可的与本合同检测项目相应的资质证书。如因资质证书造成甲方损失的，乙方应当赔偿损失。</w:t>
      </w:r>
    </w:p>
    <w:p>
      <w:pPr>
        <w:spacing w:line="540" w:lineRule="exact"/>
        <w:ind w:firstLine="480"/>
        <w:rPr>
          <w:rFonts w:ascii="仿宋" w:hAnsi="仿宋" w:eastAsia="仿宋"/>
          <w:sz w:val="28"/>
          <w:szCs w:val="28"/>
        </w:rPr>
      </w:pPr>
      <w:r>
        <w:rPr>
          <w:rFonts w:hint="eastAsia" w:ascii="仿宋" w:hAnsi="仿宋" w:eastAsia="仿宋"/>
          <w:sz w:val="28"/>
          <w:szCs w:val="28"/>
        </w:rPr>
        <w:t>4、乙方须按甲方确认的具体数量进行检测，每次检测前须报甲方现场代表同意，并按时提交桩基检测报告（式份），并对其提交成果报告的真实性、有效性、准确性负责。</w:t>
      </w:r>
    </w:p>
    <w:p>
      <w:pPr>
        <w:spacing w:line="540" w:lineRule="exact"/>
        <w:ind w:firstLine="480"/>
        <w:rPr>
          <w:rFonts w:ascii="仿宋" w:hAnsi="仿宋" w:eastAsia="仿宋"/>
          <w:sz w:val="28"/>
          <w:szCs w:val="28"/>
        </w:rPr>
      </w:pPr>
      <w:r>
        <w:rPr>
          <w:rFonts w:hint="eastAsia" w:ascii="仿宋" w:hAnsi="仿宋" w:eastAsia="仿宋"/>
          <w:sz w:val="28"/>
          <w:szCs w:val="28"/>
        </w:rPr>
        <w:t>5、检测过程中如发现桩基设计和施工错误或不合理时，应立即书面通知甲方。</w:t>
      </w:r>
    </w:p>
    <w:p>
      <w:pPr>
        <w:spacing w:line="540" w:lineRule="exact"/>
        <w:ind w:firstLine="480"/>
        <w:rPr>
          <w:rFonts w:ascii="仿宋" w:hAnsi="仿宋" w:eastAsia="仿宋"/>
          <w:sz w:val="28"/>
          <w:szCs w:val="28"/>
        </w:rPr>
      </w:pPr>
      <w:r>
        <w:rPr>
          <w:rFonts w:hint="eastAsia" w:ascii="仿宋" w:hAnsi="仿宋" w:eastAsia="仿宋"/>
          <w:sz w:val="28"/>
          <w:szCs w:val="28"/>
        </w:rPr>
        <w:t>6、达到本合同约定的付款条件并经甲方确认后应向甲方发出付款通知及提供相关资料。若乙方未及时提供前述资料，甲方可相应顺延付款时间。</w:t>
      </w:r>
    </w:p>
    <w:p>
      <w:pPr>
        <w:snapToGrid w:val="0"/>
        <w:spacing w:line="520" w:lineRule="exact"/>
        <w:rPr>
          <w:rFonts w:ascii="仿宋" w:hAnsi="仿宋" w:eastAsia="仿宋"/>
          <w:sz w:val="28"/>
          <w:szCs w:val="28"/>
        </w:rPr>
      </w:pPr>
      <w:r>
        <w:rPr>
          <w:rFonts w:hint="eastAsia" w:ascii="仿宋" w:hAnsi="仿宋" w:eastAsia="仿宋"/>
          <w:sz w:val="28"/>
          <w:szCs w:val="28"/>
        </w:rPr>
        <w:t xml:space="preserve">    7、按相关安全法规进行安全工作，遵守甲方施工现场管理的有关规定，承</w:t>
      </w:r>
      <w:r>
        <w:rPr>
          <w:rFonts w:hint="eastAsia" w:ascii="仿宋" w:hAnsi="仿宋" w:eastAsia="仿宋"/>
          <w:sz w:val="28"/>
          <w:szCs w:val="28"/>
        </w:rPr>
        <w:drawing>
          <wp:anchor distT="0" distB="0" distL="114300" distR="114300" simplePos="0" relativeHeight="251659264" behindDoc="1" locked="1" layoutInCell="1" allowOverlap="1">
            <wp:simplePos x="0" y="0"/>
            <wp:positionH relativeFrom="column">
              <wp:posOffset>990600</wp:posOffset>
            </wp:positionH>
            <wp:positionV relativeFrom="paragraph">
              <wp:posOffset>1193800</wp:posOffset>
            </wp:positionV>
            <wp:extent cx="1460500" cy="215900"/>
            <wp:effectExtent l="0" t="0" r="6350" b="12700"/>
            <wp:wrapNone/>
            <wp:docPr id="1" name="图片 30"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descr="108"/>
                    <pic:cNvPicPr>
                      <a:picLocks noChangeAspect="1"/>
                    </pic:cNvPicPr>
                  </pic:nvPicPr>
                  <pic:blipFill>
                    <a:blip r:embed="rId4"/>
                    <a:stretch>
                      <a:fillRect/>
                    </a:stretch>
                  </pic:blipFill>
                  <pic:spPr>
                    <a:xfrm>
                      <a:off x="0" y="0"/>
                      <a:ext cx="1460500" cy="215900"/>
                    </a:xfrm>
                    <a:prstGeom prst="rect">
                      <a:avLst/>
                    </a:prstGeom>
                    <a:noFill/>
                    <a:ln w="9525">
                      <a:noFill/>
                    </a:ln>
                  </pic:spPr>
                </pic:pic>
              </a:graphicData>
            </a:graphic>
          </wp:anchor>
        </w:drawing>
      </w:r>
      <w:r>
        <w:rPr>
          <w:rFonts w:hint="eastAsia" w:ascii="仿宋" w:hAnsi="仿宋" w:eastAsia="仿宋"/>
          <w:sz w:val="28"/>
          <w:szCs w:val="28"/>
        </w:rPr>
        <w:t>担在工作过程中的防火、防盗、防止意外事故发生等安全责任。因桥梁南岸位于扬农厂区内，需服从厂方相关安全规章制度，需有问题及时沟通。若出现安全问题，责任由乙方自行承担。</w:t>
      </w:r>
    </w:p>
    <w:p>
      <w:pPr>
        <w:snapToGrid w:val="0"/>
        <w:spacing w:line="520" w:lineRule="exact"/>
        <w:ind w:left="10" w:leftChars="5" w:firstLine="560" w:firstLineChars="200"/>
        <w:rPr>
          <w:rFonts w:ascii="仿宋" w:hAnsi="仿宋" w:eastAsia="仿宋"/>
          <w:sz w:val="28"/>
          <w:szCs w:val="28"/>
        </w:rPr>
      </w:pPr>
      <w:r>
        <w:rPr>
          <w:rFonts w:hint="eastAsia" w:ascii="仿宋" w:hAnsi="仿宋" w:eastAsia="仿宋"/>
          <w:sz w:val="28"/>
          <w:szCs w:val="28"/>
        </w:rPr>
        <w:t>8、乙方如在检测过程中损坏甲方现场的其他工程成品或半成品，乙方应赔偿给甲方，甲方有权在结算款中扣除。</w:t>
      </w:r>
    </w:p>
    <w:p>
      <w:pPr>
        <w:snapToGrid w:val="0"/>
        <w:spacing w:line="520" w:lineRule="exact"/>
        <w:ind w:left="10" w:leftChars="5" w:firstLine="560" w:firstLineChars="200"/>
        <w:rPr>
          <w:rFonts w:ascii="仿宋" w:hAnsi="仿宋" w:eastAsia="仿宋"/>
          <w:sz w:val="28"/>
          <w:szCs w:val="28"/>
        </w:rPr>
      </w:pPr>
      <w:r>
        <w:rPr>
          <w:rFonts w:hint="eastAsia" w:ascii="仿宋" w:hAnsi="仿宋" w:eastAsia="仿宋"/>
          <w:sz w:val="28"/>
          <w:szCs w:val="28"/>
        </w:rPr>
        <w:t>9、对所提交的检测成果的质量负责，提供符合规范的检测报告：内容包括检测数据、测试手段和方法、分析结果、结论（明确被测桩质量等级）和建议等。</w:t>
      </w:r>
    </w:p>
    <w:p>
      <w:pPr>
        <w:tabs>
          <w:tab w:val="right" w:pos="8486"/>
        </w:tabs>
        <w:spacing w:line="360" w:lineRule="auto"/>
        <w:ind w:firstLine="749" w:firstLineChars="284"/>
        <w:outlineLvl w:val="0"/>
        <w:rPr>
          <w:rFonts w:ascii="仿宋" w:hAnsi="仿宋" w:eastAsia="仿宋"/>
          <w:b/>
          <w:bCs/>
          <w:spacing w:val="-8"/>
          <w:sz w:val="28"/>
          <w:szCs w:val="28"/>
        </w:rPr>
      </w:pPr>
      <w:r>
        <w:rPr>
          <w:rFonts w:hint="eastAsia" w:ascii="仿宋" w:hAnsi="仿宋" w:eastAsia="仿宋"/>
          <w:b/>
          <w:bCs/>
          <w:spacing w:val="-8"/>
          <w:sz w:val="28"/>
          <w:szCs w:val="28"/>
        </w:rPr>
        <w:t>四、违约责任</w:t>
      </w:r>
    </w:p>
    <w:p>
      <w:pPr>
        <w:snapToGrid w:val="0"/>
        <w:spacing w:line="520" w:lineRule="exact"/>
        <w:ind w:left="490"/>
        <w:rPr>
          <w:rFonts w:ascii="仿宋" w:hAnsi="仿宋" w:eastAsia="仿宋"/>
          <w:sz w:val="28"/>
          <w:szCs w:val="28"/>
        </w:rPr>
      </w:pPr>
      <w:r>
        <w:rPr>
          <w:rFonts w:hint="eastAsia" w:ascii="仿宋" w:hAnsi="仿宋" w:eastAsia="仿宋"/>
          <w:sz w:val="28"/>
          <w:szCs w:val="28"/>
        </w:rPr>
        <w:t>1、甲方未能按本合同约定提供检测场地的，工期相应顺延。</w:t>
      </w:r>
    </w:p>
    <w:p>
      <w:pPr>
        <w:snapToGrid w:val="0"/>
        <w:spacing w:line="520" w:lineRule="exact"/>
        <w:ind w:firstLine="560" w:firstLineChars="200"/>
        <w:rPr>
          <w:rFonts w:ascii="仿宋" w:hAnsi="仿宋" w:eastAsia="仿宋"/>
          <w:spacing w:val="6"/>
          <w:sz w:val="28"/>
          <w:szCs w:val="28"/>
        </w:rPr>
      </w:pPr>
      <w:r>
        <w:rPr>
          <w:rFonts w:hint="eastAsia" w:ascii="仿宋" w:hAnsi="仿宋" w:eastAsia="仿宋"/>
          <w:sz w:val="28"/>
          <w:szCs w:val="28"/>
        </w:rPr>
        <w:t>2、乙方未能按合同约定时间完成合同义务的，乙方应承担违约责任。每逾期一日，</w:t>
      </w:r>
      <w:r>
        <w:rPr>
          <w:rFonts w:hint="eastAsia" w:ascii="仿宋" w:hAnsi="仿宋" w:eastAsia="仿宋"/>
          <w:spacing w:val="6"/>
          <w:sz w:val="28"/>
          <w:szCs w:val="28"/>
        </w:rPr>
        <w:t>按</w:t>
      </w:r>
      <w:r>
        <w:rPr>
          <w:rFonts w:hint="eastAsia" w:ascii="仿宋" w:hAnsi="仿宋" w:eastAsia="仿宋"/>
          <w:sz w:val="28"/>
          <w:szCs w:val="28"/>
        </w:rPr>
        <w:t>检测预算总价款的</w:t>
      </w:r>
      <w:r>
        <w:rPr>
          <w:rFonts w:hint="eastAsia" w:ascii="仿宋" w:hAnsi="仿宋" w:eastAsia="仿宋"/>
          <w:sz w:val="28"/>
          <w:szCs w:val="28"/>
          <w:u w:val="single"/>
        </w:rPr>
        <w:t xml:space="preserve">1 </w:t>
      </w:r>
      <w:r>
        <w:rPr>
          <w:rFonts w:hint="eastAsia" w:ascii="仿宋" w:hAnsi="仿宋" w:eastAsia="仿宋"/>
          <w:sz w:val="28"/>
          <w:szCs w:val="28"/>
        </w:rPr>
        <w:t>‰向甲方</w:t>
      </w:r>
      <w:r>
        <w:rPr>
          <w:rFonts w:hint="eastAsia" w:ascii="仿宋" w:hAnsi="仿宋" w:eastAsia="仿宋"/>
          <w:spacing w:val="6"/>
          <w:sz w:val="28"/>
          <w:szCs w:val="28"/>
        </w:rPr>
        <w:t>支付</w:t>
      </w:r>
      <w:r>
        <w:rPr>
          <w:rFonts w:hint="eastAsia" w:ascii="仿宋" w:hAnsi="仿宋" w:eastAsia="仿宋"/>
          <w:sz w:val="28"/>
          <w:szCs w:val="28"/>
        </w:rPr>
        <w:t>违约金。</w:t>
      </w:r>
      <w:r>
        <w:rPr>
          <w:rFonts w:hint="eastAsia" w:ascii="仿宋" w:hAnsi="仿宋" w:eastAsia="仿宋"/>
          <w:spacing w:val="6"/>
          <w:sz w:val="28"/>
          <w:szCs w:val="28"/>
        </w:rPr>
        <w:t>逾期超过5天的，甲方有权解除合同，乙方除向甲方支付上述违约金外，还应按本合同预算总价款的20％向甲方支付违约金。</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3、若乙方所提交的检测报告及有关资料不完整，不齐全，或内容不符合甲方要求的，乙方应按甲方要求补充或重新进行检测作业，并补齐有关资料。由此造成检测延误的，乙方应当承担逾期履行的违约责任。</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4、如因乙方提交的成果报告造成甲方工程质量问题的，视为乙方违约。甲方有权向乙方追究由此而产生的经济、法律责任。</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5、乙方在检测过程中，除不可抗力或甲方原因外不得以任何理由停工，非上述原因连续停工两个工作日以上的，甲方有权解除合同，乙方应</w:t>
      </w:r>
      <w:r>
        <w:rPr>
          <w:rFonts w:hint="eastAsia" w:ascii="仿宋" w:hAnsi="仿宋" w:eastAsia="仿宋"/>
          <w:spacing w:val="6"/>
          <w:sz w:val="28"/>
          <w:szCs w:val="28"/>
        </w:rPr>
        <w:t>按本合同预算总价款的10％向甲方支付违约金，</w:t>
      </w:r>
      <w:r>
        <w:rPr>
          <w:rFonts w:hint="eastAsia" w:ascii="仿宋" w:hAnsi="仿宋" w:eastAsia="仿宋"/>
          <w:sz w:val="28"/>
          <w:szCs w:val="28"/>
        </w:rPr>
        <w:t>造成甲方工期延误或其他损失的，乙方应予赔偿。</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6、甲方依本合同约定解除合同的，乙方所有人员、设备必须在甲方解除合同书面通知送达之日起五个工作日内撤离工作现场并向甲方移交有关的所有检测资料，并在此期限内与甲方共同签证已完成的工作量。未经甲乙双方共同签证的工作量不得再要求结算。甲方在上述期限过后有权安排新的检测单位进场。</w:t>
      </w:r>
    </w:p>
    <w:p>
      <w:pPr>
        <w:spacing w:line="540" w:lineRule="exact"/>
        <w:ind w:firstLine="584" w:firstLineChars="200"/>
        <w:rPr>
          <w:rFonts w:ascii="仿宋" w:hAnsi="仿宋" w:eastAsia="仿宋"/>
          <w:spacing w:val="6"/>
          <w:sz w:val="28"/>
          <w:szCs w:val="28"/>
        </w:rPr>
      </w:pPr>
      <w:r>
        <w:rPr>
          <w:rFonts w:hint="eastAsia" w:ascii="仿宋" w:hAnsi="仿宋" w:eastAsia="仿宋"/>
          <w:spacing w:val="6"/>
          <w:sz w:val="28"/>
          <w:szCs w:val="28"/>
        </w:rPr>
        <w:t>7、乙方应向甲方支付的违约金，甲方有权直接在应付而未付款中扣除，违约金不足以弥补甲方损失的，甲方可继续向乙方追偿。</w:t>
      </w:r>
    </w:p>
    <w:p>
      <w:pPr>
        <w:tabs>
          <w:tab w:val="right" w:pos="8486"/>
        </w:tabs>
        <w:spacing w:line="580" w:lineRule="exact"/>
        <w:rPr>
          <w:rFonts w:ascii="仿宋" w:hAnsi="仿宋" w:eastAsia="仿宋"/>
          <w:b/>
          <w:bCs/>
          <w:spacing w:val="-8"/>
          <w:sz w:val="28"/>
          <w:szCs w:val="28"/>
        </w:rPr>
      </w:pPr>
      <w:r>
        <w:rPr>
          <w:rFonts w:hint="eastAsia" w:ascii="仿宋" w:hAnsi="仿宋" w:eastAsia="仿宋"/>
          <w:b/>
          <w:bCs/>
          <w:spacing w:val="-8"/>
          <w:sz w:val="28"/>
          <w:szCs w:val="28"/>
        </w:rPr>
        <w:t>五、其它</w:t>
      </w:r>
    </w:p>
    <w:p>
      <w:pPr>
        <w:tabs>
          <w:tab w:val="right" w:pos="8486"/>
        </w:tabs>
        <w:spacing w:line="580" w:lineRule="exact"/>
        <w:ind w:firstLine="584" w:firstLineChars="200"/>
        <w:rPr>
          <w:rFonts w:ascii="仿宋" w:hAnsi="仿宋" w:eastAsia="仿宋"/>
          <w:spacing w:val="6"/>
          <w:sz w:val="28"/>
          <w:szCs w:val="28"/>
        </w:rPr>
      </w:pPr>
      <w:r>
        <w:rPr>
          <w:rFonts w:hint="eastAsia" w:ascii="仿宋" w:hAnsi="仿宋" w:eastAsia="仿宋"/>
          <w:spacing w:val="6"/>
          <w:sz w:val="28"/>
          <w:szCs w:val="28"/>
        </w:rPr>
        <w:t>1、本工程不得以任何名义转包。如被甲方发现有违法行为时，甲方有权终止合同，并追究其法律责任。</w:t>
      </w:r>
    </w:p>
    <w:p>
      <w:pPr>
        <w:tabs>
          <w:tab w:val="right" w:pos="8486"/>
        </w:tabs>
        <w:spacing w:line="580" w:lineRule="exact"/>
        <w:ind w:firstLine="584" w:firstLineChars="200"/>
        <w:rPr>
          <w:rFonts w:ascii="仿宋" w:hAnsi="仿宋" w:eastAsia="仿宋"/>
          <w:spacing w:val="6"/>
          <w:sz w:val="28"/>
          <w:szCs w:val="28"/>
        </w:rPr>
      </w:pPr>
      <w:r>
        <w:rPr>
          <w:rFonts w:hint="eastAsia" w:ascii="仿宋" w:hAnsi="仿宋" w:eastAsia="仿宋"/>
          <w:spacing w:val="6"/>
          <w:sz w:val="28"/>
          <w:szCs w:val="28"/>
        </w:rPr>
        <w:t>2、中标检测人应按工中标检测人应按工程的时序进度开展检测工及作，时提交完整的正式检测报告，不得以未付款为由，不提交或扣留检测报告，影响工程正常进行。</w:t>
      </w:r>
    </w:p>
    <w:p>
      <w:pPr>
        <w:spacing w:line="540" w:lineRule="exact"/>
        <w:ind w:firstLine="584" w:firstLineChars="200"/>
        <w:rPr>
          <w:rFonts w:ascii="仿宋" w:hAnsi="仿宋" w:eastAsia="仿宋"/>
          <w:spacing w:val="6"/>
          <w:sz w:val="28"/>
          <w:szCs w:val="28"/>
        </w:rPr>
      </w:pPr>
      <w:r>
        <w:rPr>
          <w:rFonts w:hint="eastAsia" w:ascii="仿宋" w:hAnsi="仿宋" w:eastAsia="仿宋"/>
          <w:spacing w:val="6"/>
          <w:sz w:val="28"/>
          <w:szCs w:val="28"/>
        </w:rPr>
        <w:t>3、检测数量按照工程检测频率及工程造价报告书工程量清单测算，实际检测数量根据监理签发的通知单为准。对非业主原因造成的不合格而重新检测的工作量，由施工单位负责检测费用。因工程变更或其他原因导致增加检测项目或检测数量的，应事先征得监理和建设单位现场代表的书面同意，方可进行检测。</w:t>
      </w:r>
    </w:p>
    <w:p>
      <w:pPr>
        <w:spacing w:line="540" w:lineRule="exact"/>
        <w:ind w:firstLine="584" w:firstLineChars="200"/>
        <w:rPr>
          <w:rFonts w:ascii="仿宋" w:hAnsi="仿宋" w:eastAsia="仿宋"/>
          <w:spacing w:val="6"/>
          <w:sz w:val="28"/>
          <w:szCs w:val="28"/>
        </w:rPr>
      </w:pPr>
      <w:r>
        <w:rPr>
          <w:rFonts w:hint="eastAsia" w:ascii="仿宋" w:hAnsi="仿宋" w:eastAsia="仿宋"/>
          <w:spacing w:val="6"/>
          <w:sz w:val="28"/>
          <w:szCs w:val="28"/>
        </w:rPr>
        <w:t>4、工程竣工时，检测单位应提交全部工程检测资料，并报检测费项目清单给工程监理单位，监理单位根据工程检测的见证台帐对检测项目和数量进行审核后，报建设单位作为工程检测费的结算依据。</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spacing w:line="360" w:lineRule="auto"/>
        <w:rPr>
          <w:rFonts w:ascii="仿宋" w:hAnsi="仿宋" w:eastAsia="仿宋"/>
          <w:sz w:val="28"/>
          <w:szCs w:val="28"/>
        </w:rPr>
      </w:pPr>
    </w:p>
    <w:p>
      <w:pPr>
        <w:spacing w:before="240" w:afterLines="50" w:line="500" w:lineRule="exact"/>
        <w:rPr>
          <w:rFonts w:eastAsia="黑体"/>
          <w:b/>
          <w:sz w:val="28"/>
          <w:szCs w:val="28"/>
        </w:rPr>
      </w:pPr>
      <w:r>
        <w:rPr>
          <w:rFonts w:hint="eastAsia" w:eastAsia="黑体"/>
          <w:b/>
          <w:sz w:val="28"/>
          <w:szCs w:val="28"/>
        </w:rPr>
        <w:t>附件一：</w:t>
      </w:r>
    </w:p>
    <w:p>
      <w:pPr>
        <w:spacing w:line="360" w:lineRule="auto"/>
        <w:jc w:val="center"/>
        <w:rPr>
          <w:rFonts w:ascii="仿宋_GB2312" w:eastAsia="仿宋_GB2312"/>
          <w:b/>
          <w:bCs/>
          <w:color w:val="000000"/>
          <w:sz w:val="36"/>
        </w:rPr>
      </w:pPr>
      <w:r>
        <w:rPr>
          <w:rFonts w:hint="eastAsia" w:ascii="仿宋_GB2312" w:eastAsia="仿宋_GB2312"/>
          <w:b/>
          <w:bCs/>
          <w:color w:val="000000"/>
          <w:sz w:val="36"/>
        </w:rPr>
        <w:t>授权委托书</w:t>
      </w:r>
    </w:p>
    <w:p>
      <w:pPr>
        <w:spacing w:line="360" w:lineRule="auto"/>
        <w:rPr>
          <w:rFonts w:ascii="宋体" w:hAnsi="宋体"/>
          <w:color w:val="000000"/>
          <w:sz w:val="30"/>
        </w:rPr>
      </w:pPr>
    </w:p>
    <w:p>
      <w:pPr>
        <w:spacing w:line="360" w:lineRule="auto"/>
        <w:ind w:firstLine="560" w:firstLineChars="200"/>
        <w:rPr>
          <w:rFonts w:ascii="宋体" w:hAnsi="宋体"/>
          <w:color w:val="000000"/>
          <w:sz w:val="28"/>
        </w:rPr>
      </w:pPr>
      <w:r>
        <w:rPr>
          <w:rFonts w:hint="eastAsia" w:ascii="宋体" w:hAnsi="宋体"/>
          <w:color w:val="000000"/>
          <w:sz w:val="28"/>
        </w:rPr>
        <w:t>本授权委托书声明：我(姓名)系(报价单位)的法定代表人，现授权委托 (单位名称)(姓名)为我的授权代理人，以本公司的名义参加 (比价单位名称)的工程的桩基检测投标，授权委托人所签署的一切文件和处理与之有关的一切事务，我均予以承认。</w:t>
      </w:r>
    </w:p>
    <w:p>
      <w:pPr>
        <w:spacing w:line="360" w:lineRule="auto"/>
        <w:rPr>
          <w:rFonts w:ascii="宋体" w:hAnsi="宋体"/>
          <w:color w:val="000000"/>
          <w:sz w:val="28"/>
        </w:rPr>
      </w:pPr>
    </w:p>
    <w:p>
      <w:pPr>
        <w:spacing w:line="360" w:lineRule="auto"/>
        <w:rPr>
          <w:rFonts w:ascii="宋体" w:hAnsi="宋体"/>
          <w:color w:val="000000"/>
          <w:sz w:val="28"/>
        </w:rPr>
      </w:pPr>
    </w:p>
    <w:p>
      <w:pPr>
        <w:spacing w:line="360" w:lineRule="auto"/>
        <w:ind w:firstLine="720"/>
        <w:rPr>
          <w:rFonts w:ascii="宋体" w:hAnsi="宋体"/>
          <w:color w:val="000000"/>
          <w:sz w:val="28"/>
        </w:rPr>
      </w:pPr>
      <w:r>
        <w:rPr>
          <w:rFonts w:hint="eastAsia" w:ascii="宋体" w:hAnsi="宋体"/>
          <w:color w:val="000000"/>
          <w:sz w:val="28"/>
        </w:rPr>
        <w:t>授权委托人无转让权，特此委托。</w:t>
      </w:r>
    </w:p>
    <w:p>
      <w:pPr>
        <w:spacing w:line="360" w:lineRule="auto"/>
        <w:ind w:firstLine="720"/>
        <w:rPr>
          <w:rFonts w:ascii="宋体" w:hAnsi="宋体"/>
          <w:color w:val="000000"/>
          <w:sz w:val="28"/>
        </w:rPr>
      </w:pPr>
    </w:p>
    <w:p>
      <w:pPr>
        <w:spacing w:line="360" w:lineRule="auto"/>
        <w:rPr>
          <w:rFonts w:ascii="宋体" w:hAnsi="宋体"/>
          <w:color w:val="000000"/>
          <w:sz w:val="28"/>
          <w:u w:val="single"/>
        </w:rPr>
      </w:pPr>
      <w:r>
        <w:rPr>
          <w:rFonts w:hint="eastAsia" w:ascii="宋体" w:hAnsi="宋体"/>
          <w:color w:val="000000"/>
          <w:sz w:val="28"/>
        </w:rPr>
        <w:t>授权委托人：性别：年龄：</w:t>
      </w:r>
    </w:p>
    <w:p>
      <w:pPr>
        <w:spacing w:line="360" w:lineRule="auto"/>
        <w:rPr>
          <w:rFonts w:ascii="宋体" w:hAnsi="宋体"/>
          <w:color w:val="000000"/>
          <w:sz w:val="28"/>
          <w:u w:val="single"/>
        </w:rPr>
      </w:pPr>
      <w:r>
        <w:rPr>
          <w:rFonts w:hint="eastAsia" w:ascii="宋体" w:hAnsi="宋体"/>
          <w:color w:val="000000"/>
          <w:sz w:val="28"/>
        </w:rPr>
        <w:t>单     位：部门：职务：</w:t>
      </w:r>
    </w:p>
    <w:p>
      <w:pPr>
        <w:spacing w:line="360" w:lineRule="auto"/>
        <w:rPr>
          <w:rFonts w:ascii="宋体" w:hAnsi="宋体"/>
          <w:color w:val="000000"/>
          <w:sz w:val="28"/>
          <w:u w:val="single"/>
        </w:rPr>
      </w:pPr>
      <w:r>
        <w:rPr>
          <w:rFonts w:hint="eastAsia" w:ascii="宋体" w:hAnsi="宋体"/>
          <w:color w:val="000000"/>
          <w:sz w:val="28"/>
        </w:rPr>
        <w:t>报价单位(盖法人章 )</w:t>
      </w:r>
    </w:p>
    <w:p>
      <w:pPr>
        <w:spacing w:before="240" w:line="360" w:lineRule="auto"/>
        <w:rPr>
          <w:rFonts w:ascii="宋体" w:hAnsi="宋体"/>
          <w:color w:val="000000"/>
          <w:sz w:val="28"/>
          <w:u w:val="single"/>
        </w:rPr>
      </w:pPr>
      <w:r>
        <w:rPr>
          <w:rFonts w:hint="eastAsia" w:ascii="宋体" w:hAnsi="宋体"/>
          <w:color w:val="000000"/>
          <w:sz w:val="28"/>
        </w:rPr>
        <w:t>法定代表人（签字或盖章）：</w:t>
      </w:r>
    </w:p>
    <w:p>
      <w:pPr>
        <w:spacing w:line="360" w:lineRule="auto"/>
        <w:rPr>
          <w:rFonts w:ascii="宋体" w:hAnsi="宋体"/>
          <w:color w:val="000000"/>
          <w:sz w:val="28"/>
          <w:u w:val="single"/>
        </w:rPr>
      </w:pPr>
    </w:p>
    <w:p>
      <w:pPr>
        <w:spacing w:line="360" w:lineRule="auto"/>
        <w:rPr>
          <w:rFonts w:ascii="宋体" w:hAnsi="宋体"/>
          <w:color w:val="000000"/>
          <w:sz w:val="28"/>
          <w:u w:val="single"/>
        </w:rPr>
      </w:pPr>
    </w:p>
    <w:p>
      <w:pPr>
        <w:spacing w:line="360" w:lineRule="auto"/>
        <w:rPr>
          <w:rFonts w:ascii="宋体" w:hAnsi="宋体"/>
          <w:color w:val="000000"/>
          <w:sz w:val="28"/>
        </w:rPr>
      </w:pPr>
      <w:r>
        <w:rPr>
          <w:rFonts w:hint="eastAsia" w:ascii="宋体" w:hAnsi="宋体"/>
          <w:color w:val="000000"/>
          <w:sz w:val="28"/>
        </w:rPr>
        <w:t xml:space="preserve">                          日期：    年  月  日</w:t>
      </w:r>
    </w:p>
    <w:p>
      <w:pPr>
        <w:spacing w:line="360" w:lineRule="auto"/>
        <w:ind w:firstLine="600" w:firstLineChars="200"/>
        <w:rPr>
          <w:rFonts w:ascii="宋体" w:hAnsi="宋体"/>
          <w:b/>
          <w:bCs/>
          <w:color w:val="000000"/>
          <w:sz w:val="30"/>
        </w:rPr>
      </w:pPr>
    </w:p>
    <w:p>
      <w:pPr>
        <w:rPr>
          <w:rFonts w:ascii="仿宋_GB2312" w:hAnsi="宋体" w:eastAsia="仿宋_GB2312"/>
          <w:b/>
          <w:sz w:val="36"/>
          <w:szCs w:val="36"/>
        </w:rPr>
      </w:pPr>
      <w:r>
        <w:rPr>
          <w:rFonts w:ascii="宋体" w:hAnsi="宋体"/>
          <w:b/>
          <w:bCs/>
          <w:color w:val="000000"/>
          <w:sz w:val="36"/>
        </w:rPr>
        <w:br w:type="page"/>
      </w:r>
      <w:r>
        <w:rPr>
          <w:rFonts w:hint="eastAsia" w:ascii="宋体" w:hAnsi="宋体"/>
          <w:b/>
          <w:sz w:val="28"/>
          <w:szCs w:val="28"/>
        </w:rPr>
        <w:t>附件二：</w:t>
      </w:r>
    </w:p>
    <w:p>
      <w:pPr>
        <w:ind w:firstLine="3600" w:firstLineChars="1000"/>
        <w:rPr>
          <w:rFonts w:ascii="仿宋_GB2312" w:eastAsia="仿宋_GB2312"/>
          <w:b/>
          <w:sz w:val="36"/>
          <w:szCs w:val="36"/>
        </w:rPr>
      </w:pPr>
      <w:r>
        <w:rPr>
          <w:rFonts w:hint="eastAsia" w:ascii="仿宋_GB2312" w:eastAsia="仿宋_GB2312"/>
          <w:b/>
          <w:sz w:val="36"/>
          <w:szCs w:val="36"/>
        </w:rPr>
        <w:t>报价函</w:t>
      </w:r>
    </w:p>
    <w:p>
      <w:pPr>
        <w:spacing w:line="440" w:lineRule="exact"/>
        <w:rPr>
          <w:rFonts w:ascii="宋体" w:hAnsi="宋体"/>
          <w:b/>
          <w:bCs/>
          <w:sz w:val="24"/>
        </w:rPr>
      </w:pPr>
    </w:p>
    <w:p>
      <w:pPr>
        <w:spacing w:line="440" w:lineRule="exact"/>
        <w:rPr>
          <w:rFonts w:ascii="宋体" w:hAnsi="宋体"/>
          <w:b/>
          <w:bCs/>
          <w:sz w:val="24"/>
          <w:u w:val="single"/>
        </w:rPr>
      </w:pPr>
      <w:r>
        <w:rPr>
          <w:rFonts w:hint="eastAsia" w:ascii="宋体" w:hAnsi="宋体"/>
          <w:b/>
          <w:bCs/>
          <w:sz w:val="24"/>
        </w:rPr>
        <w:t>致（比价人）：</w:t>
      </w:r>
    </w:p>
    <w:p>
      <w:pPr>
        <w:spacing w:line="440" w:lineRule="exact"/>
        <w:rPr>
          <w:rFonts w:ascii="宋体" w:hAnsi="宋体"/>
          <w:b/>
          <w:bCs/>
          <w:sz w:val="24"/>
          <w:u w:val="single"/>
        </w:rPr>
      </w:pPr>
    </w:p>
    <w:p>
      <w:pPr>
        <w:spacing w:line="480" w:lineRule="auto"/>
        <w:rPr>
          <w:rFonts w:ascii="宋体" w:hAnsi="宋体"/>
          <w:sz w:val="24"/>
        </w:rPr>
      </w:pPr>
      <w:r>
        <w:rPr>
          <w:rFonts w:hint="eastAsia" w:ascii="宋体" w:hAnsi="宋体"/>
          <w:sz w:val="24"/>
        </w:rPr>
        <w:t xml:space="preserve">   1、在研究了</w:t>
      </w:r>
      <w:r>
        <w:rPr>
          <w:rFonts w:hint="eastAsia" w:ascii="宋体" w:hAnsi="宋体"/>
          <w:sz w:val="24"/>
          <w:szCs w:val="21"/>
          <w:u w:val="single"/>
        </w:rPr>
        <w:t>（项目名称）         桩基检测</w:t>
      </w:r>
      <w:r>
        <w:rPr>
          <w:rFonts w:hint="eastAsia" w:ascii="宋体" w:hAnsi="宋体"/>
          <w:sz w:val="24"/>
        </w:rPr>
        <w:t>的比价文件和考察了工程现场后，我们愿意按人民币（大写）元（</w:t>
      </w:r>
      <w:r>
        <w:rPr>
          <w:rFonts w:ascii="宋体" w:hAnsi="宋体"/>
          <w:sz w:val="24"/>
        </w:rPr>
        <w:t>¥</w:t>
      </w:r>
      <w:r>
        <w:rPr>
          <w:rFonts w:hint="eastAsia" w:ascii="宋体" w:hAnsi="宋体"/>
          <w:sz w:val="24"/>
        </w:rPr>
        <w:t>元）的投标总价，遵照比价文件的要求承担</w:t>
      </w:r>
      <w:r>
        <w:rPr>
          <w:rFonts w:hint="eastAsia" w:ascii="宋体" w:hAnsi="宋体"/>
          <w:sz w:val="24"/>
          <w:szCs w:val="21"/>
          <w:u w:val="single"/>
        </w:rPr>
        <w:t xml:space="preserve">（项目名称）     </w:t>
      </w:r>
      <w:r>
        <w:rPr>
          <w:rFonts w:hint="eastAsia" w:ascii="宋体" w:hAnsi="宋体"/>
          <w:sz w:val="24"/>
          <w:szCs w:val="21"/>
        </w:rPr>
        <w:t>桩基检测</w:t>
      </w:r>
      <w:r>
        <w:rPr>
          <w:rFonts w:hint="eastAsia" w:ascii="宋体" w:hAnsi="宋体"/>
          <w:sz w:val="24"/>
        </w:rPr>
        <w:t>工作。</w:t>
      </w:r>
    </w:p>
    <w:p>
      <w:pPr>
        <w:spacing w:line="480" w:lineRule="auto"/>
        <w:rPr>
          <w:rFonts w:ascii="宋体" w:hAnsi="宋体"/>
          <w:sz w:val="24"/>
        </w:rPr>
      </w:pPr>
      <w:r>
        <w:rPr>
          <w:rFonts w:hint="eastAsia" w:ascii="宋体" w:hAnsi="宋体"/>
          <w:sz w:val="24"/>
        </w:rPr>
        <w:t xml:space="preserve">   2、上述投标总价为我方按比价文件（含补充文件）的规定完成全部服务的总包干费用，我方不再要求其他服务费用。</w:t>
      </w:r>
    </w:p>
    <w:p>
      <w:pPr>
        <w:spacing w:line="480" w:lineRule="auto"/>
        <w:rPr>
          <w:rFonts w:ascii="宋体" w:hAnsi="宋体"/>
          <w:sz w:val="24"/>
        </w:rPr>
      </w:pPr>
      <w:r>
        <w:rPr>
          <w:rFonts w:hint="eastAsia" w:ascii="宋体" w:hAnsi="宋体"/>
          <w:sz w:val="24"/>
        </w:rPr>
        <w:t xml:space="preserve">   3、我方理解，贵方有权接受或拒绝任何标价的投标。</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报价人地址：报价人：（盖章）</w:t>
      </w:r>
    </w:p>
    <w:p>
      <w:pPr>
        <w:spacing w:line="440" w:lineRule="exact"/>
        <w:rPr>
          <w:rFonts w:ascii="宋体" w:hAnsi="宋体"/>
          <w:sz w:val="24"/>
        </w:rPr>
      </w:pPr>
      <w:r>
        <w:rPr>
          <w:rFonts w:hint="eastAsia" w:ascii="宋体" w:hAnsi="宋体"/>
          <w:sz w:val="24"/>
        </w:rPr>
        <w:t>邮政编码：        法定代表人</w:t>
      </w:r>
    </w:p>
    <w:p>
      <w:pPr>
        <w:spacing w:line="440" w:lineRule="exact"/>
        <w:rPr>
          <w:rFonts w:ascii="宋体" w:hAnsi="宋体"/>
          <w:sz w:val="24"/>
        </w:rPr>
      </w:pPr>
      <w:r>
        <w:rPr>
          <w:rFonts w:hint="eastAsia" w:ascii="宋体" w:hAnsi="宋体"/>
          <w:sz w:val="24"/>
        </w:rPr>
        <w:t>电    话：                   或</w:t>
      </w:r>
    </w:p>
    <w:p>
      <w:pPr>
        <w:spacing w:line="440" w:lineRule="exact"/>
        <w:rPr>
          <w:rFonts w:ascii="宋体" w:hAnsi="宋体"/>
          <w:sz w:val="24"/>
          <w:u w:val="single"/>
        </w:rPr>
      </w:pPr>
      <w:r>
        <w:rPr>
          <w:rFonts w:hint="eastAsia" w:ascii="宋体" w:hAnsi="宋体"/>
          <w:sz w:val="24"/>
        </w:rPr>
        <w:t>传    真：  其授权的代理人：</w:t>
      </w:r>
      <w:r>
        <w:rPr>
          <w:rFonts w:hint="eastAsia" w:ascii="宋体" w:hAnsi="宋体"/>
          <w:sz w:val="24"/>
          <w:u w:val="single"/>
        </w:rPr>
        <w:t>(签字或盖章)</w:t>
      </w:r>
    </w:p>
    <w:p>
      <w:pPr>
        <w:spacing w:line="440" w:lineRule="exact"/>
        <w:jc w:val="right"/>
        <w:rPr>
          <w:rFonts w:ascii="宋体" w:hAnsi="宋体"/>
          <w:sz w:val="24"/>
        </w:rPr>
      </w:pPr>
    </w:p>
    <w:p>
      <w:pPr>
        <w:spacing w:line="440" w:lineRule="exact"/>
        <w:jc w:val="right"/>
        <w:rPr>
          <w:rFonts w:ascii="宋体" w:hAnsi="宋体"/>
        </w:rPr>
      </w:pPr>
      <w:r>
        <w:rPr>
          <w:rFonts w:hint="eastAsia" w:ascii="宋体" w:hAnsi="宋体"/>
          <w:sz w:val="24"/>
        </w:rPr>
        <w:t>日期：_________年______月</w:t>
      </w:r>
      <w:r>
        <w:rPr>
          <w:rFonts w:ascii="宋体" w:hAnsi="宋体"/>
          <w:sz w:val="24"/>
        </w:rPr>
        <w:t>_______</w:t>
      </w:r>
      <w:r>
        <w:rPr>
          <w:rFonts w:hint="eastAsia" w:ascii="宋体" w:hAnsi="宋体"/>
          <w:sz w:val="24"/>
        </w:rPr>
        <w:t>日</w:t>
      </w: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rPr>
          <w:rFonts w:ascii="宋体" w:hAnsi="宋体"/>
          <w:b/>
          <w:sz w:val="36"/>
          <w:szCs w:val="36"/>
        </w:rPr>
      </w:pPr>
      <w:r>
        <w:rPr>
          <w:rFonts w:hint="eastAsia" w:ascii="宋体" w:hAnsi="宋体"/>
          <w:b/>
          <w:sz w:val="36"/>
          <w:szCs w:val="36"/>
        </w:rPr>
        <w:t>承 诺 书</w:t>
      </w:r>
    </w:p>
    <w:p>
      <w:pPr>
        <w:spacing w:line="360" w:lineRule="auto"/>
        <w:rPr>
          <w:rFonts w:ascii="仿宋_GB2312" w:hAnsi="仿宋_GB2312" w:eastAsia="仿宋_GB2312"/>
          <w:color w:val="000000"/>
          <w:sz w:val="28"/>
        </w:rPr>
      </w:pPr>
      <w:r>
        <w:rPr>
          <w:rFonts w:hint="eastAsia" w:ascii="仿宋_GB2312" w:hAnsi="仿宋_GB2312" w:eastAsia="仿宋_GB2312"/>
          <w:color w:val="000000"/>
          <w:sz w:val="28"/>
        </w:rPr>
        <w:t>扬州万福投资发展有限责任公司：</w:t>
      </w:r>
    </w:p>
    <w:p>
      <w:pPr>
        <w:spacing w:line="360" w:lineRule="auto"/>
        <w:ind w:firstLine="480"/>
        <w:rPr>
          <w:rFonts w:ascii="仿宋_GB2312" w:hAnsi="仿宋_GB2312" w:eastAsia="仿宋_GB2312"/>
          <w:sz w:val="28"/>
          <w:szCs w:val="28"/>
        </w:rPr>
      </w:pPr>
      <w:r>
        <w:rPr>
          <w:rFonts w:hint="eastAsia" w:ascii="仿宋_GB2312" w:hAnsi="仿宋_GB2312" w:eastAsia="仿宋_GB2312"/>
          <w:color w:val="000000"/>
          <w:sz w:val="28"/>
        </w:rPr>
        <w:t>我公司自愿参加贵单位（公司</w:t>
      </w:r>
      <w:r>
        <w:rPr>
          <w:rFonts w:hint="eastAsia" w:ascii="仿宋_GB2312" w:hAnsi="仿宋_GB2312" w:eastAsia="仿宋_GB2312"/>
          <w:color w:val="000000"/>
          <w:sz w:val="28"/>
          <w:szCs w:val="28"/>
        </w:rPr>
        <w:t>）</w:t>
      </w:r>
      <w:r>
        <w:rPr>
          <w:rFonts w:hint="eastAsia" w:ascii="仿宋_GB2312" w:hAnsi="仿宋_GB2312" w:eastAsia="仿宋_GB2312"/>
          <w:color w:val="000000"/>
          <w:sz w:val="28"/>
        </w:rPr>
        <w:t>项目的投标，并接受对我公司的资格审查，我公司承诺：根据贵单位（公司）提出的资格审查合格条件标准和要求，本公司</w:t>
      </w:r>
      <w:r>
        <w:rPr>
          <w:rFonts w:hint="eastAsia" w:ascii="仿宋_GB2312" w:hAnsi="仿宋_GB2312" w:eastAsia="仿宋_GB2312"/>
          <w:color w:val="000000"/>
          <w:sz w:val="28"/>
          <w:szCs w:val="28"/>
        </w:rPr>
        <w:t>没有因骗取中标或者严重违约以及发生重大工程质量、安全生产事故等问题，被有关部门暂停投标资格并在暂停期内。</w:t>
      </w:r>
      <w:r>
        <w:rPr>
          <w:rFonts w:hint="eastAsia" w:ascii="仿宋_GB2312" w:hAnsi="仿宋_GB2312" w:eastAsia="仿宋_GB2312"/>
          <w:color w:val="000000"/>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ascii="仿宋_GB2312" w:hAnsi="仿宋_GB2312" w:eastAsia="仿宋_GB2312"/>
          <w:sz w:val="28"/>
          <w:szCs w:val="28"/>
        </w:rPr>
      </w:pP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单位：（公章）</w:t>
      </w:r>
    </w:p>
    <w:p>
      <w:pPr>
        <w:spacing w:line="360" w:lineRule="auto"/>
        <w:rPr>
          <w:rFonts w:ascii="仿宋_GB2312" w:hAnsi="仿宋_GB2312" w:eastAsia="仿宋_GB2312"/>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法定代表人签名：</w:t>
      </w:r>
    </w:p>
    <w:p>
      <w:pPr>
        <w:spacing w:line="360" w:lineRule="auto"/>
        <w:rPr>
          <w:rFonts w:ascii="仿宋_GB2312" w:hAnsi="仿宋_GB2312" w:eastAsia="仿宋_GB2312"/>
          <w:color w:val="000000"/>
          <w:sz w:val="28"/>
          <w:szCs w:val="28"/>
        </w:rPr>
      </w:pPr>
    </w:p>
    <w:p>
      <w:pPr>
        <w:spacing w:line="360" w:lineRule="auto"/>
        <w:rPr>
          <w:rFonts w:ascii="仿宋_GB2312" w:hAnsi="仿宋_GB2312" w:eastAsia="仿宋_GB2312"/>
          <w:color w:val="000000"/>
          <w:sz w:val="28"/>
          <w:szCs w:val="28"/>
        </w:rPr>
      </w:pPr>
      <w:r>
        <w:rPr>
          <w:rFonts w:hint="eastAsia" w:ascii="仿宋_GB2312" w:hAnsi="仿宋_GB2312" w:eastAsia="仿宋_GB2312"/>
          <w:color w:val="000000"/>
          <w:sz w:val="28"/>
          <w:szCs w:val="28"/>
        </w:rPr>
        <w:t xml:space="preserve">                                    项目负责人签名：</w:t>
      </w:r>
    </w:p>
    <w:p>
      <w:pPr>
        <w:spacing w:line="360" w:lineRule="auto"/>
        <w:rPr>
          <w:rFonts w:ascii="仿宋_GB2312" w:hAnsi="仿宋_GB2312" w:eastAsia="仿宋_GB2312"/>
          <w:color w:val="000000"/>
          <w:sz w:val="28"/>
          <w:szCs w:val="28"/>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jc w:val="center"/>
        <w:outlineLvl w:val="0"/>
        <w:rPr>
          <w:b/>
          <w:bCs/>
          <w:spacing w:val="20"/>
          <w:sz w:val="36"/>
        </w:rPr>
      </w:pPr>
      <w:r>
        <w:rPr>
          <w:rFonts w:hint="eastAsia" w:ascii="仿宋" w:hAnsi="仿宋" w:eastAsia="仿宋" w:cs="仿宋"/>
          <w:b/>
          <w:bCs/>
          <w:spacing w:val="20"/>
          <w:sz w:val="36"/>
        </w:rPr>
        <w:t>检测人员一览表</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12"/>
        <w:gridCol w:w="1112"/>
        <w:gridCol w:w="1112"/>
        <w:gridCol w:w="1112"/>
        <w:gridCol w:w="1112"/>
        <w:gridCol w:w="1112"/>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112" w:type="dxa"/>
            <w:vMerge w:val="restart"/>
            <w:vAlign w:val="center"/>
          </w:tcPr>
          <w:p>
            <w:pPr>
              <w:jc w:val="center"/>
              <w:rPr>
                <w:sz w:val="24"/>
              </w:rPr>
            </w:pPr>
            <w:r>
              <w:rPr>
                <w:rFonts w:hint="eastAsia"/>
                <w:sz w:val="24"/>
              </w:rPr>
              <w:t>岗位</w:t>
            </w:r>
          </w:p>
        </w:tc>
        <w:tc>
          <w:tcPr>
            <w:tcW w:w="1112" w:type="dxa"/>
            <w:vMerge w:val="restart"/>
            <w:vAlign w:val="center"/>
          </w:tcPr>
          <w:p>
            <w:pPr>
              <w:jc w:val="center"/>
              <w:rPr>
                <w:sz w:val="24"/>
              </w:rPr>
            </w:pPr>
            <w:r>
              <w:rPr>
                <w:rFonts w:hint="eastAsia"/>
                <w:sz w:val="24"/>
              </w:rPr>
              <w:t>姓名</w:t>
            </w:r>
          </w:p>
        </w:tc>
        <w:tc>
          <w:tcPr>
            <w:tcW w:w="1112" w:type="dxa"/>
            <w:vMerge w:val="restart"/>
            <w:vAlign w:val="center"/>
          </w:tcPr>
          <w:p>
            <w:pPr>
              <w:jc w:val="center"/>
              <w:rPr>
                <w:sz w:val="24"/>
              </w:rPr>
            </w:pPr>
            <w:r>
              <w:rPr>
                <w:rFonts w:hint="eastAsia"/>
                <w:sz w:val="24"/>
              </w:rPr>
              <w:t>性别</w:t>
            </w:r>
          </w:p>
        </w:tc>
        <w:tc>
          <w:tcPr>
            <w:tcW w:w="1112" w:type="dxa"/>
            <w:vMerge w:val="restart"/>
            <w:vAlign w:val="center"/>
          </w:tcPr>
          <w:p>
            <w:pPr>
              <w:jc w:val="center"/>
              <w:rPr>
                <w:sz w:val="24"/>
              </w:rPr>
            </w:pPr>
            <w:r>
              <w:rPr>
                <w:rFonts w:hint="eastAsia"/>
                <w:sz w:val="24"/>
              </w:rPr>
              <w:t>年龄</w:t>
            </w:r>
          </w:p>
        </w:tc>
        <w:tc>
          <w:tcPr>
            <w:tcW w:w="1112" w:type="dxa"/>
            <w:vMerge w:val="restart"/>
            <w:vAlign w:val="center"/>
          </w:tcPr>
          <w:p>
            <w:pPr>
              <w:jc w:val="center"/>
              <w:rPr>
                <w:sz w:val="24"/>
              </w:rPr>
            </w:pPr>
            <w:r>
              <w:rPr>
                <w:rFonts w:hint="eastAsia"/>
                <w:sz w:val="24"/>
              </w:rPr>
              <w:t>职称</w:t>
            </w:r>
          </w:p>
        </w:tc>
        <w:tc>
          <w:tcPr>
            <w:tcW w:w="1112" w:type="dxa"/>
            <w:vMerge w:val="restart"/>
            <w:vAlign w:val="center"/>
          </w:tcPr>
          <w:p>
            <w:pPr>
              <w:rPr>
                <w:sz w:val="24"/>
              </w:rPr>
            </w:pPr>
            <w:r>
              <w:rPr>
                <w:rFonts w:hint="eastAsia"/>
                <w:sz w:val="24"/>
              </w:rPr>
              <w:t>职务</w:t>
            </w:r>
          </w:p>
        </w:tc>
        <w:tc>
          <w:tcPr>
            <w:tcW w:w="1112" w:type="dxa"/>
            <w:vMerge w:val="restart"/>
            <w:vAlign w:val="center"/>
          </w:tcPr>
          <w:p>
            <w:pPr>
              <w:jc w:val="center"/>
              <w:rPr>
                <w:sz w:val="24"/>
              </w:rPr>
            </w:pPr>
            <w:r>
              <w:rPr>
                <w:rFonts w:hint="eastAsia"/>
                <w:sz w:val="24"/>
              </w:rPr>
              <w:t>学历</w:t>
            </w:r>
          </w:p>
        </w:tc>
        <w:tc>
          <w:tcPr>
            <w:tcW w:w="1113" w:type="dxa"/>
            <w:vMerge w:val="restart"/>
            <w:vAlign w:val="center"/>
          </w:tcPr>
          <w:p>
            <w:pPr>
              <w:jc w:val="center"/>
              <w:rPr>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jc w:val="center"/>
              <w:rPr>
                <w:sz w:val="24"/>
              </w:rPr>
            </w:pPr>
          </w:p>
        </w:tc>
        <w:tc>
          <w:tcPr>
            <w:tcW w:w="1112" w:type="dxa"/>
            <w:vMerge w:val="continue"/>
            <w:vAlign w:val="center"/>
          </w:tcPr>
          <w:p>
            <w:pPr>
              <w:rPr>
                <w:sz w:val="24"/>
              </w:rPr>
            </w:pPr>
          </w:p>
        </w:tc>
        <w:tc>
          <w:tcPr>
            <w:tcW w:w="1112" w:type="dxa"/>
            <w:vMerge w:val="continue"/>
            <w:vAlign w:val="center"/>
          </w:tcPr>
          <w:p>
            <w:pPr>
              <w:jc w:val="center"/>
              <w:rPr>
                <w:sz w:val="24"/>
              </w:rPr>
            </w:pPr>
          </w:p>
        </w:tc>
        <w:tc>
          <w:tcPr>
            <w:tcW w:w="1113"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2" w:type="dxa"/>
          </w:tcPr>
          <w:p>
            <w:pPr>
              <w:rPr>
                <w:b/>
                <w:bCs/>
                <w:sz w:val="30"/>
              </w:rPr>
            </w:pPr>
          </w:p>
        </w:tc>
        <w:tc>
          <w:tcPr>
            <w:tcW w:w="1113" w:type="dxa"/>
          </w:tcPr>
          <w:p>
            <w:pPr>
              <w:rPr>
                <w:b/>
                <w:bCs/>
                <w:sz w:val="30"/>
              </w:rPr>
            </w:pPr>
          </w:p>
        </w:tc>
      </w:tr>
    </w:tbl>
    <w:p>
      <w:pPr>
        <w:spacing w:line="360" w:lineRule="auto"/>
        <w:rPr>
          <w:rFonts w:ascii="宋体" w:hAnsi="宋体"/>
          <w:b/>
          <w:sz w:val="36"/>
          <w:szCs w:val="36"/>
        </w:rPr>
        <w:sectPr>
          <w:pgSz w:w="11906" w:h="16838"/>
          <w:pgMar w:top="1440" w:right="1440" w:bottom="1440" w:left="1440" w:header="851" w:footer="992" w:gutter="0"/>
          <w:cols w:space="425" w:num="1"/>
          <w:docGrid w:type="linesAndChars" w:linePitch="312" w:charSpace="0"/>
        </w:sectPr>
      </w:pPr>
    </w:p>
    <w:p>
      <w:pPr>
        <w:jc w:val="center"/>
        <w:rPr>
          <w:b/>
          <w:bCs/>
          <w:sz w:val="32"/>
          <w:szCs w:val="32"/>
        </w:rPr>
      </w:pPr>
      <w:r>
        <w:rPr>
          <w:rFonts w:hint="eastAsia" w:ascii="黑体" w:hAnsi="黑体" w:eastAsia="黑体"/>
          <w:b/>
          <w:sz w:val="32"/>
          <w:szCs w:val="36"/>
        </w:rPr>
        <w:t>运河南北路快速化改造一期工程(七里河路至万福路)先导段</w:t>
      </w:r>
    </w:p>
    <w:p>
      <w:pPr>
        <w:jc w:val="center"/>
        <w:rPr>
          <w:b/>
          <w:bCs/>
          <w:sz w:val="32"/>
          <w:szCs w:val="32"/>
        </w:rPr>
      </w:pPr>
      <w:r>
        <w:rPr>
          <w:rFonts w:hint="eastAsia"/>
          <w:b/>
          <w:bCs/>
          <w:sz w:val="32"/>
          <w:szCs w:val="32"/>
        </w:rPr>
        <w:t>桩基检测报价明细表</w:t>
      </w:r>
    </w:p>
    <w:tbl>
      <w:tblPr>
        <w:tblStyle w:val="10"/>
        <w:tblW w:w="14899" w:type="dxa"/>
        <w:tblInd w:w="93" w:type="dxa"/>
        <w:tblLayout w:type="fixed"/>
        <w:tblCellMar>
          <w:top w:w="0" w:type="dxa"/>
          <w:left w:w="108" w:type="dxa"/>
          <w:bottom w:w="0" w:type="dxa"/>
          <w:right w:w="108" w:type="dxa"/>
        </w:tblCellMar>
      </w:tblPr>
      <w:tblGrid>
        <w:gridCol w:w="866"/>
        <w:gridCol w:w="974"/>
        <w:gridCol w:w="1120"/>
        <w:gridCol w:w="470"/>
        <w:gridCol w:w="580"/>
        <w:gridCol w:w="500"/>
        <w:gridCol w:w="680"/>
        <w:gridCol w:w="580"/>
        <w:gridCol w:w="766"/>
        <w:gridCol w:w="992"/>
        <w:gridCol w:w="888"/>
        <w:gridCol w:w="665"/>
        <w:gridCol w:w="876"/>
        <w:gridCol w:w="1965"/>
        <w:gridCol w:w="993"/>
        <w:gridCol w:w="992"/>
        <w:gridCol w:w="992"/>
      </w:tblGrid>
      <w:tr>
        <w:tblPrEx>
          <w:tblLayout w:type="fixed"/>
          <w:tblCellMar>
            <w:top w:w="0" w:type="dxa"/>
            <w:left w:w="108" w:type="dxa"/>
            <w:bottom w:w="0" w:type="dxa"/>
            <w:right w:w="108" w:type="dxa"/>
          </w:tblCellMar>
        </w:tblPrEx>
        <w:trPr>
          <w:trHeight w:val="379" w:hRule="atLeast"/>
        </w:trPr>
        <w:tc>
          <w:tcPr>
            <w:tcW w:w="8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主线主墩</w:t>
            </w:r>
          </w:p>
        </w:tc>
        <w:tc>
          <w:tcPr>
            <w:tcW w:w="97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3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超声波</w:t>
            </w:r>
          </w:p>
        </w:tc>
        <w:tc>
          <w:tcPr>
            <w:tcW w:w="242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低应变</w:t>
            </w:r>
          </w:p>
        </w:tc>
        <w:tc>
          <w:tcPr>
            <w:tcW w:w="19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高应变（承载力）</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111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桩基位置</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桩数</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桩径</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桩长</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总长</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r>
              <w:rPr>
                <w:rFonts w:hint="eastAsia" w:ascii="宋体" w:hAnsi="宋体" w:cs="宋体"/>
                <w:color w:val="000000"/>
                <w:kern w:val="0"/>
                <w:sz w:val="22"/>
              </w:rPr>
              <w:br w:type="textWrapping"/>
            </w:r>
            <w:r>
              <w:rPr>
                <w:rFonts w:hint="eastAsia" w:ascii="宋体" w:hAnsi="宋体" w:cs="宋体"/>
                <w:color w:val="000000"/>
                <w:kern w:val="0"/>
                <w:sz w:val="22"/>
              </w:rPr>
              <w:t>（元/米）</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r>
              <w:rPr>
                <w:rFonts w:hint="eastAsia" w:ascii="宋体" w:hAnsi="宋体" w:cs="宋体"/>
                <w:color w:val="000000"/>
                <w:kern w:val="0"/>
                <w:sz w:val="22"/>
              </w:rPr>
              <w:br w:type="textWrapping"/>
            </w:r>
            <w:r>
              <w:rPr>
                <w:rFonts w:hint="eastAsia" w:ascii="宋体" w:hAnsi="宋体" w:cs="宋体"/>
                <w:color w:val="000000"/>
                <w:kern w:val="0"/>
                <w:sz w:val="22"/>
              </w:rPr>
              <w:t>（元）</w:t>
            </w: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r>
              <w:rPr>
                <w:rFonts w:hint="eastAsia" w:ascii="宋体" w:hAnsi="宋体" w:cs="宋体"/>
                <w:color w:val="000000"/>
                <w:kern w:val="0"/>
                <w:sz w:val="22"/>
              </w:rPr>
              <w:br w:type="textWrapping"/>
            </w:r>
            <w:r>
              <w:rPr>
                <w:rFonts w:hint="eastAsia" w:ascii="宋体" w:hAnsi="宋体" w:cs="宋体"/>
                <w:color w:val="000000"/>
                <w:kern w:val="0"/>
                <w:sz w:val="22"/>
              </w:rPr>
              <w:t>（元）</w:t>
            </w:r>
          </w:p>
        </w:tc>
        <w:tc>
          <w:tcPr>
            <w:tcW w:w="1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桩顶反力</w:t>
            </w:r>
            <w:r>
              <w:rPr>
                <w:rFonts w:hint="eastAsia" w:ascii="宋体" w:hAnsi="宋体" w:cs="宋体"/>
                <w:color w:val="000000"/>
                <w:kern w:val="0"/>
                <w:sz w:val="22"/>
              </w:rPr>
              <w:br w:type="textWrapping"/>
            </w:r>
            <w:r>
              <w:rPr>
                <w:rFonts w:hint="eastAsia" w:ascii="宋体" w:hAnsi="宋体" w:cs="宋体"/>
                <w:color w:val="000000"/>
                <w:kern w:val="0"/>
                <w:sz w:val="22"/>
              </w:rPr>
              <w:t>（抗力系数1.0）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（元/根）</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r>
              <w:rPr>
                <w:rFonts w:hint="eastAsia" w:ascii="宋体" w:hAnsi="宋体" w:cs="宋体"/>
                <w:color w:val="000000"/>
                <w:kern w:val="0"/>
                <w:sz w:val="22"/>
              </w:rPr>
              <w:br w:type="textWrapping"/>
            </w:r>
            <w:r>
              <w:rPr>
                <w:rFonts w:hint="eastAsia" w:ascii="宋体" w:hAnsi="宋体" w:cs="宋体"/>
                <w:color w:val="000000"/>
                <w:kern w:val="0"/>
                <w:sz w:val="22"/>
              </w:rPr>
              <w:t>（元）</w:t>
            </w: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0号台</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486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4780.0 </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4620.3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4451.0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5446.1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6421.8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648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4465.2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4851.0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4682.0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4695.2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4731.4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4757.0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4744.1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4753.5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4730.6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4741.8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4735.1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4723.9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965"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4728.8 </w:t>
            </w:r>
          </w:p>
        </w:tc>
        <w:tc>
          <w:tcPr>
            <w:tcW w:w="99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70" w:hRule="atLeast"/>
        </w:trPr>
        <w:tc>
          <w:tcPr>
            <w:tcW w:w="86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小计</w:t>
            </w:r>
          </w:p>
        </w:tc>
        <w:tc>
          <w:tcPr>
            <w:tcW w:w="14033" w:type="dxa"/>
            <w:gridSpan w:val="16"/>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tc>
      </w:tr>
    </w:tbl>
    <w:p>
      <w:pPr>
        <w:tabs>
          <w:tab w:val="left" w:pos="2370"/>
        </w:tabs>
        <w:rPr>
          <w:spacing w:val="-8"/>
          <w:sz w:val="30"/>
        </w:rPr>
      </w:pPr>
    </w:p>
    <w:p>
      <w:pPr>
        <w:tabs>
          <w:tab w:val="left" w:pos="2370"/>
        </w:tabs>
        <w:rPr>
          <w:sz w:val="30"/>
        </w:rPr>
      </w:pPr>
    </w:p>
    <w:tbl>
      <w:tblPr>
        <w:tblStyle w:val="10"/>
        <w:tblW w:w="14612" w:type="dxa"/>
        <w:tblInd w:w="93" w:type="dxa"/>
        <w:tblLayout w:type="fixed"/>
        <w:tblCellMar>
          <w:top w:w="0" w:type="dxa"/>
          <w:left w:w="108" w:type="dxa"/>
          <w:bottom w:w="0" w:type="dxa"/>
          <w:right w:w="108" w:type="dxa"/>
        </w:tblCellMar>
      </w:tblPr>
      <w:tblGrid>
        <w:gridCol w:w="1080"/>
        <w:gridCol w:w="760"/>
        <w:gridCol w:w="1120"/>
        <w:gridCol w:w="175"/>
        <w:gridCol w:w="295"/>
        <w:gridCol w:w="175"/>
        <w:gridCol w:w="405"/>
        <w:gridCol w:w="175"/>
        <w:gridCol w:w="325"/>
        <w:gridCol w:w="175"/>
        <w:gridCol w:w="505"/>
        <w:gridCol w:w="175"/>
        <w:gridCol w:w="405"/>
        <w:gridCol w:w="175"/>
        <w:gridCol w:w="965"/>
        <w:gridCol w:w="187"/>
        <w:gridCol w:w="689"/>
        <w:gridCol w:w="507"/>
        <w:gridCol w:w="123"/>
        <w:gridCol w:w="313"/>
        <w:gridCol w:w="352"/>
        <w:gridCol w:w="313"/>
        <w:gridCol w:w="713"/>
        <w:gridCol w:w="1103"/>
        <w:gridCol w:w="1037"/>
        <w:gridCol w:w="2365"/>
      </w:tblGrid>
      <w:tr>
        <w:tblPrEx>
          <w:tblLayout w:type="fixed"/>
          <w:tblCellMar>
            <w:top w:w="0" w:type="dxa"/>
            <w:left w:w="108" w:type="dxa"/>
            <w:bottom w:w="0" w:type="dxa"/>
            <w:right w:w="108" w:type="dxa"/>
          </w:tblCellMar>
        </w:tblPrEx>
        <w:trPr>
          <w:trHeight w:val="27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主线辅墩</w:t>
            </w:r>
          </w:p>
        </w:tc>
        <w:tc>
          <w:tcPr>
            <w:tcW w:w="7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95"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8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928"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超声波</w:t>
            </w:r>
          </w:p>
        </w:tc>
        <w:tc>
          <w:tcPr>
            <w:tcW w:w="2917"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低应变</w:t>
            </w:r>
          </w:p>
        </w:tc>
        <w:tc>
          <w:tcPr>
            <w:tcW w:w="3402"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高应变（承载力）</w:t>
            </w:r>
          </w:p>
        </w:tc>
      </w:tr>
      <w:tr>
        <w:tblPrEx>
          <w:tblLayout w:type="fixed"/>
          <w:tblCellMar>
            <w:top w:w="0" w:type="dxa"/>
            <w:left w:w="108" w:type="dxa"/>
            <w:bottom w:w="0" w:type="dxa"/>
            <w:right w:w="108" w:type="dxa"/>
          </w:tblCellMar>
        </w:tblPrEx>
        <w:trPr>
          <w:trHeight w:val="642"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29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桩基位置</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桩数</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桩径</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桩长</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总长</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r>
              <w:rPr>
                <w:rFonts w:hint="eastAsia" w:ascii="宋体" w:hAnsi="宋体" w:cs="宋体"/>
                <w:color w:val="000000"/>
                <w:kern w:val="0"/>
                <w:sz w:val="22"/>
              </w:rPr>
              <w:br w:type="textWrapping"/>
            </w:r>
            <w:r>
              <w:rPr>
                <w:rFonts w:hint="eastAsia" w:ascii="宋体" w:hAnsi="宋体" w:cs="宋体"/>
                <w:color w:val="000000"/>
                <w:kern w:val="0"/>
                <w:sz w:val="22"/>
              </w:rPr>
              <w:t>（元/米）</w:t>
            </w:r>
          </w:p>
        </w:tc>
        <w:tc>
          <w:tcPr>
            <w:tcW w:w="11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r>
              <w:rPr>
                <w:rFonts w:hint="eastAsia" w:ascii="宋体" w:hAnsi="宋体" w:cs="宋体"/>
                <w:color w:val="000000"/>
                <w:kern w:val="0"/>
                <w:sz w:val="22"/>
              </w:rPr>
              <w:br w:type="textWrapping"/>
            </w:r>
            <w:r>
              <w:rPr>
                <w:rFonts w:hint="eastAsia" w:ascii="宋体" w:hAnsi="宋体" w:cs="宋体"/>
                <w:color w:val="000000"/>
                <w:kern w:val="0"/>
                <w:sz w:val="22"/>
              </w:rPr>
              <w:t>（元）</w:t>
            </w:r>
          </w:p>
        </w:tc>
        <w:tc>
          <w:tcPr>
            <w:tcW w:w="43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p>
        </w:tc>
        <w:tc>
          <w:tcPr>
            <w:tcW w:w="18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r>
              <w:rPr>
                <w:rFonts w:hint="eastAsia" w:ascii="宋体" w:hAnsi="宋体" w:cs="宋体"/>
                <w:color w:val="000000"/>
                <w:kern w:val="0"/>
                <w:sz w:val="22"/>
              </w:rPr>
              <w:br w:type="textWrapping"/>
            </w:r>
            <w:r>
              <w:rPr>
                <w:rFonts w:hint="eastAsia" w:ascii="宋体" w:hAnsi="宋体" w:cs="宋体"/>
                <w:color w:val="000000"/>
                <w:kern w:val="0"/>
                <w:sz w:val="22"/>
              </w:rPr>
              <w:t>（元）</w:t>
            </w:r>
          </w:p>
        </w:tc>
        <w:tc>
          <w:tcPr>
            <w:tcW w:w="340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桩顶反力</w:t>
            </w:r>
            <w:r>
              <w:rPr>
                <w:rFonts w:hint="eastAsia" w:ascii="宋体" w:hAnsi="宋体" w:cs="宋体"/>
                <w:color w:val="000000"/>
                <w:kern w:val="0"/>
                <w:sz w:val="22"/>
              </w:rPr>
              <w:br w:type="textWrapping"/>
            </w:r>
            <w:r>
              <w:rPr>
                <w:rFonts w:hint="eastAsia" w:ascii="宋体" w:hAnsi="宋体" w:cs="宋体"/>
                <w:color w:val="000000"/>
                <w:kern w:val="0"/>
                <w:sz w:val="22"/>
              </w:rPr>
              <w:t>（抗力系数1.0）</w:t>
            </w:r>
          </w:p>
        </w:tc>
      </w:tr>
      <w:tr>
        <w:tblPrEx>
          <w:tblLayout w:type="fixed"/>
          <w:tblCellMar>
            <w:top w:w="0" w:type="dxa"/>
            <w:left w:w="108" w:type="dxa"/>
            <w:bottom w:w="0" w:type="dxa"/>
            <w:right w:w="108" w:type="dxa"/>
          </w:tblCellMar>
        </w:tblPrEx>
        <w:trPr>
          <w:trHeight w:val="822"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9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5号墩左幅墩</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159</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43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8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3402"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4797.0 </w:t>
            </w:r>
          </w:p>
        </w:tc>
      </w:tr>
      <w:tr>
        <w:tblPrEx>
          <w:tblLayout w:type="fixed"/>
          <w:tblCellMar>
            <w:top w:w="0" w:type="dxa"/>
            <w:left w:w="108" w:type="dxa"/>
            <w:bottom w:w="0" w:type="dxa"/>
            <w:right w:w="108" w:type="dxa"/>
          </w:tblCellMar>
        </w:tblPrEx>
        <w:trPr>
          <w:trHeight w:val="103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9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5号墩右辅墩</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159</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9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43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8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3402"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4797.0 </w:t>
            </w:r>
          </w:p>
        </w:tc>
      </w:tr>
      <w:tr>
        <w:tblPrEx>
          <w:tblLayout w:type="fixed"/>
          <w:tblCellMar>
            <w:top w:w="0" w:type="dxa"/>
            <w:left w:w="108" w:type="dxa"/>
            <w:bottom w:w="0" w:type="dxa"/>
            <w:right w:w="108" w:type="dxa"/>
          </w:tblCellMar>
        </w:tblPrEx>
        <w:trPr>
          <w:trHeight w:val="792" w:hRule="atLeast"/>
        </w:trPr>
        <w:tc>
          <w:tcPr>
            <w:tcW w:w="14612" w:type="dxa"/>
            <w:gridSpan w:val="26"/>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2"/>
              </w:rPr>
            </w:pPr>
          </w:p>
          <w:p>
            <w:pPr>
              <w:widowControl/>
              <w:rPr>
                <w:rFonts w:ascii="宋体" w:hAnsi="宋体" w:cs="宋体"/>
                <w:color w:val="000000"/>
                <w:kern w:val="0"/>
                <w:sz w:val="22"/>
              </w:rPr>
            </w:pPr>
          </w:p>
          <w:p>
            <w:pPr>
              <w:widowControl/>
              <w:rPr>
                <w:rFonts w:ascii="宋体" w:hAnsi="宋体" w:cs="宋体"/>
                <w:color w:val="000000"/>
                <w:kern w:val="0"/>
                <w:sz w:val="22"/>
              </w:rPr>
            </w:pPr>
            <w:r>
              <w:rPr>
                <w:rFonts w:hint="eastAsia" w:ascii="宋体" w:hAnsi="宋体" w:cs="宋体"/>
                <w:color w:val="000000"/>
                <w:kern w:val="0"/>
                <w:sz w:val="22"/>
              </w:rPr>
              <w:t>小计</w:t>
            </w:r>
          </w:p>
          <w:p>
            <w:pPr>
              <w:widowControl/>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gridAfter w:val="1"/>
          <w:wAfter w:w="2365" w:type="dxa"/>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80"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96"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超声波</w:t>
            </w:r>
          </w:p>
        </w:tc>
        <w:tc>
          <w:tcPr>
            <w:tcW w:w="2321" w:type="dxa"/>
            <w:gridSpan w:val="6"/>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低应变</w:t>
            </w:r>
          </w:p>
        </w:tc>
        <w:tc>
          <w:tcPr>
            <w:tcW w:w="2140"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高应变（承载力）</w:t>
            </w:r>
          </w:p>
        </w:tc>
      </w:tr>
      <w:tr>
        <w:tblPrEx>
          <w:tblLayout w:type="fixed"/>
          <w:tblCellMar>
            <w:top w:w="0" w:type="dxa"/>
            <w:left w:w="108" w:type="dxa"/>
            <w:bottom w:w="0" w:type="dxa"/>
            <w:right w:w="108" w:type="dxa"/>
          </w:tblCellMar>
        </w:tblPrEx>
        <w:trPr>
          <w:gridAfter w:val="1"/>
          <w:wAfter w:w="2365" w:type="dxa"/>
          <w:trHeight w:val="54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LU1匝道</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桩基位置</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桩数</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桩径</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桩长</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总长</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r>
              <w:rPr>
                <w:rFonts w:hint="eastAsia" w:ascii="宋体" w:hAnsi="宋体" w:cs="宋体"/>
                <w:color w:val="000000"/>
                <w:kern w:val="0"/>
                <w:sz w:val="22"/>
              </w:rPr>
              <w:br w:type="textWrapping"/>
            </w:r>
            <w:r>
              <w:rPr>
                <w:rFonts w:hint="eastAsia" w:ascii="宋体" w:hAnsi="宋体" w:cs="宋体"/>
                <w:color w:val="000000"/>
                <w:kern w:val="0"/>
                <w:sz w:val="22"/>
              </w:rPr>
              <w:t>（元/米）</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小计（元）</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p>
        </w:tc>
        <w:tc>
          <w:tcPr>
            <w:tcW w:w="10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小计（元）</w:t>
            </w:r>
          </w:p>
        </w:tc>
        <w:tc>
          <w:tcPr>
            <w:tcW w:w="2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桩顶反力</w:t>
            </w:r>
            <w:r>
              <w:rPr>
                <w:rFonts w:hint="eastAsia" w:ascii="宋体" w:hAnsi="宋体" w:cs="宋体"/>
                <w:color w:val="000000"/>
                <w:kern w:val="0"/>
                <w:sz w:val="22"/>
              </w:rPr>
              <w:br w:type="textWrapping"/>
            </w:r>
            <w:r>
              <w:rPr>
                <w:rFonts w:hint="eastAsia" w:ascii="宋体" w:hAnsi="宋体" w:cs="宋体"/>
                <w:color w:val="000000"/>
                <w:kern w:val="0"/>
                <w:sz w:val="22"/>
              </w:rPr>
              <w:t>（抗力系数1.0）</w:t>
            </w:r>
          </w:p>
        </w:tc>
      </w:tr>
      <w:tr>
        <w:tblPrEx>
          <w:tblLayout w:type="fixed"/>
          <w:tblCellMar>
            <w:top w:w="0" w:type="dxa"/>
            <w:left w:w="108" w:type="dxa"/>
            <w:bottom w:w="0" w:type="dxa"/>
            <w:right w:w="108" w:type="dxa"/>
          </w:tblCellMar>
        </w:tblPrEx>
        <w:trPr>
          <w:gridAfter w:val="1"/>
          <w:wAfter w:w="2365" w:type="dxa"/>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0号台</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3944.0 </w:t>
            </w:r>
          </w:p>
        </w:tc>
      </w:tr>
      <w:tr>
        <w:tblPrEx>
          <w:tblLayout w:type="fixed"/>
          <w:tblCellMar>
            <w:top w:w="0" w:type="dxa"/>
            <w:left w:w="108" w:type="dxa"/>
            <w:bottom w:w="0" w:type="dxa"/>
            <w:right w:w="108" w:type="dxa"/>
          </w:tblCellMar>
        </w:tblPrEx>
        <w:trPr>
          <w:gridAfter w:val="1"/>
          <w:wAfter w:w="2365" w:type="dxa"/>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1号桥墩</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4230.1 </w:t>
            </w:r>
          </w:p>
        </w:tc>
      </w:tr>
      <w:tr>
        <w:tblPrEx>
          <w:tblLayout w:type="fixed"/>
          <w:tblCellMar>
            <w:top w:w="0" w:type="dxa"/>
            <w:left w:w="108" w:type="dxa"/>
            <w:bottom w:w="0" w:type="dxa"/>
            <w:right w:w="108" w:type="dxa"/>
          </w:tblCellMar>
        </w:tblPrEx>
        <w:trPr>
          <w:gridAfter w:val="1"/>
          <w:wAfter w:w="2365" w:type="dxa"/>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2号桥墩</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4312.2 </w:t>
            </w:r>
          </w:p>
        </w:tc>
      </w:tr>
      <w:tr>
        <w:tblPrEx>
          <w:tblLayout w:type="fixed"/>
          <w:tblCellMar>
            <w:top w:w="0" w:type="dxa"/>
            <w:left w:w="108" w:type="dxa"/>
            <w:bottom w:w="0" w:type="dxa"/>
            <w:right w:w="108" w:type="dxa"/>
          </w:tblCellMar>
        </w:tblPrEx>
        <w:trPr>
          <w:gridAfter w:val="1"/>
          <w:wAfter w:w="2365" w:type="dxa"/>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3号桥墩</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4093.9 </w:t>
            </w:r>
          </w:p>
        </w:tc>
      </w:tr>
      <w:tr>
        <w:tblPrEx>
          <w:tblLayout w:type="fixed"/>
          <w:tblCellMar>
            <w:top w:w="0" w:type="dxa"/>
            <w:left w:w="108" w:type="dxa"/>
            <w:bottom w:w="0" w:type="dxa"/>
            <w:right w:w="108" w:type="dxa"/>
          </w:tblCellMar>
        </w:tblPrEx>
        <w:trPr>
          <w:gridAfter w:val="1"/>
          <w:wAfter w:w="2365" w:type="dxa"/>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4号桥墩</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4417.8 </w:t>
            </w:r>
          </w:p>
        </w:tc>
      </w:tr>
      <w:tr>
        <w:tblPrEx>
          <w:tblLayout w:type="fixed"/>
          <w:tblCellMar>
            <w:top w:w="0" w:type="dxa"/>
            <w:left w:w="108" w:type="dxa"/>
            <w:bottom w:w="0" w:type="dxa"/>
            <w:right w:w="108" w:type="dxa"/>
          </w:tblCellMar>
        </w:tblPrEx>
        <w:trPr>
          <w:gridAfter w:val="1"/>
          <w:wAfter w:w="2365" w:type="dxa"/>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5号桥墩</w:t>
            </w:r>
          </w:p>
        </w:tc>
        <w:tc>
          <w:tcPr>
            <w:tcW w:w="4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162</w:t>
            </w:r>
          </w:p>
        </w:tc>
        <w:tc>
          <w:tcPr>
            <w:tcW w:w="5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5055.9 </w:t>
            </w:r>
          </w:p>
        </w:tc>
      </w:tr>
      <w:tr>
        <w:tblPrEx>
          <w:tblLayout w:type="fixed"/>
          <w:tblCellMar>
            <w:top w:w="0" w:type="dxa"/>
            <w:left w:w="108" w:type="dxa"/>
            <w:bottom w:w="0" w:type="dxa"/>
            <w:right w:w="108" w:type="dxa"/>
          </w:tblCellMar>
        </w:tblPrEx>
        <w:trPr>
          <w:gridAfter w:val="1"/>
          <w:wAfter w:w="2365" w:type="dxa"/>
          <w:trHeight w:val="270" w:hRule="atLeast"/>
        </w:trPr>
        <w:tc>
          <w:tcPr>
            <w:tcW w:w="12247" w:type="dxa"/>
            <w:gridSpan w:val="25"/>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2"/>
              </w:rPr>
            </w:pPr>
            <w:r>
              <w:rPr>
                <w:rFonts w:hint="eastAsia" w:ascii="宋体" w:hAnsi="宋体" w:cs="宋体"/>
                <w:color w:val="000000"/>
                <w:kern w:val="0"/>
                <w:sz w:val="22"/>
              </w:rPr>
              <w:t>小计</w:t>
            </w:r>
          </w:p>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rPr>
          <w:sz w:val="30"/>
        </w:rPr>
      </w:pPr>
    </w:p>
    <w:tbl>
      <w:tblPr>
        <w:tblStyle w:val="10"/>
        <w:tblW w:w="12247" w:type="dxa"/>
        <w:tblInd w:w="93" w:type="dxa"/>
        <w:tblLayout w:type="fixed"/>
        <w:tblCellMar>
          <w:top w:w="0" w:type="dxa"/>
          <w:left w:w="108" w:type="dxa"/>
          <w:bottom w:w="0" w:type="dxa"/>
          <w:right w:w="108" w:type="dxa"/>
        </w:tblCellMar>
      </w:tblPr>
      <w:tblGrid>
        <w:gridCol w:w="1080"/>
        <w:gridCol w:w="760"/>
        <w:gridCol w:w="1120"/>
        <w:gridCol w:w="470"/>
        <w:gridCol w:w="580"/>
        <w:gridCol w:w="500"/>
        <w:gridCol w:w="680"/>
        <w:gridCol w:w="580"/>
        <w:gridCol w:w="1140"/>
        <w:gridCol w:w="876"/>
        <w:gridCol w:w="630"/>
        <w:gridCol w:w="665"/>
        <w:gridCol w:w="1026"/>
        <w:gridCol w:w="2140"/>
      </w:tblGrid>
      <w:tr>
        <w:tblPrEx>
          <w:tblLayout w:type="fixed"/>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8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96"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超声波</w:t>
            </w:r>
          </w:p>
        </w:tc>
        <w:tc>
          <w:tcPr>
            <w:tcW w:w="2321"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低应变</w:t>
            </w:r>
          </w:p>
        </w:tc>
        <w:tc>
          <w:tcPr>
            <w:tcW w:w="21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高应变（承载力）</w:t>
            </w:r>
          </w:p>
        </w:tc>
      </w:tr>
      <w:tr>
        <w:tblPrEx>
          <w:tblLayout w:type="fixed"/>
          <w:tblCellMar>
            <w:top w:w="0" w:type="dxa"/>
            <w:left w:w="108" w:type="dxa"/>
            <w:bottom w:w="0" w:type="dxa"/>
            <w:right w:w="108" w:type="dxa"/>
          </w:tblCellMar>
        </w:tblPrEx>
        <w:trPr>
          <w:trHeight w:val="619"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RD1匝道</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桩基位置</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桩数</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桩径</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桩长</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总长</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r>
              <w:rPr>
                <w:rFonts w:hint="eastAsia" w:ascii="宋体" w:hAnsi="宋体" w:cs="宋体"/>
                <w:color w:val="000000"/>
                <w:kern w:val="0"/>
                <w:sz w:val="22"/>
              </w:rPr>
              <w:br w:type="textWrapping"/>
            </w:r>
            <w:r>
              <w:rPr>
                <w:rFonts w:hint="eastAsia" w:ascii="宋体" w:hAnsi="宋体" w:cs="宋体"/>
                <w:color w:val="000000"/>
                <w:kern w:val="0"/>
                <w:sz w:val="22"/>
              </w:rPr>
              <w:t>（元/米）</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r>
              <w:rPr>
                <w:rFonts w:hint="eastAsia" w:ascii="宋体" w:hAnsi="宋体" w:cs="宋体"/>
                <w:color w:val="000000"/>
                <w:kern w:val="0"/>
                <w:sz w:val="22"/>
              </w:rPr>
              <w:br w:type="textWrapping"/>
            </w:r>
            <w:r>
              <w:rPr>
                <w:rFonts w:hint="eastAsia" w:ascii="宋体" w:hAnsi="宋体" w:cs="宋体"/>
                <w:color w:val="000000"/>
                <w:kern w:val="0"/>
                <w:sz w:val="22"/>
              </w:rPr>
              <w:t>（元）</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检测</w:t>
            </w:r>
            <w:r>
              <w:rPr>
                <w:rFonts w:hint="eastAsia" w:ascii="宋体" w:hAnsi="宋体" w:cs="宋体"/>
                <w:color w:val="000000"/>
                <w:kern w:val="0"/>
                <w:sz w:val="22"/>
              </w:rPr>
              <w:br w:type="textWrapping"/>
            </w:r>
            <w:r>
              <w:rPr>
                <w:rFonts w:hint="eastAsia" w:ascii="宋体" w:hAnsi="宋体" w:cs="宋体"/>
                <w:color w:val="000000"/>
                <w:kern w:val="0"/>
                <w:sz w:val="22"/>
              </w:rPr>
              <w:t>数量</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单价</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小计</w:t>
            </w:r>
            <w:r>
              <w:rPr>
                <w:rFonts w:hint="eastAsia" w:ascii="宋体" w:hAnsi="宋体" w:cs="宋体"/>
                <w:color w:val="000000"/>
                <w:kern w:val="0"/>
                <w:sz w:val="22"/>
              </w:rPr>
              <w:br w:type="textWrapping"/>
            </w:r>
            <w:r>
              <w:rPr>
                <w:rFonts w:hint="eastAsia" w:ascii="宋体" w:hAnsi="宋体" w:cs="宋体"/>
                <w:color w:val="000000"/>
                <w:kern w:val="0"/>
                <w:sz w:val="22"/>
              </w:rPr>
              <w:t>（元）</w:t>
            </w:r>
          </w:p>
        </w:tc>
        <w:tc>
          <w:tcPr>
            <w:tcW w:w="2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桩顶反力</w:t>
            </w:r>
            <w:r>
              <w:rPr>
                <w:rFonts w:hint="eastAsia" w:ascii="宋体" w:hAnsi="宋体" w:cs="宋体"/>
                <w:color w:val="000000"/>
                <w:kern w:val="0"/>
                <w:sz w:val="22"/>
              </w:rPr>
              <w:br w:type="textWrapping"/>
            </w:r>
            <w:r>
              <w:rPr>
                <w:rFonts w:hint="eastAsia" w:ascii="宋体" w:hAnsi="宋体" w:cs="宋体"/>
                <w:color w:val="000000"/>
                <w:kern w:val="0"/>
                <w:sz w:val="22"/>
              </w:rPr>
              <w:t>（抗力系数1.0）</w:t>
            </w:r>
          </w:p>
        </w:tc>
      </w:tr>
      <w:tr>
        <w:tblPrEx>
          <w:tblLayout w:type="fixed"/>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5094.4 </w:t>
            </w:r>
          </w:p>
        </w:tc>
      </w:tr>
      <w:tr>
        <w:tblPrEx>
          <w:tblLayout w:type="fixed"/>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4228.2 </w:t>
            </w:r>
          </w:p>
        </w:tc>
      </w:tr>
      <w:tr>
        <w:tblPrEx>
          <w:tblLayout w:type="fixed"/>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4192.4 </w:t>
            </w:r>
          </w:p>
        </w:tc>
      </w:tr>
      <w:tr>
        <w:tblPrEx>
          <w:tblLayout w:type="fixed"/>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4312.3 </w:t>
            </w:r>
          </w:p>
        </w:tc>
      </w:tr>
      <w:tr>
        <w:tblPrEx>
          <w:tblLayout w:type="fixed"/>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4号桥墩</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4131.7 </w:t>
            </w:r>
          </w:p>
        </w:tc>
      </w:tr>
      <w:tr>
        <w:tblPrEx>
          <w:tblLayout w:type="fixed"/>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5号台</w:t>
            </w:r>
          </w:p>
        </w:tc>
        <w:tc>
          <w:tcPr>
            <w:tcW w:w="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21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2"/>
              </w:rPr>
            </w:pPr>
            <w:r>
              <w:rPr>
                <w:rFonts w:hint="eastAsia" w:ascii="宋体" w:hAnsi="宋体" w:cs="宋体"/>
                <w:color w:val="000000"/>
                <w:kern w:val="0"/>
                <w:sz w:val="22"/>
              </w:rPr>
              <w:t xml:space="preserve">3944.0 </w:t>
            </w:r>
          </w:p>
        </w:tc>
      </w:tr>
      <w:tr>
        <w:tblPrEx>
          <w:tblLayout w:type="fixed"/>
          <w:tblCellMar>
            <w:top w:w="0" w:type="dxa"/>
            <w:left w:w="108" w:type="dxa"/>
            <w:bottom w:w="0" w:type="dxa"/>
            <w:right w:w="108" w:type="dxa"/>
          </w:tblCellMar>
        </w:tblPrEx>
        <w:trPr>
          <w:trHeight w:val="270" w:hRule="atLeast"/>
        </w:trPr>
        <w:tc>
          <w:tcPr>
            <w:tcW w:w="12247" w:type="dxa"/>
            <w:gridSpan w:val="14"/>
            <w:tcBorders>
              <w:top w:val="nil"/>
              <w:left w:val="single" w:color="auto" w:sz="4" w:space="0"/>
              <w:bottom w:val="nil"/>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小计</w:t>
            </w:r>
          </w:p>
        </w:tc>
      </w:tr>
      <w:tr>
        <w:tblPrEx>
          <w:tblLayout w:type="fixed"/>
          <w:tblCellMar>
            <w:top w:w="0" w:type="dxa"/>
            <w:left w:w="108" w:type="dxa"/>
            <w:bottom w:w="0" w:type="dxa"/>
            <w:right w:w="108" w:type="dxa"/>
          </w:tblCellMar>
        </w:tblPrEx>
        <w:trPr>
          <w:trHeight w:val="270" w:hRule="atLeast"/>
        </w:trPr>
        <w:tc>
          <w:tcPr>
            <w:tcW w:w="12247" w:type="dxa"/>
            <w:gridSpan w:val="14"/>
            <w:tcBorders>
              <w:top w:val="nil"/>
              <w:left w:val="single" w:color="auto" w:sz="4" w:space="0"/>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p>
        </w:tc>
      </w:tr>
    </w:tbl>
    <w:p>
      <w:pPr>
        <w:widowControl/>
        <w:autoSpaceDE w:val="0"/>
        <w:autoSpaceDN w:val="0"/>
        <w:spacing w:line="360" w:lineRule="auto"/>
        <w:textAlignment w:val="bottom"/>
        <w:rPr>
          <w:rFonts w:ascii="宋体" w:hAnsi="宋体" w:cs="Arial"/>
          <w:color w:val="0000FF"/>
          <w:sz w:val="24"/>
          <w:szCs w:val="24"/>
        </w:rPr>
        <w:sectPr>
          <w:pgSz w:w="16838" w:h="11906" w:orient="landscape"/>
          <w:pgMar w:top="1440" w:right="1440" w:bottom="1440" w:left="1440" w:header="851" w:footer="992" w:gutter="0"/>
          <w:cols w:space="425" w:num="1"/>
          <w:docGrid w:type="linesAndChars" w:linePitch="312" w:charSpace="0"/>
        </w:sectPr>
      </w:pPr>
    </w:p>
    <w:p>
      <w:pPr>
        <w:rPr>
          <w:rFonts w:ascii="仿宋_GB2312" w:hAnsi="华文中宋" w:eastAsia="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7875"/>
    <w:multiLevelType w:val="multilevel"/>
    <w:tmpl w:val="16597875"/>
    <w:lvl w:ilvl="0" w:tentative="0">
      <w:start w:val="1"/>
      <w:numFmt w:val="decimal"/>
      <w:suff w:val="space"/>
      <w:lvlText w:val="%1"/>
      <w:lvlJc w:val="left"/>
      <w:pPr>
        <w:ind w:left="0" w:firstLine="0"/>
      </w:pPr>
      <w:rPr>
        <w:rFonts w:hint="eastAsia" w:ascii="宋体" w:hAnsi="宋体" w:eastAsia="宋体"/>
      </w:rPr>
    </w:lvl>
    <w:lvl w:ilvl="1" w:tentative="0">
      <w:start w:val="1"/>
      <w:numFmt w:val="decimal"/>
      <w:pStyle w:val="21"/>
      <w:suff w:val="space"/>
      <w:lvlText w:val="%1.%2"/>
      <w:lvlJc w:val="left"/>
      <w:pPr>
        <w:ind w:left="0" w:firstLine="0"/>
      </w:pPr>
      <w:rPr>
        <w:rFonts w:hint="eastAsia" w:ascii="宋体" w:hAnsi="宋体" w:eastAsia="宋体"/>
        <w:b w:val="0"/>
        <w:sz w:val="21"/>
        <w:szCs w:val="21"/>
      </w:rPr>
    </w:lvl>
    <w:lvl w:ilvl="2" w:tentative="0">
      <w:start w:val="1"/>
      <w:numFmt w:val="decimal"/>
      <w:pStyle w:val="22"/>
      <w:suff w:val="space"/>
      <w:lvlText w:val="%1.%2.%3 "/>
      <w:lvlJc w:val="left"/>
      <w:pPr>
        <w:ind w:left="710" w:firstLine="0"/>
      </w:pPr>
      <w:rPr>
        <w:rFonts w:hint="eastAsia"/>
        <w:b w:val="0"/>
        <w:sz w:val="21"/>
        <w:szCs w:val="21"/>
      </w:rPr>
    </w:lvl>
    <w:lvl w:ilvl="3" w:tentative="0">
      <w:start w:val="1"/>
      <w:numFmt w:val="decimal"/>
      <w:suff w:val="space"/>
      <w:lvlText w:val="%1.%2.%3.%4"/>
      <w:lvlJc w:val="left"/>
      <w:pPr>
        <w:ind w:left="567"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DC54B8D"/>
    <w:multiLevelType w:val="multilevel"/>
    <w:tmpl w:val="4DC54B8D"/>
    <w:lvl w:ilvl="0" w:tentative="0">
      <w:start w:val="1"/>
      <w:numFmt w:val="decimal"/>
      <w:pStyle w:val="15"/>
      <w:lvlText w:val="第%1条 "/>
      <w:lvlJc w:val="left"/>
      <w:pPr>
        <w:tabs>
          <w:tab w:val="left" w:pos="1080"/>
        </w:tabs>
      </w:pPr>
      <w:rPr>
        <w:rFonts w:hint="eastAsia" w:eastAsia="黑体"/>
        <w:b/>
        <w:bCs/>
        <w:i w:val="0"/>
        <w:iCs w:val="0"/>
        <w:sz w:val="24"/>
        <w:szCs w:val="24"/>
      </w:rPr>
    </w:lvl>
    <w:lvl w:ilvl="1" w:tentative="0">
      <w:start w:val="1"/>
      <w:numFmt w:val="lowerLetter"/>
      <w:lvlText w:val="%2)"/>
      <w:lvlJc w:val="left"/>
      <w:pPr>
        <w:tabs>
          <w:tab w:val="left" w:pos="2262"/>
        </w:tabs>
        <w:ind w:left="2262" w:hanging="420"/>
      </w:pPr>
    </w:lvl>
    <w:lvl w:ilvl="2" w:tentative="0">
      <w:start w:val="1"/>
      <w:numFmt w:val="decimal"/>
      <w:lvlText w:val="%3、"/>
      <w:lvlJc w:val="left"/>
      <w:pPr>
        <w:tabs>
          <w:tab w:val="left" w:pos="2622"/>
        </w:tabs>
        <w:ind w:left="2622" w:hanging="360"/>
      </w:pPr>
      <w:rPr>
        <w:rFonts w:hint="eastAsia"/>
      </w:rPr>
    </w:lvl>
    <w:lvl w:ilvl="3" w:tentative="0">
      <w:start w:val="1"/>
      <w:numFmt w:val="decimal"/>
      <w:lvlText w:val="%4."/>
      <w:lvlJc w:val="left"/>
      <w:pPr>
        <w:tabs>
          <w:tab w:val="left" w:pos="3102"/>
        </w:tabs>
        <w:ind w:left="3102" w:hanging="420"/>
      </w:pPr>
    </w:lvl>
    <w:lvl w:ilvl="4" w:tentative="0">
      <w:start w:val="1"/>
      <w:numFmt w:val="lowerLetter"/>
      <w:lvlText w:val="%5)"/>
      <w:lvlJc w:val="left"/>
      <w:pPr>
        <w:tabs>
          <w:tab w:val="left" w:pos="3522"/>
        </w:tabs>
        <w:ind w:left="3522" w:hanging="420"/>
      </w:pPr>
    </w:lvl>
    <w:lvl w:ilvl="5" w:tentative="0">
      <w:start w:val="1"/>
      <w:numFmt w:val="lowerRoman"/>
      <w:lvlText w:val="%6."/>
      <w:lvlJc w:val="right"/>
      <w:pPr>
        <w:tabs>
          <w:tab w:val="left" w:pos="3942"/>
        </w:tabs>
        <w:ind w:left="3942" w:hanging="420"/>
      </w:pPr>
    </w:lvl>
    <w:lvl w:ilvl="6" w:tentative="0">
      <w:start w:val="1"/>
      <w:numFmt w:val="decimal"/>
      <w:lvlText w:val="%7."/>
      <w:lvlJc w:val="left"/>
      <w:pPr>
        <w:tabs>
          <w:tab w:val="left" w:pos="4362"/>
        </w:tabs>
        <w:ind w:left="4362" w:hanging="420"/>
      </w:pPr>
    </w:lvl>
    <w:lvl w:ilvl="7" w:tentative="0">
      <w:start w:val="1"/>
      <w:numFmt w:val="lowerLetter"/>
      <w:lvlText w:val="%8)"/>
      <w:lvlJc w:val="left"/>
      <w:pPr>
        <w:tabs>
          <w:tab w:val="left" w:pos="4782"/>
        </w:tabs>
        <w:ind w:left="4782" w:hanging="420"/>
      </w:pPr>
    </w:lvl>
    <w:lvl w:ilvl="8" w:tentative="0">
      <w:start w:val="1"/>
      <w:numFmt w:val="lowerRoman"/>
      <w:lvlText w:val="%9."/>
      <w:lvlJc w:val="right"/>
      <w:pPr>
        <w:tabs>
          <w:tab w:val="left" w:pos="5202"/>
        </w:tabs>
        <w:ind w:left="5202" w:hanging="420"/>
      </w:pPr>
    </w:lvl>
  </w:abstractNum>
  <w:abstractNum w:abstractNumId="2">
    <w:nsid w:val="575FADFB"/>
    <w:multiLevelType w:val="singleLevel"/>
    <w:tmpl w:val="575FADFB"/>
    <w:lvl w:ilvl="0" w:tentative="0">
      <w:start w:val="2"/>
      <w:numFmt w:val="chineseCounting"/>
      <w:suff w:val="nothing"/>
      <w:lvlText w:val="%1、"/>
      <w:lvlJc w:val="left"/>
    </w:lvl>
  </w:abstractNum>
  <w:abstractNum w:abstractNumId="3">
    <w:nsid w:val="59F93A76"/>
    <w:multiLevelType w:val="singleLevel"/>
    <w:tmpl w:val="59F93A76"/>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60D6"/>
    <w:rsid w:val="00001530"/>
    <w:rsid w:val="000018CD"/>
    <w:rsid w:val="000045D0"/>
    <w:rsid w:val="000060D6"/>
    <w:rsid w:val="00012893"/>
    <w:rsid w:val="0001304B"/>
    <w:rsid w:val="00017620"/>
    <w:rsid w:val="00021BEE"/>
    <w:rsid w:val="000226E2"/>
    <w:rsid w:val="00033BFD"/>
    <w:rsid w:val="000436FE"/>
    <w:rsid w:val="00057360"/>
    <w:rsid w:val="00076F1E"/>
    <w:rsid w:val="00081CBB"/>
    <w:rsid w:val="000866CA"/>
    <w:rsid w:val="00091785"/>
    <w:rsid w:val="000B1471"/>
    <w:rsid w:val="000B63E4"/>
    <w:rsid w:val="000E2FFA"/>
    <w:rsid w:val="000E77E9"/>
    <w:rsid w:val="000F229D"/>
    <w:rsid w:val="000F7DD0"/>
    <w:rsid w:val="0010299B"/>
    <w:rsid w:val="00124993"/>
    <w:rsid w:val="0012689F"/>
    <w:rsid w:val="00136B6D"/>
    <w:rsid w:val="00143BCE"/>
    <w:rsid w:val="00151A8F"/>
    <w:rsid w:val="001559D7"/>
    <w:rsid w:val="00160867"/>
    <w:rsid w:val="0017617C"/>
    <w:rsid w:val="001A202D"/>
    <w:rsid w:val="001A2BDC"/>
    <w:rsid w:val="001B36EE"/>
    <w:rsid w:val="001B7847"/>
    <w:rsid w:val="001C56EB"/>
    <w:rsid w:val="001D35F1"/>
    <w:rsid w:val="001E2ED0"/>
    <w:rsid w:val="001F2BF7"/>
    <w:rsid w:val="001F71E1"/>
    <w:rsid w:val="00205934"/>
    <w:rsid w:val="00212C43"/>
    <w:rsid w:val="00221D7F"/>
    <w:rsid w:val="00227D9E"/>
    <w:rsid w:val="00230112"/>
    <w:rsid w:val="002302DE"/>
    <w:rsid w:val="00234D54"/>
    <w:rsid w:val="00257752"/>
    <w:rsid w:val="00261449"/>
    <w:rsid w:val="00263C2D"/>
    <w:rsid w:val="0027265E"/>
    <w:rsid w:val="00276AD6"/>
    <w:rsid w:val="00284421"/>
    <w:rsid w:val="002A6270"/>
    <w:rsid w:val="002A7415"/>
    <w:rsid w:val="002B2E7D"/>
    <w:rsid w:val="002B7420"/>
    <w:rsid w:val="002C66EE"/>
    <w:rsid w:val="002E0EBB"/>
    <w:rsid w:val="002E3684"/>
    <w:rsid w:val="002F5A49"/>
    <w:rsid w:val="00324DF5"/>
    <w:rsid w:val="0032573D"/>
    <w:rsid w:val="0033148C"/>
    <w:rsid w:val="00331E11"/>
    <w:rsid w:val="00343A3F"/>
    <w:rsid w:val="00343C4F"/>
    <w:rsid w:val="00343FCD"/>
    <w:rsid w:val="00344B35"/>
    <w:rsid w:val="00347B4F"/>
    <w:rsid w:val="00366D12"/>
    <w:rsid w:val="00370C97"/>
    <w:rsid w:val="00371489"/>
    <w:rsid w:val="00371DBF"/>
    <w:rsid w:val="003933C3"/>
    <w:rsid w:val="00393EE9"/>
    <w:rsid w:val="003A3F3A"/>
    <w:rsid w:val="003A5A4C"/>
    <w:rsid w:val="003B415A"/>
    <w:rsid w:val="003F4A47"/>
    <w:rsid w:val="003F767F"/>
    <w:rsid w:val="00401D4B"/>
    <w:rsid w:val="00401E1D"/>
    <w:rsid w:val="00403BAE"/>
    <w:rsid w:val="004073BB"/>
    <w:rsid w:val="00426A55"/>
    <w:rsid w:val="00436EF4"/>
    <w:rsid w:val="00437327"/>
    <w:rsid w:val="00454BCA"/>
    <w:rsid w:val="004843B8"/>
    <w:rsid w:val="00486C15"/>
    <w:rsid w:val="004A611B"/>
    <w:rsid w:val="004A6F17"/>
    <w:rsid w:val="004B26AB"/>
    <w:rsid w:val="004B4C2D"/>
    <w:rsid w:val="004B513E"/>
    <w:rsid w:val="004C4DF6"/>
    <w:rsid w:val="004F3908"/>
    <w:rsid w:val="00516269"/>
    <w:rsid w:val="00520ED3"/>
    <w:rsid w:val="005249CE"/>
    <w:rsid w:val="005442AE"/>
    <w:rsid w:val="00550030"/>
    <w:rsid w:val="005500A1"/>
    <w:rsid w:val="00550538"/>
    <w:rsid w:val="00556515"/>
    <w:rsid w:val="00573A02"/>
    <w:rsid w:val="005775ED"/>
    <w:rsid w:val="00586B7B"/>
    <w:rsid w:val="005915F1"/>
    <w:rsid w:val="00592956"/>
    <w:rsid w:val="00593D93"/>
    <w:rsid w:val="00593FA5"/>
    <w:rsid w:val="005A02DD"/>
    <w:rsid w:val="005A2BC7"/>
    <w:rsid w:val="005A4392"/>
    <w:rsid w:val="005A6BCD"/>
    <w:rsid w:val="005B0F3C"/>
    <w:rsid w:val="005B2999"/>
    <w:rsid w:val="005B5AE6"/>
    <w:rsid w:val="005B7A9A"/>
    <w:rsid w:val="005C286B"/>
    <w:rsid w:val="005C28B6"/>
    <w:rsid w:val="005E5126"/>
    <w:rsid w:val="00600438"/>
    <w:rsid w:val="006026EA"/>
    <w:rsid w:val="006121CE"/>
    <w:rsid w:val="006278C6"/>
    <w:rsid w:val="00630BF4"/>
    <w:rsid w:val="00631569"/>
    <w:rsid w:val="00645571"/>
    <w:rsid w:val="0065024B"/>
    <w:rsid w:val="006541C0"/>
    <w:rsid w:val="006714FA"/>
    <w:rsid w:val="00673B58"/>
    <w:rsid w:val="0068648B"/>
    <w:rsid w:val="00686B81"/>
    <w:rsid w:val="00693804"/>
    <w:rsid w:val="00693B09"/>
    <w:rsid w:val="006A708C"/>
    <w:rsid w:val="006C34CA"/>
    <w:rsid w:val="006C65E9"/>
    <w:rsid w:val="006D28C0"/>
    <w:rsid w:val="006D2A60"/>
    <w:rsid w:val="006D2D79"/>
    <w:rsid w:val="006D3072"/>
    <w:rsid w:val="006E1D39"/>
    <w:rsid w:val="00700EC1"/>
    <w:rsid w:val="00705BE2"/>
    <w:rsid w:val="007124B7"/>
    <w:rsid w:val="00730A57"/>
    <w:rsid w:val="00733B66"/>
    <w:rsid w:val="00734376"/>
    <w:rsid w:val="00737F96"/>
    <w:rsid w:val="0074009F"/>
    <w:rsid w:val="00742684"/>
    <w:rsid w:val="007455CD"/>
    <w:rsid w:val="007501B4"/>
    <w:rsid w:val="00754C33"/>
    <w:rsid w:val="00766763"/>
    <w:rsid w:val="00780CCA"/>
    <w:rsid w:val="00780D9D"/>
    <w:rsid w:val="0078352E"/>
    <w:rsid w:val="007862E6"/>
    <w:rsid w:val="007C4A51"/>
    <w:rsid w:val="007D1953"/>
    <w:rsid w:val="007E3B91"/>
    <w:rsid w:val="007E4F37"/>
    <w:rsid w:val="007F101E"/>
    <w:rsid w:val="007F3B1A"/>
    <w:rsid w:val="00801E0B"/>
    <w:rsid w:val="00811FAB"/>
    <w:rsid w:val="008247C2"/>
    <w:rsid w:val="008303F4"/>
    <w:rsid w:val="008316F0"/>
    <w:rsid w:val="00832490"/>
    <w:rsid w:val="00836DAF"/>
    <w:rsid w:val="008462C4"/>
    <w:rsid w:val="0085202D"/>
    <w:rsid w:val="00853DFC"/>
    <w:rsid w:val="0087054D"/>
    <w:rsid w:val="00872B8A"/>
    <w:rsid w:val="00873443"/>
    <w:rsid w:val="00882E9B"/>
    <w:rsid w:val="00884750"/>
    <w:rsid w:val="008936CB"/>
    <w:rsid w:val="008A10A8"/>
    <w:rsid w:val="008A3012"/>
    <w:rsid w:val="008A5A78"/>
    <w:rsid w:val="008C4855"/>
    <w:rsid w:val="008D5137"/>
    <w:rsid w:val="008E0605"/>
    <w:rsid w:val="008E4327"/>
    <w:rsid w:val="008F2D7D"/>
    <w:rsid w:val="00904FAD"/>
    <w:rsid w:val="00912FD2"/>
    <w:rsid w:val="00923553"/>
    <w:rsid w:val="00934FD8"/>
    <w:rsid w:val="00940379"/>
    <w:rsid w:val="00945DAA"/>
    <w:rsid w:val="00952528"/>
    <w:rsid w:val="00954B7E"/>
    <w:rsid w:val="00964014"/>
    <w:rsid w:val="00966894"/>
    <w:rsid w:val="00970780"/>
    <w:rsid w:val="0097241E"/>
    <w:rsid w:val="0097494A"/>
    <w:rsid w:val="009777A8"/>
    <w:rsid w:val="00981BF1"/>
    <w:rsid w:val="00984E1C"/>
    <w:rsid w:val="009B297E"/>
    <w:rsid w:val="009B5CC2"/>
    <w:rsid w:val="009B5FDD"/>
    <w:rsid w:val="009C0DD5"/>
    <w:rsid w:val="009C24D9"/>
    <w:rsid w:val="009D6791"/>
    <w:rsid w:val="009E3702"/>
    <w:rsid w:val="009E5D81"/>
    <w:rsid w:val="009E76E5"/>
    <w:rsid w:val="009F3619"/>
    <w:rsid w:val="009F3E09"/>
    <w:rsid w:val="009F6CEE"/>
    <w:rsid w:val="00A01C3D"/>
    <w:rsid w:val="00A1344D"/>
    <w:rsid w:val="00A1513D"/>
    <w:rsid w:val="00A15BA6"/>
    <w:rsid w:val="00A21D35"/>
    <w:rsid w:val="00A250A5"/>
    <w:rsid w:val="00A315D1"/>
    <w:rsid w:val="00A36C7A"/>
    <w:rsid w:val="00A4296C"/>
    <w:rsid w:val="00A51C2B"/>
    <w:rsid w:val="00A5380D"/>
    <w:rsid w:val="00A6044B"/>
    <w:rsid w:val="00A66D65"/>
    <w:rsid w:val="00A710F4"/>
    <w:rsid w:val="00A80171"/>
    <w:rsid w:val="00A83EA4"/>
    <w:rsid w:val="00A87CD4"/>
    <w:rsid w:val="00A903F6"/>
    <w:rsid w:val="00A96215"/>
    <w:rsid w:val="00AA06F4"/>
    <w:rsid w:val="00AB017D"/>
    <w:rsid w:val="00AB78FE"/>
    <w:rsid w:val="00AC40F3"/>
    <w:rsid w:val="00AD699B"/>
    <w:rsid w:val="00AE2089"/>
    <w:rsid w:val="00B03D03"/>
    <w:rsid w:val="00B043AF"/>
    <w:rsid w:val="00B07E3A"/>
    <w:rsid w:val="00B112E8"/>
    <w:rsid w:val="00B11474"/>
    <w:rsid w:val="00B12344"/>
    <w:rsid w:val="00B2490E"/>
    <w:rsid w:val="00B307AC"/>
    <w:rsid w:val="00B30E16"/>
    <w:rsid w:val="00B31964"/>
    <w:rsid w:val="00B332BC"/>
    <w:rsid w:val="00B33BBC"/>
    <w:rsid w:val="00B366BA"/>
    <w:rsid w:val="00B46235"/>
    <w:rsid w:val="00B4792B"/>
    <w:rsid w:val="00B52D76"/>
    <w:rsid w:val="00B53B6D"/>
    <w:rsid w:val="00B6445F"/>
    <w:rsid w:val="00B839B1"/>
    <w:rsid w:val="00B972AB"/>
    <w:rsid w:val="00BA3ACD"/>
    <w:rsid w:val="00BA4E49"/>
    <w:rsid w:val="00BB080B"/>
    <w:rsid w:val="00BB3409"/>
    <w:rsid w:val="00BB3C7B"/>
    <w:rsid w:val="00BB437F"/>
    <w:rsid w:val="00BC28E3"/>
    <w:rsid w:val="00BC4FC2"/>
    <w:rsid w:val="00BD2287"/>
    <w:rsid w:val="00BD5CEE"/>
    <w:rsid w:val="00BD6415"/>
    <w:rsid w:val="00BE1944"/>
    <w:rsid w:val="00BE72C5"/>
    <w:rsid w:val="00BE7D4B"/>
    <w:rsid w:val="00BF7482"/>
    <w:rsid w:val="00C16F91"/>
    <w:rsid w:val="00C368FA"/>
    <w:rsid w:val="00C40030"/>
    <w:rsid w:val="00C4305E"/>
    <w:rsid w:val="00C43E90"/>
    <w:rsid w:val="00C46F79"/>
    <w:rsid w:val="00C51BB0"/>
    <w:rsid w:val="00C5500F"/>
    <w:rsid w:val="00C755F2"/>
    <w:rsid w:val="00C773F5"/>
    <w:rsid w:val="00C87E87"/>
    <w:rsid w:val="00C9522B"/>
    <w:rsid w:val="00C96854"/>
    <w:rsid w:val="00CA0DDA"/>
    <w:rsid w:val="00CB23B1"/>
    <w:rsid w:val="00CB5A08"/>
    <w:rsid w:val="00CC6147"/>
    <w:rsid w:val="00CC6966"/>
    <w:rsid w:val="00CC6CD6"/>
    <w:rsid w:val="00CE0CCD"/>
    <w:rsid w:val="00CE23E6"/>
    <w:rsid w:val="00CF2193"/>
    <w:rsid w:val="00CF5B8A"/>
    <w:rsid w:val="00D056EC"/>
    <w:rsid w:val="00D14FC5"/>
    <w:rsid w:val="00D22750"/>
    <w:rsid w:val="00D3420A"/>
    <w:rsid w:val="00D376F8"/>
    <w:rsid w:val="00D377E3"/>
    <w:rsid w:val="00D51FBC"/>
    <w:rsid w:val="00D54798"/>
    <w:rsid w:val="00D706D8"/>
    <w:rsid w:val="00D85717"/>
    <w:rsid w:val="00D9250D"/>
    <w:rsid w:val="00DA4B38"/>
    <w:rsid w:val="00DC268D"/>
    <w:rsid w:val="00DC6755"/>
    <w:rsid w:val="00DD6B83"/>
    <w:rsid w:val="00DF29AA"/>
    <w:rsid w:val="00DF6FB1"/>
    <w:rsid w:val="00DF76B3"/>
    <w:rsid w:val="00DF76C4"/>
    <w:rsid w:val="00E04A9C"/>
    <w:rsid w:val="00E060C8"/>
    <w:rsid w:val="00E06CFA"/>
    <w:rsid w:val="00E1100E"/>
    <w:rsid w:val="00E248FD"/>
    <w:rsid w:val="00E2775A"/>
    <w:rsid w:val="00E31199"/>
    <w:rsid w:val="00E435CB"/>
    <w:rsid w:val="00E52282"/>
    <w:rsid w:val="00E524A1"/>
    <w:rsid w:val="00E62DA9"/>
    <w:rsid w:val="00E7313E"/>
    <w:rsid w:val="00E80DBD"/>
    <w:rsid w:val="00EA1D42"/>
    <w:rsid w:val="00EA3A49"/>
    <w:rsid w:val="00EB0101"/>
    <w:rsid w:val="00EC4A9B"/>
    <w:rsid w:val="00ED20D3"/>
    <w:rsid w:val="00ED45CF"/>
    <w:rsid w:val="00ED6DB2"/>
    <w:rsid w:val="00EF1370"/>
    <w:rsid w:val="00EF26F7"/>
    <w:rsid w:val="00EF76AE"/>
    <w:rsid w:val="00F279D3"/>
    <w:rsid w:val="00F30F1A"/>
    <w:rsid w:val="00F32827"/>
    <w:rsid w:val="00F363FF"/>
    <w:rsid w:val="00F4028F"/>
    <w:rsid w:val="00F41764"/>
    <w:rsid w:val="00F47BD3"/>
    <w:rsid w:val="00F54025"/>
    <w:rsid w:val="00F5513C"/>
    <w:rsid w:val="00F62C62"/>
    <w:rsid w:val="00F650CC"/>
    <w:rsid w:val="00F75BC9"/>
    <w:rsid w:val="00F77754"/>
    <w:rsid w:val="00F86548"/>
    <w:rsid w:val="00F911C2"/>
    <w:rsid w:val="00FA154A"/>
    <w:rsid w:val="00FA407A"/>
    <w:rsid w:val="00FB73D5"/>
    <w:rsid w:val="00FC3569"/>
    <w:rsid w:val="00FC56F9"/>
    <w:rsid w:val="00FC67A4"/>
    <w:rsid w:val="00FD36FB"/>
    <w:rsid w:val="00FD6386"/>
    <w:rsid w:val="00FF3E40"/>
    <w:rsid w:val="01564E8C"/>
    <w:rsid w:val="01791F5B"/>
    <w:rsid w:val="01E55713"/>
    <w:rsid w:val="05157328"/>
    <w:rsid w:val="070E698A"/>
    <w:rsid w:val="07CE1C72"/>
    <w:rsid w:val="084107AB"/>
    <w:rsid w:val="09B84B02"/>
    <w:rsid w:val="0A561693"/>
    <w:rsid w:val="0B997758"/>
    <w:rsid w:val="0BB32092"/>
    <w:rsid w:val="0C102AD6"/>
    <w:rsid w:val="0EE50C5B"/>
    <w:rsid w:val="109B0F8B"/>
    <w:rsid w:val="1166714E"/>
    <w:rsid w:val="11B2259D"/>
    <w:rsid w:val="11D85433"/>
    <w:rsid w:val="13093432"/>
    <w:rsid w:val="13AF3545"/>
    <w:rsid w:val="13D07978"/>
    <w:rsid w:val="148A4828"/>
    <w:rsid w:val="17EF0AEE"/>
    <w:rsid w:val="18406EE6"/>
    <w:rsid w:val="190A3F88"/>
    <w:rsid w:val="1BF50C2B"/>
    <w:rsid w:val="1C9F14C8"/>
    <w:rsid w:val="1CFD5EC0"/>
    <w:rsid w:val="1D892ECE"/>
    <w:rsid w:val="2651781E"/>
    <w:rsid w:val="274F224F"/>
    <w:rsid w:val="27E14D50"/>
    <w:rsid w:val="28FC5361"/>
    <w:rsid w:val="2AA35DB6"/>
    <w:rsid w:val="2B6C16B0"/>
    <w:rsid w:val="2C0C33D0"/>
    <w:rsid w:val="2D800808"/>
    <w:rsid w:val="31D567E0"/>
    <w:rsid w:val="336D4B94"/>
    <w:rsid w:val="35217E1D"/>
    <w:rsid w:val="372E3679"/>
    <w:rsid w:val="39F86E80"/>
    <w:rsid w:val="3A26313D"/>
    <w:rsid w:val="3D007F11"/>
    <w:rsid w:val="3E1C182E"/>
    <w:rsid w:val="420C09C1"/>
    <w:rsid w:val="4240131C"/>
    <w:rsid w:val="424620F3"/>
    <w:rsid w:val="43E523BC"/>
    <w:rsid w:val="43FB5451"/>
    <w:rsid w:val="457D0718"/>
    <w:rsid w:val="488F7A4E"/>
    <w:rsid w:val="4A5C7A38"/>
    <w:rsid w:val="4A6A734D"/>
    <w:rsid w:val="4F40012B"/>
    <w:rsid w:val="50462726"/>
    <w:rsid w:val="50493238"/>
    <w:rsid w:val="50F674CE"/>
    <w:rsid w:val="515009DD"/>
    <w:rsid w:val="51D84600"/>
    <w:rsid w:val="521C466D"/>
    <w:rsid w:val="53076593"/>
    <w:rsid w:val="545619A9"/>
    <w:rsid w:val="561C4FC1"/>
    <w:rsid w:val="571B6AB4"/>
    <w:rsid w:val="576A52D7"/>
    <w:rsid w:val="5CF42B55"/>
    <w:rsid w:val="5F5E0EF8"/>
    <w:rsid w:val="5F615E2B"/>
    <w:rsid w:val="600F090C"/>
    <w:rsid w:val="611F2156"/>
    <w:rsid w:val="625A7716"/>
    <w:rsid w:val="63AA1AD2"/>
    <w:rsid w:val="64281F61"/>
    <w:rsid w:val="64995B48"/>
    <w:rsid w:val="64ED7750"/>
    <w:rsid w:val="65081422"/>
    <w:rsid w:val="652E4756"/>
    <w:rsid w:val="666768AC"/>
    <w:rsid w:val="68623737"/>
    <w:rsid w:val="68C518BC"/>
    <w:rsid w:val="6C2E46F2"/>
    <w:rsid w:val="6D9F23B9"/>
    <w:rsid w:val="6DEF2154"/>
    <w:rsid w:val="6EE939D9"/>
    <w:rsid w:val="6FBC3757"/>
    <w:rsid w:val="73212373"/>
    <w:rsid w:val="73C454D6"/>
    <w:rsid w:val="752300EB"/>
    <w:rsid w:val="76CB6B86"/>
    <w:rsid w:val="78DF013F"/>
    <w:rsid w:val="7A74235D"/>
    <w:rsid w:val="7AA52007"/>
    <w:rsid w:val="7DD16F2C"/>
    <w:rsid w:val="7E821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7"/>
    <w:basedOn w:val="1"/>
    <w:next w:val="1"/>
    <w:link w:val="23"/>
    <w:qFormat/>
    <w:uiPriority w:val="0"/>
    <w:pPr>
      <w:keepNext/>
      <w:keepLines/>
      <w:tabs>
        <w:tab w:val="left" w:pos="2940"/>
      </w:tabs>
      <w:adjustRightInd w:val="0"/>
      <w:spacing w:line="360" w:lineRule="atLeast"/>
      <w:ind w:left="2940" w:hanging="420"/>
      <w:textAlignment w:val="baseline"/>
      <w:outlineLvl w:val="6"/>
    </w:pPr>
    <w:rPr>
      <w:rFonts w:ascii="宋体" w:hAnsi="宋体"/>
      <w:kern w:val="0"/>
      <w:sz w:val="24"/>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2"/>
    <w:qFormat/>
    <w:uiPriority w:val="0"/>
    <w:rPr>
      <w:rFonts w:eastAsia="仿宋_GB2312"/>
      <w:sz w:val="30"/>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paragraph" w:styleId="8">
    <w:name w:val="Title"/>
    <w:basedOn w:val="1"/>
    <w:link w:val="13"/>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日期 Char"/>
    <w:basedOn w:val="9"/>
    <w:link w:val="4"/>
    <w:qFormat/>
    <w:uiPriority w:val="0"/>
    <w:rPr>
      <w:rFonts w:ascii="Calibri" w:hAnsi="Calibri" w:eastAsia="仿宋_GB2312" w:cs="Times New Roman"/>
      <w:sz w:val="30"/>
    </w:rPr>
  </w:style>
  <w:style w:type="character" w:customStyle="1" w:styleId="13">
    <w:name w:val="标题 Char"/>
    <w:basedOn w:val="9"/>
    <w:link w:val="8"/>
    <w:qFormat/>
    <w:uiPriority w:val="0"/>
    <w:rPr>
      <w:rFonts w:ascii="Arial" w:hAnsi="Arial" w:eastAsia="宋体" w:cs="Times New Roman"/>
      <w:b/>
      <w:kern w:val="0"/>
      <w:sz w:val="32"/>
      <w:szCs w:val="20"/>
    </w:rPr>
  </w:style>
  <w:style w:type="paragraph" w:customStyle="1" w:styleId="14">
    <w:name w:val="列出段落1"/>
    <w:basedOn w:val="1"/>
    <w:qFormat/>
    <w:uiPriority w:val="34"/>
    <w:pPr>
      <w:ind w:firstLine="420" w:firstLineChars="200"/>
    </w:pPr>
  </w:style>
  <w:style w:type="paragraph" w:customStyle="1" w:styleId="15">
    <w:name w:val="条题"/>
    <w:basedOn w:val="1"/>
    <w:qFormat/>
    <w:uiPriority w:val="99"/>
    <w:pPr>
      <w:numPr>
        <w:ilvl w:val="0"/>
        <w:numId w:val="1"/>
      </w:numPr>
      <w:spacing w:line="420" w:lineRule="exact"/>
      <w:ind w:right="480" w:rightChars="200"/>
    </w:pPr>
    <w:rPr>
      <w:rFonts w:ascii="Times New Roman" w:hAnsi="Times New Roman"/>
      <w:sz w:val="24"/>
      <w:szCs w:val="24"/>
    </w:r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Char"/>
    <w:basedOn w:val="9"/>
    <w:link w:val="6"/>
    <w:qFormat/>
    <w:uiPriority w:val="0"/>
    <w:rPr>
      <w:rFonts w:ascii="Calibri" w:hAnsi="Calibri" w:eastAsia="宋体" w:cs="Times New Roman"/>
      <w:kern w:val="2"/>
      <w:sz w:val="18"/>
      <w:szCs w:val="18"/>
    </w:rPr>
  </w:style>
  <w:style w:type="character" w:customStyle="1" w:styleId="18">
    <w:name w:val="页脚 Char"/>
    <w:basedOn w:val="9"/>
    <w:link w:val="5"/>
    <w:semiHidden/>
    <w:qFormat/>
    <w:uiPriority w:val="99"/>
    <w:rPr>
      <w:rFonts w:ascii="Calibri" w:hAnsi="Calibri" w:eastAsia="宋体" w:cs="Times New Roman"/>
      <w:kern w:val="2"/>
      <w:sz w:val="18"/>
      <w:szCs w:val="18"/>
    </w:rPr>
  </w:style>
  <w:style w:type="paragraph" w:customStyle="1" w:styleId="19">
    <w:name w:val="列出段落2"/>
    <w:basedOn w:val="1"/>
    <w:unhideWhenUsed/>
    <w:qFormat/>
    <w:uiPriority w:val="99"/>
    <w:pPr>
      <w:ind w:firstLine="420" w:firstLineChars="200"/>
    </w:pPr>
  </w:style>
  <w:style w:type="paragraph" w:styleId="20">
    <w:name w:val="List Paragraph"/>
    <w:basedOn w:val="1"/>
    <w:unhideWhenUsed/>
    <w:qFormat/>
    <w:uiPriority w:val="99"/>
    <w:pPr>
      <w:ind w:firstLine="420" w:firstLineChars="200"/>
    </w:pPr>
  </w:style>
  <w:style w:type="paragraph" w:customStyle="1" w:styleId="21">
    <w:name w:val="样式2"/>
    <w:basedOn w:val="1"/>
    <w:link w:val="25"/>
    <w:qFormat/>
    <w:uiPriority w:val="0"/>
    <w:pPr>
      <w:numPr>
        <w:ilvl w:val="1"/>
        <w:numId w:val="2"/>
      </w:numPr>
      <w:spacing w:line="400" w:lineRule="exact"/>
    </w:pPr>
  </w:style>
  <w:style w:type="paragraph" w:customStyle="1" w:styleId="22">
    <w:name w:val="样式3"/>
    <w:basedOn w:val="1"/>
    <w:qFormat/>
    <w:uiPriority w:val="0"/>
    <w:pPr>
      <w:numPr>
        <w:ilvl w:val="2"/>
        <w:numId w:val="2"/>
      </w:numPr>
      <w:spacing w:line="400" w:lineRule="exact"/>
    </w:pPr>
  </w:style>
  <w:style w:type="character" w:customStyle="1" w:styleId="23">
    <w:name w:val="标题 7 Char"/>
    <w:basedOn w:val="9"/>
    <w:link w:val="2"/>
    <w:qFormat/>
    <w:uiPriority w:val="0"/>
    <w:rPr>
      <w:rFonts w:ascii="宋体" w:hAnsi="宋体"/>
      <w:sz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样式2 Char"/>
    <w:link w:val="21"/>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21785-2302-43C2-982E-C0124F9D24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1251</Words>
  <Characters>7131</Characters>
  <Lines>59</Lines>
  <Paragraphs>16</Paragraphs>
  <TotalTime>2</TotalTime>
  <ScaleCrop>false</ScaleCrop>
  <LinksUpToDate>false</LinksUpToDate>
  <CharactersWithSpaces>8366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2016-07-13T07:19:00Z</dcterms:created>
  <dc:creator>微软用户</dc:creator>
  <cp:lastModifiedBy>爱的味道，我知道</cp:lastModifiedBy>
  <cp:lastPrinted>2017-10-26T02:10:00Z</cp:lastPrinted>
  <dcterms:modified xsi:type="dcterms:W3CDTF">2018-10-30T07:47:12Z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