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Ansi="宋体" w:cs="宋体"/>
          <w:b/>
          <w:bCs/>
          <w:sz w:val="36"/>
          <w:szCs w:val="36"/>
        </w:rPr>
      </w:pPr>
      <w:bookmarkStart w:id="0" w:name="_Hlk101799578"/>
      <w:bookmarkStart w:id="1" w:name="_Toc497133090"/>
      <w:bookmarkStart w:id="2" w:name="OLE_LINK1"/>
      <w:r>
        <w:rPr>
          <w:rFonts w:hint="eastAsia" w:ascii="宋体" w:hAnsi="宋体" w:cs="宋体"/>
          <w:b/>
          <w:bCs/>
          <w:sz w:val="36"/>
          <w:szCs w:val="36"/>
        </w:rPr>
        <w:t xml:space="preserve"> </w:t>
      </w:r>
      <w:r>
        <w:rPr>
          <w:rFonts w:hint="eastAsia" w:ascii="宋体" w:hAnsi="宋体" w:cs="宋体"/>
          <w:b/>
          <w:bCs/>
          <w:sz w:val="36"/>
          <w:szCs w:val="36"/>
          <w:lang w:eastAsia="zh-CN"/>
        </w:rPr>
        <w:t>YMXMGLZC-20240630</w:t>
      </w:r>
      <w:r>
        <w:rPr>
          <w:rFonts w:hint="eastAsia" w:ascii="宋体" w:hAnsi="宋体" w:cs="宋体"/>
          <w:b/>
          <w:bCs/>
          <w:sz w:val="36"/>
          <w:szCs w:val="36"/>
        </w:rPr>
        <w:t xml:space="preserve"> </w:t>
      </w:r>
    </w:p>
    <w:bookmarkEnd w:id="0"/>
    <w:p>
      <w:pPr>
        <w:adjustRightInd w:val="0"/>
        <w:snapToGrid w:val="0"/>
        <w:jc w:val="center"/>
        <w:rPr>
          <w:rFonts w:hint="eastAsia" w:hAnsi="宋体" w:cs="宋体"/>
          <w:b/>
          <w:sz w:val="48"/>
          <w:szCs w:val="48"/>
          <w:highlight w:val="none"/>
        </w:rPr>
      </w:pPr>
    </w:p>
    <w:p>
      <w:pPr>
        <w:adjustRightInd w:val="0"/>
        <w:snapToGrid w:val="0"/>
        <w:jc w:val="center"/>
        <w:rPr>
          <w:rFonts w:hAnsi="宋体" w:cs="宋体"/>
          <w:b/>
          <w:sz w:val="48"/>
          <w:szCs w:val="48"/>
          <w:highlight w:val="none"/>
        </w:rPr>
      </w:pPr>
      <w:r>
        <w:rPr>
          <w:rFonts w:hint="eastAsia" w:hAnsi="宋体" w:cs="宋体"/>
          <w:b/>
          <w:sz w:val="48"/>
          <w:szCs w:val="48"/>
          <w:highlight w:val="none"/>
          <w:lang w:eastAsia="zh-CN"/>
        </w:rPr>
        <w:t>扬州洁源新能源发电监控系统平台建设项目</w:t>
      </w:r>
    </w:p>
    <w:p>
      <w:pPr>
        <w:pStyle w:val="9"/>
        <w:snapToGrid w:val="0"/>
        <w:spacing w:before="120" w:after="120"/>
        <w:jc w:val="center"/>
        <w:rPr>
          <w:rFonts w:hint="default" w:hAnsi="宋体" w:eastAsia="宋体" w:cs="宋体"/>
          <w:b/>
          <w:spacing w:val="28"/>
          <w:sz w:val="48"/>
          <w:szCs w:val="44"/>
          <w:lang w:val="en-US" w:eastAsia="zh-CN"/>
        </w:rPr>
      </w:pPr>
      <w:r>
        <w:rPr>
          <w:rFonts w:hint="eastAsia" w:hAnsi="宋体" w:eastAsia="宋体" w:cs="宋体"/>
          <w:b/>
          <w:spacing w:val="28"/>
          <w:sz w:val="48"/>
          <w:szCs w:val="44"/>
          <w:lang w:val="en-US" w:eastAsia="zh-CN"/>
        </w:rPr>
        <w:t xml:space="preserve">竞争性磋商文件  </w:t>
      </w:r>
    </w:p>
    <w:p/>
    <w:p>
      <w:pPr>
        <w:jc w:val="center"/>
        <w:rPr>
          <w:rFonts w:ascii="宋体" w:hAnsi="宋体" w:cs="宋体"/>
          <w:b/>
          <w:sz w:val="36"/>
          <w:szCs w:val="36"/>
        </w:rPr>
      </w:pPr>
      <w:r>
        <w:rPr>
          <w:rFonts w:hint="eastAsia" w:ascii="宋体" w:hAnsi="宋体" w:cs="宋体"/>
          <w:b/>
          <w:sz w:val="36"/>
          <w:szCs w:val="36"/>
        </w:rPr>
        <w:drawing>
          <wp:inline distT="0" distB="0" distL="114300" distR="114300">
            <wp:extent cx="5323840" cy="3825240"/>
            <wp:effectExtent l="0" t="0" r="10160" b="10160"/>
            <wp:docPr id="11" name="图片 11" descr="a1aacd2a3a042a366a2524e1a2915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1aacd2a3a042a366a2524e1a2915b5"/>
                    <pic:cNvPicPr>
                      <a:picLocks noChangeAspect="1"/>
                    </pic:cNvPicPr>
                  </pic:nvPicPr>
                  <pic:blipFill>
                    <a:blip r:embed="rId8"/>
                    <a:srcRect l="129" b="13035"/>
                    <a:stretch>
                      <a:fillRect/>
                    </a:stretch>
                  </pic:blipFill>
                  <pic:spPr>
                    <a:xfrm rot="10800000" flipV="1">
                      <a:off x="0" y="0"/>
                      <a:ext cx="5323840" cy="3825240"/>
                    </a:xfrm>
                    <a:prstGeom prst="rect">
                      <a:avLst/>
                    </a:prstGeom>
                  </pic:spPr>
                </pic:pic>
              </a:graphicData>
            </a:graphic>
          </wp:inline>
        </w:drawing>
      </w:r>
    </w:p>
    <w:p>
      <w:pPr>
        <w:pStyle w:val="19"/>
        <w:ind w:firstLine="0" w:firstLineChars="0"/>
      </w:pPr>
    </w:p>
    <w:p>
      <w:pPr>
        <w:spacing w:line="360" w:lineRule="auto"/>
        <w:ind w:firstLine="723" w:firstLineChars="200"/>
        <w:jc w:val="left"/>
        <w:rPr>
          <w:rFonts w:hint="eastAsia" w:ascii="宋体" w:hAnsi="宋体" w:eastAsia="宋体" w:cs="宋体"/>
          <w:b/>
          <w:bCs/>
          <w:sz w:val="36"/>
          <w:szCs w:val="36"/>
          <w:lang w:eastAsia="zh-CN"/>
        </w:rPr>
      </w:pPr>
      <w:r>
        <w:rPr>
          <w:rFonts w:hint="eastAsia" w:ascii="宋体" w:hAnsi="宋体" w:cs="宋体"/>
          <w:b/>
          <w:bCs/>
          <w:sz w:val="36"/>
          <w:szCs w:val="36"/>
        </w:rPr>
        <w:t>招 标 人：</w:t>
      </w:r>
      <w:r>
        <w:rPr>
          <w:rFonts w:hint="eastAsia" w:ascii="宋体" w:hAnsi="宋体" w:cs="宋体"/>
          <w:b/>
          <w:bCs/>
          <w:sz w:val="36"/>
          <w:szCs w:val="36"/>
          <w:lang w:eastAsia="zh-CN"/>
        </w:rPr>
        <w:t>扬州洁源新能源发展股份有限公司</w:t>
      </w:r>
    </w:p>
    <w:p>
      <w:pPr>
        <w:spacing w:line="360" w:lineRule="auto"/>
        <w:ind w:left="3714" w:leftChars="684" w:hanging="2278" w:hangingChars="700"/>
        <w:jc w:val="left"/>
        <w:rPr>
          <w:rFonts w:ascii="宋体" w:hAnsi="宋体" w:cs="宋体"/>
          <w:b/>
          <w:bCs/>
          <w:w w:val="90"/>
          <w:sz w:val="36"/>
          <w:szCs w:val="36"/>
        </w:rPr>
      </w:pPr>
      <w:r>
        <w:rPr>
          <w:rFonts w:hint="eastAsia" w:ascii="宋体" w:hAnsi="宋体" w:cs="宋体"/>
          <w:b/>
          <w:bCs/>
          <w:w w:val="90"/>
          <w:sz w:val="36"/>
          <w:szCs w:val="36"/>
        </w:rPr>
        <w:t>采购代理机构：永明项目管理有限公司</w:t>
      </w:r>
    </w:p>
    <w:p>
      <w:pPr>
        <w:spacing w:line="360" w:lineRule="auto"/>
        <w:ind w:firstLine="1627" w:firstLineChars="500"/>
        <w:rPr>
          <w:rFonts w:hint="eastAsia" w:ascii="宋体" w:hAnsi="宋体" w:eastAsia="宋体" w:cs="宋体"/>
          <w:b/>
          <w:bCs/>
          <w:color w:val="000000"/>
          <w:w w:val="90"/>
          <w:sz w:val="36"/>
          <w:szCs w:val="36"/>
          <w:highlight w:val="none"/>
          <w:lang w:eastAsia="zh-CN"/>
        </w:rPr>
      </w:pPr>
      <w:r>
        <w:rPr>
          <w:rFonts w:hint="eastAsia" w:ascii="宋体" w:hAnsi="宋体" w:cs="宋体"/>
          <w:b/>
          <w:bCs/>
          <w:w w:val="90"/>
          <w:sz w:val="36"/>
          <w:szCs w:val="36"/>
          <w:highlight w:val="none"/>
        </w:rPr>
        <w:t>发 放 日 期：</w:t>
      </w:r>
      <w:r>
        <w:rPr>
          <w:rFonts w:hint="eastAsia" w:ascii="宋体" w:hAnsi="宋体" w:cs="宋体"/>
          <w:b/>
          <w:bCs/>
          <w:w w:val="90"/>
          <w:sz w:val="36"/>
          <w:szCs w:val="36"/>
          <w:highlight w:val="none"/>
          <w:lang w:eastAsia="zh-CN"/>
        </w:rPr>
        <w:t>2024年07月</w:t>
      </w:r>
      <w:r>
        <w:rPr>
          <w:rFonts w:hint="eastAsia" w:ascii="宋体" w:hAnsi="宋体" w:cs="宋体"/>
          <w:b/>
          <w:bCs/>
          <w:w w:val="90"/>
          <w:sz w:val="36"/>
          <w:szCs w:val="36"/>
          <w:highlight w:val="none"/>
          <w:lang w:val="en-US" w:eastAsia="zh-CN"/>
        </w:rPr>
        <w:t>22</w:t>
      </w:r>
      <w:r>
        <w:rPr>
          <w:rFonts w:hint="eastAsia" w:ascii="宋体" w:hAnsi="宋体" w:cs="宋体"/>
          <w:b/>
          <w:bCs/>
          <w:w w:val="90"/>
          <w:sz w:val="36"/>
          <w:szCs w:val="36"/>
          <w:highlight w:val="none"/>
          <w:lang w:eastAsia="zh-CN"/>
        </w:rPr>
        <w:t>日</w:t>
      </w:r>
    </w:p>
    <w:p>
      <w:pPr>
        <w:pStyle w:val="12"/>
      </w:pPr>
    </w:p>
    <w:p>
      <w:pPr>
        <w:bidi w:val="0"/>
      </w:pPr>
    </w:p>
    <w:p>
      <w:pPr>
        <w:bidi w:val="0"/>
      </w:pPr>
    </w:p>
    <w:p>
      <w:pPr>
        <w:tabs>
          <w:tab w:val="left" w:pos="6058"/>
        </w:tabs>
        <w:bidi w:val="0"/>
        <w:jc w:val="left"/>
        <w:rPr>
          <w:rFonts w:hint="eastAsia" w:eastAsia="宋体"/>
          <w:lang w:eastAsia="zh-CN"/>
        </w:rPr>
        <w:sectPr>
          <w:headerReference r:id="rId4" w:type="first"/>
          <w:headerReference r:id="rId3" w:type="default"/>
          <w:pgSz w:w="11906" w:h="16838"/>
          <w:pgMar w:top="1440" w:right="1800" w:bottom="1440" w:left="1800" w:header="851" w:footer="992" w:gutter="0"/>
          <w:pgNumType w:start="1"/>
          <w:cols w:space="720" w:num="1"/>
          <w:docGrid w:type="lines" w:linePitch="312" w:charSpace="0"/>
        </w:sectPr>
      </w:pPr>
    </w:p>
    <w:p>
      <w:pPr>
        <w:pStyle w:val="12"/>
        <w:rPr>
          <w:sz w:val="32"/>
          <w:szCs w:val="32"/>
        </w:rPr>
      </w:pPr>
      <w:r>
        <w:rPr>
          <w:rFonts w:hint="eastAsia"/>
          <w:sz w:val="32"/>
          <w:szCs w:val="32"/>
        </w:rPr>
        <w:t>目 录</w:t>
      </w:r>
    </w:p>
    <w:p>
      <w:pPr>
        <w:pStyle w:val="12"/>
        <w:tabs>
          <w:tab w:val="right" w:leader="dot" w:pos="8306"/>
          <w:tab w:val="clear" w:pos="8296"/>
        </w:tabs>
      </w:pPr>
      <w:r>
        <w:rPr>
          <w:sz w:val="36"/>
        </w:rPr>
        <w:fldChar w:fldCharType="begin"/>
      </w:r>
      <w:r>
        <w:rPr>
          <w:sz w:val="36"/>
        </w:rPr>
        <w:instrText xml:space="preserve">TOC \o "1-1" \h \u </w:instrText>
      </w:r>
      <w:r>
        <w:rPr>
          <w:sz w:val="36"/>
        </w:rPr>
        <w:fldChar w:fldCharType="separate"/>
      </w:r>
      <w:r>
        <w:fldChar w:fldCharType="begin"/>
      </w:r>
      <w:r>
        <w:instrText xml:space="preserve"> HYPERLINK \l _Toc9244 </w:instrText>
      </w:r>
      <w:r>
        <w:fldChar w:fldCharType="separate"/>
      </w:r>
      <w:r>
        <w:rPr>
          <w:rFonts w:hint="eastAsia" w:ascii="宋体" w:hAnsi="宋体" w:cs="宋体"/>
        </w:rPr>
        <w:t xml:space="preserve">第一章 </w:t>
      </w:r>
      <w:r>
        <w:rPr>
          <w:rFonts w:ascii="宋体" w:hAnsi="宋体" w:cs="宋体"/>
          <w:highlight w:val="none"/>
        </w:rPr>
        <w:t>竞争性磋商采购邀请</w:t>
      </w:r>
      <w:r>
        <w:tab/>
      </w:r>
      <w:r>
        <w:fldChar w:fldCharType="begin"/>
      </w:r>
      <w:r>
        <w:instrText xml:space="preserve"> PAGEREF _Toc9244 \h </w:instrText>
      </w:r>
      <w:r>
        <w:fldChar w:fldCharType="separate"/>
      </w:r>
      <w:r>
        <w:t>3</w:t>
      </w:r>
      <w:r>
        <w:fldChar w:fldCharType="end"/>
      </w:r>
      <w:r>
        <w:fldChar w:fldCharType="end"/>
      </w:r>
    </w:p>
    <w:p>
      <w:pPr>
        <w:pStyle w:val="12"/>
        <w:tabs>
          <w:tab w:val="right" w:leader="dot" w:pos="8306"/>
          <w:tab w:val="clear" w:pos="8296"/>
        </w:tabs>
      </w:pPr>
      <w:r>
        <w:rPr>
          <w:rFonts w:ascii="宋体" w:hAnsi="宋体" w:cs="宋体"/>
        </w:rPr>
        <w:fldChar w:fldCharType="begin"/>
      </w:r>
      <w:r>
        <w:rPr>
          <w:rFonts w:ascii="宋体" w:hAnsi="宋体" w:cs="宋体"/>
        </w:rPr>
        <w:instrText xml:space="preserve"> HYPERLINK \l _Toc4199 </w:instrText>
      </w:r>
      <w:r>
        <w:rPr>
          <w:rFonts w:ascii="宋体" w:hAnsi="宋体" w:cs="宋体"/>
        </w:rPr>
        <w:fldChar w:fldCharType="separate"/>
      </w:r>
      <w:r>
        <w:rPr>
          <w:rFonts w:ascii="宋体" w:hAnsi="宋体" w:cs="宋体"/>
          <w:highlight w:val="none"/>
        </w:rPr>
        <w:t>第二章 磋商须知</w:t>
      </w:r>
      <w:r>
        <w:tab/>
      </w:r>
      <w:r>
        <w:fldChar w:fldCharType="begin"/>
      </w:r>
      <w:r>
        <w:instrText xml:space="preserve"> PAGEREF _Toc4199 \h </w:instrText>
      </w:r>
      <w:r>
        <w:fldChar w:fldCharType="separate"/>
      </w:r>
      <w:r>
        <w:t>6</w:t>
      </w:r>
      <w:r>
        <w:fldChar w:fldCharType="end"/>
      </w:r>
      <w:r>
        <w:rPr>
          <w:rFonts w:ascii="宋体" w:hAnsi="宋体" w:cs="宋体"/>
        </w:rPr>
        <w:fldChar w:fldCharType="end"/>
      </w:r>
    </w:p>
    <w:p>
      <w:pPr>
        <w:pStyle w:val="12"/>
        <w:tabs>
          <w:tab w:val="right" w:leader="dot" w:pos="8306"/>
          <w:tab w:val="clear" w:pos="8296"/>
        </w:tabs>
      </w:pPr>
      <w:r>
        <w:rPr>
          <w:rFonts w:ascii="宋体" w:hAnsi="宋体" w:cs="宋体"/>
        </w:rPr>
        <w:fldChar w:fldCharType="begin"/>
      </w:r>
      <w:r>
        <w:rPr>
          <w:rFonts w:ascii="宋体" w:hAnsi="宋体" w:cs="宋体"/>
        </w:rPr>
        <w:instrText xml:space="preserve"> HYPERLINK \l _Toc4353 </w:instrText>
      </w:r>
      <w:r>
        <w:rPr>
          <w:rFonts w:ascii="宋体" w:hAnsi="宋体" w:cs="宋体"/>
        </w:rPr>
        <w:fldChar w:fldCharType="separate"/>
      </w:r>
      <w:r>
        <w:rPr>
          <w:rFonts w:hint="eastAsia" w:ascii="宋体" w:hAnsi="宋体"/>
        </w:rPr>
        <w:t>第三章 合同条款及格式</w:t>
      </w:r>
      <w:r>
        <w:tab/>
      </w:r>
      <w:r>
        <w:fldChar w:fldCharType="begin"/>
      </w:r>
      <w:r>
        <w:instrText xml:space="preserve"> PAGEREF _Toc4353 \h </w:instrText>
      </w:r>
      <w:r>
        <w:fldChar w:fldCharType="separate"/>
      </w:r>
      <w:r>
        <w:t>16</w:t>
      </w:r>
      <w:r>
        <w:fldChar w:fldCharType="end"/>
      </w:r>
      <w:r>
        <w:rPr>
          <w:rFonts w:ascii="宋体" w:hAnsi="宋体" w:cs="宋体"/>
        </w:rPr>
        <w:fldChar w:fldCharType="end"/>
      </w:r>
    </w:p>
    <w:p>
      <w:pPr>
        <w:pStyle w:val="12"/>
        <w:tabs>
          <w:tab w:val="right" w:leader="dot" w:pos="8306"/>
          <w:tab w:val="clear" w:pos="8296"/>
        </w:tabs>
      </w:pPr>
      <w:r>
        <w:rPr>
          <w:rFonts w:ascii="宋体" w:hAnsi="宋体" w:cs="宋体"/>
        </w:rPr>
        <w:fldChar w:fldCharType="begin"/>
      </w:r>
      <w:r>
        <w:rPr>
          <w:rFonts w:ascii="宋体" w:hAnsi="宋体" w:cs="宋体"/>
        </w:rPr>
        <w:instrText xml:space="preserve"> HYPERLINK \l _Toc17270 </w:instrText>
      </w:r>
      <w:r>
        <w:rPr>
          <w:rFonts w:ascii="宋体" w:hAnsi="宋体" w:cs="宋体"/>
        </w:rPr>
        <w:fldChar w:fldCharType="separate"/>
      </w:r>
      <w:r>
        <w:rPr>
          <w:rFonts w:hint="eastAsia" w:ascii="宋体" w:hAnsi="宋体"/>
        </w:rPr>
        <w:t>第四章 项目需求</w:t>
      </w:r>
      <w:r>
        <w:tab/>
      </w:r>
      <w:r>
        <w:fldChar w:fldCharType="begin"/>
      </w:r>
      <w:r>
        <w:instrText xml:space="preserve"> PAGEREF _Toc17270 \h </w:instrText>
      </w:r>
      <w:r>
        <w:fldChar w:fldCharType="separate"/>
      </w:r>
      <w:r>
        <w:t>21</w:t>
      </w:r>
      <w:r>
        <w:fldChar w:fldCharType="end"/>
      </w:r>
      <w:r>
        <w:rPr>
          <w:rFonts w:ascii="宋体" w:hAnsi="宋体" w:cs="宋体"/>
        </w:rPr>
        <w:fldChar w:fldCharType="end"/>
      </w:r>
    </w:p>
    <w:p>
      <w:pPr>
        <w:pStyle w:val="12"/>
        <w:tabs>
          <w:tab w:val="right" w:leader="dot" w:pos="8306"/>
          <w:tab w:val="clear" w:pos="8296"/>
        </w:tabs>
      </w:pPr>
      <w:r>
        <w:rPr>
          <w:rFonts w:ascii="宋体" w:hAnsi="宋体" w:cs="宋体"/>
        </w:rPr>
        <w:fldChar w:fldCharType="begin"/>
      </w:r>
      <w:r>
        <w:rPr>
          <w:rFonts w:ascii="宋体" w:hAnsi="宋体" w:cs="宋体"/>
        </w:rPr>
        <w:instrText xml:space="preserve"> HYPERLINK \l _Toc16701 </w:instrText>
      </w:r>
      <w:r>
        <w:rPr>
          <w:rFonts w:ascii="宋体" w:hAnsi="宋体" w:cs="宋体"/>
        </w:rPr>
        <w:fldChar w:fldCharType="separate"/>
      </w:r>
      <w:r>
        <w:rPr>
          <w:rFonts w:hint="eastAsia" w:ascii="宋体" w:hAnsi="宋体" w:eastAsia="宋体" w:cs="Times New Roman"/>
        </w:rPr>
        <w:t>第</w:t>
      </w:r>
      <w:r>
        <w:rPr>
          <w:rFonts w:hint="eastAsia" w:ascii="宋体" w:hAnsi="宋体" w:eastAsia="宋体" w:cs="Times New Roman"/>
          <w:lang w:val="en-US" w:eastAsia="zh-CN"/>
        </w:rPr>
        <w:t>五</w:t>
      </w:r>
      <w:r>
        <w:rPr>
          <w:rFonts w:hint="eastAsia" w:ascii="宋体" w:hAnsi="宋体" w:eastAsia="宋体" w:cs="Times New Roman"/>
        </w:rPr>
        <w:t>章 评标方法及评标标准</w:t>
      </w:r>
      <w:r>
        <w:tab/>
      </w:r>
      <w:r>
        <w:fldChar w:fldCharType="begin"/>
      </w:r>
      <w:r>
        <w:instrText xml:space="preserve"> PAGEREF _Toc16701 \h </w:instrText>
      </w:r>
      <w:r>
        <w:fldChar w:fldCharType="separate"/>
      </w:r>
      <w:r>
        <w:t>26</w:t>
      </w:r>
      <w:r>
        <w:fldChar w:fldCharType="end"/>
      </w:r>
      <w:r>
        <w:rPr>
          <w:rFonts w:ascii="宋体" w:hAnsi="宋体" w:cs="宋体"/>
        </w:rPr>
        <w:fldChar w:fldCharType="end"/>
      </w:r>
    </w:p>
    <w:p>
      <w:pPr>
        <w:pStyle w:val="12"/>
        <w:tabs>
          <w:tab w:val="right" w:leader="dot" w:pos="8306"/>
          <w:tab w:val="clear" w:pos="8296"/>
        </w:tabs>
      </w:pPr>
      <w:r>
        <w:rPr>
          <w:rFonts w:ascii="宋体" w:hAnsi="宋体" w:cs="宋体"/>
        </w:rPr>
        <w:fldChar w:fldCharType="begin"/>
      </w:r>
      <w:r>
        <w:rPr>
          <w:rFonts w:ascii="宋体" w:hAnsi="宋体" w:cs="宋体"/>
        </w:rPr>
        <w:instrText xml:space="preserve"> HYPERLINK \l _Toc12969 </w:instrText>
      </w:r>
      <w:r>
        <w:rPr>
          <w:rFonts w:ascii="宋体" w:hAnsi="宋体" w:cs="宋体"/>
        </w:rPr>
        <w:fldChar w:fldCharType="separate"/>
      </w:r>
      <w:r>
        <w:rPr>
          <w:rFonts w:ascii="宋体" w:hAnsi="宋体" w:cs="宋体"/>
          <w:highlight w:val="none"/>
        </w:rPr>
        <w:t>第六章 竞争性磋商响应文件格式</w:t>
      </w:r>
      <w:r>
        <w:tab/>
      </w:r>
      <w:r>
        <w:fldChar w:fldCharType="begin"/>
      </w:r>
      <w:r>
        <w:instrText xml:space="preserve"> PAGEREF _Toc12969 \h </w:instrText>
      </w:r>
      <w:r>
        <w:fldChar w:fldCharType="separate"/>
      </w:r>
      <w:r>
        <w:t>28</w:t>
      </w:r>
      <w:r>
        <w:fldChar w:fldCharType="end"/>
      </w:r>
      <w:r>
        <w:rPr>
          <w:rFonts w:ascii="宋体" w:hAnsi="宋体" w:cs="宋体"/>
        </w:rPr>
        <w:fldChar w:fldCharType="end"/>
      </w:r>
    </w:p>
    <w:p>
      <w:pPr>
        <w:widowControl/>
        <w:jc w:val="left"/>
        <w:rPr>
          <w:rFonts w:ascii="宋体" w:hAnsi="宋体" w:cs="宋体"/>
          <w:sz w:val="36"/>
        </w:rPr>
      </w:pPr>
      <w:r>
        <w:rPr>
          <w:rFonts w:ascii="宋体" w:hAnsi="宋体" w:cs="宋体"/>
        </w:rPr>
        <w:fldChar w:fldCharType="end"/>
      </w:r>
    </w:p>
    <w:p>
      <w:pPr>
        <w:widowControl/>
        <w:jc w:val="left"/>
        <w:rPr>
          <w:rFonts w:ascii="宋体" w:hAnsi="宋体" w:cs="宋体"/>
          <w:sz w:val="36"/>
        </w:rPr>
      </w:pPr>
      <w:r>
        <w:rPr>
          <w:rFonts w:ascii="宋体" w:hAnsi="宋体" w:cs="宋体"/>
          <w:sz w:val="36"/>
        </w:rPr>
        <w:br w:type="page"/>
      </w:r>
    </w:p>
    <w:p>
      <w:pPr>
        <w:pStyle w:val="2"/>
        <w:spacing w:line="360" w:lineRule="auto"/>
        <w:jc w:val="center"/>
      </w:pPr>
      <w:bookmarkStart w:id="3" w:name="_Toc100135567"/>
      <w:bookmarkStart w:id="4" w:name="_Toc99380847"/>
      <w:bookmarkStart w:id="5" w:name="_Toc9244"/>
      <w:r>
        <w:rPr>
          <w:rFonts w:hint="eastAsia" w:ascii="宋体" w:hAnsi="宋体" w:cs="宋体"/>
          <w:sz w:val="36"/>
        </w:rPr>
        <w:t xml:space="preserve">第一章 </w:t>
      </w:r>
      <w:bookmarkEnd w:id="1"/>
      <w:bookmarkEnd w:id="3"/>
      <w:bookmarkEnd w:id="4"/>
      <w:r>
        <w:rPr>
          <w:rFonts w:ascii="宋体" w:hAnsi="宋体" w:cs="宋体"/>
          <w:color w:val="000000"/>
          <w:sz w:val="36"/>
          <w:highlight w:val="none"/>
        </w:rPr>
        <w:t>竞争性磋商采购邀请</w:t>
      </w:r>
      <w:bookmarkEnd w:id="5"/>
    </w:p>
    <w:bookmarkEnd w:id="2"/>
    <w:p>
      <w:pPr>
        <w:pBdr>
          <w:top w:val="single" w:color="000000" w:sz="4" w:space="1"/>
          <w:left w:val="single" w:color="000000" w:sz="4" w:space="4"/>
          <w:bottom w:val="single" w:color="000000" w:sz="4" w:space="1"/>
          <w:right w:val="single" w:color="000000" w:sz="4" w:space="4"/>
        </w:pBdr>
        <w:spacing w:line="400" w:lineRule="exact"/>
        <w:jc w:val="left"/>
        <w:rPr>
          <w:rFonts w:ascii="宋体" w:hAnsi="宋体" w:cs="宋体"/>
          <w:color w:val="000000"/>
          <w:kern w:val="1"/>
          <w:szCs w:val="21"/>
          <w:highlight w:val="none"/>
        </w:rPr>
      </w:pPr>
      <w:bookmarkStart w:id="6" w:name="_Toc28359079"/>
      <w:bookmarkStart w:id="7" w:name="_Toc28359002"/>
      <w:bookmarkStart w:id="8" w:name="_Toc35393790"/>
      <w:bookmarkStart w:id="9" w:name="_Toc35393621"/>
      <w:bookmarkStart w:id="10" w:name="_Hlk24379207"/>
      <w:bookmarkStart w:id="11" w:name="_Toc99380848"/>
      <w:bookmarkStart w:id="12" w:name="_Toc100135568"/>
      <w:bookmarkStart w:id="13" w:name="_Toc497133091"/>
      <w:r>
        <w:rPr>
          <w:rFonts w:hint="eastAsia" w:ascii="宋体" w:hAnsi="宋体" w:cs="宋体"/>
          <w:color w:val="000000"/>
          <w:kern w:val="1"/>
          <w:szCs w:val="21"/>
          <w:highlight w:val="none"/>
        </w:rPr>
        <w:t>项目概况：</w:t>
      </w:r>
    </w:p>
    <w:p>
      <w:pPr>
        <w:pBdr>
          <w:top w:val="single" w:color="000000" w:sz="4" w:space="1"/>
          <w:left w:val="single" w:color="000000" w:sz="4" w:space="4"/>
          <w:bottom w:val="single" w:color="000000" w:sz="4" w:space="1"/>
          <w:right w:val="single" w:color="000000" w:sz="4" w:space="4"/>
        </w:pBdr>
        <w:spacing w:line="400" w:lineRule="exact"/>
        <w:ind w:firstLine="420" w:firstLineChars="200"/>
        <w:rPr>
          <w:rFonts w:hint="eastAsia" w:ascii="宋体" w:hAnsi="宋体" w:cs="宋体"/>
          <w:szCs w:val="21"/>
          <w:lang w:eastAsia="zh-CN"/>
        </w:rPr>
      </w:pPr>
      <w:r>
        <w:rPr>
          <w:rFonts w:hint="eastAsia" w:ascii="宋体" w:hAnsi="宋体" w:cs="宋体"/>
          <w:color w:val="000000"/>
          <w:kern w:val="1"/>
          <w:szCs w:val="21"/>
          <w:highlight w:val="none"/>
          <w:u w:val="single"/>
        </w:rPr>
        <w:t>扬州洁源新能源发电监控系统平台建设项目</w:t>
      </w:r>
      <w:r>
        <w:rPr>
          <w:rFonts w:ascii="宋体" w:hAnsi="宋体" w:cs="宋体"/>
          <w:color w:val="000000"/>
          <w:kern w:val="1"/>
          <w:szCs w:val="21"/>
          <w:highlight w:val="none"/>
        </w:rPr>
        <w:t>的潜在供应商可在</w:t>
      </w:r>
      <w:r>
        <w:rPr>
          <w:rFonts w:hint="eastAsia" w:ascii="宋体" w:hAnsi="宋体" w:cs="宋体"/>
          <w:color w:val="auto"/>
          <w:kern w:val="1"/>
          <w:szCs w:val="21"/>
          <w:highlight w:val="none"/>
          <w:u w:val="single"/>
          <w:lang w:eastAsia="zh-CN"/>
        </w:rPr>
        <w:t>“扬州市城建国有资产控股（集团）有限责任公司网”</w:t>
      </w:r>
      <w:r>
        <w:rPr>
          <w:rFonts w:ascii="宋体" w:hAnsi="宋体" w:cs="宋体"/>
          <w:color w:val="000000"/>
          <w:kern w:val="1"/>
          <w:szCs w:val="21"/>
          <w:highlight w:val="none"/>
        </w:rPr>
        <w:t>获取采购</w:t>
      </w:r>
      <w:r>
        <w:rPr>
          <w:rFonts w:hint="eastAsia" w:ascii="宋体" w:hAnsi="宋体" w:cs="宋体"/>
          <w:color w:val="000000"/>
          <w:kern w:val="1"/>
          <w:szCs w:val="21"/>
          <w:highlight w:val="none"/>
        </w:rPr>
        <w:t>信息</w:t>
      </w:r>
      <w:r>
        <w:rPr>
          <w:rFonts w:ascii="宋体" w:hAnsi="宋体" w:cs="宋体"/>
          <w:color w:val="000000"/>
          <w:kern w:val="1"/>
          <w:szCs w:val="21"/>
          <w:highlight w:val="none"/>
        </w:rPr>
        <w:t>，并于</w:t>
      </w:r>
      <w:r>
        <w:rPr>
          <w:rFonts w:hint="eastAsia" w:ascii="宋体" w:hAnsi="宋体" w:cs="宋体"/>
          <w:color w:val="auto"/>
          <w:kern w:val="1"/>
          <w:szCs w:val="21"/>
          <w:highlight w:val="none"/>
          <w:u w:val="single"/>
          <w:lang w:eastAsia="zh-CN"/>
        </w:rPr>
        <w:t>2024年</w:t>
      </w:r>
      <w:r>
        <w:rPr>
          <w:rFonts w:hint="eastAsia" w:ascii="宋体" w:hAnsi="宋体" w:cs="宋体"/>
          <w:color w:val="auto"/>
          <w:kern w:val="1"/>
          <w:szCs w:val="21"/>
          <w:highlight w:val="none"/>
          <w:u w:val="single"/>
          <w:lang w:val="en-US" w:eastAsia="zh-CN"/>
        </w:rPr>
        <w:t>8月2日</w:t>
      </w:r>
      <w:r>
        <w:rPr>
          <w:rFonts w:ascii="宋体" w:hAnsi="宋体" w:cs="宋体"/>
          <w:bCs/>
          <w:color w:val="auto"/>
          <w:kern w:val="1"/>
          <w:szCs w:val="21"/>
          <w:highlight w:val="none"/>
          <w:u w:val="single"/>
        </w:rPr>
        <w:t>14</w:t>
      </w:r>
      <w:r>
        <w:rPr>
          <w:rFonts w:hint="eastAsia" w:ascii="宋体" w:hAnsi="宋体" w:cs="宋体"/>
          <w:bCs/>
          <w:color w:val="auto"/>
          <w:kern w:val="1"/>
          <w:szCs w:val="21"/>
          <w:highlight w:val="none"/>
          <w:u w:val="single"/>
        </w:rPr>
        <w:t>时</w:t>
      </w:r>
      <w:r>
        <w:rPr>
          <w:rFonts w:ascii="宋体" w:hAnsi="宋体" w:cs="宋体"/>
          <w:bCs/>
          <w:color w:val="auto"/>
          <w:kern w:val="1"/>
          <w:szCs w:val="21"/>
          <w:highlight w:val="none"/>
          <w:u w:val="single"/>
        </w:rPr>
        <w:t>30分</w:t>
      </w:r>
      <w:r>
        <w:rPr>
          <w:rFonts w:ascii="宋体" w:hAnsi="宋体" w:cs="宋体"/>
          <w:bCs/>
          <w:color w:val="auto"/>
          <w:kern w:val="1"/>
          <w:szCs w:val="21"/>
          <w:highlight w:val="none"/>
        </w:rPr>
        <w:t>（</w:t>
      </w:r>
      <w:r>
        <w:rPr>
          <w:rFonts w:ascii="宋体" w:hAnsi="宋体" w:cs="宋体"/>
          <w:bCs/>
          <w:color w:val="000000"/>
          <w:kern w:val="1"/>
          <w:szCs w:val="21"/>
          <w:highlight w:val="none"/>
        </w:rPr>
        <w:t>北京时间）前提交响应文件</w:t>
      </w:r>
      <w:r>
        <w:rPr>
          <w:rFonts w:ascii="宋体" w:hAnsi="宋体" w:cs="宋体"/>
          <w:color w:val="000000"/>
          <w:kern w:val="1"/>
          <w:szCs w:val="21"/>
          <w:highlight w:val="none"/>
        </w:rPr>
        <w:t>。</w:t>
      </w:r>
      <w:bookmarkStart w:id="14" w:name="_Toc28359089"/>
      <w:bookmarkEnd w:id="14"/>
      <w:bookmarkStart w:id="15" w:name="_Toc28359012"/>
      <w:bookmarkEnd w:id="15"/>
      <w:bookmarkStart w:id="16" w:name="_Toc35393798"/>
      <w:bookmarkEnd w:id="16"/>
      <w:bookmarkStart w:id="17" w:name="_Toc35393629"/>
      <w:bookmarkEnd w:id="17"/>
    </w:p>
    <w:p>
      <w:pPr>
        <w:spacing w:line="360" w:lineRule="auto"/>
        <w:ind w:firstLine="422" w:firstLineChars="200"/>
        <w:rPr>
          <w:rFonts w:ascii="宋体" w:hAnsi="宋体" w:cs="宋体"/>
          <w:b/>
          <w:bCs/>
          <w:szCs w:val="21"/>
        </w:rPr>
      </w:pPr>
      <w:r>
        <w:rPr>
          <w:rFonts w:hint="eastAsia" w:ascii="宋体" w:hAnsi="宋体" w:cs="宋体"/>
          <w:b/>
          <w:bCs/>
          <w:szCs w:val="21"/>
        </w:rPr>
        <w:t>一、项目基本情况</w:t>
      </w:r>
      <w:bookmarkEnd w:id="6"/>
      <w:bookmarkEnd w:id="7"/>
      <w:bookmarkEnd w:id="8"/>
      <w:bookmarkEnd w:id="9"/>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1.项目编号：</w:t>
      </w:r>
      <w:r>
        <w:rPr>
          <w:rFonts w:hint="eastAsia" w:ascii="宋体" w:hAnsi="宋体" w:eastAsia="宋体" w:cs="宋体"/>
          <w:szCs w:val="21"/>
          <w:lang w:eastAsia="zh-CN"/>
        </w:rPr>
        <w:t>YMXMGLZC-20240630</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rPr>
      </w:pPr>
      <w:r>
        <w:rPr>
          <w:rFonts w:hint="eastAsia" w:ascii="宋体" w:hAnsi="宋体" w:eastAsia="宋体" w:cs="宋体"/>
          <w:szCs w:val="21"/>
        </w:rPr>
        <w:t>2.项目名称：</w:t>
      </w:r>
      <w:bookmarkEnd w:id="10"/>
      <w:r>
        <w:rPr>
          <w:rFonts w:hint="eastAsia" w:ascii="宋体" w:hAnsi="宋体" w:eastAsia="宋体" w:cs="宋体"/>
          <w:szCs w:val="21"/>
          <w:lang w:eastAsia="zh-CN"/>
        </w:rPr>
        <w:t>扬州洁源新能源发电监控系统平台建设项目</w:t>
      </w:r>
    </w:p>
    <w:p>
      <w:pPr>
        <w:spacing w:line="360" w:lineRule="auto"/>
        <w:ind w:firstLine="420" w:firstLineChars="200"/>
        <w:rPr>
          <w:rFonts w:hint="default" w:ascii="宋体" w:hAnsi="宋体" w:eastAsia="宋体" w:cs="宋体"/>
          <w:color w:val="0000FF"/>
          <w:szCs w:val="21"/>
          <w:lang w:val="en-US" w:eastAsia="zh-CN"/>
        </w:rPr>
      </w:pPr>
      <w:bookmarkStart w:id="18" w:name="_Toc28359081"/>
      <w:bookmarkStart w:id="19" w:name="_Toc28359004"/>
      <w:r>
        <w:rPr>
          <w:rFonts w:hint="eastAsia" w:ascii="宋体" w:hAnsi="宋体" w:eastAsia="宋体" w:cs="宋体"/>
          <w:szCs w:val="21"/>
        </w:rPr>
        <w:t>3.采购方式：</w:t>
      </w:r>
      <w:r>
        <w:rPr>
          <w:rFonts w:hint="eastAsia" w:ascii="宋体" w:hAnsi="宋体" w:cs="宋体"/>
          <w:color w:val="auto"/>
          <w:szCs w:val="21"/>
          <w:lang w:val="en-US" w:eastAsia="zh-CN"/>
        </w:rPr>
        <w:t xml:space="preserve">竞争性磋商 </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.采购需求：具体需求详见第四章采购需求。</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eastAsia="宋体" w:cs="宋体"/>
          <w:szCs w:val="21"/>
        </w:rPr>
        <w:t>.最高限价：299961.21元</w:t>
      </w:r>
      <w:r>
        <w:rPr>
          <w:rFonts w:hint="eastAsia" w:ascii="宋体" w:hAnsi="宋体" w:cs="宋体"/>
          <w:szCs w:val="21"/>
          <w:lang w:val="en-US" w:eastAsia="zh-CN"/>
        </w:rPr>
        <w:t xml:space="preserve"> </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.合同履行期限：</w:t>
      </w:r>
      <w:r>
        <w:rPr>
          <w:rFonts w:hint="eastAsia" w:ascii="宋体" w:hAnsi="宋体" w:eastAsia="宋体" w:cs="宋体"/>
          <w:lang w:val="en-US" w:eastAsia="zh-CN"/>
        </w:rPr>
        <w:t>自</w:t>
      </w:r>
      <w:r>
        <w:rPr>
          <w:rFonts w:hint="eastAsia" w:ascii="宋体" w:hAnsi="宋体" w:eastAsia="宋体" w:cs="宋体"/>
          <w:sz w:val="21"/>
          <w:lang w:val="en-US" w:eastAsia="zh-CN"/>
        </w:rPr>
        <w:t>合同签订后，建设周期</w:t>
      </w:r>
      <w:r>
        <w:rPr>
          <w:rFonts w:hint="eastAsia" w:ascii="宋体" w:hAnsi="宋体" w:cs="宋体"/>
          <w:sz w:val="21"/>
          <w:lang w:val="en-US" w:eastAsia="zh-CN"/>
        </w:rPr>
        <w:t>45个工作日</w:t>
      </w:r>
      <w:r>
        <w:rPr>
          <w:rFonts w:hint="eastAsia" w:ascii="宋体" w:hAnsi="宋体" w:eastAsia="宋体" w:cs="宋体"/>
          <w:sz w:val="21"/>
          <w:lang w:val="en-US" w:eastAsia="zh-CN"/>
        </w:rPr>
        <w:t>，</w:t>
      </w:r>
      <w:r>
        <w:rPr>
          <w:rFonts w:hint="eastAsia" w:ascii="宋体" w:hAnsi="宋体" w:eastAsia="宋体" w:cs="宋体"/>
          <w:sz w:val="21"/>
          <w:highlight w:val="none"/>
          <w:lang w:val="en-US" w:eastAsia="zh-CN"/>
        </w:rPr>
        <w:t>建成验收后运维</w:t>
      </w:r>
      <w:r>
        <w:rPr>
          <w:rFonts w:hint="eastAsia" w:ascii="宋体" w:hAnsi="宋体" w:cs="宋体"/>
          <w:sz w:val="21"/>
          <w:highlight w:val="none"/>
          <w:lang w:val="en-US" w:eastAsia="zh-CN"/>
        </w:rPr>
        <w:t>质保</w:t>
      </w:r>
      <w:r>
        <w:rPr>
          <w:rFonts w:hint="eastAsia" w:ascii="宋体" w:hAnsi="宋体" w:eastAsia="宋体" w:cs="宋体"/>
          <w:sz w:val="21"/>
          <w:highlight w:val="none"/>
          <w:lang w:val="en-US" w:eastAsia="zh-CN"/>
        </w:rPr>
        <w:t>2年。</w:t>
      </w:r>
      <w:r>
        <w:rPr>
          <w:rFonts w:hint="eastAsia" w:ascii="宋体" w:hAnsi="宋体" w:eastAsia="宋体" w:cs="宋体"/>
          <w:highlight w:val="none"/>
        </w:rPr>
        <w:t xml:space="preserve"> </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.本项目不接受联合体投标。</w:t>
      </w:r>
    </w:p>
    <w:p>
      <w:pPr>
        <w:tabs>
          <w:tab w:val="left" w:pos="900"/>
        </w:tabs>
        <w:spacing w:line="360" w:lineRule="auto"/>
        <w:ind w:left="420"/>
        <w:rPr>
          <w:rFonts w:ascii="宋体" w:hAnsi="宋体"/>
          <w:b/>
          <w:bCs/>
          <w:szCs w:val="21"/>
        </w:rPr>
      </w:pPr>
      <w:r>
        <w:rPr>
          <w:rFonts w:hint="eastAsia" w:ascii="宋体" w:hAnsi="宋体"/>
          <w:b/>
          <w:bCs/>
          <w:szCs w:val="21"/>
        </w:rPr>
        <w:t>二、供应商应具备下列资格条件，并提供证明材料（包括但不限于）：</w:t>
      </w:r>
    </w:p>
    <w:p>
      <w:pPr>
        <w:spacing w:line="360" w:lineRule="auto"/>
        <w:ind w:firstLine="420" w:firstLineChars="200"/>
        <w:rPr>
          <w:rFonts w:ascii="仿宋_GB2312" w:hAnsi="宋体" w:cs="Arial"/>
          <w:szCs w:val="21"/>
        </w:rPr>
      </w:pPr>
      <w:r>
        <w:rPr>
          <w:rFonts w:hint="eastAsia" w:ascii="仿宋_GB2312" w:hAnsi="宋体" w:cs="Arial"/>
          <w:szCs w:val="21"/>
        </w:rPr>
        <w:t>（一）符合相关法律法规规定的条件：</w:t>
      </w:r>
    </w:p>
    <w:p>
      <w:pPr>
        <w:spacing w:line="360" w:lineRule="auto"/>
        <w:ind w:firstLine="420" w:firstLineChars="200"/>
        <w:rPr>
          <w:rFonts w:hint="eastAsia" w:ascii="宋体" w:hAnsi="宋体" w:eastAsia="宋体" w:cs="宋体"/>
          <w:b w:val="0"/>
          <w:bCs w:val="0"/>
          <w:i/>
          <w:iCs/>
          <w:color w:val="000000" w:themeColor="text1"/>
          <w:sz w:val="21"/>
          <w:szCs w:val="21"/>
          <w:u w:val="single"/>
          <w14:textFill>
            <w14:solidFill>
              <w14:schemeClr w14:val="tx1"/>
            </w14:solidFill>
          </w14:textFill>
        </w:rPr>
      </w:pPr>
      <w:r>
        <w:rPr>
          <w:rFonts w:hint="eastAsia" w:ascii="宋体" w:hAnsi="宋体" w:cs="宋体"/>
          <w:i/>
          <w:iCs/>
          <w:szCs w:val="21"/>
          <w:u w:val="single"/>
          <w:lang w:val="en-US" w:eastAsia="zh-CN"/>
        </w:rPr>
        <w:t>1.1</w:t>
      </w:r>
      <w:r>
        <w:rPr>
          <w:rFonts w:hint="eastAsia" w:ascii="宋体" w:hAnsi="宋体" w:eastAsia="宋体" w:cs="宋体"/>
          <w:i/>
          <w:iCs/>
          <w:color w:val="000000" w:themeColor="text1"/>
          <w:sz w:val="21"/>
          <w:szCs w:val="21"/>
          <w:u w:val="single"/>
          <w14:textFill>
            <w14:solidFill>
              <w14:schemeClr w14:val="tx1"/>
            </w14:solidFill>
          </w14:textFill>
        </w:rPr>
        <w:t>磋商响应函</w:t>
      </w:r>
      <w:r>
        <w:rPr>
          <w:rFonts w:hint="eastAsia" w:ascii="宋体" w:hAnsi="宋体" w:eastAsia="宋体" w:cs="宋体"/>
          <w:b w:val="0"/>
          <w:bCs w:val="0"/>
          <w:i/>
          <w:iCs/>
          <w:color w:val="000000" w:themeColor="text1"/>
          <w:sz w:val="21"/>
          <w:szCs w:val="21"/>
          <w:u w:val="single"/>
          <w14:textFill>
            <w14:solidFill>
              <w14:schemeClr w14:val="tx1"/>
            </w14:solidFill>
          </w14:textFill>
        </w:rPr>
        <w:t>(原件)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1.2 资格声明(原件)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1.4 营业执照副本(复印件加盖供应商公章)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1.5依法缴纳职工社会保障资金的证明材料(复印件加盖投标人公章)(税务、银行或社会保险基金管理部门出具的近三个月内任意一月（2024年4月-2024年6月）缴纳职工社会保障资金的缴款凭证或缴款证明)</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1.6供应商近三个月内任意一个月（2024年4月-2024年6月）依法纳税的缴款凭证(复印件加盖投标人公章)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1.7与第（1.6）条相对应的纳税申报表或经会计师事务所审计的2022或2023年度财务报告(复印件加盖供应商公章)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1.8 供应商参加本次政府采购活动前3年内在经营活动中没有重大违法记录的书面声明（原件）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1.9供应商信用承诺书（原件）</w:t>
      </w:r>
    </w:p>
    <w:p>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10</w:t>
      </w:r>
      <w:r>
        <w:rPr>
          <w:rFonts w:hint="eastAsia" w:ascii="宋体" w:hAnsi="宋体" w:cs="宋体"/>
          <w:i/>
          <w:iCs/>
          <w:szCs w:val="21"/>
          <w:u w:val="single"/>
        </w:rPr>
        <w:t>未被“信用中国”网站、“中国政府采购网"列入失信被执行人、重大税收违法案件当事人名单、政府采购严重违法失信行为记录名单（提供网页截图加盖供应商公章）</w:t>
      </w:r>
    </w:p>
    <w:p>
      <w:pPr>
        <w:numPr>
          <w:ilvl w:val="0"/>
          <w:numId w:val="4"/>
        </w:numPr>
        <w:spacing w:line="360" w:lineRule="auto"/>
        <w:ind w:firstLine="420" w:firstLineChars="200"/>
        <w:rPr>
          <w:rFonts w:hint="eastAsia" w:ascii="宋体" w:hAnsi="宋体" w:cs="宋体"/>
          <w:i/>
          <w:iCs/>
          <w:szCs w:val="21"/>
          <w:u w:val="single"/>
          <w:lang w:val="en-US" w:eastAsia="zh-CN"/>
        </w:rPr>
      </w:pPr>
      <w:r>
        <w:rPr>
          <w:rFonts w:hint="eastAsia" w:ascii="宋体" w:hAnsi="宋体" w:cs="宋体"/>
          <w:szCs w:val="21"/>
          <w:highlight w:val="none"/>
        </w:rPr>
        <w:t>本项目的特定资格要求：</w:t>
      </w:r>
      <w:r>
        <w:rPr>
          <w:rFonts w:hint="eastAsia" w:ascii="宋体" w:hAnsi="宋体" w:cs="宋体"/>
          <w:i/>
          <w:iCs/>
          <w:szCs w:val="21"/>
          <w:u w:val="single"/>
          <w:lang w:val="en-US" w:eastAsia="zh-CN"/>
        </w:rPr>
        <w:t>无</w:t>
      </w:r>
    </w:p>
    <w:p>
      <w:pPr>
        <w:numPr>
          <w:ilvl w:val="0"/>
          <w:numId w:val="0"/>
        </w:numPr>
        <w:spacing w:line="360" w:lineRule="auto"/>
        <w:ind w:firstLine="630" w:firstLineChars="300"/>
        <w:rPr>
          <w:rFonts w:hint="default" w:ascii="宋体" w:hAnsi="宋体" w:cs="宋体"/>
          <w:i/>
          <w:iCs/>
          <w:szCs w:val="21"/>
          <w:u w:val="single"/>
          <w:lang w:val="en-US" w:eastAsia="zh-CN"/>
        </w:rPr>
      </w:pPr>
      <w:r>
        <w:rPr>
          <w:rFonts w:hint="eastAsia" w:ascii="宋体" w:hAnsi="宋体" w:cs="宋体"/>
          <w:i/>
          <w:iCs/>
          <w:szCs w:val="21"/>
          <w:u w:val="single"/>
          <w:lang w:val="en-US" w:eastAsia="zh-CN"/>
        </w:rPr>
        <w:t>备注：如投标人为代理商，需提供生产商对本项目的唯一授权函或代理协议</w:t>
      </w:r>
    </w:p>
    <w:p>
      <w:pPr>
        <w:numPr>
          <w:ilvl w:val="0"/>
          <w:numId w:val="0"/>
        </w:numPr>
        <w:spacing w:line="360" w:lineRule="auto"/>
        <w:ind w:firstLine="420" w:firstLineChars="200"/>
        <w:rPr>
          <w:rFonts w:ascii="宋体" w:hAnsi="宋体" w:cs="宋体"/>
          <w:szCs w:val="21"/>
        </w:rPr>
      </w:pPr>
      <w:r>
        <w:rPr>
          <w:rFonts w:hint="eastAsia" w:ascii="宋体" w:hAnsi="宋体" w:cs="宋体"/>
          <w:szCs w:val="21"/>
        </w:rPr>
        <w:t>（三）拒绝下述供应商参加本次采购活动：</w:t>
      </w:r>
    </w:p>
    <w:p>
      <w:pPr>
        <w:spacing w:line="360" w:lineRule="auto"/>
        <w:ind w:firstLine="420" w:firstLineChars="200"/>
        <w:rPr>
          <w:rFonts w:ascii="宋体" w:hAnsi="宋体"/>
          <w:szCs w:val="21"/>
        </w:rPr>
      </w:pPr>
      <w:bookmarkStart w:id="20" w:name="_Toc35393623"/>
      <w:bookmarkStart w:id="21" w:name="_Toc35393792"/>
      <w:r>
        <w:rPr>
          <w:rFonts w:hint="eastAsia" w:ascii="宋体" w:hAnsi="宋体"/>
          <w:szCs w:val="21"/>
        </w:rPr>
        <w:t>（1）供应商单位负责人为同一人或者存在直接控股、管理关系的不同供应商，不得参加同一合同项下的采购活动。</w:t>
      </w:r>
    </w:p>
    <w:p>
      <w:pPr>
        <w:spacing w:line="360" w:lineRule="auto"/>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szCs w:val="21"/>
        </w:rPr>
      </w:pPr>
      <w:r>
        <w:rPr>
          <w:rFonts w:hint="eastAsia" w:ascii="宋体" w:hAnsi="宋体"/>
          <w:szCs w:val="21"/>
        </w:rPr>
        <w:t>（3）供应商被“信用中国”网站、“中国政府采购网”列入失信被执行人、重大税收违法案件当事人名单、政府采购严重违法失信行为记录名单。</w:t>
      </w:r>
    </w:p>
    <w:p>
      <w:pPr>
        <w:spacing w:line="360" w:lineRule="auto"/>
        <w:ind w:firstLine="420" w:firstLineChars="200"/>
      </w:pPr>
      <w:r>
        <w:rPr>
          <w:rFonts w:hint="eastAsia" w:ascii="仿宋_GB2312" w:hAnsi="宋体" w:cs="Arial"/>
          <w:szCs w:val="21"/>
        </w:rPr>
        <w:t>（四）本项目</w:t>
      </w:r>
      <w:r>
        <w:rPr>
          <w:rFonts w:hint="eastAsia" w:ascii="宋体" w:hAnsi="宋体"/>
          <w:szCs w:val="21"/>
          <w:u w:val="single"/>
        </w:rPr>
        <w:t>不接受</w:t>
      </w:r>
      <w:r>
        <w:rPr>
          <w:rFonts w:hint="eastAsia" w:ascii="仿宋_GB2312" w:hAnsi="宋体" w:cs="Arial"/>
          <w:szCs w:val="21"/>
        </w:rPr>
        <w:t>联合体投标。</w:t>
      </w:r>
    </w:p>
    <w:bookmarkEnd w:id="18"/>
    <w:bookmarkEnd w:id="19"/>
    <w:bookmarkEnd w:id="20"/>
    <w:bookmarkEnd w:id="21"/>
    <w:p>
      <w:pPr>
        <w:spacing w:line="360" w:lineRule="auto"/>
        <w:ind w:firstLine="422" w:firstLineChars="200"/>
        <w:rPr>
          <w:rFonts w:hint="eastAsia" w:ascii="宋体" w:hAnsi="宋体" w:eastAsia="宋体" w:cs="宋体"/>
          <w:b/>
          <w:bCs/>
          <w:sz w:val="21"/>
          <w:szCs w:val="21"/>
        </w:rPr>
      </w:pPr>
      <w:bookmarkStart w:id="22" w:name="_Toc35393631"/>
      <w:bookmarkStart w:id="23" w:name="_Toc35393800"/>
      <w:bookmarkStart w:id="24" w:name="_Toc28359005"/>
      <w:bookmarkStart w:id="25" w:name="_Toc35393793"/>
      <w:bookmarkStart w:id="26" w:name="_Toc35393624"/>
      <w:bookmarkStart w:id="27" w:name="_Toc28359082"/>
      <w:r>
        <w:rPr>
          <w:rFonts w:hint="eastAsia" w:ascii="宋体" w:hAnsi="宋体" w:eastAsia="宋体" w:cs="宋体"/>
          <w:b/>
          <w:bCs/>
          <w:sz w:val="21"/>
          <w:szCs w:val="21"/>
        </w:rPr>
        <w:t>三、获取采购文件</w:t>
      </w:r>
      <w:bookmarkEnd w:id="22"/>
      <w:bookmarkEnd w:id="2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2024年07月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CN"/>
        </w:rPr>
        <w:t>日</w:t>
      </w:r>
      <w:r>
        <w:rPr>
          <w:rFonts w:hint="eastAsia" w:ascii="宋体" w:hAnsi="宋体" w:cs="宋体"/>
          <w:color w:val="auto"/>
          <w:szCs w:val="21"/>
          <w:highlight w:val="none"/>
        </w:rPr>
        <w:t>至202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日，9:00至11:30，14:00至17：30（北京时间，节假日除外）</w:t>
      </w:r>
    </w:p>
    <w:p>
      <w:pPr>
        <w:spacing w:line="360" w:lineRule="auto"/>
        <w:ind w:firstLine="420" w:firstLineChars="200"/>
        <w:rPr>
          <w:rFonts w:ascii="宋体" w:hAnsi="宋体" w:cs="宋体"/>
          <w:szCs w:val="21"/>
        </w:rPr>
      </w:pPr>
      <w:r>
        <w:rPr>
          <w:rFonts w:hint="eastAsia" w:ascii="宋体" w:hAnsi="宋体" w:cs="宋体"/>
          <w:szCs w:val="21"/>
        </w:rPr>
        <w:t>地点：扬州市广陵区渡江南路112号（左岸商务广场）左岸商务广场-2-1201（永明项目管理有限公司）</w:t>
      </w:r>
    </w:p>
    <w:p>
      <w:pPr>
        <w:spacing w:line="400" w:lineRule="exact"/>
        <w:ind w:firstLine="420" w:firstLineChars="200"/>
        <w:jc w:val="left"/>
        <w:rPr>
          <w:rFonts w:ascii="宋体" w:hAnsi="宋体" w:cs="宋体"/>
          <w:szCs w:val="21"/>
        </w:rPr>
      </w:pPr>
      <w:r>
        <w:rPr>
          <w:rFonts w:hint="eastAsia" w:ascii="宋体" w:hAnsi="宋体" w:cs="宋体"/>
          <w:szCs w:val="21"/>
        </w:rPr>
        <w:t>方式：</w:t>
      </w:r>
      <w:r>
        <w:rPr>
          <w:rFonts w:hint="eastAsia"/>
          <w:color w:val="000000"/>
          <w:szCs w:val="21"/>
          <w:highlight w:val="none"/>
          <w:lang w:val="en"/>
        </w:rPr>
        <w:t>经办人携带本人身份证复印件、法人授权委托书原件、营业执照复印件，所有复印件</w:t>
      </w:r>
      <w:r>
        <w:rPr>
          <w:rFonts w:hint="eastAsia"/>
          <w:color w:val="000000"/>
          <w:szCs w:val="21"/>
          <w:highlight w:val="none"/>
          <w:shd w:val="clear" w:color="auto" w:fill="FFFFFF"/>
          <w:lang w:val="en"/>
        </w:rPr>
        <w:t>加盖公章</w:t>
      </w:r>
      <w:r>
        <w:rPr>
          <w:rFonts w:hint="eastAsia"/>
          <w:color w:val="000000"/>
          <w:szCs w:val="21"/>
          <w:highlight w:val="none"/>
          <w:lang w:val="en"/>
        </w:rPr>
        <w:t>至代理机构处获取采购文件</w:t>
      </w:r>
      <w:r>
        <w:rPr>
          <w:rFonts w:hint="eastAsia" w:ascii="宋体" w:hAnsi="宋体" w:cs="宋体"/>
          <w:szCs w:val="21"/>
        </w:rPr>
        <w:t xml:space="preserve"> </w:t>
      </w:r>
    </w:p>
    <w:p>
      <w:pPr>
        <w:spacing w:line="360" w:lineRule="auto"/>
        <w:ind w:firstLine="420" w:firstLineChars="200"/>
      </w:pPr>
      <w:r>
        <w:rPr>
          <w:rFonts w:hint="eastAsia" w:ascii="宋体" w:hAnsi="宋体" w:cs="宋体"/>
          <w:szCs w:val="21"/>
        </w:rPr>
        <w:t>如投标人未按上述要求去做，将视为未报名。</w:t>
      </w:r>
    </w:p>
    <w:bookmarkEnd w:id="24"/>
    <w:bookmarkEnd w:id="25"/>
    <w:bookmarkEnd w:id="26"/>
    <w:bookmarkEnd w:id="27"/>
    <w:p>
      <w:pPr>
        <w:numPr>
          <w:ilvl w:val="0"/>
          <w:numId w:val="5"/>
        </w:numPr>
        <w:spacing w:line="360" w:lineRule="auto"/>
        <w:ind w:firstLine="422" w:firstLineChars="200"/>
        <w:rPr>
          <w:rFonts w:hint="eastAsia" w:ascii="宋体" w:hAnsi="宋体" w:cs="宋体"/>
          <w:b/>
          <w:bCs/>
          <w:szCs w:val="21"/>
        </w:rPr>
      </w:pPr>
      <w:bookmarkStart w:id="28" w:name="_Toc35393625"/>
      <w:bookmarkStart w:id="29" w:name="_Toc28359007"/>
      <w:bookmarkStart w:id="30" w:name="_Toc28359084"/>
      <w:bookmarkStart w:id="31" w:name="_Toc35393794"/>
      <w:r>
        <w:rPr>
          <w:rFonts w:hint="eastAsia" w:ascii="宋体" w:hAnsi="宋体" w:cs="宋体"/>
          <w:b/>
          <w:bCs/>
          <w:szCs w:val="21"/>
        </w:rPr>
        <w:t>响应文件提交</w:t>
      </w:r>
    </w:p>
    <w:p>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14点30分</w:t>
      </w:r>
    </w:p>
    <w:p>
      <w:pPr>
        <w:spacing w:line="360" w:lineRule="auto"/>
        <w:ind w:firstLine="420" w:firstLineChars="200"/>
        <w:rPr>
          <w:rFonts w:hint="eastAsia" w:ascii="宋体" w:hAnsi="宋体" w:cs="宋体"/>
          <w:szCs w:val="21"/>
        </w:rPr>
      </w:pPr>
      <w:r>
        <w:rPr>
          <w:rFonts w:hint="eastAsia" w:ascii="宋体" w:hAnsi="宋体" w:cs="宋体"/>
          <w:szCs w:val="21"/>
        </w:rPr>
        <w:t>地点：扬州市广陵区渡江南路112号（左岸商务广场）左岸商务广场-2-1201（永明项目管理有限公司开标室）</w:t>
      </w:r>
    </w:p>
    <w:p>
      <w:pPr>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五、开启</w:t>
      </w:r>
    </w:p>
    <w:p>
      <w:pPr>
        <w:spacing w:line="360" w:lineRule="auto"/>
        <w:ind w:firstLine="420" w:firstLineChars="200"/>
        <w:rPr>
          <w:rFonts w:ascii="宋体" w:hAnsi="宋体" w:eastAsia="宋体" w:cs="宋体"/>
          <w:bCs/>
          <w:sz w:val="21"/>
          <w:szCs w:val="21"/>
          <w:highlight w:val="none"/>
          <w:u w:val="single"/>
        </w:rPr>
      </w:pPr>
      <w:r>
        <w:rPr>
          <w:rFonts w:hint="eastAsia" w:ascii="宋体" w:hAnsi="宋体" w:eastAsia="宋体" w:cs="宋体"/>
          <w:sz w:val="21"/>
          <w:szCs w:val="21"/>
          <w:highlight w:val="none"/>
        </w:rPr>
        <w:t>时间：</w:t>
      </w:r>
      <w:r>
        <w:rPr>
          <w:rFonts w:hint="eastAsia" w:ascii="宋体" w:hAnsi="宋体" w:eastAsia="宋体" w:cs="宋体"/>
          <w:b w:val="0"/>
          <w:bCs w:val="0"/>
          <w:sz w:val="21"/>
          <w:szCs w:val="21"/>
          <w:highlight w:val="none"/>
          <w:lang w:val="en-US" w:eastAsia="zh-CN"/>
        </w:rPr>
        <w:t>2024年</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eastAsia="zh-CN"/>
        </w:rPr>
        <w:t>月</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日14点30分（北京时间）</w:t>
      </w:r>
    </w:p>
    <w:p>
      <w:pPr>
        <w:spacing w:line="360" w:lineRule="auto"/>
        <w:ind w:firstLine="420" w:firstLineChars="200"/>
        <w:rPr>
          <w:b/>
          <w:bCs/>
        </w:rPr>
      </w:pPr>
      <w:r>
        <w:rPr>
          <w:rFonts w:hint="eastAsia" w:ascii="宋体" w:hAnsi="宋体" w:cs="宋体"/>
          <w:szCs w:val="21"/>
        </w:rPr>
        <w:t>地点：</w:t>
      </w:r>
      <w:bookmarkStart w:id="32" w:name="_Hlk99113884"/>
      <w:r>
        <w:rPr>
          <w:rFonts w:hint="eastAsia" w:ascii="宋体" w:hAnsi="宋体" w:cs="宋体"/>
          <w:szCs w:val="21"/>
        </w:rPr>
        <w:t>扬州市广陵区渡江南路112号（左岸商务广场）左岸商务广场-2-1201</w:t>
      </w:r>
      <w:bookmarkEnd w:id="32"/>
      <w:r>
        <w:rPr>
          <w:rFonts w:hint="eastAsia" w:ascii="宋体" w:hAnsi="宋体" w:cs="宋体"/>
          <w:szCs w:val="21"/>
        </w:rPr>
        <w:t>（永明项目管理有限公司开标室）</w:t>
      </w:r>
    </w:p>
    <w:p>
      <w:pPr>
        <w:spacing w:line="360" w:lineRule="auto"/>
        <w:ind w:firstLine="422" w:firstLineChars="200"/>
        <w:rPr>
          <w:rFonts w:ascii="宋体" w:hAnsi="宋体" w:cs="宋体"/>
          <w:b/>
          <w:bCs/>
          <w:szCs w:val="21"/>
        </w:rPr>
      </w:pPr>
      <w:r>
        <w:rPr>
          <w:rFonts w:hint="eastAsia" w:ascii="宋体" w:hAnsi="宋体" w:cs="宋体"/>
          <w:b/>
          <w:bCs/>
          <w:szCs w:val="21"/>
          <w:lang w:val="en-US" w:eastAsia="zh-CN"/>
        </w:rPr>
        <w:t>六</w:t>
      </w:r>
      <w:r>
        <w:rPr>
          <w:rFonts w:hint="eastAsia" w:ascii="宋体" w:hAnsi="宋体" w:cs="宋体"/>
          <w:b/>
          <w:bCs/>
          <w:szCs w:val="21"/>
        </w:rPr>
        <w:t>、公告期限</w:t>
      </w:r>
      <w:bookmarkEnd w:id="28"/>
      <w:bookmarkEnd w:id="29"/>
      <w:bookmarkEnd w:id="30"/>
      <w:bookmarkEnd w:id="31"/>
    </w:p>
    <w:p>
      <w:pPr>
        <w:pStyle w:val="32"/>
        <w:spacing w:line="360" w:lineRule="auto"/>
        <w:rPr>
          <w:rFonts w:ascii="宋体" w:hAnsi="宋体" w:cs="宋体"/>
          <w:szCs w:val="21"/>
        </w:rPr>
      </w:pPr>
      <w:bookmarkStart w:id="33" w:name="_Toc35393795"/>
      <w:bookmarkStart w:id="34" w:name="_Toc35393626"/>
      <w:r>
        <w:rPr>
          <w:rFonts w:hint="eastAsia" w:ascii="宋体" w:hAnsi="宋体" w:cs="宋体"/>
          <w:szCs w:val="21"/>
        </w:rPr>
        <w:t>自</w:t>
      </w:r>
      <w:r>
        <w:rPr>
          <w:rFonts w:hint="eastAsia" w:ascii="宋体" w:hAnsi="宋体" w:cs="宋体"/>
          <w:szCs w:val="21"/>
          <w:lang w:val="en-US" w:eastAsia="zh-CN"/>
        </w:rPr>
        <w:t>采购</w:t>
      </w:r>
      <w:r>
        <w:rPr>
          <w:rFonts w:hint="eastAsia" w:ascii="宋体" w:hAnsi="宋体" w:cs="宋体"/>
          <w:szCs w:val="21"/>
        </w:rPr>
        <w:t>公告在“扬州市城建国有资产控股（集团）有限责任公司网站”发布之日起5个工作日。</w:t>
      </w:r>
    </w:p>
    <w:p>
      <w:pPr>
        <w:spacing w:line="360" w:lineRule="auto"/>
        <w:ind w:firstLine="422" w:firstLineChars="200"/>
        <w:rPr>
          <w:rFonts w:ascii="宋体" w:hAnsi="宋体" w:cs="宋体"/>
          <w:b/>
          <w:bCs/>
          <w:szCs w:val="21"/>
        </w:rPr>
      </w:pPr>
      <w:r>
        <w:rPr>
          <w:rFonts w:hint="eastAsia" w:ascii="宋体" w:hAnsi="宋体" w:cs="宋体"/>
          <w:b/>
          <w:bCs/>
          <w:szCs w:val="21"/>
          <w:lang w:val="en-US" w:eastAsia="zh-CN"/>
        </w:rPr>
        <w:t>七</w:t>
      </w:r>
      <w:r>
        <w:rPr>
          <w:rFonts w:hint="eastAsia" w:ascii="宋体" w:hAnsi="宋体" w:cs="宋体"/>
          <w:b/>
          <w:bCs/>
          <w:szCs w:val="21"/>
        </w:rPr>
        <w:t>、其他补充事宜</w:t>
      </w:r>
      <w:bookmarkEnd w:id="33"/>
      <w:bookmarkEnd w:id="34"/>
      <w:r>
        <w:rPr>
          <w:rFonts w:hint="eastAsia" w:ascii="宋体" w:hAnsi="宋体" w:cs="宋体"/>
          <w:b/>
          <w:bCs/>
          <w:szCs w:val="21"/>
        </w:rPr>
        <w:t>：</w:t>
      </w:r>
    </w:p>
    <w:p>
      <w:pPr>
        <w:spacing w:line="360" w:lineRule="auto"/>
        <w:ind w:firstLine="540"/>
        <w:rPr>
          <w:rFonts w:ascii="宋体" w:hAnsi="宋体" w:eastAsia="宋体" w:cs="宋体"/>
          <w:sz w:val="21"/>
          <w:szCs w:val="21"/>
        </w:rPr>
      </w:pPr>
      <w:r>
        <w:rPr>
          <w:rFonts w:hint="eastAsia" w:ascii="宋体" w:hAnsi="宋体" w:eastAsia="宋体" w:cs="宋体"/>
          <w:sz w:val="21"/>
          <w:szCs w:val="21"/>
        </w:rPr>
        <w:t>1、根据江苏省财政厅文件苏财购〔2020〕52号《关于做好政府采购支持企业发展有关事项的通知》，本项目免收磋商保证金。</w:t>
      </w:r>
    </w:p>
    <w:p>
      <w:pPr>
        <w:spacing w:line="360" w:lineRule="auto"/>
        <w:ind w:firstLine="420" w:firstLineChars="200"/>
        <w:rPr>
          <w:rFonts w:ascii="宋体" w:hAnsi="宋体" w:cs="宋体"/>
          <w:szCs w:val="21"/>
        </w:rPr>
      </w:pPr>
      <w:r>
        <w:rPr>
          <w:rFonts w:hint="eastAsia" w:ascii="宋体" w:hAnsi="宋体" w:cs="宋体"/>
          <w:szCs w:val="21"/>
        </w:rPr>
        <w:t>2、集中考察或召开答疑会：不组织投标供应商进行现场考察，投标供应商认为需要可自行进行现场考察，费用由投标供应商自</w:t>
      </w:r>
      <w:r>
        <w:rPr>
          <w:rFonts w:hint="eastAsia" w:ascii="宋体" w:hAnsi="宋体" w:cs="宋体"/>
          <w:color w:val="333333"/>
          <w:kern w:val="0"/>
          <w:szCs w:val="21"/>
          <w:shd w:val="clear" w:color="auto" w:fill="FFFFFF"/>
        </w:rPr>
        <w:t>理</w:t>
      </w:r>
      <w:r>
        <w:rPr>
          <w:rFonts w:hint="eastAsia" w:ascii="宋体" w:hAnsi="宋体" w:cs="宋体"/>
          <w:szCs w:val="21"/>
        </w:rPr>
        <w:t>。</w:t>
      </w:r>
    </w:p>
    <w:p>
      <w:pPr>
        <w:spacing w:line="360" w:lineRule="auto"/>
        <w:ind w:firstLine="413" w:firstLineChars="197"/>
        <w:rPr>
          <w:rFonts w:hint="eastAsia" w:ascii="宋体" w:hAnsi="宋体"/>
          <w:szCs w:val="21"/>
        </w:rPr>
      </w:pPr>
      <w:r>
        <w:rPr>
          <w:rFonts w:hint="eastAsia" w:ascii="宋体" w:hAnsi="宋体"/>
          <w:szCs w:val="21"/>
        </w:rPr>
        <w:t>3、本次磋商响应文件制作份数要求：磋商供应商应提供纸质响应文件一式三份（一份正本，二份副本），每份响应文件须清楚标明“正本”或“副本”。电子版响应文件一份（一般应为PDF格式、U盘形式（单独封装）、随纸质正本文件一并提交）。当电子版文件和纸质正本文件不一致时，以纸质正本文件为准。电子版文件用于辅助评标和存档，磋商供应商需承担前述不一致造成的不利后果。</w:t>
      </w:r>
    </w:p>
    <w:p>
      <w:pPr>
        <w:spacing w:line="360" w:lineRule="auto"/>
        <w:ind w:firstLine="413" w:firstLineChars="197"/>
        <w:rPr>
          <w:rFonts w:ascii="宋体" w:hAnsi="宋体"/>
          <w:szCs w:val="21"/>
        </w:rPr>
      </w:pPr>
      <w:r>
        <w:rPr>
          <w:rFonts w:hint="eastAsia" w:ascii="宋体" w:hAnsi="宋体"/>
          <w:szCs w:val="21"/>
        </w:rPr>
        <w:t>4、潜在</w:t>
      </w:r>
      <w:r>
        <w:rPr>
          <w:rFonts w:hint="eastAsia" w:ascii="宋体" w:hAnsi="宋体"/>
          <w:szCs w:val="21"/>
          <w:lang w:val="en-US" w:eastAsia="zh-CN"/>
        </w:rPr>
        <w:t>供应商</w:t>
      </w:r>
      <w:r>
        <w:rPr>
          <w:rFonts w:hint="eastAsia" w:ascii="宋体" w:hAnsi="宋体"/>
          <w:szCs w:val="21"/>
        </w:rPr>
        <w:t>对</w:t>
      </w:r>
      <w:r>
        <w:rPr>
          <w:rFonts w:hint="eastAsia" w:ascii="宋体" w:hAnsi="宋体"/>
          <w:szCs w:val="21"/>
          <w:lang w:val="en-US" w:eastAsia="zh-CN"/>
        </w:rPr>
        <w:t>磋商</w:t>
      </w:r>
      <w:r>
        <w:rPr>
          <w:rFonts w:hint="eastAsia" w:ascii="宋体" w:hAnsi="宋体"/>
          <w:szCs w:val="21"/>
        </w:rPr>
        <w:t>文件项目需求部分的询问、质疑请向采购人提出，由采购人负责答复。</w:t>
      </w:r>
    </w:p>
    <w:p>
      <w:pPr>
        <w:spacing w:line="360" w:lineRule="auto"/>
        <w:ind w:firstLine="413" w:firstLineChars="197"/>
        <w:rPr>
          <w:rFonts w:ascii="宋体" w:hAnsi="宋体"/>
          <w:szCs w:val="21"/>
        </w:rPr>
      </w:pPr>
      <w:r>
        <w:rPr>
          <w:rFonts w:hint="eastAsia" w:ascii="宋体" w:hAnsi="宋体"/>
          <w:szCs w:val="21"/>
        </w:rPr>
        <w:t>5、</w:t>
      </w:r>
      <w:r>
        <w:rPr>
          <w:rFonts w:hint="eastAsia" w:ascii="宋体" w:hAnsi="宋体" w:eastAsia="宋体" w:cs="宋体"/>
          <w:sz w:val="21"/>
          <w:szCs w:val="21"/>
        </w:rPr>
        <w:t>有关本次磋商的事项若存在变动或修改</w:t>
      </w:r>
      <w:r>
        <w:rPr>
          <w:rFonts w:hint="eastAsia" w:ascii="宋体" w:hAnsi="宋体"/>
          <w:szCs w:val="21"/>
        </w:rPr>
        <w:t>，敬请及时关注</w:t>
      </w:r>
      <w:r>
        <w:rPr>
          <w:rFonts w:hint="eastAsia" w:ascii="宋体" w:hAnsi="宋体" w:cs="宋体"/>
          <w:szCs w:val="21"/>
          <w:lang w:eastAsia="zh-CN"/>
        </w:rPr>
        <w:t>“扬州市城建国有资产控股（集团）有限责任公司网站”</w:t>
      </w:r>
      <w:r>
        <w:rPr>
          <w:rFonts w:hint="eastAsia" w:ascii="宋体" w:hAnsi="宋体"/>
          <w:szCs w:val="21"/>
        </w:rPr>
        <w:t>发布的信息或更正公告。</w:t>
      </w:r>
    </w:p>
    <w:p>
      <w:pPr>
        <w:spacing w:line="360" w:lineRule="auto"/>
        <w:ind w:firstLine="540"/>
        <w:rPr>
          <w:rFonts w:ascii="宋体" w:hAnsi="宋体" w:eastAsia="宋体" w:cs="宋体"/>
          <w:sz w:val="21"/>
          <w:szCs w:val="21"/>
        </w:rPr>
      </w:pPr>
      <w:r>
        <w:rPr>
          <w:rFonts w:hint="eastAsia" w:ascii="宋体" w:hAnsi="宋体"/>
          <w:szCs w:val="21"/>
        </w:rPr>
        <w:t>6、</w:t>
      </w:r>
      <w:r>
        <w:rPr>
          <w:rFonts w:hint="eastAsia" w:ascii="宋体" w:hAnsi="宋体" w:eastAsia="宋体" w:cs="宋体"/>
          <w:i/>
          <w:iCs/>
          <w:sz w:val="21"/>
          <w:szCs w:val="21"/>
          <w:u w:val="single"/>
        </w:rPr>
        <w:t>本项目磋商文件中所有斜体下划线部分为实质性条款，如不满足，则为无效投标。</w:t>
      </w:r>
    </w:p>
    <w:p>
      <w:pPr>
        <w:spacing w:line="360" w:lineRule="auto"/>
        <w:ind w:firstLine="422" w:firstLineChars="200"/>
        <w:rPr>
          <w:rFonts w:ascii="宋体" w:hAnsi="宋体" w:cs="宋体"/>
          <w:b/>
          <w:bCs/>
          <w:szCs w:val="21"/>
        </w:rPr>
      </w:pPr>
      <w:bookmarkStart w:id="35" w:name="_Toc28359008"/>
      <w:bookmarkStart w:id="36" w:name="_Toc35393796"/>
      <w:bookmarkStart w:id="37" w:name="_Toc28359085"/>
      <w:bookmarkStart w:id="38" w:name="_Toc35393627"/>
      <w:r>
        <w:rPr>
          <w:rFonts w:hint="eastAsia" w:ascii="宋体" w:hAnsi="宋体" w:cs="宋体"/>
          <w:b/>
          <w:bCs/>
          <w:szCs w:val="21"/>
        </w:rPr>
        <w:t>七、对本次招标提出询问，请按以下方式联系。</w:t>
      </w:r>
      <w:bookmarkEnd w:id="35"/>
      <w:bookmarkEnd w:id="36"/>
      <w:bookmarkEnd w:id="37"/>
      <w:bookmarkEnd w:id="38"/>
    </w:p>
    <w:p>
      <w:pPr>
        <w:widowControl/>
        <w:spacing w:line="360" w:lineRule="auto"/>
        <w:ind w:firstLine="420" w:firstLineChars="200"/>
        <w:rPr>
          <w:rFonts w:ascii="宋体" w:hAnsi="宋体" w:cs="宋体"/>
          <w:szCs w:val="21"/>
        </w:rPr>
      </w:pPr>
      <w:bookmarkStart w:id="39" w:name="_Toc28359009"/>
      <w:bookmarkStart w:id="40" w:name="_Toc28359086"/>
      <w:r>
        <w:rPr>
          <w:rFonts w:hint="eastAsia" w:ascii="宋体" w:hAnsi="宋体" w:cs="宋体"/>
          <w:szCs w:val="21"/>
        </w:rPr>
        <w:t>采购人信息</w:t>
      </w:r>
    </w:p>
    <w:p>
      <w:pPr>
        <w:ind w:firstLine="420" w:firstLineChars="200"/>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扬州洁源新能源发展股份有限公司</w:t>
      </w:r>
    </w:p>
    <w:p>
      <w:pPr>
        <w:spacing w:line="360" w:lineRule="auto"/>
        <w:ind w:firstLine="420" w:firstLineChars="200"/>
        <w:rPr>
          <w:rFonts w:ascii="宋体" w:hAnsi="宋体" w:cs="宋体"/>
          <w:color w:val="535353"/>
          <w:szCs w:val="21"/>
          <w:u w:val="none"/>
          <w:shd w:val="clear" w:color="auto" w:fill="FFFFFF"/>
        </w:rPr>
      </w:pPr>
      <w:r>
        <w:rPr>
          <w:rFonts w:hint="eastAsia" w:ascii="宋体" w:hAnsi="宋体" w:cs="宋体"/>
          <w:szCs w:val="21"/>
          <w:u w:val="none"/>
        </w:rPr>
        <w:t>地址：扬州市三江路81号</w:t>
      </w:r>
    </w:p>
    <w:p>
      <w:pPr>
        <w:spacing w:line="360" w:lineRule="auto"/>
        <w:ind w:firstLine="420" w:firstLineChars="200"/>
        <w:rPr>
          <w:rFonts w:hint="eastAsia" w:ascii="宋体" w:hAnsi="宋体" w:cs="宋体"/>
          <w:szCs w:val="21"/>
          <w:highlight w:val="none"/>
          <w:u w:val="none"/>
          <w:lang w:val="en-US" w:eastAsia="zh-CN"/>
        </w:rPr>
      </w:pPr>
      <w:r>
        <w:rPr>
          <w:rFonts w:hint="eastAsia" w:ascii="宋体" w:hAnsi="宋体" w:cs="宋体"/>
          <w:szCs w:val="21"/>
          <w:highlight w:val="none"/>
          <w:u w:val="none"/>
        </w:rPr>
        <w:t>联系人：</w:t>
      </w:r>
      <w:r>
        <w:rPr>
          <w:rFonts w:hint="eastAsia" w:ascii="宋体" w:hAnsi="宋体" w:cs="宋体"/>
          <w:szCs w:val="21"/>
          <w:highlight w:val="none"/>
          <w:u w:val="none"/>
          <w:lang w:val="en-US" w:eastAsia="zh-CN"/>
        </w:rPr>
        <w:t>罗先生</w:t>
      </w:r>
    </w:p>
    <w:p>
      <w:pPr>
        <w:spacing w:line="360" w:lineRule="auto"/>
        <w:ind w:firstLine="420" w:firstLineChars="200"/>
        <w:rPr>
          <w:rFonts w:ascii="宋体" w:hAnsi="宋体" w:cs="宋体"/>
          <w:szCs w:val="21"/>
          <w:highlight w:val="none"/>
          <w:u w:val="none"/>
        </w:rPr>
      </w:pPr>
      <w:r>
        <w:rPr>
          <w:rFonts w:hint="eastAsia" w:ascii="宋体" w:hAnsi="宋体" w:cs="宋体"/>
          <w:szCs w:val="21"/>
          <w:highlight w:val="none"/>
          <w:u w:val="none"/>
        </w:rPr>
        <w:t>联系方式：</w:t>
      </w:r>
      <w:r>
        <w:rPr>
          <w:rFonts w:hint="eastAsia" w:ascii="宋体" w:hAnsi="宋体" w:cs="宋体"/>
          <w:szCs w:val="21"/>
          <w:highlight w:val="none"/>
          <w:u w:val="none"/>
          <w:lang w:val="en-US" w:eastAsia="zh-CN"/>
        </w:rPr>
        <w:t>17768577333</w:t>
      </w:r>
      <w:r>
        <w:rPr>
          <w:rFonts w:hint="eastAsia" w:ascii="宋体" w:hAnsi="宋体" w:cs="宋体"/>
          <w:szCs w:val="21"/>
          <w:highlight w:val="none"/>
          <w:u w:val="none"/>
          <w:shd w:val="clear" w:color="auto" w:fill="FFFFFF"/>
        </w:rPr>
        <w:t xml:space="preserve">  </w:t>
      </w:r>
    </w:p>
    <w:p>
      <w:pPr>
        <w:spacing w:line="360" w:lineRule="auto"/>
        <w:ind w:firstLine="420" w:firstLineChars="200"/>
        <w:rPr>
          <w:rFonts w:ascii="宋体" w:hAnsi="宋体" w:cs="宋体"/>
          <w:szCs w:val="21"/>
        </w:rPr>
      </w:pPr>
      <w:r>
        <w:rPr>
          <w:rFonts w:hint="eastAsia" w:ascii="宋体" w:hAnsi="宋体" w:cs="宋体"/>
          <w:szCs w:val="21"/>
        </w:rPr>
        <w:t>2.采购代理机构信息</w:t>
      </w:r>
      <w:bookmarkEnd w:id="39"/>
      <w:bookmarkEnd w:id="40"/>
    </w:p>
    <w:p>
      <w:pPr>
        <w:spacing w:line="360" w:lineRule="auto"/>
        <w:ind w:firstLine="420" w:firstLineChars="200"/>
        <w:rPr>
          <w:rFonts w:ascii="宋体" w:hAnsi="宋体" w:cs="宋体"/>
          <w:szCs w:val="21"/>
        </w:rPr>
      </w:pPr>
      <w:r>
        <w:rPr>
          <w:rFonts w:hint="eastAsia" w:ascii="宋体" w:hAnsi="宋体" w:cs="宋体"/>
          <w:szCs w:val="21"/>
        </w:rPr>
        <w:t>名    称：永明项目管理有限公司</w:t>
      </w:r>
    </w:p>
    <w:p>
      <w:pPr>
        <w:spacing w:line="360" w:lineRule="auto"/>
        <w:ind w:firstLine="420" w:firstLineChars="200"/>
        <w:rPr>
          <w:rFonts w:ascii="宋体" w:hAnsi="宋体" w:cs="宋体"/>
          <w:szCs w:val="21"/>
        </w:rPr>
      </w:pPr>
      <w:r>
        <w:rPr>
          <w:rFonts w:hint="eastAsia" w:ascii="宋体" w:hAnsi="宋体" w:cs="宋体"/>
          <w:szCs w:val="21"/>
        </w:rPr>
        <w:t xml:space="preserve">地　  址：扬州市广陵区渡江南路112号（左岸商务广场）左岸商务广场-2-1201 </w:t>
      </w:r>
    </w:p>
    <w:p>
      <w:pPr>
        <w:spacing w:line="360" w:lineRule="auto"/>
        <w:ind w:firstLine="420" w:firstLineChars="200"/>
        <w:rPr>
          <w:rFonts w:ascii="宋体" w:hAnsi="宋体" w:cs="宋体"/>
          <w:szCs w:val="21"/>
        </w:rPr>
      </w:pPr>
      <w:r>
        <w:rPr>
          <w:rFonts w:hint="eastAsia" w:ascii="宋体" w:hAnsi="宋体" w:cs="宋体"/>
          <w:szCs w:val="21"/>
        </w:rPr>
        <w:t>联系方式：</w:t>
      </w:r>
      <w:r>
        <w:rPr>
          <w:rFonts w:ascii="宋体" w:hAnsi="宋体" w:cs="宋体"/>
          <w:szCs w:val="21"/>
        </w:rPr>
        <w:t>0514-87867830</w:t>
      </w:r>
      <w:r>
        <w:rPr>
          <w:rFonts w:hint="eastAsia" w:ascii="宋体" w:hAnsi="宋体" w:cs="宋体"/>
          <w:szCs w:val="21"/>
        </w:rPr>
        <w:t xml:space="preserve">      　　 </w:t>
      </w:r>
    </w:p>
    <w:p>
      <w:pPr>
        <w:spacing w:line="360" w:lineRule="auto"/>
        <w:ind w:firstLine="420" w:firstLineChars="200"/>
        <w:rPr>
          <w:rFonts w:ascii="宋体" w:hAnsi="宋体" w:cs="宋体"/>
          <w:szCs w:val="21"/>
        </w:rPr>
      </w:pPr>
      <w:bookmarkStart w:id="41" w:name="_Toc28359102"/>
      <w:bookmarkStart w:id="42" w:name="_Toc35393643"/>
      <w:bookmarkStart w:id="43" w:name="_Toc28359025"/>
      <w:bookmarkStart w:id="44" w:name="_Toc35393812"/>
      <w:r>
        <w:rPr>
          <w:rFonts w:hint="eastAsia" w:ascii="宋体" w:hAnsi="宋体" w:cs="宋体"/>
          <w:szCs w:val="21"/>
        </w:rPr>
        <w:t>3.项目联系方式</w:t>
      </w:r>
      <w:bookmarkEnd w:id="41"/>
      <w:bookmarkEnd w:id="42"/>
      <w:bookmarkEnd w:id="43"/>
      <w:bookmarkEnd w:id="44"/>
    </w:p>
    <w:p>
      <w:pPr>
        <w:spacing w:line="360" w:lineRule="auto"/>
        <w:ind w:firstLine="420" w:firstLineChars="200"/>
        <w:rPr>
          <w:rFonts w:ascii="宋体" w:hAnsi="宋体" w:cs="宋体"/>
          <w:sz w:val="36"/>
        </w:rPr>
      </w:pPr>
      <w:r>
        <w:rPr>
          <w:rFonts w:hint="eastAsia" w:ascii="宋体" w:hAnsi="宋体" w:cs="宋体"/>
          <w:szCs w:val="21"/>
        </w:rPr>
        <w:t>项目联系人：何工  电话：13270597005</w:t>
      </w:r>
    </w:p>
    <w:p>
      <w:pPr>
        <w:rPr>
          <w:rFonts w:ascii="宋体" w:hAnsi="宋体" w:cs="宋体"/>
          <w:sz w:val="36"/>
        </w:rPr>
      </w:pPr>
      <w:r>
        <w:rPr>
          <w:rFonts w:hint="eastAsia" w:ascii="宋体" w:hAnsi="宋体" w:cs="宋体"/>
          <w:sz w:val="36"/>
        </w:rPr>
        <w:br w:type="page"/>
      </w:r>
    </w:p>
    <w:bookmarkEnd w:id="11"/>
    <w:bookmarkEnd w:id="12"/>
    <w:bookmarkEnd w:id="13"/>
    <w:p>
      <w:pPr>
        <w:pStyle w:val="2"/>
        <w:spacing w:before="0" w:after="0" w:line="360" w:lineRule="auto"/>
        <w:jc w:val="center"/>
        <w:rPr>
          <w:rFonts w:ascii="宋体" w:hAnsi="宋体" w:cs="宋体"/>
          <w:color w:val="000000"/>
          <w:sz w:val="36"/>
          <w:highlight w:val="none"/>
        </w:rPr>
      </w:pPr>
      <w:bookmarkStart w:id="45" w:name="_Toc128131369"/>
      <w:bookmarkStart w:id="46" w:name="_Toc128562059"/>
      <w:bookmarkStart w:id="47" w:name="_Toc128562205"/>
      <w:bookmarkStart w:id="48" w:name="_Toc87196905"/>
      <w:bookmarkStart w:id="49" w:name="_Toc128562190"/>
      <w:bookmarkStart w:id="50" w:name="_Toc90652385"/>
      <w:bookmarkStart w:id="51" w:name="_Toc4199"/>
      <w:bookmarkStart w:id="52" w:name="_Toc513029214"/>
      <w:bookmarkStart w:id="53" w:name="_Toc16938530"/>
      <w:bookmarkStart w:id="54" w:name="_Toc20823286"/>
      <w:bookmarkStart w:id="55" w:name="_Toc462564073"/>
      <w:r>
        <w:rPr>
          <w:rFonts w:ascii="宋体" w:hAnsi="宋体" w:cs="宋体"/>
          <w:color w:val="000000"/>
          <w:sz w:val="36"/>
          <w:highlight w:val="none"/>
        </w:rPr>
        <w:t>第二章 磋商须知</w:t>
      </w:r>
      <w:bookmarkEnd w:id="45"/>
      <w:bookmarkEnd w:id="46"/>
      <w:bookmarkEnd w:id="47"/>
      <w:bookmarkEnd w:id="48"/>
      <w:bookmarkEnd w:id="49"/>
      <w:bookmarkEnd w:id="50"/>
      <w:bookmarkEnd w:id="51"/>
    </w:p>
    <w:p>
      <w:pPr>
        <w:spacing w:line="360" w:lineRule="auto"/>
        <w:jc w:val="center"/>
        <w:rPr>
          <w:rFonts w:ascii="宋体" w:hAnsi="宋体" w:cs="宋体"/>
          <w:b/>
          <w:color w:val="000000"/>
          <w:kern w:val="1"/>
          <w:szCs w:val="21"/>
          <w:highlight w:val="none"/>
        </w:rPr>
      </w:pPr>
      <w:bookmarkStart w:id="56" w:name="_Toc458694821"/>
      <w:bookmarkEnd w:id="56"/>
      <w:bookmarkStart w:id="57" w:name="_Toc513029204"/>
      <w:bookmarkEnd w:id="57"/>
      <w:bookmarkStart w:id="58" w:name="_Toc20823276"/>
      <w:bookmarkEnd w:id="58"/>
      <w:bookmarkStart w:id="59" w:name="_Toc16938520"/>
      <w:bookmarkEnd w:id="59"/>
      <w:r>
        <w:rPr>
          <w:rFonts w:ascii="宋体" w:hAnsi="宋体" w:cs="宋体"/>
          <w:color w:val="000000"/>
          <w:kern w:val="1"/>
          <w:szCs w:val="21"/>
          <w:highlight w:val="none"/>
        </w:rPr>
        <w:t>（参加竞争性磋商的供应商以下简称“磋商供应商”）</w:t>
      </w:r>
    </w:p>
    <w:p>
      <w:pPr>
        <w:spacing w:line="360" w:lineRule="auto"/>
        <w:ind w:firstLine="420"/>
        <w:rPr>
          <w:rFonts w:ascii="宋体" w:hAnsi="宋体" w:cs="宋体"/>
          <w:b/>
          <w:color w:val="000000"/>
          <w:kern w:val="1"/>
          <w:szCs w:val="21"/>
          <w:highlight w:val="none"/>
        </w:rPr>
      </w:pPr>
      <w:r>
        <w:rPr>
          <w:rFonts w:ascii="宋体" w:hAnsi="宋体" w:cs="宋体"/>
          <w:b/>
          <w:color w:val="000000"/>
          <w:kern w:val="1"/>
          <w:szCs w:val="21"/>
          <w:highlight w:val="none"/>
        </w:rPr>
        <w:t>一、总则</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1、适用范围</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本竞争性磋商文件（以下简称磋商文件）仅适用此项目。</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2、项目采购方式</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本次采购采取竞争性磋商的方式。</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3、合格的磋商供应商</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3.1满足本磋商文件“竞争性磋商采购邀请”中合格磋商供应商资格要求的规定。</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3.2 满足本磋商文件实质性要求和条件的规定。</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4、参加磋商费用</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4.1参加磋商供应商应自行承担所有与参加磋商有关的费用。不论最终的成交结果如何，</w:t>
      </w:r>
      <w:r>
        <w:rPr>
          <w:rFonts w:hint="eastAsia" w:ascii="宋体" w:hAnsi="宋体" w:cs="宋体"/>
          <w:color w:val="000000"/>
          <w:kern w:val="1"/>
          <w:szCs w:val="21"/>
          <w:highlight w:val="none"/>
        </w:rPr>
        <w:t>永明项目管理有限公司</w:t>
      </w:r>
      <w:r>
        <w:rPr>
          <w:rFonts w:ascii="宋体" w:hAnsi="宋体" w:cs="宋体"/>
          <w:color w:val="000000"/>
          <w:kern w:val="1"/>
          <w:szCs w:val="21"/>
          <w:highlight w:val="none"/>
        </w:rPr>
        <w:t>（以下简称代理机构）在任何情况下均无义务和责任承担这些费用。</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4.2</w:t>
      </w:r>
      <w:r>
        <w:rPr>
          <w:rFonts w:hint="eastAsia" w:ascii="宋体" w:hAnsi="宋体" w:cs="宋体"/>
          <w:color w:val="000000"/>
          <w:kern w:val="1"/>
          <w:szCs w:val="21"/>
          <w:highlight w:val="none"/>
        </w:rPr>
        <w:t>相关费用</w:t>
      </w:r>
    </w:p>
    <w:p>
      <w:pPr>
        <w:spacing w:line="360" w:lineRule="auto"/>
        <w:ind w:firstLine="422" w:firstLineChars="200"/>
        <w:jc w:val="left"/>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rPr>
        <w:t>本次采购由成交供应商在领取成交通知书前按发改价格[2011]534号文件标准的40%支付给招标代理机构代理服务费</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费用不足2000元时，按2000元计算</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rPr>
        <w:t>苏价服【2014】383号文件标准</w:t>
      </w:r>
      <w:r>
        <w:rPr>
          <w:rFonts w:hint="eastAsia" w:ascii="宋体" w:hAnsi="宋体" w:eastAsia="宋体" w:cs="宋体"/>
          <w:b/>
          <w:bCs/>
          <w:color w:val="auto"/>
          <w:szCs w:val="21"/>
          <w:lang w:val="en-US" w:eastAsia="zh-CN"/>
        </w:rPr>
        <w:t>的</w:t>
      </w:r>
      <w:r>
        <w:rPr>
          <w:rFonts w:hint="eastAsia" w:ascii="宋体" w:hAnsi="宋体" w:eastAsia="宋体" w:cs="宋体"/>
          <w:b/>
          <w:bCs/>
          <w:color w:val="000000"/>
          <w:szCs w:val="21"/>
          <w:highlight w:val="none"/>
        </w:rPr>
        <w:t>40%支付给招标代理机构</w:t>
      </w:r>
      <w:r>
        <w:rPr>
          <w:rFonts w:hint="eastAsia" w:ascii="宋体" w:hAnsi="宋体" w:eastAsia="宋体" w:cs="宋体"/>
          <w:b/>
          <w:bCs/>
          <w:color w:val="000000"/>
          <w:szCs w:val="21"/>
          <w:highlight w:val="none"/>
          <w:lang w:val="en-US" w:eastAsia="zh-CN"/>
        </w:rPr>
        <w:t>最高投标限价服务费</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费用不足2000元时，按2000元计算</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w:t>
      </w:r>
      <w:r>
        <w:rPr>
          <w:rFonts w:hint="eastAsia" w:ascii="宋体" w:hAnsi="宋体" w:eastAsia="宋体" w:cs="宋体"/>
          <w:b/>
          <w:bCs/>
          <w:highlight w:val="none"/>
        </w:rPr>
        <w:t>专家评审费</w:t>
      </w:r>
      <w:r>
        <w:rPr>
          <w:rFonts w:hint="eastAsia" w:ascii="宋体" w:hAnsi="宋体" w:eastAsia="宋体" w:cs="宋体"/>
          <w:b/>
          <w:bCs/>
          <w:highlight w:val="none"/>
          <w:lang w:val="en-US" w:eastAsia="zh-CN"/>
        </w:rPr>
        <w:t>由</w:t>
      </w:r>
      <w:r>
        <w:rPr>
          <w:rFonts w:hint="eastAsia" w:ascii="宋体" w:hAnsi="宋体" w:eastAsia="宋体" w:cs="宋体"/>
          <w:b/>
          <w:bCs/>
          <w:color w:val="000000"/>
          <w:szCs w:val="21"/>
          <w:highlight w:val="none"/>
        </w:rPr>
        <w:t>成交供应商</w:t>
      </w:r>
      <w:r>
        <w:rPr>
          <w:rFonts w:hint="eastAsia" w:ascii="宋体" w:hAnsi="宋体" w:eastAsia="宋体" w:cs="宋体"/>
          <w:b/>
          <w:bCs/>
          <w:color w:val="000000"/>
          <w:szCs w:val="21"/>
          <w:highlight w:val="none"/>
          <w:lang w:val="en-US" w:eastAsia="zh-CN"/>
        </w:rPr>
        <w:t>按时支付。</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5、磋商文件的约束力</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6、</w:t>
      </w:r>
      <w:bookmarkStart w:id="60" w:name="_Toc462564070"/>
      <w:bookmarkEnd w:id="60"/>
      <w:bookmarkStart w:id="61" w:name="_Toc513029211"/>
      <w:bookmarkEnd w:id="61"/>
      <w:bookmarkStart w:id="62" w:name="_Toc16938527"/>
      <w:bookmarkEnd w:id="62"/>
      <w:bookmarkStart w:id="63" w:name="_Toc20823283"/>
      <w:bookmarkEnd w:id="63"/>
      <w:r>
        <w:rPr>
          <w:rFonts w:ascii="宋体" w:hAnsi="宋体" w:cs="宋体"/>
          <w:color w:val="000000"/>
          <w:kern w:val="1"/>
          <w:szCs w:val="21"/>
          <w:highlight w:val="none"/>
        </w:rPr>
        <w:t>磋商文件的询问及修改</w:t>
      </w:r>
    </w:p>
    <w:p>
      <w:pPr>
        <w:spacing w:line="360" w:lineRule="auto"/>
        <w:ind w:firstLine="420"/>
        <w:rPr>
          <w:rFonts w:ascii="宋体" w:hAnsi="宋体" w:cs="宋体"/>
          <w:color w:val="000000"/>
          <w:kern w:val="1"/>
          <w:szCs w:val="21"/>
          <w:highlight w:val="none"/>
        </w:rPr>
      </w:pPr>
      <w:r>
        <w:rPr>
          <w:rFonts w:hint="eastAsia" w:ascii="宋体" w:hAnsi="宋体" w:cs="宋体"/>
          <w:color w:val="000000"/>
          <w:kern w:val="1"/>
          <w:szCs w:val="21"/>
          <w:highlight w:val="none"/>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000000"/>
          <w:kern w:val="1"/>
          <w:szCs w:val="21"/>
          <w:highlight w:val="none"/>
          <w:lang w:eastAsia="zh-CN"/>
        </w:rPr>
        <w:t>“扬州市城建国有资产控股（集团）有限责任公司网”</w:t>
      </w:r>
      <w:r>
        <w:rPr>
          <w:rFonts w:hint="eastAsia" w:ascii="宋体" w:hAnsi="宋体" w:cs="宋体"/>
          <w:color w:val="000000"/>
          <w:kern w:val="1"/>
          <w:szCs w:val="21"/>
          <w:highlight w:val="none"/>
        </w:rPr>
        <w:t>上发布更正公告通知所有获取磋商文件的供应商。不足5日的，代理机构应当顺延提交首次响应文件截止时间。</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7、磋商文件的解释</w:t>
      </w:r>
    </w:p>
    <w:p>
      <w:pPr>
        <w:spacing w:line="360" w:lineRule="auto"/>
        <w:ind w:firstLine="420"/>
        <w:rPr>
          <w:rFonts w:ascii="宋体" w:hAnsi="宋体" w:cs="宋体"/>
          <w:color w:val="000000"/>
          <w:kern w:val="1"/>
          <w:szCs w:val="21"/>
          <w:highlight w:val="none"/>
        </w:rPr>
      </w:pPr>
      <w:r>
        <w:rPr>
          <w:rFonts w:ascii="宋体" w:hAnsi="宋体" w:cs="宋体"/>
          <w:color w:val="000000"/>
          <w:kern w:val="1"/>
          <w:szCs w:val="21"/>
          <w:highlight w:val="none"/>
        </w:rPr>
        <w:t>7.1 本磋商文件由代理机构负责解释，项目需求部分由采购人负责解释。</w:t>
      </w:r>
    </w:p>
    <w:bookmarkEnd w:id="52"/>
    <w:bookmarkEnd w:id="53"/>
    <w:bookmarkEnd w:id="54"/>
    <w:bookmarkEnd w:id="55"/>
    <w:p>
      <w:pPr>
        <w:tabs>
          <w:tab w:val="left" w:pos="900"/>
        </w:tabs>
        <w:spacing w:line="360" w:lineRule="auto"/>
        <w:outlineLvl w:val="2"/>
        <w:rPr>
          <w:rFonts w:hint="eastAsia" w:ascii="宋体" w:hAnsi="宋体" w:eastAsia="宋体" w:cs="宋体"/>
          <w:b/>
          <w:bCs/>
          <w:sz w:val="21"/>
          <w:szCs w:val="21"/>
        </w:rPr>
      </w:pPr>
      <w:bookmarkStart w:id="64" w:name="_Toc462564074"/>
      <w:bookmarkStart w:id="65" w:name="_Toc61149555"/>
      <w:bookmarkStart w:id="66" w:name="_Toc513029215"/>
      <w:bookmarkStart w:id="67" w:name="_Toc14577353"/>
      <w:bookmarkStart w:id="68" w:name="_Toc14577352"/>
      <w:bookmarkStart w:id="69" w:name="_Toc61149554"/>
      <w:bookmarkStart w:id="70" w:name="_Toc513029237"/>
      <w:bookmarkStart w:id="71" w:name="_Toc16938553"/>
      <w:bookmarkStart w:id="72" w:name="_Toc20823309"/>
      <w:r>
        <w:rPr>
          <w:rFonts w:hint="eastAsia" w:ascii="宋体" w:hAnsi="宋体" w:eastAsia="宋体" w:cs="宋体"/>
          <w:b/>
          <w:bCs/>
          <w:sz w:val="21"/>
          <w:szCs w:val="21"/>
        </w:rPr>
        <w:t>二、磋商响应文件的编制及保证金收取</w:t>
      </w:r>
    </w:p>
    <w:p>
      <w:pPr>
        <w:tabs>
          <w:tab w:val="left" w:pos="900"/>
        </w:tabs>
        <w:spacing w:line="360" w:lineRule="auto"/>
        <w:ind w:firstLine="420" w:firstLineChars="200"/>
        <w:outlineLvl w:val="2"/>
        <w:rPr>
          <w:rFonts w:hint="eastAsia" w:ascii="宋体" w:hAnsi="宋体" w:eastAsia="宋体" w:cs="宋体"/>
          <w:sz w:val="21"/>
          <w:szCs w:val="21"/>
        </w:rPr>
      </w:pPr>
      <w:r>
        <w:rPr>
          <w:rFonts w:hint="eastAsia" w:ascii="宋体" w:hAnsi="宋体" w:eastAsia="宋体" w:cs="宋体"/>
          <w:sz w:val="21"/>
          <w:szCs w:val="21"/>
        </w:rPr>
        <w:t>1、磋商响应文件份数和签署</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1.1磋商供应商应严格按照采购邀请要求的份数准备响应文件，磋商供应商应将响应文件正本和所有副本用单独的封袋密封，封袋上标明“正本”或“副本”字样，并且每份响应文件须清楚地标明“正本”或“副本”字样。一旦正本和副本不符，以正本为准。</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1.2密封的响应文件：</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（1）按采购邀请中注明的地址送达规定地点；</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（2）注明参加磋商项目名称、磋商文件编号及参加的分包号（如有）；</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（3）密封包装上应写明磋商供应商名称和地址。</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1.3如果密封包装未按要求密封和加写标记，代理机构对误投或过早启封概不负责。对由此造成提前开封的响应文件，代理机构将予以拒绝，作无效响应处理。</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1.4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1.5 除磋商供应商对错处做必要修改外，响应文件不得行间插字、涂改或增删。如有修改错漏处，必须由响应文件签署人签字或盖章。</w:t>
      </w:r>
    </w:p>
    <w:p>
      <w:pPr>
        <w:tabs>
          <w:tab w:val="left" w:pos="900"/>
        </w:tabs>
        <w:spacing w:line="360" w:lineRule="auto"/>
        <w:ind w:firstLine="422" w:firstLineChars="200"/>
        <w:outlineLvl w:val="2"/>
        <w:rPr>
          <w:rFonts w:ascii="宋体" w:hAnsi="宋体" w:eastAsia="宋体" w:cs="宋体"/>
          <w:b/>
          <w:bCs/>
          <w:sz w:val="21"/>
          <w:szCs w:val="21"/>
        </w:rPr>
      </w:pPr>
      <w:r>
        <w:rPr>
          <w:rFonts w:hint="eastAsia" w:ascii="宋体" w:hAnsi="宋体" w:eastAsia="宋体" w:cs="宋体"/>
          <w:b/>
          <w:bCs/>
          <w:sz w:val="21"/>
          <w:szCs w:val="21"/>
        </w:rPr>
        <w:t>2、响应文件</w:t>
      </w:r>
      <w:bookmarkEnd w:id="64"/>
      <w:bookmarkEnd w:id="65"/>
      <w:bookmarkEnd w:id="66"/>
      <w:bookmarkEnd w:id="67"/>
      <w:r>
        <w:rPr>
          <w:rFonts w:hint="eastAsia" w:ascii="宋体" w:hAnsi="宋体" w:eastAsia="宋体" w:cs="宋体"/>
          <w:b/>
          <w:bCs/>
          <w:sz w:val="21"/>
          <w:szCs w:val="21"/>
        </w:rPr>
        <w:t>编制要求</w:t>
      </w:r>
    </w:p>
    <w:bookmarkEnd w:id="68"/>
    <w:bookmarkEnd w:id="69"/>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2.1磋商供应商提交的响应文件以及磋商供应商与代理机构及采购人就有关磋商的所有来往函电均应使用简体中文。磋商文件中既有中文也有外文的，以中文意义为准。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2.2 除技术性能另有规定外，响应文件所使用的度量衡单位，均须采用国家法定计量单位。</w:t>
      </w:r>
    </w:p>
    <w:p>
      <w:pPr>
        <w:tabs>
          <w:tab w:val="left" w:pos="900"/>
        </w:tabs>
        <w:spacing w:line="360" w:lineRule="auto"/>
        <w:ind w:firstLine="422" w:firstLineChars="200"/>
        <w:outlineLvl w:val="2"/>
        <w:rPr>
          <w:rFonts w:ascii="宋体" w:hAnsi="宋体" w:eastAsia="宋体" w:cs="宋体"/>
          <w:b/>
          <w:bCs/>
          <w:sz w:val="21"/>
          <w:szCs w:val="21"/>
        </w:rPr>
      </w:pPr>
      <w:bookmarkStart w:id="73" w:name="_Hlt26954836"/>
      <w:bookmarkEnd w:id="73"/>
      <w:bookmarkStart w:id="74" w:name="_Hlt26670357"/>
      <w:bookmarkEnd w:id="74"/>
      <w:bookmarkStart w:id="75" w:name="_Toc513029219"/>
      <w:bookmarkStart w:id="76" w:name="_Toc61149558"/>
      <w:bookmarkStart w:id="77" w:name="_Toc14577357"/>
      <w:bookmarkStart w:id="78" w:name="_Toc14577355"/>
      <w:bookmarkStart w:id="79" w:name="_Toc513029217"/>
      <w:bookmarkStart w:id="80" w:name="_Toc61149557"/>
      <w:r>
        <w:rPr>
          <w:rFonts w:hint="eastAsia" w:ascii="宋体" w:hAnsi="宋体" w:eastAsia="宋体" w:cs="宋体"/>
          <w:b/>
          <w:bCs/>
          <w:sz w:val="21"/>
          <w:szCs w:val="21"/>
        </w:rPr>
        <w:t>3、参加磋商供应商资格的文件</w:t>
      </w:r>
      <w:bookmarkEnd w:id="75"/>
      <w:bookmarkEnd w:id="76"/>
      <w:bookmarkEnd w:id="77"/>
      <w:r>
        <w:rPr>
          <w:rFonts w:hint="eastAsia" w:ascii="宋体" w:hAnsi="宋体" w:eastAsia="宋体" w:cs="宋体"/>
          <w:b/>
          <w:bCs/>
          <w:sz w:val="21"/>
          <w:szCs w:val="21"/>
        </w:rPr>
        <w:t>证明</w:t>
      </w:r>
    </w:p>
    <w:p>
      <w:pPr>
        <w:tabs>
          <w:tab w:val="left" w:pos="900"/>
        </w:tabs>
        <w:spacing w:line="360" w:lineRule="auto"/>
        <w:ind w:firstLine="420" w:firstLineChars="200"/>
        <w:rPr>
          <w:rFonts w:ascii="宋体" w:hAnsi="宋体" w:eastAsia="宋体" w:cs="宋体"/>
          <w:sz w:val="21"/>
          <w:szCs w:val="21"/>
        </w:rPr>
      </w:pPr>
      <w:bookmarkStart w:id="81" w:name="_Hlt26668999"/>
      <w:bookmarkEnd w:id="81"/>
      <w:r>
        <w:rPr>
          <w:rFonts w:hint="eastAsia" w:ascii="宋体" w:hAnsi="宋体" w:eastAsia="宋体" w:cs="宋体"/>
          <w:sz w:val="21"/>
          <w:szCs w:val="21"/>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3.3磋商供应商应填写并提交磋商文件所附的“资格证</w:t>
      </w:r>
      <w:bookmarkStart w:id="174" w:name="_GoBack"/>
      <w:bookmarkEnd w:id="174"/>
      <w:r>
        <w:rPr>
          <w:rFonts w:hint="eastAsia" w:ascii="宋体" w:hAnsi="宋体" w:eastAsia="宋体" w:cs="宋体"/>
          <w:sz w:val="21"/>
          <w:szCs w:val="21"/>
        </w:rPr>
        <w:t>明文件”。</w:t>
      </w:r>
    </w:p>
    <w:p>
      <w:pPr>
        <w:tabs>
          <w:tab w:val="left" w:pos="900"/>
        </w:tabs>
        <w:spacing w:line="360" w:lineRule="auto"/>
        <w:ind w:firstLine="422" w:firstLineChars="200"/>
        <w:outlineLvl w:val="2"/>
        <w:rPr>
          <w:rFonts w:ascii="宋体" w:hAnsi="宋体" w:eastAsia="宋体" w:cs="宋体"/>
          <w:b/>
          <w:bCs/>
          <w:sz w:val="21"/>
          <w:szCs w:val="21"/>
        </w:rPr>
      </w:pPr>
      <w:r>
        <w:rPr>
          <w:rFonts w:hint="eastAsia" w:ascii="宋体" w:hAnsi="宋体" w:eastAsia="宋体" w:cs="宋体"/>
          <w:b/>
          <w:bCs/>
          <w:sz w:val="21"/>
          <w:szCs w:val="21"/>
        </w:rPr>
        <w:t>4、磋商响应报价</w:t>
      </w:r>
      <w:bookmarkEnd w:id="78"/>
      <w:bookmarkEnd w:id="79"/>
      <w:bookmarkStart w:id="82" w:name="_Hlt26670373"/>
      <w:bookmarkEnd w:id="82"/>
      <w:r>
        <w:rPr>
          <w:rFonts w:hint="eastAsia" w:ascii="宋体" w:hAnsi="宋体" w:eastAsia="宋体" w:cs="宋体"/>
          <w:b/>
          <w:bCs/>
          <w:sz w:val="21"/>
          <w:szCs w:val="21"/>
        </w:rPr>
        <w:t>表</w:t>
      </w:r>
      <w:bookmarkEnd w:id="80"/>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color w:val="000000"/>
          <w:sz w:val="21"/>
          <w:szCs w:val="21"/>
        </w:rPr>
        <w:t>磋商供应商应按照磋商文件规定格式填报磋商响应报价表。每项产品或服务只允许有一个报价，任何有选择的报价将不予接受，磋商文件中</w:t>
      </w:r>
      <w:r>
        <w:rPr>
          <w:rFonts w:hint="eastAsia" w:ascii="宋体" w:hAnsi="宋体" w:eastAsia="宋体" w:cs="宋体"/>
          <w:sz w:val="21"/>
          <w:szCs w:val="21"/>
        </w:rPr>
        <w:t>另有规定的按规定执行。</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4.2标的物</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详见项目需求。</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4.3有关费用处理</w:t>
      </w:r>
    </w:p>
    <w:p>
      <w:pPr>
        <w:tabs>
          <w:tab w:val="left" w:pos="900"/>
        </w:tabs>
        <w:spacing w:line="360" w:lineRule="auto"/>
        <w:ind w:firstLine="420" w:firstLineChars="200"/>
        <w:rPr>
          <w:rFonts w:ascii="宋体" w:hAnsi="宋体" w:eastAsia="宋体" w:cs="宋体"/>
          <w:color w:val="FF0000"/>
          <w:sz w:val="21"/>
          <w:szCs w:val="21"/>
        </w:rPr>
      </w:pPr>
      <w:r>
        <w:rPr>
          <w:rFonts w:hint="eastAsia" w:ascii="宋体" w:hAnsi="宋体" w:eastAsia="宋体" w:cs="宋体"/>
          <w:sz w:val="21"/>
          <w:szCs w:val="21"/>
        </w:rPr>
        <w:t>本次采购磋商供应商的总报价应包括为完成本项目发生的所有费用，本磋商文件中另有规定的除外。</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4.4其它费用处理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磋商文件未列明，而磋商供应商认为必须的费用也须列入报价。</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4.5报价采用的货币</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4.6 磋商响应报价表上的价格应按磋商文件规定填写。</w:t>
      </w:r>
    </w:p>
    <w:p>
      <w:pPr>
        <w:tabs>
          <w:tab w:val="left" w:pos="900"/>
        </w:tabs>
        <w:spacing w:line="360" w:lineRule="auto"/>
        <w:ind w:firstLine="422" w:firstLineChars="200"/>
        <w:outlineLvl w:val="2"/>
        <w:rPr>
          <w:rFonts w:ascii="宋体" w:hAnsi="宋体" w:eastAsia="宋体" w:cs="宋体"/>
          <w:b/>
          <w:bCs/>
          <w:sz w:val="21"/>
          <w:szCs w:val="21"/>
        </w:rPr>
      </w:pPr>
      <w:bookmarkStart w:id="83" w:name="_Hlt26670425"/>
      <w:bookmarkEnd w:id="83"/>
      <w:bookmarkStart w:id="84" w:name="_Hlt26670482"/>
      <w:bookmarkEnd w:id="84"/>
      <w:bookmarkStart w:id="85" w:name="_Hlt26954844"/>
      <w:bookmarkEnd w:id="85"/>
      <w:bookmarkStart w:id="86" w:name="_Hlt26954731"/>
      <w:bookmarkEnd w:id="86"/>
      <w:bookmarkStart w:id="87" w:name="_Hlt26670403"/>
      <w:bookmarkEnd w:id="87"/>
      <w:bookmarkStart w:id="88" w:name="_Hlt26954842"/>
      <w:bookmarkEnd w:id="88"/>
      <w:bookmarkStart w:id="89" w:name="_Hlt26954848"/>
      <w:bookmarkEnd w:id="89"/>
      <w:bookmarkStart w:id="90" w:name="_Hlt26954846"/>
      <w:bookmarkEnd w:id="90"/>
      <w:bookmarkStart w:id="91" w:name="_Hlt26668983"/>
      <w:bookmarkEnd w:id="91"/>
      <w:bookmarkStart w:id="92" w:name="_Hlt26670486"/>
      <w:bookmarkEnd w:id="92"/>
      <w:bookmarkStart w:id="93" w:name="_Toc61149559"/>
      <w:bookmarkStart w:id="94" w:name="_Toc14577359"/>
      <w:bookmarkStart w:id="95" w:name="_Toc513029221"/>
      <w:r>
        <w:rPr>
          <w:rFonts w:hint="eastAsia" w:ascii="宋体" w:hAnsi="宋体" w:eastAsia="宋体" w:cs="宋体"/>
          <w:b/>
          <w:bCs/>
          <w:sz w:val="21"/>
          <w:szCs w:val="21"/>
        </w:rPr>
        <w:t>5、项目需求响应方案</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5.1提供为完成本项目的总体实施方案。</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5.2对磋商文件中项目需求的技术与商务条款要求逐项作出应答，并提供依据或说明。</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5.3磋商供应商认为需要的其他技术文件或说明。</w:t>
      </w:r>
    </w:p>
    <w:p>
      <w:pPr>
        <w:tabs>
          <w:tab w:val="left" w:pos="900"/>
        </w:tabs>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6、磋商保证金</w:t>
      </w:r>
    </w:p>
    <w:p>
      <w:pPr>
        <w:tabs>
          <w:tab w:val="left" w:pos="9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根据江苏省财政厅文件苏财购〔2020〕52号《关于做好政府采购支持企业发展有关事项的通知》，本项目免收保证金。</w:t>
      </w:r>
    </w:p>
    <w:bookmarkEnd w:id="93"/>
    <w:bookmarkEnd w:id="94"/>
    <w:bookmarkEnd w:id="95"/>
    <w:p>
      <w:pPr>
        <w:tabs>
          <w:tab w:val="left" w:pos="900"/>
        </w:tabs>
        <w:spacing w:line="360" w:lineRule="auto"/>
        <w:outlineLvl w:val="1"/>
        <w:rPr>
          <w:rFonts w:ascii="宋体" w:hAnsi="宋体" w:eastAsia="宋体" w:cs="宋体"/>
          <w:b/>
          <w:sz w:val="21"/>
          <w:szCs w:val="21"/>
        </w:rPr>
      </w:pPr>
      <w:bookmarkStart w:id="96" w:name="_Hlt26670489"/>
      <w:bookmarkEnd w:id="96"/>
      <w:bookmarkStart w:id="97" w:name="_Hlt26954854"/>
      <w:bookmarkEnd w:id="97"/>
      <w:bookmarkStart w:id="98" w:name="_Hlt26954850"/>
      <w:bookmarkEnd w:id="98"/>
      <w:bookmarkStart w:id="99" w:name="_Hlt26954734"/>
      <w:bookmarkEnd w:id="99"/>
      <w:bookmarkStart w:id="100" w:name="_Hlt26954749"/>
      <w:bookmarkEnd w:id="100"/>
      <w:bookmarkStart w:id="101" w:name="_Hlt26954739"/>
      <w:bookmarkEnd w:id="101"/>
      <w:bookmarkStart w:id="102" w:name="_Hlt26954852"/>
      <w:bookmarkEnd w:id="102"/>
      <w:bookmarkStart w:id="103" w:name="_Hlt26670493"/>
      <w:bookmarkEnd w:id="103"/>
      <w:bookmarkStart w:id="104" w:name="_Toc14577362"/>
      <w:bookmarkStart w:id="105" w:name="_Toc513029224"/>
      <w:bookmarkStart w:id="106" w:name="_Toc61149562"/>
      <w:r>
        <w:rPr>
          <w:rFonts w:hint="eastAsia" w:ascii="宋体" w:hAnsi="宋体" w:eastAsia="宋体" w:cs="宋体"/>
          <w:b/>
          <w:sz w:val="21"/>
          <w:szCs w:val="21"/>
        </w:rPr>
        <w:t>三、响应文件的递交</w:t>
      </w:r>
      <w:bookmarkEnd w:id="104"/>
      <w:bookmarkEnd w:id="105"/>
      <w:bookmarkEnd w:id="106"/>
    </w:p>
    <w:p>
      <w:pPr>
        <w:tabs>
          <w:tab w:val="left" w:pos="900"/>
        </w:tabs>
        <w:spacing w:line="360" w:lineRule="auto"/>
        <w:ind w:firstLine="422" w:firstLineChars="200"/>
        <w:outlineLvl w:val="2"/>
        <w:rPr>
          <w:rFonts w:ascii="宋体" w:hAnsi="宋体" w:eastAsia="宋体" w:cs="宋体"/>
          <w:b/>
          <w:bCs/>
          <w:sz w:val="21"/>
          <w:szCs w:val="21"/>
        </w:rPr>
      </w:pPr>
      <w:bookmarkStart w:id="107" w:name="_Hlt26954856"/>
      <w:bookmarkEnd w:id="107"/>
      <w:bookmarkStart w:id="108" w:name="_Toc513029225"/>
      <w:bookmarkStart w:id="109" w:name="_Toc14577363"/>
      <w:bookmarkStart w:id="110" w:name="_Toc462564084"/>
      <w:bookmarkStart w:id="111" w:name="_Toc61149563"/>
      <w:r>
        <w:rPr>
          <w:rFonts w:hint="eastAsia" w:ascii="宋体" w:hAnsi="宋体" w:eastAsia="宋体" w:cs="宋体"/>
          <w:b/>
          <w:bCs/>
          <w:sz w:val="21"/>
          <w:szCs w:val="21"/>
        </w:rPr>
        <w:t>1、响应文件</w:t>
      </w:r>
      <w:bookmarkStart w:id="112" w:name="_Hlt26954743"/>
      <w:bookmarkEnd w:id="112"/>
      <w:r>
        <w:rPr>
          <w:rFonts w:hint="eastAsia" w:ascii="宋体" w:hAnsi="宋体" w:eastAsia="宋体" w:cs="宋体"/>
          <w:b/>
          <w:bCs/>
          <w:sz w:val="21"/>
          <w:szCs w:val="21"/>
        </w:rPr>
        <w:t>的密封和标记</w:t>
      </w:r>
      <w:bookmarkEnd w:id="108"/>
      <w:bookmarkEnd w:id="109"/>
      <w:bookmarkEnd w:id="110"/>
      <w:bookmarkEnd w:id="111"/>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1.2密封的响应文件应：</w:t>
      </w:r>
    </w:p>
    <w:p>
      <w:pPr>
        <w:tabs>
          <w:tab w:val="left" w:pos="900"/>
        </w:tabs>
        <w:spacing w:line="360" w:lineRule="auto"/>
        <w:ind w:firstLine="420" w:firstLineChars="200"/>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（1）按采购邀请中注明的地址送达规定地点；</w:t>
      </w:r>
    </w:p>
    <w:p>
      <w:pPr>
        <w:tabs>
          <w:tab w:val="left" w:pos="900"/>
        </w:tabs>
        <w:spacing w:line="360" w:lineRule="auto"/>
        <w:ind w:firstLine="420" w:firstLineChars="200"/>
        <w:rPr>
          <w:rFonts w:hint="eastAsia" w:ascii="宋体" w:hAnsi="宋体" w:eastAsia="宋体" w:cs="宋体"/>
          <w:b/>
          <w:bCs/>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（2）注明参加磋商项目名称、磋商文件编号及参加的分包号；</w:t>
      </w:r>
    </w:p>
    <w:p>
      <w:pPr>
        <w:tabs>
          <w:tab w:val="left" w:pos="900"/>
        </w:tabs>
        <w:spacing w:line="360" w:lineRule="auto"/>
        <w:ind w:firstLine="420" w:firstLineChars="200"/>
        <w:rPr>
          <w:rFonts w:ascii="宋体" w:hAnsi="宋体" w:eastAsia="宋体" w:cs="宋体"/>
          <w:color w:val="FF0000"/>
          <w:sz w:val="21"/>
          <w:szCs w:val="21"/>
          <w:highlight w:val="none"/>
          <w:shd w:val="clear" w:color="auto" w:fill="auto"/>
        </w:rPr>
      </w:pPr>
      <w:r>
        <w:rPr>
          <w:rFonts w:hint="eastAsia" w:ascii="宋体" w:hAnsi="宋体" w:eastAsia="宋体" w:cs="宋体"/>
          <w:color w:val="auto"/>
          <w:sz w:val="21"/>
          <w:szCs w:val="21"/>
          <w:highlight w:val="none"/>
          <w:shd w:val="clear" w:color="auto" w:fill="auto"/>
        </w:rPr>
        <w:t>（3）密封包装上应写明磋商供应商名称和地址。</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1.3如果密封包装未按要求密封和加写标记，代理机构对误投或过早启封概不负责。对由此造成提前开封的响应文件，代理机构将予以拒绝，作无效响应处理。</w:t>
      </w:r>
    </w:p>
    <w:p>
      <w:pPr>
        <w:tabs>
          <w:tab w:val="left" w:pos="900"/>
        </w:tabs>
        <w:spacing w:line="360" w:lineRule="auto"/>
        <w:ind w:firstLine="422" w:firstLineChars="200"/>
        <w:outlineLvl w:val="2"/>
        <w:rPr>
          <w:rFonts w:ascii="宋体" w:hAnsi="宋体" w:eastAsia="宋体" w:cs="宋体"/>
          <w:b/>
          <w:bCs/>
          <w:sz w:val="21"/>
          <w:szCs w:val="21"/>
        </w:rPr>
      </w:pPr>
      <w:bookmarkStart w:id="113" w:name="_Hlt26954752"/>
      <w:bookmarkEnd w:id="113"/>
      <w:bookmarkStart w:id="114" w:name="_Hlt26954858"/>
      <w:bookmarkEnd w:id="114"/>
      <w:bookmarkStart w:id="115" w:name="_Hlt26670496"/>
      <w:bookmarkEnd w:id="115"/>
      <w:bookmarkStart w:id="116" w:name="_Toc513029226"/>
      <w:bookmarkStart w:id="117" w:name="_Toc14577364"/>
      <w:bookmarkStart w:id="118" w:name="_Toc61149564"/>
      <w:r>
        <w:rPr>
          <w:rFonts w:hint="eastAsia" w:ascii="宋体" w:hAnsi="宋体" w:eastAsia="宋体" w:cs="宋体"/>
          <w:b/>
          <w:bCs/>
          <w:sz w:val="21"/>
          <w:szCs w:val="21"/>
        </w:rPr>
        <w:t>2、</w:t>
      </w:r>
      <w:bookmarkEnd w:id="116"/>
      <w:bookmarkEnd w:id="117"/>
      <w:bookmarkEnd w:id="118"/>
      <w:r>
        <w:rPr>
          <w:rFonts w:hint="eastAsia" w:ascii="宋体" w:hAnsi="宋体" w:eastAsia="宋体" w:cs="宋体"/>
          <w:b/>
          <w:bCs/>
          <w:sz w:val="21"/>
          <w:szCs w:val="21"/>
        </w:rPr>
        <w:t>响应文件开启时间</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2.1代理机构收到响应文件的时间不得迟于本磋商文件规定的响应文件接收截止时间。</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color w:val="000000"/>
          <w:sz w:val="21"/>
          <w:szCs w:val="21"/>
        </w:rPr>
        <w:t>2.2代理机构有权通过修改磋商文件推迟响应文件接收截止时间，</w:t>
      </w:r>
      <w:r>
        <w:rPr>
          <w:rFonts w:hint="eastAsia" w:ascii="宋体" w:hAnsi="宋体" w:eastAsia="宋体" w:cs="宋体"/>
          <w:sz w:val="21"/>
          <w:szCs w:val="21"/>
        </w:rPr>
        <w:t>在此情况下，磋商供应商的所有权利和义务以及受制的响应文件接收截止时间均应以延长后新的响应文件接收截止时间为准。</w:t>
      </w:r>
    </w:p>
    <w:p>
      <w:pPr>
        <w:tabs>
          <w:tab w:val="left" w:pos="900"/>
        </w:tabs>
        <w:spacing w:line="360" w:lineRule="auto"/>
        <w:ind w:firstLine="422" w:firstLineChars="200"/>
        <w:outlineLvl w:val="2"/>
        <w:rPr>
          <w:rFonts w:ascii="宋体" w:hAnsi="宋体" w:eastAsia="宋体" w:cs="宋体"/>
          <w:b/>
          <w:bCs/>
          <w:sz w:val="21"/>
          <w:szCs w:val="21"/>
        </w:rPr>
      </w:pPr>
      <w:bookmarkStart w:id="119" w:name="_Hlt26954860"/>
      <w:bookmarkEnd w:id="119"/>
      <w:bookmarkStart w:id="120" w:name="_Toc14577365"/>
      <w:bookmarkStart w:id="121" w:name="_Toc61149565"/>
      <w:bookmarkStart w:id="122" w:name="_Toc513029227"/>
      <w:r>
        <w:rPr>
          <w:rFonts w:hint="eastAsia" w:ascii="宋体" w:hAnsi="宋体" w:eastAsia="宋体" w:cs="宋体"/>
          <w:b/>
          <w:bCs/>
          <w:sz w:val="21"/>
          <w:szCs w:val="21"/>
        </w:rPr>
        <w:t>3、迟交的响应文件</w:t>
      </w:r>
      <w:bookmarkEnd w:id="120"/>
      <w:bookmarkEnd w:id="121"/>
      <w:bookmarkEnd w:id="122"/>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3.1代理机构将拒绝在规定的响应文件接收截止时间后接收任何响应文件。</w:t>
      </w:r>
    </w:p>
    <w:p>
      <w:pPr>
        <w:tabs>
          <w:tab w:val="left" w:pos="900"/>
        </w:tabs>
        <w:spacing w:line="360" w:lineRule="auto"/>
        <w:ind w:firstLine="422" w:firstLineChars="200"/>
        <w:outlineLvl w:val="2"/>
        <w:rPr>
          <w:rFonts w:ascii="宋体" w:hAnsi="宋体" w:eastAsia="宋体" w:cs="宋体"/>
          <w:b/>
          <w:bCs/>
          <w:sz w:val="21"/>
          <w:szCs w:val="21"/>
        </w:rPr>
      </w:pPr>
      <w:bookmarkStart w:id="123" w:name="_Hlt26954862"/>
      <w:bookmarkEnd w:id="123"/>
      <w:bookmarkStart w:id="124" w:name="_Hlt26954754"/>
      <w:bookmarkEnd w:id="124"/>
      <w:bookmarkStart w:id="125" w:name="_Toc513029228"/>
      <w:bookmarkStart w:id="126" w:name="_Toc61149566"/>
      <w:bookmarkStart w:id="127" w:name="_Toc14577366"/>
      <w:r>
        <w:rPr>
          <w:rFonts w:hint="eastAsia" w:ascii="宋体" w:hAnsi="宋体" w:eastAsia="宋体" w:cs="宋体"/>
          <w:b/>
          <w:bCs/>
          <w:sz w:val="21"/>
          <w:szCs w:val="21"/>
        </w:rPr>
        <w:t>4、响应文件</w:t>
      </w:r>
      <w:bookmarkStart w:id="128" w:name="_Hlt26670588"/>
      <w:r>
        <w:rPr>
          <w:rFonts w:hint="eastAsia" w:ascii="宋体" w:hAnsi="宋体" w:eastAsia="宋体" w:cs="宋体"/>
          <w:b/>
          <w:bCs/>
          <w:sz w:val="21"/>
          <w:szCs w:val="21"/>
        </w:rPr>
        <w:t>的修改</w:t>
      </w:r>
      <w:bookmarkEnd w:id="128"/>
      <w:r>
        <w:rPr>
          <w:rFonts w:hint="eastAsia" w:ascii="宋体" w:hAnsi="宋体" w:eastAsia="宋体" w:cs="宋体"/>
          <w:b/>
          <w:bCs/>
          <w:sz w:val="21"/>
          <w:szCs w:val="21"/>
        </w:rPr>
        <w:t>和撤回</w:t>
      </w:r>
      <w:bookmarkEnd w:id="125"/>
      <w:bookmarkEnd w:id="126"/>
      <w:bookmarkEnd w:id="127"/>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4.3 磋商供应商在提交最后报价之前，可以根据磋商情况退出磋商。</w:t>
      </w:r>
    </w:p>
    <w:p>
      <w:pPr>
        <w:tabs>
          <w:tab w:val="left" w:pos="900"/>
        </w:tabs>
        <w:spacing w:line="360" w:lineRule="auto"/>
        <w:ind w:firstLine="422" w:firstLineChars="200"/>
        <w:outlineLvl w:val="2"/>
        <w:rPr>
          <w:rFonts w:ascii="宋体" w:hAnsi="宋体" w:eastAsia="宋体" w:cs="宋体"/>
          <w:b/>
          <w:bCs/>
          <w:sz w:val="21"/>
          <w:szCs w:val="21"/>
        </w:rPr>
      </w:pPr>
      <w:r>
        <w:rPr>
          <w:rFonts w:hint="eastAsia" w:ascii="宋体" w:hAnsi="宋体" w:eastAsia="宋体" w:cs="宋体"/>
          <w:b/>
          <w:bCs/>
          <w:sz w:val="21"/>
          <w:szCs w:val="21"/>
        </w:rPr>
        <w:t>5、磋商响应有效期</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5.1 磋商响应有效期为代理机构规定的响应文件接收截止时间后六十（60）天。磋商响应有效期比规定短的将被视为非实质性响应性而予以拒绝。</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pPr>
        <w:tabs>
          <w:tab w:val="left" w:pos="900"/>
        </w:tabs>
        <w:spacing w:line="360" w:lineRule="auto"/>
        <w:outlineLvl w:val="1"/>
        <w:rPr>
          <w:rFonts w:ascii="宋体" w:hAnsi="宋体" w:eastAsia="宋体" w:cs="宋体"/>
          <w:b/>
          <w:sz w:val="21"/>
          <w:szCs w:val="21"/>
        </w:rPr>
      </w:pPr>
      <w:bookmarkStart w:id="129" w:name="_Hlt26670523"/>
      <w:bookmarkEnd w:id="129"/>
      <w:bookmarkStart w:id="130" w:name="_Hlt26954864"/>
      <w:bookmarkEnd w:id="130"/>
      <w:r>
        <w:rPr>
          <w:rFonts w:hint="eastAsia" w:ascii="宋体" w:hAnsi="宋体" w:eastAsia="宋体" w:cs="宋体"/>
          <w:b/>
          <w:sz w:val="21"/>
          <w:szCs w:val="21"/>
        </w:rPr>
        <w:t>四、磋商与评审</w:t>
      </w:r>
    </w:p>
    <w:p>
      <w:pPr>
        <w:tabs>
          <w:tab w:val="left" w:pos="900"/>
        </w:tabs>
        <w:spacing w:line="360" w:lineRule="auto"/>
        <w:ind w:firstLine="422" w:firstLineChars="200"/>
        <w:rPr>
          <w:rFonts w:ascii="宋体" w:hAnsi="宋体" w:eastAsia="宋体" w:cs="宋体"/>
          <w:b/>
          <w:bCs/>
          <w:sz w:val="21"/>
          <w:szCs w:val="21"/>
        </w:rPr>
      </w:pPr>
      <w:bookmarkStart w:id="131" w:name="_Toc20823302"/>
      <w:bookmarkStart w:id="132" w:name="_Toc513029230"/>
      <w:bookmarkStart w:id="133" w:name="_Toc16938546"/>
      <w:r>
        <w:rPr>
          <w:rFonts w:hint="eastAsia" w:ascii="宋体" w:hAnsi="宋体" w:eastAsia="宋体" w:cs="宋体"/>
          <w:b/>
          <w:bCs/>
          <w:sz w:val="21"/>
          <w:szCs w:val="21"/>
        </w:rPr>
        <w:t>1、</w:t>
      </w:r>
      <w:bookmarkEnd w:id="131"/>
      <w:bookmarkEnd w:id="132"/>
      <w:bookmarkEnd w:id="133"/>
      <w:r>
        <w:rPr>
          <w:rFonts w:hint="eastAsia" w:ascii="宋体" w:hAnsi="宋体" w:eastAsia="宋体" w:cs="宋体"/>
          <w:b/>
          <w:bCs/>
          <w:sz w:val="21"/>
          <w:szCs w:val="21"/>
        </w:rPr>
        <w:t>磋商仪式</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360" w:lineRule="auto"/>
        <w:ind w:firstLine="422" w:firstLineChars="200"/>
        <w:rPr>
          <w:rFonts w:ascii="宋体" w:hAnsi="宋体" w:eastAsia="宋体" w:cs="宋体"/>
          <w:b/>
          <w:bCs/>
          <w:sz w:val="21"/>
          <w:szCs w:val="21"/>
        </w:rPr>
      </w:pPr>
      <w:bookmarkStart w:id="134" w:name="_Toc20823303"/>
      <w:bookmarkStart w:id="135" w:name="_Toc513029231"/>
      <w:bookmarkStart w:id="136" w:name="_Toc16938547"/>
      <w:r>
        <w:rPr>
          <w:rFonts w:hint="eastAsia" w:ascii="宋体" w:hAnsi="宋体" w:eastAsia="宋体" w:cs="宋体"/>
          <w:b/>
          <w:bCs/>
          <w:sz w:val="21"/>
          <w:szCs w:val="21"/>
        </w:rPr>
        <w:t>2、磋商小组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2.1 磋商开始仪式结束后，代理机构将立即组织磋商小组进行评审。</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2.2 磋商小组由政府采购评审专家、采购人代表组成，且人员构成符合政府采购有关规定。</w:t>
      </w:r>
    </w:p>
    <w:p>
      <w:pPr>
        <w:tabs>
          <w:tab w:val="left" w:pos="900"/>
        </w:tabs>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3、磋商评审过程的保密</w:t>
      </w:r>
      <w:bookmarkEnd w:id="134"/>
      <w:bookmarkEnd w:id="135"/>
      <w:bookmarkEnd w:id="136"/>
      <w:r>
        <w:rPr>
          <w:rFonts w:hint="eastAsia" w:ascii="宋体" w:hAnsi="宋体" w:eastAsia="宋体" w:cs="宋体"/>
          <w:b/>
          <w:bCs/>
          <w:sz w:val="21"/>
          <w:szCs w:val="21"/>
        </w:rPr>
        <w:t>与公正</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3.1磋商小组、采购人和代理机构工作人员、相关监督人员等与评审工作有关的人员，对评审情况以及在评审过程中获悉的国家秘密、商业秘密负有保密责任。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2" w:firstLineChars="200"/>
        <w:rPr>
          <w:rFonts w:ascii="宋体" w:hAnsi="宋体" w:eastAsia="宋体" w:cs="宋体"/>
          <w:b/>
          <w:bCs/>
          <w:sz w:val="21"/>
          <w:szCs w:val="21"/>
        </w:rPr>
      </w:pPr>
      <w:bookmarkStart w:id="137" w:name="_Toc513029232"/>
      <w:bookmarkStart w:id="138" w:name="_Toc20823304"/>
      <w:bookmarkStart w:id="139" w:name="_Toc16938548"/>
      <w:r>
        <w:rPr>
          <w:rFonts w:hint="eastAsia" w:ascii="宋体" w:hAnsi="宋体" w:eastAsia="宋体" w:cs="宋体"/>
          <w:b/>
          <w:bCs/>
          <w:sz w:val="21"/>
          <w:szCs w:val="21"/>
        </w:rPr>
        <w:t>4、评审过程的澄清</w:t>
      </w:r>
      <w:bookmarkEnd w:id="137"/>
      <w:bookmarkEnd w:id="138"/>
      <w:bookmarkEnd w:id="139"/>
      <w:r>
        <w:rPr>
          <w:rFonts w:hint="eastAsia" w:ascii="宋体" w:hAnsi="宋体" w:eastAsia="宋体" w:cs="宋体"/>
          <w:b/>
          <w:bCs/>
          <w:sz w:val="21"/>
          <w:szCs w:val="21"/>
        </w:rPr>
        <w:t>、说明和更正</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4.3 接到磋商小组澄清要求的供应商如未按规定做出澄清，其风险由供应商自行承担。</w:t>
      </w:r>
    </w:p>
    <w:p>
      <w:pPr>
        <w:tabs>
          <w:tab w:val="left" w:pos="900"/>
        </w:tabs>
        <w:spacing w:line="360" w:lineRule="auto"/>
        <w:ind w:firstLine="422" w:firstLineChars="200"/>
        <w:rPr>
          <w:rFonts w:ascii="宋体" w:hAnsi="宋体" w:eastAsia="宋体" w:cs="宋体"/>
          <w:b/>
          <w:bCs/>
          <w:sz w:val="21"/>
          <w:szCs w:val="21"/>
        </w:rPr>
      </w:pPr>
      <w:bookmarkStart w:id="140" w:name="_Toc20823305"/>
      <w:bookmarkStart w:id="141" w:name="_Toc16938549"/>
      <w:bookmarkStart w:id="142" w:name="_Toc513029233"/>
      <w:r>
        <w:rPr>
          <w:rFonts w:hint="eastAsia" w:ascii="宋体" w:hAnsi="宋体" w:eastAsia="宋体" w:cs="宋体"/>
          <w:b/>
          <w:bCs/>
          <w:sz w:val="21"/>
          <w:szCs w:val="21"/>
        </w:rPr>
        <w:t>5、对响应文件的初审</w:t>
      </w:r>
      <w:bookmarkEnd w:id="140"/>
      <w:bookmarkEnd w:id="141"/>
      <w:bookmarkEnd w:id="142"/>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5.1响应文件初审分为资格性检查和符合性检查。</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资格性检查：依据法律法规和磋商文件的规定，对响应文件中的资格证明文件等进行审查，以确定供应商是否具备参加磋商的资格。</w:t>
      </w:r>
    </w:p>
    <w:p>
      <w:p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5.3 被认定为未实质性响应磋商文件的响应文件的情形</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响应文件有下列情况之一的，在资格性、符合性检查时按照无效响应处理：</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（1）未按照磋商文件规定要求密封、签署、盖章的；</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（2）不具备磋商文件中规定资格要求的；</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3）投标人被“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（4）供应商在报价时采用选择性报价；</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（5）供应商的报价超过了采购预算或最高限价的；</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（6）未通过符合性检查的；</w:t>
      </w:r>
    </w:p>
    <w:p>
      <w:pPr>
        <w:spacing w:line="348" w:lineRule="auto"/>
        <w:ind w:firstLine="422" w:firstLineChars="200"/>
        <w:rPr>
          <w:rFonts w:ascii="宋体" w:hAnsi="宋体" w:eastAsia="宋体" w:cs="宋体"/>
          <w:b/>
          <w:kern w:val="0"/>
          <w:sz w:val="21"/>
          <w:szCs w:val="21"/>
        </w:rPr>
      </w:pPr>
      <w:r>
        <w:rPr>
          <w:rFonts w:hint="eastAsia" w:ascii="宋体" w:hAnsi="宋体" w:eastAsia="宋体" w:cs="宋体"/>
          <w:b/>
          <w:kern w:val="0"/>
          <w:sz w:val="21"/>
          <w:szCs w:val="21"/>
        </w:rPr>
        <w:t>（</w:t>
      </w:r>
      <w:r>
        <w:rPr>
          <w:rFonts w:ascii="宋体" w:hAnsi="宋体" w:eastAsia="宋体" w:cs="宋体"/>
          <w:b/>
          <w:kern w:val="0"/>
          <w:sz w:val="21"/>
          <w:szCs w:val="21"/>
        </w:rPr>
        <w:t>7</w:t>
      </w:r>
      <w:r>
        <w:rPr>
          <w:rFonts w:hint="eastAsia" w:ascii="宋体" w:hAnsi="宋体" w:eastAsia="宋体" w:cs="宋体"/>
          <w:b/>
          <w:kern w:val="0"/>
          <w:sz w:val="21"/>
          <w:szCs w:val="21"/>
        </w:rPr>
        <w:t>）不符合法律、法规和磋商文件规定的其他实质性要求的。</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5.4有下列情形之一的予以废标，同时将废标理由通知所有供应商：</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（1）符合专业条件的供应商或者对磋商文件作实质性响应的供应商不足三家的；</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（2）出现影响采购公正的违法、违规行为的；</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（3）供应商的报价均超过了采购预算，采购人不能支付的；</w:t>
      </w:r>
    </w:p>
    <w:p>
      <w:pPr>
        <w:spacing w:line="348" w:lineRule="auto"/>
        <w:ind w:firstLine="422" w:firstLineChars="200"/>
        <w:rPr>
          <w:rFonts w:ascii="宋体" w:hAnsi="宋体" w:eastAsia="宋体" w:cs="宋体"/>
          <w:b/>
          <w:sz w:val="21"/>
          <w:szCs w:val="21"/>
        </w:rPr>
      </w:pPr>
      <w:r>
        <w:rPr>
          <w:rFonts w:hint="eastAsia" w:ascii="宋体" w:hAnsi="宋体" w:eastAsia="宋体" w:cs="宋体"/>
          <w:b/>
          <w:sz w:val="21"/>
          <w:szCs w:val="21"/>
        </w:rPr>
        <w:t>（4）因重大变故，采购任务取消的。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5.5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2" w:firstLineChars="200"/>
        <w:rPr>
          <w:rFonts w:ascii="宋体" w:hAnsi="宋体" w:eastAsia="宋体" w:cs="宋体"/>
          <w:b/>
          <w:bCs/>
          <w:sz w:val="21"/>
          <w:szCs w:val="21"/>
        </w:rPr>
      </w:pPr>
      <w:bookmarkStart w:id="143" w:name="_Toc513029234"/>
      <w:bookmarkStart w:id="144" w:name="_Toc16938550"/>
      <w:bookmarkStart w:id="145" w:name="_Toc20823306"/>
      <w:r>
        <w:rPr>
          <w:rFonts w:hint="eastAsia" w:ascii="宋体" w:hAnsi="宋体" w:eastAsia="宋体" w:cs="宋体"/>
          <w:b/>
          <w:bCs/>
          <w:sz w:val="21"/>
          <w:szCs w:val="21"/>
        </w:rPr>
        <w:t>6、</w:t>
      </w:r>
      <w:bookmarkEnd w:id="143"/>
      <w:bookmarkEnd w:id="144"/>
      <w:bookmarkEnd w:id="145"/>
      <w:r>
        <w:rPr>
          <w:rFonts w:hint="eastAsia" w:ascii="宋体" w:hAnsi="宋体" w:eastAsia="宋体" w:cs="宋体"/>
          <w:b/>
          <w:bCs/>
          <w:sz w:val="21"/>
          <w:szCs w:val="21"/>
        </w:rPr>
        <w:t>磋商程序及评审方法和标准</w:t>
      </w:r>
    </w:p>
    <w:p>
      <w:pPr>
        <w:tabs>
          <w:tab w:val="left" w:pos="900"/>
        </w:tabs>
        <w:spacing w:line="360" w:lineRule="auto"/>
        <w:ind w:firstLine="420" w:firstLineChars="200"/>
        <w:outlineLvl w:val="2"/>
        <w:rPr>
          <w:rFonts w:ascii="宋体" w:hAnsi="宋体" w:eastAsia="宋体" w:cs="宋体"/>
          <w:sz w:val="21"/>
          <w:szCs w:val="21"/>
        </w:rPr>
      </w:pPr>
      <w:bookmarkStart w:id="146" w:name="_Toc20823307"/>
      <w:bookmarkStart w:id="147" w:name="_Toc16938551"/>
      <w:bookmarkStart w:id="148" w:name="_Toc513029235"/>
      <w:r>
        <w:rPr>
          <w:rFonts w:hint="eastAsia" w:ascii="宋体" w:hAnsi="宋体" w:eastAsia="宋体" w:cs="宋体"/>
          <w:sz w:val="21"/>
          <w:szCs w:val="21"/>
        </w:rPr>
        <w:t>6.1磋商程序</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6.1.1对于通过资格性和符合性审查的供应商，磋商小组所有成员将集中与单一供应商分别进行磋商。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6.1.2磋商文件能够详细列明采购标的的技术、服务要求的，磋商结束后，磋商小组将要求所有实质性响应的供应商在规定时间内提交最后报价。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360" w:lineRule="auto"/>
        <w:ind w:firstLine="422"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本次竞争性磋商原则上进行</w:t>
      </w:r>
      <w:r>
        <w:rPr>
          <w:rFonts w:hint="eastAsia" w:ascii="宋体" w:hAnsi="宋体" w:eastAsia="宋体" w:cs="宋体"/>
          <w:b/>
          <w:color w:val="auto"/>
          <w:sz w:val="21"/>
          <w:szCs w:val="21"/>
        </w:rPr>
        <w:t>两轮报价</w:t>
      </w:r>
      <w:r>
        <w:rPr>
          <w:rFonts w:hint="eastAsia" w:ascii="宋体" w:hAnsi="宋体" w:eastAsia="宋体" w:cs="宋体"/>
          <w:b/>
          <w:color w:val="000000" w:themeColor="text1"/>
          <w:sz w:val="21"/>
          <w:szCs w:val="21"/>
          <w14:textFill>
            <w14:solidFill>
              <w14:schemeClr w14:val="tx1"/>
            </w14:solidFill>
          </w14:textFill>
        </w:rPr>
        <w:t>，第二轮报价即竞争性磋商结束后最终总报价(该报价将作为评审确定报价分值的依据，第二轮报价不得超过第一轮价格。若竞争性磋商小组认定竞争性磋商过程中供应商的报价、响应内容等远远低于竞争性磋商预期，可以根据需要增加一轮中间报价，但必须预先通知各参加竞争性磋商的投标人。</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6.1.3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6.2评审方法和标准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6.2.1评审方法。经磋商确定最终采购需求的供应商后，由磋商小组采用综合评分法对供应商的响应文件和最后报价进行综合评分。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6.2.2评审标准</w:t>
      </w:r>
    </w:p>
    <w:p>
      <w:pPr>
        <w:tabs>
          <w:tab w:val="left" w:pos="900"/>
        </w:tabs>
        <w:spacing w:line="360" w:lineRule="auto"/>
        <w:ind w:firstLine="42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见本磋商文件第五章规定。</w:t>
      </w:r>
    </w:p>
    <w:p>
      <w:pPr>
        <w:tabs>
          <w:tab w:val="left" w:pos="900"/>
        </w:tabs>
        <w:spacing w:line="360" w:lineRule="auto"/>
        <w:ind w:firstLine="420" w:firstLineChars="200"/>
        <w:outlineLvl w:val="2"/>
        <w:rPr>
          <w:rFonts w:ascii="宋体" w:hAnsi="宋体" w:eastAsia="宋体" w:cs="宋体"/>
          <w:sz w:val="21"/>
          <w:szCs w:val="21"/>
        </w:rPr>
      </w:pPr>
      <w:r>
        <w:rPr>
          <w:rFonts w:hint="eastAsia" w:ascii="宋体" w:hAnsi="宋体" w:eastAsia="宋体" w:cs="宋体"/>
          <w:sz w:val="21"/>
          <w:szCs w:val="21"/>
        </w:rPr>
        <w:t>6.3采购活动终止的情况</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出现下列情形之一的，本次竞争性磋商采购活动将被终止：</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（1）因情况变化，不再符合规定的竞争性磋商采购方式适用情形的；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（2）出现影响采购公正的违法、违规行为的；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（3）除本磋商文件第6.1.2条第三款规定的情形外，在采购过程中符合要求的供应商或者报价未超过采购预算的供应商不足3家的。</w:t>
      </w:r>
    </w:p>
    <w:bookmarkEnd w:id="146"/>
    <w:bookmarkEnd w:id="147"/>
    <w:bookmarkEnd w:id="148"/>
    <w:p>
      <w:pPr>
        <w:tabs>
          <w:tab w:val="left" w:pos="900"/>
        </w:tabs>
        <w:spacing w:line="360" w:lineRule="auto"/>
        <w:outlineLvl w:val="1"/>
        <w:rPr>
          <w:rFonts w:ascii="宋体" w:hAnsi="宋体" w:eastAsia="宋体" w:cs="宋体"/>
          <w:b/>
          <w:sz w:val="21"/>
          <w:szCs w:val="21"/>
        </w:rPr>
      </w:pPr>
      <w:r>
        <w:rPr>
          <w:rFonts w:hint="eastAsia" w:ascii="宋体" w:hAnsi="宋体" w:eastAsia="宋体" w:cs="宋体"/>
          <w:b/>
          <w:sz w:val="21"/>
          <w:szCs w:val="21"/>
        </w:rPr>
        <w:t>五、成交</w:t>
      </w:r>
    </w:p>
    <w:p>
      <w:pPr>
        <w:tabs>
          <w:tab w:val="left" w:pos="900"/>
        </w:tabs>
        <w:spacing w:line="360" w:lineRule="auto"/>
        <w:ind w:firstLine="422" w:firstLineChars="200"/>
        <w:outlineLvl w:val="2"/>
        <w:rPr>
          <w:rFonts w:ascii="宋体" w:hAnsi="宋体" w:eastAsia="宋体" w:cs="宋体"/>
          <w:b/>
          <w:bCs/>
          <w:sz w:val="21"/>
          <w:szCs w:val="21"/>
        </w:rPr>
      </w:pPr>
      <w:bookmarkStart w:id="149" w:name="_Toc513029238"/>
      <w:bookmarkStart w:id="150" w:name="_Toc20823310"/>
      <w:bookmarkStart w:id="151" w:name="_Toc16938554"/>
      <w:r>
        <w:rPr>
          <w:rFonts w:hint="eastAsia" w:ascii="宋体" w:hAnsi="宋体" w:eastAsia="宋体" w:cs="宋体"/>
          <w:b/>
          <w:bCs/>
          <w:sz w:val="21"/>
          <w:szCs w:val="21"/>
        </w:rPr>
        <w:t>1、</w:t>
      </w:r>
      <w:bookmarkEnd w:id="149"/>
      <w:r>
        <w:rPr>
          <w:rFonts w:hint="eastAsia" w:ascii="宋体" w:hAnsi="宋体" w:eastAsia="宋体" w:cs="宋体"/>
          <w:b/>
          <w:bCs/>
          <w:sz w:val="21"/>
          <w:szCs w:val="21"/>
        </w:rPr>
        <w:t>确定</w:t>
      </w:r>
      <w:bookmarkEnd w:id="150"/>
      <w:bookmarkEnd w:id="151"/>
      <w:r>
        <w:rPr>
          <w:rFonts w:hint="eastAsia" w:ascii="宋体" w:hAnsi="宋体" w:eastAsia="宋体" w:cs="宋体"/>
          <w:b/>
          <w:bCs/>
          <w:sz w:val="21"/>
          <w:szCs w:val="21"/>
        </w:rPr>
        <w:t>成交单位</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磋商小组根据综合评分情况，按照评审得分由高到低顺序推荐3名或以上成交候选供应商，并编写评审报告。符合本文件第6.1.2条情形的，可以推荐2家成交候选供应商。评审得分相同的，按照技术指标优劣顺序推荐。</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1.2采购人根据磋商小组推荐的成交候选人确定成交供应商。采购人确定成交供应商后，代理机构将在</w:t>
      </w:r>
      <w:r>
        <w:rPr>
          <w:rFonts w:hint="eastAsia" w:ascii="宋体" w:hAnsi="宋体" w:cs="宋体"/>
          <w:color w:val="000000"/>
          <w:kern w:val="1"/>
          <w:szCs w:val="21"/>
          <w:highlight w:val="none"/>
          <w:lang w:eastAsia="zh-CN"/>
        </w:rPr>
        <w:t>“扬州市城建国有资产控股（集团）有限责任公司网”</w:t>
      </w:r>
      <w:r>
        <w:rPr>
          <w:rFonts w:hint="eastAsia" w:ascii="宋体" w:hAnsi="宋体" w:eastAsia="宋体" w:cs="宋体"/>
          <w:sz w:val="21"/>
          <w:szCs w:val="21"/>
        </w:rPr>
        <w:t>发布成交结果公告，公告期限为1个工作日。</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1.3若有充分证据证明，成交供应商出现下列情况之一的，一经查实，将被取消成交资格：</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（1）提供虚假材料谋取成交的；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（2）与评审专家、采购人、其他供应商或者代理机构工作人员恶意串通的；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（3）向评审专家、采购人或代理机构工作人员行贿或者提供其他不正当利益的；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（4）恶意竞争，最终总报价明显低于其自身合理成本且又无法提供证明的；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（5）不满足本磋商文件规定的实质性要求，但在评审过程中又未被磋商小组发现的；</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（6）成交后无正当理由拒不与采购人签订政府采购合同或者未按照磋商文件确定的事项签订政府采购合同；</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（7）将政府采购合同转包；</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（8）法律、法规、规章规定的属于成交无效的其他情形。</w:t>
      </w:r>
    </w:p>
    <w:p>
      <w:pPr>
        <w:tabs>
          <w:tab w:val="left" w:pos="900"/>
        </w:tabs>
        <w:spacing w:line="360" w:lineRule="auto"/>
        <w:ind w:firstLine="422" w:firstLineChars="200"/>
        <w:outlineLvl w:val="2"/>
        <w:rPr>
          <w:rFonts w:ascii="宋体" w:hAnsi="宋体" w:eastAsia="宋体" w:cs="宋体"/>
          <w:b/>
          <w:bCs/>
          <w:sz w:val="21"/>
          <w:szCs w:val="21"/>
        </w:rPr>
      </w:pPr>
      <w:r>
        <w:rPr>
          <w:rFonts w:hint="eastAsia" w:ascii="宋体" w:hAnsi="宋体" w:eastAsia="宋体" w:cs="宋体"/>
          <w:b/>
          <w:bCs/>
          <w:sz w:val="21"/>
          <w:szCs w:val="21"/>
        </w:rPr>
        <w:t>2、质疑处理</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2.1提出质疑的供应商应当是参与所质疑项目采购活动的供应商。潜在供应商依法获取其可质疑的采购文件的，可以对采购文件提出质疑。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对项目需求部分的质疑，潜在供应商应向采购人提出，由采购人负责答复。</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2.2供应商认为采购文件、采购过程和中标或成交结果使自己的权益受到损害的，可以在知道或应知其权益受到损害之日起7个工作日内，以书面形式向采购人或代理机构提出质疑。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2.2.1对采购文件提出质疑的，应当在获取采购文件之日或者采购文件公告期限届满之日起7个工作日内提出。</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2.2.2对采购过程提出质疑的，为各采购程序环节结束之日起7个工作日内提出。</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2.2.3对成交结果提出质疑的，为成交结果公告期限届满之日起7个工作日内提出。</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2.3供应商应在法定质疑期内一次性提出针对同一采购程序环节的质疑。供应商如在法定期限内对同一采购程序环节提出多次质疑的，代理机构、采购人将只对供应商第一次质疑作出答复。</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2.5质疑函应当包括下列内容：</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（1）质疑供应商的名称、地址、邮编、联系人、联系电话；</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（2）质疑项目的名称、编号；</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（3）具体、明确的质疑事项和与质疑事项相关的请求；</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（4）事实依据</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（5）必要的法律依据</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（6）提起质疑的日期；</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7）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2.6代理机构及采购人只接收以纸质原件形式送达的质疑。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采购人质疑接收人及联系方式见采购文件第一章。</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2.7代理机构收到质疑申请后，将对质疑的形式和内容进行审查，如质疑内容、格式不符合规定，代理机构将告知质疑人进行补正。</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2.8质疑人应当在法定质疑期限内进行补正并重新提交质疑函。</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 以下情形的质疑不予受理</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2.9.1 内容不符合《政府采购质疑和投诉办法》第十二条规定的质疑。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2.9.2 超出政府采购法定期限的质疑。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2.9.3 以传真、电子邮件等方式递交的非原件形式的质疑。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2.9.4 未参加磋商活动的供应商或在磋商活动中自身权益未受到损害的供应商所提出的质疑。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2.9.5供应商组成联合体参加磋商，联合体中任何一方或多方未按要求签字、盖章、加盖公章的质疑。</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 xml:space="preserve">2.10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tabs>
          <w:tab w:val="left" w:pos="900"/>
        </w:tabs>
        <w:spacing w:line="360" w:lineRule="auto"/>
        <w:ind w:firstLine="420" w:firstLineChars="200"/>
        <w:outlineLvl w:val="1"/>
        <w:rPr>
          <w:rFonts w:ascii="宋体" w:hAnsi="宋体" w:eastAsia="宋体" w:cs="宋体"/>
          <w:sz w:val="21"/>
          <w:szCs w:val="21"/>
        </w:rPr>
      </w:pPr>
      <w:r>
        <w:rPr>
          <w:rFonts w:hint="eastAsia" w:ascii="宋体" w:hAnsi="宋体" w:eastAsia="宋体" w:cs="宋体"/>
          <w:sz w:val="21"/>
          <w:szCs w:val="21"/>
        </w:rPr>
        <w:t>2.11代理机构应当在收到供应商的书面质疑后7个工作日内作出答复，并以书面形式通知质疑供应商和其他有关供应商，但答复的内容不得涉及商业秘密</w:t>
      </w:r>
    </w:p>
    <w:p>
      <w:pPr>
        <w:tabs>
          <w:tab w:val="left" w:pos="900"/>
        </w:tabs>
        <w:spacing w:line="360" w:lineRule="auto"/>
        <w:outlineLvl w:val="1"/>
        <w:rPr>
          <w:rFonts w:ascii="宋体" w:hAnsi="宋体" w:eastAsia="宋体" w:cs="宋体"/>
          <w:b/>
          <w:sz w:val="21"/>
          <w:szCs w:val="21"/>
        </w:rPr>
      </w:pPr>
      <w:r>
        <w:rPr>
          <w:rFonts w:hint="eastAsia" w:ascii="宋体" w:hAnsi="宋体" w:eastAsia="宋体" w:cs="宋体"/>
          <w:b/>
          <w:sz w:val="21"/>
          <w:szCs w:val="21"/>
        </w:rPr>
        <w:t>六、合同签订相关事项</w:t>
      </w:r>
    </w:p>
    <w:p>
      <w:pPr>
        <w:tabs>
          <w:tab w:val="left" w:pos="900"/>
        </w:tabs>
        <w:spacing w:line="360" w:lineRule="auto"/>
        <w:ind w:firstLine="422" w:firstLineChars="200"/>
        <w:rPr>
          <w:rFonts w:ascii="宋体" w:hAnsi="宋体" w:eastAsia="宋体" w:cs="宋体"/>
          <w:b/>
          <w:bCs/>
          <w:sz w:val="21"/>
          <w:szCs w:val="21"/>
        </w:rPr>
      </w:pPr>
      <w:r>
        <w:rPr>
          <w:rFonts w:hint="eastAsia" w:ascii="宋体" w:hAnsi="宋体" w:eastAsia="宋体" w:cs="宋体"/>
          <w:b/>
          <w:bCs/>
          <w:sz w:val="21"/>
          <w:szCs w:val="21"/>
        </w:rPr>
        <w:t>1、签订合同</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l成交供应商确定后，代理机构将向成交供应商发出成交通知书。成交供应商应按成交通知书规定的时间、地点,按照磋商文件确定的事项与采购人签订政府购买服务合同，且不得迟于成交通知书发出之日起三十日内，由此给采购人造成损失的，成交供应商还应承担赔偿责任。</w:t>
      </w:r>
    </w:p>
    <w:p>
      <w:pPr>
        <w:tabs>
          <w:tab w:val="left" w:pos="900"/>
        </w:tabs>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 磋商文件、成交供应商的响应文件及磋商采购过程中有关澄清、承诺文件均应作为合同附件。</w:t>
      </w:r>
    </w:p>
    <w:p>
      <w:pPr>
        <w:tabs>
          <w:tab w:val="left" w:pos="90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 签订合同后，</w:t>
      </w:r>
      <w:r>
        <w:rPr>
          <w:rFonts w:hint="eastAsia" w:ascii="宋体" w:hAnsi="宋体" w:eastAsia="宋体" w:cs="宋体"/>
          <w:i/>
          <w:iCs/>
          <w:sz w:val="21"/>
          <w:szCs w:val="21"/>
          <w:u w:val="single"/>
        </w:rPr>
        <w:t>成交供应商不得将服务进行转包</w:t>
      </w:r>
      <w:r>
        <w:rPr>
          <w:rFonts w:hint="eastAsia" w:ascii="宋体" w:hAnsi="宋体" w:eastAsia="宋体" w:cs="宋体"/>
          <w:i/>
          <w:iCs/>
          <w:sz w:val="21"/>
          <w:szCs w:val="21"/>
        </w:rPr>
        <w:t>。</w:t>
      </w:r>
      <w:r>
        <w:rPr>
          <w:rFonts w:hint="eastAsia" w:ascii="宋体" w:hAnsi="宋体" w:eastAsia="宋体" w:cs="宋体"/>
          <w:sz w:val="21"/>
          <w:szCs w:val="21"/>
        </w:rPr>
        <w:t>未经采购人同意，成交供应商也不得采用分包的形式履行合同，否则采购人有权终止合同。转包或分包造成采购人损失的，成交供应商应承担相应赔偿责任。</w:t>
      </w:r>
    </w:p>
    <w:p>
      <w:pPr>
        <w:rPr>
          <w:rFonts w:ascii="宋体" w:hAnsi="宋体" w:cs="宋体"/>
          <w:szCs w:val="21"/>
        </w:rPr>
      </w:pPr>
      <w:r>
        <w:rPr>
          <w:rFonts w:hint="eastAsia" w:ascii="宋体" w:hAnsi="宋体" w:eastAsia="宋体" w:cs="宋体"/>
          <w:sz w:val="21"/>
          <w:szCs w:val="21"/>
        </w:rPr>
        <w:br w:type="page"/>
      </w:r>
    </w:p>
    <w:bookmarkEnd w:id="70"/>
    <w:bookmarkEnd w:id="71"/>
    <w:bookmarkEnd w:id="72"/>
    <w:p>
      <w:pPr>
        <w:pStyle w:val="2"/>
        <w:jc w:val="center"/>
        <w:rPr>
          <w:rFonts w:hint="eastAsia" w:ascii="宋体" w:hAnsi="宋体"/>
          <w:sz w:val="36"/>
        </w:rPr>
      </w:pPr>
      <w:bookmarkStart w:id="152" w:name="_Toc4353"/>
      <w:bookmarkStart w:id="153" w:name="_Toc24493"/>
      <w:bookmarkStart w:id="154" w:name="_Toc101707002"/>
      <w:bookmarkStart w:id="155" w:name="_Toc8829"/>
      <w:bookmarkStart w:id="156" w:name="_Toc5974"/>
      <w:bookmarkStart w:id="157" w:name="_Toc99380850"/>
      <w:bookmarkStart w:id="158" w:name="_Toc100135570"/>
      <w:r>
        <w:rPr>
          <w:rFonts w:hint="eastAsia" w:ascii="宋体" w:hAnsi="宋体"/>
          <w:sz w:val="36"/>
        </w:rPr>
        <w:t>第三章 合同条款及格式</w:t>
      </w:r>
      <w:bookmarkEnd w:id="152"/>
    </w:p>
    <w:p>
      <w:pPr>
        <w:pStyle w:val="9"/>
        <w:spacing w:before="120" w:after="120" w:line="360" w:lineRule="auto"/>
        <w:rPr>
          <w:rFonts w:hint="default" w:hAnsi="宋体" w:eastAsia="宋体" w:cs="Times New Roman"/>
          <w:kern w:val="0"/>
          <w:szCs w:val="21"/>
        </w:rPr>
      </w:pPr>
      <w:r>
        <w:rPr>
          <w:rFonts w:hint="eastAsia" w:hAnsi="宋体" w:eastAsia="宋体" w:cs="Times New Roman"/>
          <w:kern w:val="0"/>
          <w:szCs w:val="21"/>
        </w:rPr>
        <w:t>以下为中标后签定本项目合同的通用条款，中标人不得提出实质性的修改，关于专用条款将由采购人与中标人结合本项目具体情况协商后签订。</w:t>
      </w:r>
    </w:p>
    <w:p>
      <w:pPr>
        <w:widowControl w:val="0"/>
        <w:spacing w:before="120" w:after="120" w:line="360" w:lineRule="auto"/>
        <w:ind w:firstLine="420" w:firstLineChars="200"/>
        <w:jc w:val="both"/>
        <w:rPr>
          <w:rFonts w:hint="default" w:ascii="宋体" w:hAnsi="宋体" w:eastAsia="宋体" w:cs="Times New Roman"/>
          <w:sz w:val="21"/>
          <w:szCs w:val="21"/>
        </w:rPr>
      </w:pPr>
      <w:r>
        <w:rPr>
          <w:rFonts w:hint="eastAsia" w:ascii="宋体" w:hAnsi="宋体" w:eastAsia="宋体" w:cs="Times New Roman"/>
          <w:sz w:val="21"/>
          <w:szCs w:val="21"/>
        </w:rPr>
        <w:t>项目名称：</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项目编号：</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甲方：（买方）</w:t>
      </w:r>
      <w:r>
        <w:rPr>
          <w:rFonts w:hint="default" w:ascii="宋体" w:hAnsi="宋体" w:eastAsia="宋体" w:cs="Times New Roman"/>
          <w:sz w:val="21"/>
          <w:szCs w:val="21"/>
        </w:rPr>
        <w:t>_________</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乙方：（卖方）</w:t>
      </w:r>
      <w:r>
        <w:rPr>
          <w:rFonts w:hint="default" w:ascii="宋体" w:hAnsi="宋体" w:eastAsia="宋体" w:cs="Times New Roman"/>
          <w:sz w:val="21"/>
          <w:szCs w:val="21"/>
        </w:rPr>
        <w:t>_________</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甲、乙双方根据永明项目管理有限公司关于本项目招标的结果，签署本合同。</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一、服务及产品内容</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1.1 </w:t>
      </w:r>
      <w:r>
        <w:rPr>
          <w:rFonts w:hint="eastAsia" w:ascii="宋体" w:hAnsi="宋体" w:eastAsia="宋体" w:cs="Times New Roman"/>
          <w:sz w:val="21"/>
          <w:szCs w:val="21"/>
        </w:rPr>
        <w:t>项目（产品）名称：</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1.2 </w:t>
      </w:r>
      <w:r>
        <w:rPr>
          <w:rFonts w:hint="eastAsia" w:ascii="宋体" w:hAnsi="宋体" w:eastAsia="宋体" w:cs="Times New Roman"/>
          <w:sz w:val="21"/>
          <w:szCs w:val="21"/>
        </w:rPr>
        <w:t>项目服务内容：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二、合同金额</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2.1 </w:t>
      </w:r>
      <w:r>
        <w:rPr>
          <w:rFonts w:hint="eastAsia" w:ascii="宋体" w:hAnsi="宋体" w:eastAsia="宋体" w:cs="Times New Roman"/>
          <w:sz w:val="21"/>
          <w:szCs w:val="21"/>
        </w:rPr>
        <w:t>本合同金额为（大写）：</w:t>
      </w:r>
      <w:r>
        <w:rPr>
          <w:rFonts w:hint="default" w:ascii="宋体" w:hAnsi="宋体" w:eastAsia="宋体" w:cs="Times New Roman"/>
          <w:sz w:val="21"/>
          <w:szCs w:val="21"/>
        </w:rPr>
        <w:t>_______________</w:t>
      </w:r>
      <w:r>
        <w:rPr>
          <w:rFonts w:hint="eastAsia" w:ascii="宋体" w:hAnsi="宋体" w:eastAsia="宋体" w:cs="Times New Roman"/>
          <w:sz w:val="21"/>
          <w:szCs w:val="21"/>
        </w:rPr>
        <w:t>元（</w:t>
      </w:r>
      <w:r>
        <w:rPr>
          <w:rFonts w:hint="default" w:ascii="宋体" w:hAnsi="宋体" w:eastAsia="宋体" w:cs="Times New Roman"/>
          <w:sz w:val="21"/>
          <w:szCs w:val="21"/>
        </w:rPr>
        <w:t>_______________</w:t>
      </w:r>
      <w:r>
        <w:rPr>
          <w:rFonts w:hint="eastAsia" w:ascii="宋体" w:hAnsi="宋体" w:eastAsia="宋体" w:cs="Times New Roman"/>
          <w:sz w:val="21"/>
          <w:szCs w:val="21"/>
        </w:rPr>
        <w:t>元）人民币。</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三、技术资料</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3.1</w:t>
      </w:r>
      <w:r>
        <w:rPr>
          <w:rFonts w:hint="eastAsia" w:ascii="宋体" w:hAnsi="宋体" w:eastAsia="宋体" w:cs="Times New Roman"/>
          <w:sz w:val="21"/>
          <w:szCs w:val="21"/>
        </w:rPr>
        <w:t>乙方应按采购文件规定的时间向甲方提供使用服务或产品的有关技术资料。</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3.2 </w:t>
      </w:r>
      <w:r>
        <w:rPr>
          <w:rFonts w:hint="eastAsia" w:ascii="宋体" w:hAnsi="宋体" w:eastAsia="宋体" w:cs="Times New Roman"/>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四、知识产权</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4.1</w:t>
      </w:r>
      <w:r>
        <w:rPr>
          <w:rFonts w:hint="eastAsia" w:ascii="宋体" w:hAnsi="宋体" w:eastAsia="宋体" w:cs="Times New Roman"/>
          <w:sz w:val="21"/>
          <w:szCs w:val="21"/>
        </w:rPr>
        <w:t>乙方应保证甲方在使用、接受本合同服务或产品或其任何一部分时不受第三方提出侵犯其专利权、版权、商标权和工业设计权等知识产权的起诉。一旦出现侵权，由乙方负全部责任。</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五、产权担保</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5.1 </w:t>
      </w:r>
      <w:r>
        <w:rPr>
          <w:rFonts w:hint="eastAsia" w:ascii="宋体" w:hAnsi="宋体" w:eastAsia="宋体" w:cs="Times New Roman"/>
          <w:sz w:val="21"/>
          <w:szCs w:val="21"/>
        </w:rPr>
        <w:t>乙方保证所交付的服务或产品的所有权完全属于乙方且无任何抵押、查封等产权瑕疵。</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六、履约保证金</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6.1 收取履约保证金的，应当在采购合同中约定履约保证金退还的方式、时间、条件和不予退还的情形，明确逾期退还履约保证金的违约责任。</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6.2履约保证金用以约束乙方在合同履行中的行为，以及弥补合同履行中由于乙方自身行为可能给甲方带来的各种损失；若履约保证金额不足以弥补乙方违约造成甲方损失的，甲方可继续向乙方主张索赔。</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6.3 履约保证金扣除甲方应得的补偿后的余额，在本合同履行结束后由甲方退还。</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6.4履约保证金的收取：无。</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七、转包或分包</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7.1</w:t>
      </w:r>
      <w:r>
        <w:rPr>
          <w:rFonts w:hint="eastAsia" w:ascii="宋体" w:hAnsi="宋体" w:eastAsia="宋体" w:cs="Times New Roman"/>
          <w:sz w:val="21"/>
          <w:szCs w:val="21"/>
        </w:rPr>
        <w:t>本合同范围的服务或产品，应由乙方直接供应，不得转让他人供应；</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 xml:space="preserve">7.2 </w:t>
      </w:r>
      <w:r>
        <w:rPr>
          <w:rFonts w:hint="eastAsia" w:ascii="宋体" w:hAnsi="宋体" w:eastAsia="宋体" w:cs="Times New Roman"/>
          <w:sz w:val="21"/>
          <w:szCs w:val="21"/>
        </w:rPr>
        <w:t>除非得到甲方的书面同意，乙方不得部分分包给他人供应。</w:t>
      </w:r>
    </w:p>
    <w:p>
      <w:pPr>
        <w:widowControl w:val="0"/>
        <w:spacing w:before="120" w:after="120" w:line="360" w:lineRule="auto"/>
        <w:ind w:firstLine="420"/>
        <w:jc w:val="both"/>
        <w:rPr>
          <w:rFonts w:hint="default" w:ascii="宋体" w:hAnsi="宋体" w:eastAsia="宋体" w:cs="Times New Roman"/>
          <w:sz w:val="21"/>
          <w:szCs w:val="21"/>
        </w:rPr>
      </w:pPr>
      <w:r>
        <w:rPr>
          <w:rFonts w:hint="default" w:ascii="宋体" w:hAnsi="宋体" w:eastAsia="宋体" w:cs="Times New Roman"/>
          <w:sz w:val="21"/>
          <w:szCs w:val="21"/>
        </w:rPr>
        <w:t>7.3</w:t>
      </w:r>
      <w:r>
        <w:rPr>
          <w:rFonts w:hint="eastAsia" w:ascii="宋体" w:hAnsi="宋体" w:eastAsia="宋体" w:cs="Times New Roman"/>
          <w:sz w:val="21"/>
          <w:szCs w:val="21"/>
        </w:rPr>
        <w:t>如有转让和未经甲方同意的分包行为，甲方有权给予终止合同。</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八、服务期限</w:t>
      </w:r>
    </w:p>
    <w:p>
      <w:pPr>
        <w:widowControl w:val="0"/>
        <w:spacing w:before="120" w:after="120" w:line="360" w:lineRule="auto"/>
        <w:ind w:firstLine="420"/>
        <w:jc w:val="both"/>
        <w:rPr>
          <w:rFonts w:hint="default" w:ascii="宋体" w:hAnsi="宋体" w:eastAsia="宋体" w:cs="Times New Roman"/>
          <w:b/>
          <w:bCs/>
          <w:sz w:val="21"/>
          <w:szCs w:val="21"/>
        </w:rPr>
      </w:pPr>
      <w:r>
        <w:rPr>
          <w:rFonts w:hint="eastAsia" w:ascii="宋体" w:hAnsi="宋体" w:eastAsia="宋体" w:cs="Times New Roman"/>
          <w:sz w:val="21"/>
          <w:szCs w:val="21"/>
        </w:rPr>
        <w:t xml:space="preserve">8.1 服务期限:_________ </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九、交付期、交付方式及交付地点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9.1 交付期：_________ </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9.2 交付方式：_________</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9.3 交付地点：_________</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十、货款支付</w:t>
      </w:r>
    </w:p>
    <w:p>
      <w:pPr>
        <w:spacing w:line="360" w:lineRule="auto"/>
        <w:ind w:firstLine="420"/>
        <w:rPr>
          <w:rFonts w:hint="default" w:ascii="宋体" w:hAnsi="Calibri"/>
          <w:kern w:val="0"/>
        </w:rPr>
      </w:pPr>
      <w:r>
        <w:rPr>
          <w:rFonts w:hint="eastAsia" w:ascii="宋体" w:hAnsi="宋体"/>
          <w:kern w:val="0"/>
        </w:rPr>
        <w:t>10</w:t>
      </w:r>
      <w:r>
        <w:rPr>
          <w:rFonts w:hint="default" w:ascii="宋体" w:hAnsi="宋体"/>
          <w:kern w:val="0"/>
        </w:rPr>
        <w:t xml:space="preserve">.1 </w:t>
      </w:r>
      <w:r>
        <w:rPr>
          <w:rFonts w:hint="eastAsia" w:ascii="宋体" w:hAnsi="宋体"/>
          <w:kern w:val="0"/>
        </w:rPr>
        <w:t>本合同项下所有款项均以人民币支付。</w:t>
      </w:r>
    </w:p>
    <w:p>
      <w:pPr>
        <w:spacing w:line="360" w:lineRule="auto"/>
        <w:ind w:firstLine="420"/>
        <w:rPr>
          <w:rFonts w:hint="default" w:ascii="宋体" w:hAnsi="Calibri"/>
          <w:kern w:val="0"/>
        </w:rPr>
      </w:pPr>
      <w:r>
        <w:rPr>
          <w:rFonts w:hint="eastAsia" w:ascii="宋体" w:hAnsi="宋体"/>
          <w:kern w:val="0"/>
        </w:rPr>
        <w:t>10</w:t>
      </w:r>
      <w:r>
        <w:rPr>
          <w:rFonts w:hint="default" w:ascii="宋体" w:hAnsi="宋体"/>
          <w:kern w:val="0"/>
        </w:rPr>
        <w:t xml:space="preserve">.2 </w:t>
      </w:r>
      <w:r>
        <w:rPr>
          <w:rFonts w:hint="eastAsia" w:ascii="宋体" w:hAnsi="宋体"/>
          <w:kern w:val="0"/>
        </w:rPr>
        <w:t>本合同项下的采购资金由甲方支付，付款前乙方向甲方开具发票。</w:t>
      </w:r>
    </w:p>
    <w:p>
      <w:pPr>
        <w:spacing w:line="360" w:lineRule="auto"/>
        <w:ind w:firstLine="422"/>
        <w:rPr>
          <w:rFonts w:hint="default" w:ascii="Calibri" w:hAnsi="Calibri" w:eastAsia="宋体"/>
          <w:b/>
          <w:color w:val="auto"/>
          <w:kern w:val="0"/>
          <w:highlight w:val="none"/>
          <w:lang w:val="en-US" w:eastAsia="zh-CN"/>
        </w:rPr>
      </w:pPr>
      <w:r>
        <w:rPr>
          <w:rFonts w:hint="eastAsia" w:ascii="宋体" w:hAnsi="宋体"/>
          <w:color w:val="auto"/>
          <w:kern w:val="0"/>
          <w:highlight w:val="none"/>
        </w:rPr>
        <w:t>10.</w:t>
      </w:r>
      <w:r>
        <w:rPr>
          <w:rFonts w:hint="eastAsia" w:ascii="宋体" w:hAnsi="宋体"/>
          <w:color w:val="auto"/>
          <w:kern w:val="0"/>
          <w:highlight w:val="none"/>
          <w:lang w:val="en-US" w:eastAsia="zh-CN"/>
        </w:rPr>
        <w:t>3</w:t>
      </w:r>
      <w:r>
        <w:rPr>
          <w:rFonts w:hint="eastAsia" w:ascii="Calibri" w:hAnsi="宋体"/>
          <w:color w:val="auto"/>
          <w:kern w:val="0"/>
          <w:highlight w:val="none"/>
        </w:rPr>
        <w:t>付款方式</w:t>
      </w:r>
      <w:r>
        <w:rPr>
          <w:rFonts w:hint="eastAsia" w:ascii="Calibri" w:hAnsi="宋体"/>
          <w:color w:val="auto"/>
          <w:kern w:val="0"/>
          <w:highlight w:val="none"/>
          <w:lang w:eastAsia="zh-CN"/>
        </w:rPr>
        <w:t>：</w:t>
      </w:r>
      <w:r>
        <w:rPr>
          <w:rFonts w:hint="eastAsia" w:ascii="Calibri" w:hAnsi="宋体"/>
          <w:color w:val="auto"/>
          <w:kern w:val="0"/>
          <w:highlight w:val="none"/>
        </w:rPr>
        <w:t>经</w:t>
      </w:r>
      <w:r>
        <w:rPr>
          <w:rFonts w:hint="eastAsia" w:ascii="Calibri" w:hAnsi="宋体"/>
          <w:color w:val="auto"/>
          <w:kern w:val="0"/>
          <w:highlight w:val="none"/>
          <w:lang w:val="en-US" w:eastAsia="zh-CN"/>
        </w:rPr>
        <w:t>甲方</w:t>
      </w:r>
      <w:r>
        <w:rPr>
          <w:rFonts w:hint="eastAsia" w:ascii="Calibri" w:hAnsi="宋体"/>
          <w:color w:val="auto"/>
          <w:kern w:val="0"/>
          <w:highlight w:val="none"/>
        </w:rPr>
        <w:t>验收合格后，乙方提交符合甲方要求合法有效的增值税</w:t>
      </w:r>
      <w:r>
        <w:rPr>
          <w:rFonts w:hint="eastAsia" w:ascii="Calibri" w:hAnsi="宋体"/>
          <w:color w:val="auto"/>
          <w:kern w:val="0"/>
          <w:highlight w:val="none"/>
          <w:lang w:val="en-US" w:eastAsia="zh-CN"/>
        </w:rPr>
        <w:t>专用</w:t>
      </w:r>
      <w:r>
        <w:rPr>
          <w:rFonts w:hint="eastAsia" w:ascii="Calibri" w:hAnsi="宋体"/>
          <w:color w:val="auto"/>
          <w:kern w:val="0"/>
          <w:highlight w:val="none"/>
        </w:rPr>
        <w:t>发票付</w:t>
      </w:r>
      <w:r>
        <w:rPr>
          <w:rFonts w:hint="eastAsia" w:ascii="Calibri" w:hAnsi="宋体"/>
          <w:color w:val="auto"/>
          <w:kern w:val="0"/>
          <w:highlight w:val="none"/>
          <w:lang w:val="en-US" w:eastAsia="zh-CN"/>
        </w:rPr>
        <w:t>合同总价的97%</w:t>
      </w:r>
      <w:r>
        <w:rPr>
          <w:rFonts w:hint="eastAsia" w:ascii="Calibri" w:hAnsi="宋体"/>
          <w:color w:val="auto"/>
          <w:kern w:val="0"/>
          <w:highlight w:val="none"/>
        </w:rPr>
        <w:t>。如乙方逾期交付发票或交付发票不合格的，则甲方付款时间顺延。</w:t>
      </w:r>
      <w:r>
        <w:rPr>
          <w:rFonts w:hint="eastAsia" w:ascii="Calibri" w:hAnsi="宋体"/>
          <w:color w:val="auto"/>
          <w:kern w:val="0"/>
          <w:highlight w:val="none"/>
          <w:lang w:val="en-US" w:eastAsia="zh-CN"/>
        </w:rPr>
        <w:t>24</w:t>
      </w:r>
      <w:r>
        <w:rPr>
          <w:rFonts w:hint="eastAsia" w:ascii="Calibri" w:hAnsi="宋体"/>
          <w:color w:val="auto"/>
          <w:kern w:val="0"/>
          <w:highlight w:val="none"/>
        </w:rPr>
        <w:t>个月后甲方需付总合同款的</w:t>
      </w:r>
      <w:r>
        <w:rPr>
          <w:rFonts w:hint="eastAsia" w:ascii="Calibri" w:hAnsi="宋体"/>
          <w:color w:val="auto"/>
          <w:kern w:val="0"/>
          <w:highlight w:val="none"/>
          <w:lang w:val="en-US" w:eastAsia="zh-CN"/>
        </w:rPr>
        <w:t>3</w:t>
      </w:r>
      <w:r>
        <w:rPr>
          <w:rFonts w:hint="eastAsia" w:ascii="Calibri" w:hAnsi="宋体"/>
          <w:color w:val="auto"/>
          <w:kern w:val="0"/>
          <w:highlight w:val="none"/>
        </w:rPr>
        <w:t>%(质量保证金)给乙方，直至全部付清。质保时间以验收合格之日起</w:t>
      </w:r>
      <w:r>
        <w:rPr>
          <w:rFonts w:hint="eastAsia" w:ascii="Calibri" w:hAnsi="宋体"/>
          <w:color w:val="auto"/>
          <w:kern w:val="0"/>
          <w:highlight w:val="none"/>
          <w:lang w:val="en-US" w:eastAsia="zh-CN"/>
        </w:rPr>
        <w:t>2</w:t>
      </w:r>
      <w:r>
        <w:rPr>
          <w:rFonts w:hint="eastAsia" w:ascii="Calibri" w:hAnsi="宋体"/>
          <w:color w:val="auto"/>
          <w:kern w:val="0"/>
          <w:highlight w:val="none"/>
        </w:rPr>
        <w:t>年。</w:t>
      </w:r>
    </w:p>
    <w:p>
      <w:pPr>
        <w:widowControl w:val="0"/>
        <w:spacing w:before="120" w:after="120" w:line="360" w:lineRule="auto"/>
        <w:ind w:firstLine="420"/>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rPr>
        <w:t>十一、</w:t>
      </w:r>
      <w:r>
        <w:rPr>
          <w:rFonts w:hint="eastAsia" w:hAnsi="宋体"/>
          <w:b/>
          <w:bCs/>
          <w:sz w:val="21"/>
        </w:rPr>
        <w:t>税费</w:t>
      </w:r>
      <w:r>
        <w:rPr>
          <w:rFonts w:hint="eastAsia" w:hAnsi="宋体"/>
          <w:b/>
          <w:bCs/>
          <w:sz w:val="21"/>
          <w:lang w:val="en-US" w:eastAsia="zh-CN"/>
        </w:rPr>
        <w:t>13%</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11.1本合同执行中相关的一切税费均由乙方负担。</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十二、质量保证及售后服务</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12.1 乙方应按采购文件规定的服务或产品性能、技术要求、质量标准向甲方提供。</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12.2 乙方提供的服务或产品在质量期内因服务及产品本身的质量问题发生故障，乙方应负责免费更换。对达不到技术要求者，根据实际情况，经双方协商，可按以下办法处理：</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⑴更换：由乙方承担所发生的全部费用。</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⑵贬值处理：由甲乙双方合议定价。</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⑶退还处理：乙方应退还甲方支付的合同款，同时应承担该服务或产品的直接费用（运输、保险、检验、款项利息及银行手续费等）。</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12.3 如在使用过程中发生质量问题，乙方在接到甲方通知后在______小时内到达甲方现场。</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12.4 在质保期内，乙方应对服务或产品出现的质量及安全问题负责处理解决并承担一切费用。</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12.5上述的服务或产品免费保修期为 </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年，因人为因素出现的故障不在免费保修范围内。超过保修期的机器设备，终生维修，维修时只收部件成本费。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十三、调试和验收</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13.1 甲方对乙方提交的服务或产品依据采购文件上的技术规格要求和国家有关质量标准进行现场初步验收，外观、说明书符合采购文件技术要求的，给予签收，初步验收不合格的不予签收。交付后，甲方需在五个工作日内验收。</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13.2 乙方交付前应对服务或产品作出全面检查和对验收文件进行整理，并列出清单，作为甲方交付验收和使用的技术条件依据，检验的结果应随服务或产品交甲方。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13.3 甲方对乙方提供的服务或产品在使用前进行调试时，乙方需负责安装并培训甲方的使用操作人员，并协助甲方一起调试，直到符合技术要求，甲方才做最终验收。</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13.4 对技术复杂的服务或产品，甲方可请国家认可的专业检测机构参与初步验收及最终验收，并由其出具质量检测报告。</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13.5 验收时乙方必须在现场，验收完毕后作出验收结果报告；验收费用由甲乙双方协商解决。</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十四、服务或产品包装、发运及运输</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14.1 乙方应在服务或产品发运前对其进行满足运输距离、防潮、防震、防锈和防破损装卸等要求包装，以保证服务或产品安全运达甲方指定地点。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14.2 使用说明书、质量检验证明书、随配附件和工具以及清单一并交付甲方。</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14.3 乙方在服务或产品发运手续办理完毕后24小时内或交付到甲方48小时前通知甲方，以准备接受交付。</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14.4 服务在交付甲方前发生的风险均由乙方负责。</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14.5 服务或产品在规定的交付期限内由乙方送达甲方指定的地点视为交付，乙方同时需通知甲方服务或产品已送达。</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十五、违约责任</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15.1 甲方无正当理由拒收服务或产品的，甲方向乙方偿付拒收款项总值的</w:t>
      </w:r>
      <w:r>
        <w:rPr>
          <w:rFonts w:hint="eastAsia" w:ascii="宋体" w:hAnsi="宋体" w:cs="Times New Roman"/>
          <w:sz w:val="21"/>
          <w:szCs w:val="21"/>
          <w:lang w:val="en-US" w:eastAsia="zh-CN"/>
        </w:rPr>
        <w:t>5%</w:t>
      </w:r>
      <w:r>
        <w:rPr>
          <w:rFonts w:hint="eastAsia" w:ascii="宋体" w:hAnsi="宋体" w:eastAsia="宋体" w:cs="Times New Roman"/>
          <w:sz w:val="21"/>
          <w:szCs w:val="21"/>
        </w:rPr>
        <w:t>违约金。</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15.2 甲方无故逾期验收和办理款项支付手续的,甲方应按逾期付款总额每日万分之五向乙方支付违约金。</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15.3 乙方逾期交付服务或产品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15.4 乙方所交的服务或产品数量、质量不符合合同规定及采购文件规定标准的，甲方有权拒收该服务或产品，乙方愿意更换服务或产品但逾期交付的，按乙方逾期交付处理。乙方拒绝更换服务或产品的，甲方可单方面解除合同。</w:t>
      </w:r>
    </w:p>
    <w:p>
      <w:pPr>
        <w:widowControl w:val="0"/>
        <w:spacing w:before="120" w:after="120" w:line="360" w:lineRule="auto"/>
        <w:ind w:firstLine="420"/>
        <w:jc w:val="both"/>
        <w:rPr>
          <w:rFonts w:hint="eastAsia" w:ascii="宋体" w:hAnsi="宋体" w:eastAsia="宋体" w:cs="Times New Roman"/>
          <w:sz w:val="21"/>
          <w:szCs w:val="21"/>
        </w:rPr>
      </w:pPr>
      <w:r>
        <w:rPr>
          <w:rFonts w:hint="eastAsia" w:ascii="宋体" w:hAnsi="宋体" w:eastAsia="宋体" w:cs="Times New Roman"/>
          <w:sz w:val="21"/>
          <w:szCs w:val="21"/>
        </w:rPr>
        <w:t>15.5由于乙方原因未能按照本合同要求按时按质完成升级改造服务，造成严重后果或者被上级部门书面通报、批评，则根据通报次数扣除部分合同款（第一次扣除10%，第二次扣除20%，第三次扣除30%，直至扣完）</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lang w:val="en-US" w:eastAsia="zh-CN"/>
        </w:rPr>
        <w:t>15.6</w:t>
      </w:r>
      <w:r>
        <w:rPr>
          <w:rFonts w:hint="eastAsia" w:ascii="宋体" w:hAnsi="宋体" w:cs="Times New Roman"/>
          <w:sz w:val="21"/>
          <w:szCs w:val="21"/>
          <w:lang w:val="en-US" w:eastAsia="zh-CN"/>
        </w:rPr>
        <w:t>质</w:t>
      </w:r>
      <w:r>
        <w:rPr>
          <w:rFonts w:hint="default" w:ascii="宋体" w:hAnsi="宋体" w:eastAsia="宋体" w:cs="Times New Roman"/>
          <w:sz w:val="21"/>
          <w:szCs w:val="21"/>
        </w:rPr>
        <w:t>保金的扣除与返还：在合同约定的质量保证期满后，</w:t>
      </w:r>
      <w:r>
        <w:rPr>
          <w:rFonts w:hint="eastAsia" w:ascii="宋体" w:hAnsi="宋体" w:cs="Times New Roman"/>
          <w:sz w:val="21"/>
          <w:szCs w:val="21"/>
          <w:lang w:val="en-US" w:eastAsia="zh-CN"/>
        </w:rPr>
        <w:t>乙方</w:t>
      </w:r>
      <w:r>
        <w:rPr>
          <w:rFonts w:hint="default" w:ascii="宋体" w:hAnsi="宋体" w:eastAsia="宋体" w:cs="Times New Roman"/>
          <w:sz w:val="21"/>
          <w:szCs w:val="21"/>
        </w:rPr>
        <w:t>按照合同约定履行了质量保证义务且未出现质量问题，</w:t>
      </w:r>
      <w:r>
        <w:rPr>
          <w:rFonts w:hint="eastAsia" w:ascii="宋体" w:hAnsi="宋体" w:cs="Times New Roman"/>
          <w:sz w:val="21"/>
          <w:szCs w:val="21"/>
          <w:lang w:val="en-US" w:eastAsia="zh-CN"/>
        </w:rPr>
        <w:t>甲方</w:t>
      </w:r>
      <w:r>
        <w:rPr>
          <w:rFonts w:hint="default" w:ascii="宋体" w:hAnsi="宋体" w:eastAsia="宋体" w:cs="Times New Roman"/>
          <w:sz w:val="21"/>
          <w:szCs w:val="21"/>
        </w:rPr>
        <w:t>按照合同约定及时返还质保金。如果出现质量问题，则</w:t>
      </w:r>
      <w:r>
        <w:rPr>
          <w:rFonts w:hint="eastAsia" w:ascii="宋体" w:hAnsi="宋体" w:cs="Times New Roman"/>
          <w:sz w:val="21"/>
          <w:szCs w:val="21"/>
          <w:lang w:val="en-US" w:eastAsia="zh-CN"/>
        </w:rPr>
        <w:t>甲方</w:t>
      </w:r>
      <w:r>
        <w:rPr>
          <w:rFonts w:hint="default" w:ascii="宋体" w:hAnsi="宋体" w:eastAsia="宋体" w:cs="Times New Roman"/>
          <w:sz w:val="21"/>
          <w:szCs w:val="21"/>
        </w:rPr>
        <w:t>可以根据合同约定扣除相应金额的质保金作为维修费用。</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十六、不可抗力事件处理</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16.1 在合同有效期内，任何一方因不可抗力事件导致不能履行合同，则合同履行期可延长，其延长期与不可抗力影响期相同。</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16.2 不可抗力事件发生后，应立即通知对方，并寄送有关权威机构出具的证明。</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16.3 不可抗力事件延续120天以上，双方应通过友好协商，确定是否继续履行合同。</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十七、诉讼</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17.1 双方在执行合同中所发生的一切争议，应通过协商解决。如协商不成，可向合同签订地法院起诉，合同签订地在此约定为扬州市。</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十</w:t>
      </w:r>
      <w:r>
        <w:rPr>
          <w:rFonts w:hint="eastAsia" w:ascii="宋体" w:hAnsi="宋体" w:eastAsia="宋体" w:cs="Times New Roman"/>
          <w:sz w:val="21"/>
          <w:szCs w:val="21"/>
          <w:lang w:val="en-US" w:eastAsia="zh-CN"/>
        </w:rPr>
        <w:t>八</w:t>
      </w:r>
      <w:r>
        <w:rPr>
          <w:rFonts w:hint="eastAsia" w:ascii="宋体" w:hAnsi="宋体" w:eastAsia="宋体" w:cs="Times New Roman"/>
          <w:sz w:val="21"/>
          <w:szCs w:val="21"/>
        </w:rPr>
        <w:t>、合同生效及其它</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.1 合同经双方法定代表人或授权代表签字并加盖单位公章</w:t>
      </w:r>
      <w:r>
        <w:rPr>
          <w:rFonts w:hint="eastAsia" w:ascii="宋体" w:hAnsi="宋体" w:eastAsia="宋体" w:cs="Times New Roman"/>
          <w:sz w:val="21"/>
          <w:szCs w:val="21"/>
          <w:lang w:val="en-US" w:eastAsia="zh-CN"/>
        </w:rPr>
        <w:t>后</w:t>
      </w:r>
      <w:r>
        <w:rPr>
          <w:rFonts w:hint="eastAsia" w:ascii="宋体" w:hAnsi="宋体" w:eastAsia="宋体" w:cs="Times New Roman"/>
          <w:sz w:val="21"/>
          <w:szCs w:val="21"/>
        </w:rPr>
        <w:t>生效。</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.2本合同未尽事宜，遵照《民法典》有关条文执行或双方协商解决。</w:t>
      </w:r>
    </w:p>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.3 本合同正本一式</w:t>
      </w:r>
      <w:r>
        <w:rPr>
          <w:rFonts w:hint="eastAsia" w:ascii="宋体" w:hAnsi="宋体" w:eastAsia="宋体" w:cs="Times New Roman"/>
          <w:sz w:val="21"/>
          <w:szCs w:val="21"/>
          <w:lang w:val="en-US" w:eastAsia="zh-CN"/>
        </w:rPr>
        <w:t>四</w:t>
      </w:r>
      <w:r>
        <w:rPr>
          <w:rFonts w:hint="eastAsia" w:ascii="宋体" w:hAnsi="宋体" w:eastAsia="宋体" w:cs="Times New Roman"/>
          <w:sz w:val="21"/>
          <w:szCs w:val="21"/>
        </w:rPr>
        <w:t xml:space="preserve">份，具有同等法律效力，甲方、乙方各执二份。  </w:t>
      </w:r>
    </w:p>
    <w:tbl>
      <w:tblPr>
        <w:tblStyle w:val="16"/>
        <w:tblW w:w="0" w:type="auto"/>
        <w:tblInd w:w="135"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甲方：</w:t>
            </w:r>
          </w:p>
        </w:tc>
        <w:tc>
          <w:tcPr>
            <w:tcW w:w="4238"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乙方： </w:t>
            </w:r>
          </w:p>
        </w:tc>
      </w:tr>
      <w:tr>
        <w:tblPrEx>
          <w:tblCellMar>
            <w:top w:w="0" w:type="dxa"/>
            <w:left w:w="108" w:type="dxa"/>
            <w:bottom w:w="0" w:type="dxa"/>
            <w:right w:w="108" w:type="dxa"/>
          </w:tblCellMar>
        </w:tblPrEx>
        <w:tc>
          <w:tcPr>
            <w:tcW w:w="4284"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地址：</w:t>
            </w:r>
          </w:p>
        </w:tc>
        <w:tc>
          <w:tcPr>
            <w:tcW w:w="4238"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地址： </w:t>
            </w:r>
          </w:p>
        </w:tc>
      </w:tr>
      <w:tr>
        <w:tblPrEx>
          <w:tblCellMar>
            <w:top w:w="0" w:type="dxa"/>
            <w:left w:w="108" w:type="dxa"/>
            <w:bottom w:w="0" w:type="dxa"/>
            <w:right w:w="108" w:type="dxa"/>
          </w:tblCellMar>
        </w:tblPrEx>
        <w:tc>
          <w:tcPr>
            <w:tcW w:w="4284"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法定代表人或授权代表：</w:t>
            </w:r>
          </w:p>
        </w:tc>
        <w:tc>
          <w:tcPr>
            <w:tcW w:w="4238"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法定代表人或授权代表：</w:t>
            </w:r>
          </w:p>
        </w:tc>
      </w:tr>
      <w:tr>
        <w:tblPrEx>
          <w:tblCellMar>
            <w:top w:w="0" w:type="dxa"/>
            <w:left w:w="108" w:type="dxa"/>
            <w:bottom w:w="0" w:type="dxa"/>
            <w:right w:w="108" w:type="dxa"/>
          </w:tblCellMar>
        </w:tblPrEx>
        <w:tc>
          <w:tcPr>
            <w:tcW w:w="4284"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联系电话：</w:t>
            </w:r>
          </w:p>
        </w:tc>
        <w:tc>
          <w:tcPr>
            <w:tcW w:w="4238"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联系电话：</w:t>
            </w:r>
          </w:p>
        </w:tc>
      </w:tr>
      <w:tr>
        <w:tblPrEx>
          <w:tblCellMar>
            <w:top w:w="0" w:type="dxa"/>
            <w:left w:w="108" w:type="dxa"/>
            <w:bottom w:w="0" w:type="dxa"/>
            <w:right w:w="108" w:type="dxa"/>
          </w:tblCellMar>
        </w:tblPrEx>
        <w:tc>
          <w:tcPr>
            <w:tcW w:w="4284"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 xml:space="preserve">日期：      年    月    日  </w:t>
            </w:r>
          </w:p>
        </w:tc>
        <w:tc>
          <w:tcPr>
            <w:tcW w:w="4238" w:type="dxa"/>
            <w:tcBorders>
              <w:top w:val="nil"/>
              <w:left w:val="nil"/>
              <w:bottom w:val="nil"/>
              <w:right w:val="nil"/>
            </w:tcBorders>
            <w:noWrap w:val="0"/>
          </w:tcPr>
          <w:p>
            <w:pPr>
              <w:widowControl w:val="0"/>
              <w:spacing w:before="120" w:after="120" w:line="360" w:lineRule="auto"/>
              <w:ind w:firstLine="420"/>
              <w:jc w:val="both"/>
              <w:rPr>
                <w:rFonts w:hint="default" w:ascii="宋体" w:hAnsi="宋体" w:eastAsia="宋体" w:cs="Times New Roman"/>
                <w:sz w:val="21"/>
                <w:szCs w:val="21"/>
              </w:rPr>
            </w:pPr>
            <w:r>
              <w:rPr>
                <w:rFonts w:hint="eastAsia" w:ascii="宋体" w:hAnsi="宋体" w:eastAsia="宋体" w:cs="Times New Roman"/>
                <w:sz w:val="21"/>
                <w:szCs w:val="21"/>
              </w:rPr>
              <w:t>日期：      年    月    日</w:t>
            </w:r>
          </w:p>
        </w:tc>
      </w:tr>
    </w:tbl>
    <w:p>
      <w:pPr>
        <w:widowControl w:val="0"/>
        <w:spacing w:before="120" w:after="120" w:line="360" w:lineRule="auto"/>
        <w:ind w:firstLine="420"/>
        <w:jc w:val="both"/>
        <w:rPr>
          <w:rFonts w:hint="default" w:ascii="宋体" w:hAnsi="宋体" w:eastAsia="宋体" w:cs="Times New Roman"/>
          <w:sz w:val="21"/>
          <w:szCs w:val="21"/>
        </w:rPr>
      </w:pPr>
    </w:p>
    <w:bookmarkEnd w:id="153"/>
    <w:bookmarkEnd w:id="154"/>
    <w:bookmarkEnd w:id="155"/>
    <w:bookmarkEnd w:id="156"/>
    <w:bookmarkEnd w:id="157"/>
    <w:bookmarkEnd w:id="158"/>
    <w:p>
      <w:pPr>
        <w:rPr>
          <w:rFonts w:hint="eastAsia" w:ascii="宋体" w:hAnsi="宋体"/>
          <w:sz w:val="36"/>
        </w:rPr>
      </w:pPr>
      <w:bookmarkStart w:id="159" w:name="_Hlt16619369"/>
      <w:bookmarkEnd w:id="159"/>
      <w:bookmarkStart w:id="160" w:name="_Toc100135571"/>
      <w:bookmarkStart w:id="161" w:name="_Toc99380851"/>
      <w:r>
        <w:rPr>
          <w:rFonts w:hint="eastAsia" w:ascii="宋体" w:hAnsi="宋体"/>
          <w:sz w:val="36"/>
        </w:rPr>
        <w:br w:type="page"/>
      </w:r>
    </w:p>
    <w:p>
      <w:pPr>
        <w:pStyle w:val="2"/>
        <w:numPr>
          <w:ilvl w:val="0"/>
          <w:numId w:val="6"/>
        </w:numPr>
        <w:spacing w:line="579" w:lineRule="auto"/>
        <w:jc w:val="center"/>
        <w:rPr>
          <w:rFonts w:hint="eastAsia" w:ascii="宋体" w:hAnsi="宋体"/>
          <w:sz w:val="36"/>
        </w:rPr>
      </w:pPr>
      <w:bookmarkStart w:id="162" w:name="_Toc17270"/>
      <w:r>
        <w:rPr>
          <w:rFonts w:hint="eastAsia" w:ascii="宋体" w:hAnsi="宋体"/>
          <w:sz w:val="36"/>
        </w:rPr>
        <w:t>项目需求</w:t>
      </w:r>
      <w:bookmarkEnd w:id="162"/>
    </w:p>
    <w:p>
      <w:pPr>
        <w:spacing w:line="360" w:lineRule="auto"/>
        <w:rPr>
          <w:rFonts w:ascii="宋体" w:hAnsi="宋体" w:eastAsia="宋体" w:cs="宋体"/>
          <w:b/>
          <w:bCs/>
          <w:color w:val="auto"/>
          <w:sz w:val="21"/>
          <w:szCs w:val="21"/>
        </w:rPr>
      </w:pPr>
      <w:r>
        <w:rPr>
          <w:rFonts w:hint="eastAsia" w:ascii="宋体" w:hAnsi="宋体" w:eastAsia="宋体" w:cs="宋体"/>
          <w:b/>
          <w:bCs/>
          <w:color w:val="auto"/>
          <w:sz w:val="21"/>
          <w:szCs w:val="21"/>
        </w:rPr>
        <w:t>一、项目概况</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项目编号：</w:t>
      </w:r>
      <w:r>
        <w:rPr>
          <w:rFonts w:hint="eastAsia" w:ascii="宋体" w:hAnsi="宋体" w:eastAsia="宋体" w:cs="宋体"/>
          <w:color w:val="auto"/>
          <w:szCs w:val="21"/>
          <w:lang w:eastAsia="zh-CN"/>
        </w:rPr>
        <w:t>YMXMGLZC-20240630</w:t>
      </w:r>
      <w:r>
        <w:rPr>
          <w:rFonts w:hint="eastAsia" w:ascii="宋体" w:hAnsi="宋体" w:eastAsia="宋体" w:cs="宋体"/>
          <w:color w:val="auto"/>
          <w:szCs w:val="21"/>
        </w:rPr>
        <w:t xml:space="preserve"> </w:t>
      </w:r>
    </w:p>
    <w:p>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项目名称：</w:t>
      </w:r>
      <w:r>
        <w:rPr>
          <w:rFonts w:hint="eastAsia" w:ascii="宋体" w:hAnsi="宋体" w:eastAsia="宋体" w:cs="宋体"/>
          <w:color w:val="auto"/>
          <w:szCs w:val="21"/>
          <w:lang w:eastAsia="zh-CN"/>
        </w:rPr>
        <w:t>扬州洁源新能源发电监控系统平台建设项目</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rPr>
        <w:t>：299961.21元</w:t>
      </w:r>
    </w:p>
    <w:p>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rPr>
        <w:t>：</w:t>
      </w:r>
      <w:r>
        <w:rPr>
          <w:rFonts w:hint="eastAsia" w:ascii="宋体" w:hAnsi="宋体" w:eastAsia="宋体" w:cs="宋体"/>
          <w:color w:val="auto"/>
          <w:lang w:val="en-US" w:eastAsia="zh-CN"/>
        </w:rPr>
        <w:t>自</w:t>
      </w:r>
      <w:r>
        <w:rPr>
          <w:rFonts w:hint="eastAsia" w:ascii="宋体" w:hAnsi="宋体" w:eastAsia="宋体" w:cs="宋体"/>
          <w:color w:val="auto"/>
          <w:sz w:val="21"/>
          <w:lang w:val="en-US" w:eastAsia="zh-CN"/>
        </w:rPr>
        <w:t>合同签订后，建设周期</w:t>
      </w:r>
      <w:r>
        <w:rPr>
          <w:rFonts w:hint="eastAsia" w:ascii="宋体" w:hAnsi="宋体" w:cs="宋体"/>
          <w:color w:val="auto"/>
          <w:sz w:val="21"/>
          <w:lang w:val="en-US" w:eastAsia="zh-CN"/>
        </w:rPr>
        <w:t>45个工作日</w:t>
      </w:r>
      <w:r>
        <w:rPr>
          <w:rFonts w:hint="eastAsia" w:ascii="宋体" w:hAnsi="宋体" w:eastAsia="宋体" w:cs="宋体"/>
          <w:color w:val="auto"/>
          <w:sz w:val="21"/>
          <w:lang w:val="en-US" w:eastAsia="zh-CN"/>
        </w:rPr>
        <w:t>，</w:t>
      </w:r>
      <w:r>
        <w:rPr>
          <w:rFonts w:hint="eastAsia" w:ascii="宋体" w:hAnsi="宋体" w:eastAsia="宋体" w:cs="宋体"/>
          <w:color w:val="auto"/>
          <w:sz w:val="21"/>
          <w:highlight w:val="none"/>
          <w:lang w:val="en-US" w:eastAsia="zh-CN"/>
        </w:rPr>
        <w:t>建成验收后运维</w:t>
      </w:r>
      <w:r>
        <w:rPr>
          <w:rFonts w:hint="eastAsia" w:ascii="宋体" w:hAnsi="宋体" w:cs="宋体"/>
          <w:color w:val="auto"/>
          <w:sz w:val="21"/>
          <w:highlight w:val="none"/>
          <w:lang w:val="en-US" w:eastAsia="zh-CN"/>
        </w:rPr>
        <w:t>质保</w:t>
      </w:r>
      <w:r>
        <w:rPr>
          <w:rFonts w:hint="eastAsia" w:ascii="宋体" w:hAnsi="宋体" w:eastAsia="宋体" w:cs="宋体"/>
          <w:color w:val="auto"/>
          <w:sz w:val="21"/>
          <w:highlight w:val="none"/>
          <w:lang w:val="en-US" w:eastAsia="zh-CN"/>
        </w:rPr>
        <w:t>2年。</w:t>
      </w:r>
    </w:p>
    <w:p>
      <w:pPr>
        <w:spacing w:line="240" w:lineRule="auto"/>
        <w:ind w:firstLine="211" w:firstLineChars="100"/>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项目需求</w:t>
      </w:r>
    </w:p>
    <w:p>
      <w:pPr>
        <w:pStyle w:val="9"/>
        <w:spacing w:line="400" w:lineRule="exact"/>
        <w:rPr>
          <w:rFonts w:hint="default" w:hAnsi="宋体"/>
          <w:color w:val="auto"/>
          <w:sz w:val="21"/>
          <w:szCs w:val="21"/>
          <w:lang w:val="en-US" w:eastAsia="zh-CN"/>
        </w:rPr>
      </w:pPr>
      <w:r>
        <w:rPr>
          <w:rFonts w:hint="eastAsia" w:hAnsi="宋体"/>
          <w:color w:val="auto"/>
          <w:sz w:val="21"/>
          <w:szCs w:val="21"/>
          <w:lang w:val="en-US" w:eastAsia="zh-CN"/>
        </w:rPr>
        <w:t>2.1建设目标</w:t>
      </w:r>
    </w:p>
    <w:p>
      <w:pPr>
        <w:pStyle w:val="9"/>
        <w:spacing w:line="400" w:lineRule="exact"/>
        <w:ind w:firstLine="470" w:firstLineChars="0"/>
        <w:rPr>
          <w:rFonts w:hint="eastAsia" w:hAnsi="宋体"/>
          <w:color w:val="auto"/>
          <w:sz w:val="21"/>
          <w:szCs w:val="21"/>
          <w:lang w:val="en-US" w:eastAsia="zh-CN"/>
        </w:rPr>
      </w:pPr>
      <w:r>
        <w:rPr>
          <w:rFonts w:hint="eastAsia" w:hAnsi="宋体"/>
          <w:color w:val="auto"/>
          <w:sz w:val="21"/>
          <w:szCs w:val="21"/>
          <w:lang w:val="en-US" w:eastAsia="zh-CN"/>
        </w:rPr>
        <w:t>2.1.1、项目需求：</w:t>
      </w:r>
    </w:p>
    <w:p>
      <w:pPr>
        <w:pStyle w:val="9"/>
        <w:spacing w:line="400" w:lineRule="exact"/>
        <w:ind w:firstLine="470" w:firstLineChars="0"/>
        <w:rPr>
          <w:rFonts w:hint="default" w:hAnsi="宋体"/>
          <w:color w:val="auto"/>
          <w:sz w:val="21"/>
          <w:szCs w:val="21"/>
          <w:lang w:val="en-US" w:eastAsia="zh-CN"/>
        </w:rPr>
      </w:pPr>
      <w:r>
        <w:rPr>
          <w:rFonts w:hint="eastAsia" w:hAnsi="宋体"/>
          <w:color w:val="auto"/>
          <w:sz w:val="21"/>
          <w:szCs w:val="21"/>
          <w:lang w:val="en-US" w:eastAsia="zh-CN"/>
        </w:rPr>
        <w:t>通过分布式光伏云</w:t>
      </w:r>
      <w:r>
        <w:rPr>
          <w:rFonts w:hint="eastAsia" w:ascii="宋体" w:hAnsi="宋体"/>
          <w:color w:val="auto"/>
          <w:sz w:val="21"/>
          <w:szCs w:val="21"/>
          <w:lang w:val="en-US" w:eastAsia="zh-CN"/>
        </w:rPr>
        <w:t>平台和手机AP</w:t>
      </w:r>
      <w:r>
        <w:rPr>
          <w:rFonts w:hint="eastAsia" w:hAnsi="宋体"/>
          <w:color w:val="auto"/>
          <w:sz w:val="21"/>
          <w:szCs w:val="21"/>
          <w:lang w:val="en-US" w:eastAsia="zh-CN"/>
        </w:rPr>
        <w:t>P实现对光伏电站各逆变器发电效率及发电收益的实时监测，光伏电站环境监测，光伏电站整体组网监控等功能。</w:t>
      </w:r>
    </w:p>
    <w:p>
      <w:pPr>
        <w:pStyle w:val="9"/>
        <w:spacing w:line="400" w:lineRule="exact"/>
        <w:ind w:firstLine="470" w:firstLineChars="224"/>
        <w:rPr>
          <w:rFonts w:hint="eastAsia" w:hAnsi="宋体"/>
          <w:color w:val="auto"/>
          <w:sz w:val="21"/>
          <w:szCs w:val="21"/>
          <w:lang w:val="en-US" w:eastAsia="zh-CN"/>
        </w:rPr>
      </w:pPr>
      <w:r>
        <w:rPr>
          <w:rFonts w:hint="eastAsia" w:hAnsi="宋体"/>
          <w:color w:val="auto"/>
          <w:sz w:val="21"/>
          <w:szCs w:val="21"/>
          <w:lang w:val="en-US" w:eastAsia="zh-CN"/>
        </w:rPr>
        <w:t>2.1.2、系统功能需求：</w:t>
      </w:r>
    </w:p>
    <w:p>
      <w:pPr>
        <w:pStyle w:val="9"/>
        <w:spacing w:line="400" w:lineRule="exact"/>
        <w:ind w:firstLine="464" w:firstLineChars="221"/>
        <w:rPr>
          <w:rFonts w:hint="default" w:hAnsi="宋体"/>
          <w:color w:val="auto"/>
          <w:sz w:val="21"/>
          <w:szCs w:val="21"/>
          <w:lang w:val="en-US" w:eastAsia="zh-CN"/>
        </w:rPr>
      </w:pPr>
      <w:r>
        <w:rPr>
          <w:rFonts w:hint="eastAsia" w:hAnsi="宋体"/>
          <w:color w:val="auto"/>
          <w:sz w:val="21"/>
          <w:szCs w:val="21"/>
          <w:lang w:val="en-US" w:eastAsia="zh-CN"/>
        </w:rPr>
        <w:t>逆变器监测：监测逆变器的实时电参量并提供告警。</w:t>
      </w:r>
    </w:p>
    <w:p>
      <w:pPr>
        <w:keepLines w:val="0"/>
        <w:widowControl w:val="0"/>
        <w:spacing w:line="300" w:lineRule="atLeast"/>
        <w:ind w:firstLine="420"/>
        <w:contextualSpacing/>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配电</w:t>
      </w:r>
      <w:r>
        <w:rPr>
          <w:rFonts w:hint="eastAsia" w:ascii="宋体" w:hAnsi="宋体" w:cs="宋体"/>
          <w:color w:val="auto"/>
          <w:sz w:val="21"/>
          <w:szCs w:val="21"/>
        </w:rPr>
        <w:t>图监视：</w:t>
      </w:r>
      <w:r>
        <w:rPr>
          <w:rFonts w:hint="eastAsia" w:ascii="宋体" w:hAnsi="宋体" w:cs="宋体"/>
          <w:color w:val="auto"/>
          <w:sz w:val="21"/>
          <w:szCs w:val="21"/>
          <w:lang w:val="en-US" w:eastAsia="zh-CN"/>
        </w:rPr>
        <w:t>实时监测各逆变器的运行状态，交直流运行参数。</w:t>
      </w:r>
    </w:p>
    <w:p>
      <w:pPr>
        <w:keepLines w:val="0"/>
        <w:widowControl w:val="0"/>
        <w:spacing w:line="300" w:lineRule="atLeast"/>
        <w:ind w:firstLine="420"/>
        <w:contextualSpacing/>
        <w:jc w:val="left"/>
        <w:rPr>
          <w:rFonts w:hint="eastAsia" w:ascii="宋体" w:hAnsi="宋体" w:cs="宋体"/>
          <w:color w:val="auto"/>
          <w:sz w:val="21"/>
          <w:szCs w:val="21"/>
        </w:rPr>
      </w:pPr>
      <w:r>
        <w:rPr>
          <w:rFonts w:hint="eastAsia" w:ascii="宋体" w:hAnsi="宋体" w:cs="宋体"/>
          <w:color w:val="auto"/>
          <w:sz w:val="21"/>
          <w:szCs w:val="21"/>
        </w:rPr>
        <w:t>记录功能：具有电压、电流、功率、</w:t>
      </w:r>
      <w:r>
        <w:rPr>
          <w:rFonts w:hint="eastAsia" w:ascii="宋体" w:hAnsi="宋体" w:cs="宋体"/>
          <w:color w:val="auto"/>
          <w:sz w:val="21"/>
          <w:szCs w:val="21"/>
          <w:lang w:val="en-US" w:eastAsia="zh-CN"/>
        </w:rPr>
        <w:t>发电量</w:t>
      </w:r>
      <w:r>
        <w:rPr>
          <w:rFonts w:hint="eastAsia" w:ascii="宋体" w:hAnsi="宋体" w:cs="宋体"/>
          <w:color w:val="auto"/>
          <w:sz w:val="21"/>
          <w:szCs w:val="21"/>
        </w:rPr>
        <w:t>以及事故、告警事件等各种历史数据的存储功能，以供查询、分析、打印。</w:t>
      </w:r>
    </w:p>
    <w:p>
      <w:pPr>
        <w:keepLines w:val="0"/>
        <w:widowControl w:val="0"/>
        <w:spacing w:line="300" w:lineRule="atLeast"/>
        <w:ind w:firstLine="420"/>
        <w:contextualSpacing/>
        <w:jc w:val="left"/>
        <w:rPr>
          <w:rFonts w:hint="eastAsia" w:ascii="宋体" w:hAnsi="宋体" w:cs="宋体"/>
          <w:color w:val="auto"/>
          <w:sz w:val="21"/>
          <w:szCs w:val="21"/>
        </w:rPr>
      </w:pPr>
      <w:r>
        <w:rPr>
          <w:rFonts w:hint="eastAsia" w:ascii="宋体" w:hAnsi="宋体" w:cs="宋体"/>
          <w:color w:val="auto"/>
          <w:sz w:val="21"/>
          <w:szCs w:val="21"/>
        </w:rPr>
        <w:t>报警处理：用户可以根据自己的需要分级分类筛选有关报警。</w:t>
      </w:r>
    </w:p>
    <w:p>
      <w:pPr>
        <w:keepLines w:val="0"/>
        <w:widowControl w:val="0"/>
        <w:spacing w:line="300" w:lineRule="atLeast"/>
        <w:ind w:firstLine="420"/>
        <w:contextualSpacing/>
        <w:jc w:val="left"/>
        <w:rPr>
          <w:rFonts w:hint="eastAsia" w:ascii="宋体" w:hAnsi="宋体" w:cs="宋体"/>
          <w:color w:val="auto"/>
          <w:sz w:val="21"/>
          <w:szCs w:val="21"/>
        </w:rPr>
      </w:pPr>
      <w:r>
        <w:rPr>
          <w:rFonts w:hint="eastAsia" w:ascii="宋体" w:hAnsi="宋体" w:cs="宋体"/>
          <w:color w:val="auto"/>
          <w:sz w:val="21"/>
          <w:szCs w:val="21"/>
          <w:lang w:val="en-US" w:eastAsia="zh-CN"/>
        </w:rPr>
        <w:t>用户管理：</w:t>
      </w:r>
      <w:r>
        <w:rPr>
          <w:rFonts w:hint="eastAsia" w:ascii="宋体" w:hAnsi="宋体" w:cs="宋体"/>
          <w:color w:val="auto"/>
          <w:sz w:val="21"/>
          <w:szCs w:val="21"/>
        </w:rPr>
        <w:t>具备完善的用户角色和权限管理，避免越权操作；</w:t>
      </w:r>
    </w:p>
    <w:p>
      <w:pPr>
        <w:keepLines w:val="0"/>
        <w:widowControl w:val="0"/>
        <w:spacing w:line="300" w:lineRule="atLeast"/>
        <w:ind w:firstLine="420"/>
        <w:contextualSpacing/>
        <w:jc w:val="left"/>
        <w:rPr>
          <w:rFonts w:hint="eastAsia" w:ascii="宋体" w:hAnsi="宋体" w:cs="宋体"/>
          <w:color w:val="auto"/>
          <w:sz w:val="21"/>
          <w:szCs w:val="21"/>
        </w:rPr>
      </w:pPr>
      <w:r>
        <w:rPr>
          <w:rFonts w:hint="eastAsia" w:ascii="宋体" w:hAnsi="宋体" w:cs="宋体"/>
          <w:color w:val="auto"/>
          <w:sz w:val="21"/>
          <w:szCs w:val="21"/>
        </w:rPr>
        <w:t>曲线分析功能：可以曲线形式展示实时数据库和历史数据库中的</w:t>
      </w:r>
      <w:r>
        <w:rPr>
          <w:rFonts w:hint="eastAsia" w:ascii="宋体" w:hAnsi="宋体" w:cs="宋体"/>
          <w:color w:val="auto"/>
          <w:sz w:val="21"/>
          <w:szCs w:val="21"/>
          <w:lang w:val="en-US" w:eastAsia="zh-CN"/>
        </w:rPr>
        <w:t>逆变器交直流</w:t>
      </w:r>
      <w:r>
        <w:rPr>
          <w:rFonts w:hint="eastAsia" w:ascii="宋体" w:hAnsi="宋体" w:cs="宋体"/>
          <w:color w:val="auto"/>
          <w:sz w:val="21"/>
          <w:szCs w:val="21"/>
        </w:rPr>
        <w:t>数据，以便分析其当前</w:t>
      </w:r>
      <w:r>
        <w:rPr>
          <w:rFonts w:hint="eastAsia" w:ascii="宋体" w:hAnsi="宋体" w:cs="宋体"/>
          <w:color w:val="auto"/>
          <w:sz w:val="21"/>
          <w:szCs w:val="21"/>
          <w:lang w:val="en-US" w:eastAsia="zh-CN"/>
        </w:rPr>
        <w:t>逆变器</w:t>
      </w:r>
      <w:r>
        <w:rPr>
          <w:rFonts w:hint="eastAsia" w:ascii="宋体" w:hAnsi="宋体" w:cs="宋体"/>
          <w:color w:val="auto"/>
          <w:sz w:val="21"/>
          <w:szCs w:val="21"/>
        </w:rPr>
        <w:t>运行状态及有关历史趋势；</w:t>
      </w:r>
    </w:p>
    <w:p>
      <w:pPr>
        <w:keepLines w:val="0"/>
        <w:widowControl w:val="0"/>
        <w:spacing w:line="300" w:lineRule="atLeast"/>
        <w:ind w:firstLine="420"/>
        <w:contextualSpacing/>
        <w:jc w:val="left"/>
        <w:rPr>
          <w:rFonts w:hint="eastAsia" w:ascii="宋体" w:hAnsi="宋体" w:cs="宋体"/>
          <w:color w:val="auto"/>
          <w:sz w:val="21"/>
          <w:szCs w:val="21"/>
        </w:rPr>
      </w:pPr>
      <w:r>
        <w:rPr>
          <w:rFonts w:hint="eastAsia" w:ascii="宋体" w:hAnsi="宋体" w:cs="宋体"/>
          <w:color w:val="auto"/>
          <w:sz w:val="21"/>
          <w:szCs w:val="21"/>
        </w:rPr>
        <w:t>报表统计功能：通过报表，可以方便分析</w:t>
      </w:r>
      <w:r>
        <w:rPr>
          <w:rFonts w:hint="eastAsia" w:ascii="宋体" w:hAnsi="宋体" w:cs="宋体"/>
          <w:color w:val="auto"/>
          <w:sz w:val="21"/>
          <w:szCs w:val="21"/>
          <w:lang w:val="en-US" w:eastAsia="zh-CN"/>
        </w:rPr>
        <w:t>发</w:t>
      </w:r>
      <w:r>
        <w:rPr>
          <w:rFonts w:hint="eastAsia" w:ascii="宋体" w:hAnsi="宋体" w:cs="宋体"/>
          <w:color w:val="auto"/>
          <w:sz w:val="21"/>
          <w:szCs w:val="21"/>
        </w:rPr>
        <w:t>电系统及各</w:t>
      </w:r>
      <w:r>
        <w:rPr>
          <w:rFonts w:hint="eastAsia" w:ascii="宋体" w:hAnsi="宋体" w:cs="宋体"/>
          <w:color w:val="auto"/>
          <w:sz w:val="21"/>
          <w:szCs w:val="21"/>
          <w:lang w:val="en-US" w:eastAsia="zh-CN"/>
        </w:rPr>
        <w:t>逆变器</w:t>
      </w:r>
      <w:r>
        <w:rPr>
          <w:rFonts w:hint="eastAsia" w:ascii="宋体" w:hAnsi="宋体" w:cs="宋体"/>
          <w:color w:val="auto"/>
          <w:sz w:val="21"/>
          <w:szCs w:val="21"/>
        </w:rPr>
        <w:t>运行参数，形成日报、月报，电能统计日报、月报、年报及同环比分析。</w:t>
      </w:r>
    </w:p>
    <w:p>
      <w:pPr>
        <w:keepLines w:val="0"/>
        <w:widowControl w:val="0"/>
        <w:spacing w:line="300" w:lineRule="atLeast"/>
        <w:ind w:firstLine="420"/>
        <w:contextualSpacing/>
        <w:jc w:val="left"/>
        <w:rPr>
          <w:rFonts w:hint="eastAsia" w:ascii="宋体" w:hAnsi="宋体" w:cs="宋体"/>
          <w:color w:val="auto"/>
          <w:sz w:val="21"/>
          <w:szCs w:val="21"/>
          <w:lang w:val="en-US" w:eastAsia="zh-CN"/>
        </w:rPr>
      </w:pPr>
      <w:r>
        <w:rPr>
          <w:rFonts w:hint="eastAsia" w:hAnsi="宋体"/>
          <w:color w:val="auto"/>
          <w:sz w:val="21"/>
          <w:szCs w:val="21"/>
          <w:lang w:val="en-US" w:eastAsia="zh-CN"/>
        </w:rPr>
        <w:t>2.1.3</w:t>
      </w:r>
      <w:r>
        <w:rPr>
          <w:rFonts w:hint="eastAsia" w:ascii="宋体" w:hAnsi="宋体" w:cs="宋体"/>
          <w:color w:val="auto"/>
          <w:sz w:val="21"/>
          <w:szCs w:val="21"/>
          <w:lang w:val="en-US" w:eastAsia="zh-CN"/>
        </w:rPr>
        <w:t>、特殊需求：</w:t>
      </w:r>
    </w:p>
    <w:p>
      <w:pPr>
        <w:keepLines w:val="0"/>
        <w:widowControl w:val="0"/>
        <w:spacing w:line="300" w:lineRule="atLeast"/>
        <w:ind w:firstLine="420"/>
        <w:contextualSpacing/>
        <w:jc w:val="left"/>
        <w:rPr>
          <w:rFonts w:hint="default" w:ascii="方正仿宋_GBK" w:hAnsi="方正仿宋_GBK" w:eastAsia="方正仿宋_GBK" w:cs="方正仿宋_GBK"/>
          <w:color w:val="auto"/>
          <w:kern w:val="2"/>
          <w:sz w:val="28"/>
          <w:szCs w:val="28"/>
          <w:lang w:val="en-US" w:eastAsia="zh-CN" w:bidi="ar-SA"/>
        </w:rPr>
      </w:pPr>
      <w:r>
        <w:rPr>
          <w:rFonts w:hint="eastAsia" w:ascii="宋体" w:hAnsi="宋体" w:cs="宋体"/>
          <w:color w:val="auto"/>
          <w:sz w:val="21"/>
          <w:szCs w:val="21"/>
          <w:lang w:val="en-US" w:eastAsia="zh-CN"/>
        </w:rPr>
        <w:t>原平台的历史数据的保留到新平台至少2年，新平台的报表可以直接查询和导出历史数据的对比情况表，对比内容和日期可以自由选择。</w:t>
      </w:r>
    </w:p>
    <w:p>
      <w:pPr>
        <w:pStyle w:val="9"/>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2.2、软件：系统功能与性能要求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kern w:val="2"/>
          <w:sz w:val="21"/>
          <w:szCs w:val="21"/>
          <w:lang w:val="en-US" w:eastAsia="zh-CN" w:bidi="ar-SA"/>
        </w:rPr>
      </w:pPr>
      <w:r>
        <w:rPr>
          <w:rFonts w:hint="default" w:ascii="宋体" w:hAnsi="宋体" w:eastAsia="宋体" w:cs="宋体"/>
          <w:b/>
          <w:bCs/>
          <w:color w:val="auto"/>
          <w:kern w:val="2"/>
          <w:sz w:val="21"/>
          <w:szCs w:val="21"/>
          <w:lang w:val="en-US" w:eastAsia="zh-CN" w:bidi="ar-SA"/>
        </w:rPr>
        <w:t>1．</w:t>
      </w:r>
      <w:r>
        <w:rPr>
          <w:rFonts w:hint="eastAsia" w:ascii="宋体" w:hAnsi="宋体" w:eastAsia="宋体" w:cs="宋体"/>
          <w:b/>
          <w:bCs/>
          <w:color w:val="auto"/>
          <w:kern w:val="2"/>
          <w:sz w:val="21"/>
          <w:szCs w:val="21"/>
          <w:lang w:val="en-US" w:eastAsia="zh-CN" w:bidi="ar-SA"/>
        </w:rPr>
        <w:t>访问方式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系统能通过浏览器访问，且不需要在浏览器中安装插件；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系统支持多客户端访问，多客户并发访问能力&gt;=50；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2．</w:t>
      </w:r>
      <w:r>
        <w:rPr>
          <w:rFonts w:hint="eastAsia" w:ascii="宋体" w:hAnsi="宋体" w:eastAsia="宋体" w:cs="宋体"/>
          <w:b/>
          <w:bCs/>
          <w:color w:val="auto"/>
          <w:sz w:val="21"/>
          <w:szCs w:val="21"/>
          <w:lang w:val="en-US" w:eastAsia="zh-CN"/>
        </w:rPr>
        <w:t>系统部署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系统支持跨平台部署，能同时支持Windows及Linux操作系统；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系统使用的第三方数据库应是开源免费版本；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3．</w:t>
      </w:r>
      <w:r>
        <w:rPr>
          <w:rFonts w:hint="eastAsia" w:ascii="宋体" w:hAnsi="宋体" w:eastAsia="宋体" w:cs="宋体"/>
          <w:b/>
          <w:bCs/>
          <w:color w:val="auto"/>
          <w:sz w:val="21"/>
          <w:szCs w:val="21"/>
          <w:lang w:val="en-US" w:eastAsia="zh-CN"/>
        </w:rPr>
        <w:t>页面显示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页面显示支持中英文切换；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基于HTML5方式实现组态显示和界面呈现；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平台需提供工具便于系统维护人员绘图、建模、建库等系统维护工作，电力主接线图可根据用户要求定制；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系统提供光伏配电图应为矢量图，放大缩小主接线图后图像不失真，与显示器分辨率无关；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系统登录页支持配置，用户可根据项目要求自己配置Logo、项目名称、项目图片等；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4．</w:t>
      </w:r>
      <w:r>
        <w:rPr>
          <w:rFonts w:hint="eastAsia" w:ascii="宋体" w:hAnsi="宋体" w:eastAsia="宋体" w:cs="宋体"/>
          <w:b/>
          <w:bCs/>
          <w:color w:val="auto"/>
          <w:sz w:val="21"/>
          <w:szCs w:val="21"/>
          <w:lang w:val="en-US" w:eastAsia="zh-CN"/>
        </w:rPr>
        <w:t>实时监测及曲线分析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实时监测光伏站发电情况，提供日、月、年收益统计。提供年利用小时数计算功能。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实时监测逆变器发电情况，提供日、月、年收益统计。提供年利用小时数计算功能，展示逆变器交直流侧实时数据以及历史曲线。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通过光伏配电图实时展示数据以及配电结构，数据实时性能够达到秒级刷新。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5．</w:t>
      </w:r>
      <w:r>
        <w:rPr>
          <w:rFonts w:hint="eastAsia" w:ascii="宋体" w:hAnsi="宋体" w:eastAsia="宋体" w:cs="宋体"/>
          <w:b/>
          <w:bCs/>
          <w:color w:val="auto"/>
          <w:sz w:val="21"/>
          <w:szCs w:val="21"/>
          <w:lang w:val="en-US" w:eastAsia="zh-CN"/>
        </w:rPr>
        <w:t>报表统计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系统应提供集抄报表，对逆变器或者光伏电站进行日、月、年发电量进行展示。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系统应支持设置虚拟配电回路，可将多个电表的计量电量进行合并统计；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统计报表数据应支持导出至EXCEL中；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6．</w:t>
      </w:r>
      <w:r>
        <w:rPr>
          <w:rFonts w:hint="eastAsia" w:ascii="宋体" w:hAnsi="宋体" w:eastAsia="宋体" w:cs="宋体"/>
          <w:b/>
          <w:bCs/>
          <w:color w:val="auto"/>
          <w:sz w:val="21"/>
          <w:szCs w:val="21"/>
          <w:lang w:val="en-US" w:eastAsia="zh-CN"/>
        </w:rPr>
        <w:t>告警管理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系统应支持灵活设置遥测告警限值，并且可设置限值的下限、下下限、上限、上上限，实现分段告警，可设置越限持续时间，避免短时告警误动；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系统应支持告警确认功能，只有经过确认的告警才从告警列表中消失；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系统应支持短信、手机APP、邮件、网页声光等多种告警提醒方式；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系统应支持网页端语音告警，单次或轮播可选择；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系统应支持告警分级，根据重要程度将告警分为故障、紧急、一般，并且可配置，避免遗漏重要报警；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手机APP支持告警订阅功能，支持订阅重点关注的告警，屏蔽非重要告警；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系统应支持告警统计及图表分析功能，按照已处理、未处理、告警分类、告警级别进行统计；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系统应具备采集器失电告警功能，当现场停电，采集器失电后能继续运行一段时间并向平台发送失电告警信息；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支持逆变器、现场设备离线告警及通讯状态显示；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7．</w:t>
      </w:r>
      <w:r>
        <w:rPr>
          <w:rFonts w:hint="eastAsia" w:ascii="宋体" w:hAnsi="宋体" w:eastAsia="宋体" w:cs="宋体"/>
          <w:b/>
          <w:bCs/>
          <w:color w:val="auto"/>
          <w:sz w:val="21"/>
          <w:szCs w:val="21"/>
          <w:lang w:val="en-US" w:eastAsia="zh-CN"/>
        </w:rPr>
        <w:t>数据处理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遥测、遥信数据可设置定时上传；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遥测越限、遥信变位告警实时上传；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网关上传数据需经加密和压缩；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能在上传周期内具备存储10万个数据点位的能力；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系统应具备断点续传功能，当采集器与服务器网络中断，或者服务器维护时，采集器应将此段时间内采集的数据存在采集器的电子硬盘上，待网络恢复后将数据补传到服务器上；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8．</w:t>
      </w:r>
      <w:r>
        <w:rPr>
          <w:rFonts w:hint="eastAsia" w:ascii="宋体" w:hAnsi="宋体" w:eastAsia="宋体" w:cs="宋体"/>
          <w:b/>
          <w:bCs/>
          <w:color w:val="auto"/>
          <w:sz w:val="21"/>
          <w:szCs w:val="21"/>
          <w:lang w:val="en-US" w:eastAsia="zh-CN"/>
        </w:rPr>
        <w:t>视频监控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系统应支持视频监视的功能，并具备移动侦测功能，当监视画面有变化时才存储视频数据，减少视频存储容量；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系统应提供手机、WEB使用视频监视功能，网页端可实现视频回放；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9．</w:t>
      </w:r>
      <w:r>
        <w:rPr>
          <w:rFonts w:hint="eastAsia" w:ascii="宋体" w:hAnsi="宋体" w:eastAsia="宋体" w:cs="宋体"/>
          <w:b/>
          <w:bCs/>
          <w:color w:val="auto"/>
          <w:sz w:val="21"/>
          <w:szCs w:val="21"/>
          <w:lang w:val="en-US" w:eastAsia="zh-CN"/>
        </w:rPr>
        <w:t>环境监测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系统可提供光伏站环境监测功能，实现环境温湿度、辐照度、风速等环境量的实时监测和告警；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10．</w:t>
      </w:r>
      <w:r>
        <w:rPr>
          <w:rFonts w:hint="eastAsia" w:ascii="宋体" w:hAnsi="宋体" w:eastAsia="宋体" w:cs="宋体"/>
          <w:b/>
          <w:bCs/>
          <w:color w:val="auto"/>
          <w:sz w:val="21"/>
          <w:szCs w:val="21"/>
          <w:lang w:val="en-US" w:eastAsia="zh-CN"/>
        </w:rPr>
        <w:t>数据交互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数据采集器应具备多路数据转发功能，可将采集的数据通过Modbus-TCP、104、SNMP、住建部能耗规约、MQTT等方式转发给第三方系统或平台；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数据采集器支持通过Modbus-TCP、Modbus-RTU、645、103、CJT188、BACnet-IP、OPC UA等方式采集现场设备或系统中的数据；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历史数据存储周期不得大于5分钟，时间应可根据需求调整，最小间隔不小于1分钟；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告警数据实时存储；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11．</w:t>
      </w:r>
      <w:r>
        <w:rPr>
          <w:rFonts w:hint="eastAsia" w:ascii="宋体" w:hAnsi="宋体" w:eastAsia="宋体" w:cs="宋体"/>
          <w:b/>
          <w:bCs/>
          <w:color w:val="auto"/>
          <w:sz w:val="21"/>
          <w:szCs w:val="21"/>
          <w:lang w:val="en-US" w:eastAsia="zh-CN"/>
        </w:rPr>
        <w:t>权限管理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系统具有角色管理功能，可根据角色分配菜单访问权限、基础资料编辑权限；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系统要具有以角色为单位进行批量授权，提高管理效率；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用户名和密码唯一确定，保证操作的安全可靠性；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系统应具备用户密码复杂度限定功能，可设定复杂度要求，并可人为设定密码有效期，连续多次输错密码后应锁定该用户一定时间的访问权限；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每个用户可以设定不同的主页，每次登录系统时先显示主页；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系统菜单可根据项目要求重新调整名称、顺序；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可根据每个用户单独设置系统标题栏的名称；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12．</w:t>
      </w:r>
      <w:r>
        <w:rPr>
          <w:rFonts w:hint="eastAsia" w:ascii="宋体" w:hAnsi="宋体" w:eastAsia="宋体" w:cs="宋体"/>
          <w:b/>
          <w:bCs/>
          <w:color w:val="auto"/>
          <w:sz w:val="21"/>
          <w:szCs w:val="21"/>
          <w:lang w:val="en-US" w:eastAsia="zh-CN"/>
        </w:rPr>
        <w:t>系统维护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系统日志功能，所有操作，包括系统用户登录退出，对系统的软件、调试、配置，对设备的操作、遥控等，须形成操作日志；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系统应提供基础资料配置界面，可根据项目情况灵活配置系统名称、仪表名称、变压器容量等信息，并在后续维护时可根据情况修改；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13．</w:t>
      </w:r>
      <w:r>
        <w:rPr>
          <w:rFonts w:hint="eastAsia" w:ascii="宋体" w:hAnsi="宋体" w:eastAsia="宋体" w:cs="宋体"/>
          <w:b/>
          <w:bCs/>
          <w:color w:val="auto"/>
          <w:sz w:val="21"/>
          <w:szCs w:val="21"/>
          <w:lang w:val="en-US" w:eastAsia="zh-CN"/>
        </w:rPr>
        <w:t>接口对接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可以提供API接口方便与第三方平台对接。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default" w:ascii="宋体" w:hAnsi="宋体" w:eastAsia="宋体" w:cs="宋体"/>
          <w:b/>
          <w:bCs/>
          <w:color w:val="auto"/>
          <w:kern w:val="2"/>
          <w:sz w:val="21"/>
          <w:szCs w:val="21"/>
          <w:lang w:val="en-US" w:eastAsia="zh-CN" w:bidi="ar-SA"/>
        </w:rPr>
        <w:t>14．</w:t>
      </w:r>
      <w:r>
        <w:rPr>
          <w:rFonts w:hint="eastAsia" w:ascii="宋体" w:hAnsi="宋体" w:eastAsia="宋体" w:cs="宋体"/>
          <w:b/>
          <w:bCs/>
          <w:color w:val="auto"/>
          <w:sz w:val="21"/>
          <w:szCs w:val="21"/>
          <w:lang w:val="en-US" w:eastAsia="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系统可用率&gt;99.99%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系统时钟误</w:t>
      </w: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 xml:space="preserve">&lt;±5毫秒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监控</w:t>
      </w:r>
      <w:r>
        <w:rPr>
          <w:rFonts w:hint="eastAsia" w:ascii="宋体" w:hAnsi="宋体" w:eastAsia="宋体" w:cs="宋体"/>
          <w:b w:val="0"/>
          <w:bCs w:val="0"/>
          <w:color w:val="auto"/>
          <w:sz w:val="21"/>
          <w:szCs w:val="21"/>
          <w:lang w:val="en-US" w:eastAsia="zh-CN"/>
        </w:rPr>
        <w:t>网络</w:t>
      </w:r>
      <w:r>
        <w:rPr>
          <w:rFonts w:hint="eastAsia" w:ascii="宋体" w:hAnsi="宋体" w:eastAsia="宋体" w:cs="宋体"/>
          <w:color w:val="auto"/>
          <w:sz w:val="21"/>
          <w:szCs w:val="21"/>
        </w:rPr>
        <w:t>负荷率：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正常情况下：&lt;20%；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电力系统故障情况下：&lt;30%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监控主站CPU负载率：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正常</w:t>
      </w:r>
      <w:r>
        <w:rPr>
          <w:rFonts w:hint="eastAsia" w:ascii="宋体" w:hAnsi="宋体" w:eastAsia="宋体" w:cs="宋体"/>
          <w:b w:val="0"/>
          <w:bCs w:val="0"/>
          <w:color w:val="auto"/>
          <w:sz w:val="21"/>
          <w:szCs w:val="21"/>
          <w:lang w:val="en-US" w:eastAsia="zh-CN"/>
        </w:rPr>
        <w:t>情况</w:t>
      </w:r>
      <w:r>
        <w:rPr>
          <w:rFonts w:hint="eastAsia" w:ascii="宋体" w:hAnsi="宋体" w:eastAsia="宋体" w:cs="宋体"/>
          <w:color w:val="auto"/>
          <w:sz w:val="21"/>
          <w:szCs w:val="21"/>
        </w:rPr>
        <w:t>下：&lt;15%；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电力系统故障情况下：&lt;30%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并发访问&gt;=50；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平均无故障</w:t>
      </w:r>
      <w:r>
        <w:rPr>
          <w:rFonts w:hint="eastAsia" w:ascii="宋体" w:hAnsi="宋体" w:eastAsia="宋体" w:cs="宋体"/>
          <w:b w:val="0"/>
          <w:bCs w:val="0"/>
          <w:color w:val="auto"/>
          <w:sz w:val="21"/>
          <w:szCs w:val="21"/>
          <w:lang w:val="en-US" w:eastAsia="zh-CN"/>
        </w:rPr>
        <w:t>时间</w:t>
      </w:r>
      <w:r>
        <w:rPr>
          <w:rFonts w:hint="eastAsia" w:ascii="宋体" w:hAnsi="宋体" w:eastAsia="宋体" w:cs="宋体"/>
          <w:color w:val="auto"/>
          <w:sz w:val="21"/>
          <w:szCs w:val="21"/>
        </w:rPr>
        <w:t>（MTBF）&gt;40000小时；系统总体大于30000小时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系统CPU</w:t>
      </w:r>
      <w:r>
        <w:rPr>
          <w:rFonts w:hint="eastAsia" w:ascii="宋体" w:hAnsi="宋体" w:eastAsia="宋体" w:cs="宋体"/>
          <w:b w:val="0"/>
          <w:bCs w:val="0"/>
          <w:color w:val="auto"/>
          <w:sz w:val="21"/>
          <w:szCs w:val="21"/>
          <w:lang w:val="en-US" w:eastAsia="zh-CN"/>
        </w:rPr>
        <w:t>负荷率：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正常</w:t>
      </w:r>
      <w:r>
        <w:rPr>
          <w:rFonts w:hint="eastAsia" w:ascii="宋体" w:hAnsi="宋体" w:eastAsia="宋体" w:cs="宋体"/>
          <w:b w:val="0"/>
          <w:bCs w:val="0"/>
          <w:color w:val="auto"/>
          <w:sz w:val="21"/>
          <w:szCs w:val="21"/>
          <w:lang w:val="en-US" w:eastAsia="zh-CN"/>
        </w:rPr>
        <w:t>情况</w:t>
      </w:r>
      <w:r>
        <w:rPr>
          <w:rFonts w:hint="eastAsia" w:ascii="宋体" w:hAnsi="宋体" w:eastAsia="宋体" w:cs="宋体"/>
          <w:color w:val="auto"/>
          <w:sz w:val="21"/>
          <w:szCs w:val="21"/>
        </w:rPr>
        <w:t>下应&lt;30%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事故</w:t>
      </w:r>
      <w:r>
        <w:rPr>
          <w:rFonts w:hint="eastAsia" w:ascii="宋体" w:hAnsi="宋体" w:eastAsia="宋体" w:cs="宋体"/>
          <w:b w:val="0"/>
          <w:bCs w:val="0"/>
          <w:color w:val="auto"/>
          <w:sz w:val="21"/>
          <w:szCs w:val="21"/>
          <w:lang w:val="en-US" w:eastAsia="zh-CN"/>
        </w:rPr>
        <w:t>情况</w:t>
      </w:r>
      <w:r>
        <w:rPr>
          <w:rFonts w:hint="eastAsia" w:ascii="宋体" w:hAnsi="宋体" w:eastAsia="宋体" w:cs="宋体"/>
          <w:color w:val="auto"/>
          <w:sz w:val="21"/>
          <w:szCs w:val="21"/>
        </w:rPr>
        <w:t>下任意10S内应&lt;50%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监控系统的最小存储容量应满足两年的运行要求,且不大于总容量的60%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准确率:遥信变位响应率100%,遥控正确率100%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模拟量</w:t>
      </w:r>
      <w:r>
        <w:rPr>
          <w:rFonts w:hint="eastAsia" w:ascii="宋体" w:hAnsi="宋体" w:eastAsia="宋体" w:cs="宋体"/>
          <w:b w:val="0"/>
          <w:bCs w:val="0"/>
          <w:color w:val="auto"/>
          <w:sz w:val="21"/>
          <w:szCs w:val="21"/>
          <w:lang w:val="en-US" w:eastAsia="zh-CN"/>
        </w:rPr>
        <w:t>测量</w:t>
      </w:r>
      <w:r>
        <w:rPr>
          <w:rFonts w:hint="eastAsia" w:ascii="宋体" w:hAnsi="宋体" w:eastAsia="宋体" w:cs="宋体"/>
          <w:color w:val="auto"/>
          <w:sz w:val="21"/>
          <w:szCs w:val="21"/>
        </w:rPr>
        <w:t>误差: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电流电压有功无功&lt;±0.5%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频率&lt;±0.</w:t>
      </w:r>
      <w:r>
        <w:rPr>
          <w:rFonts w:hint="eastAsia" w:ascii="宋体" w:hAnsi="宋体" w:eastAsia="宋体" w:cs="宋体"/>
          <w:b w:val="0"/>
          <w:bCs w:val="0"/>
          <w:color w:val="auto"/>
          <w:sz w:val="21"/>
          <w:szCs w:val="21"/>
          <w:lang w:val="en-US" w:eastAsia="zh-CN"/>
        </w:rPr>
        <w:t>02Hz</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事件正常记录率:100%</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页面数据</w:t>
      </w:r>
      <w:r>
        <w:rPr>
          <w:rFonts w:hint="eastAsia" w:ascii="宋体" w:hAnsi="宋体" w:eastAsia="宋体" w:cs="宋体"/>
          <w:color w:val="auto"/>
          <w:sz w:val="21"/>
          <w:szCs w:val="21"/>
        </w:rPr>
        <w:t xml:space="preserve">刷新: </w:t>
      </w:r>
      <w:r>
        <w:rPr>
          <w:rFonts w:hint="eastAsia" w:ascii="宋体" w:hAnsi="宋体" w:eastAsia="宋体" w:cs="宋体"/>
          <w:color w:val="auto"/>
          <w:sz w:val="21"/>
          <w:szCs w:val="21"/>
          <w:lang w:val="en-US" w:eastAsia="zh-CN"/>
        </w:rPr>
        <w:t>最快1</w:t>
      </w:r>
      <w:r>
        <w:rPr>
          <w:rFonts w:hint="eastAsia" w:ascii="宋体" w:hAnsi="宋体" w:eastAsia="宋体" w:cs="宋体"/>
          <w:color w:val="auto"/>
          <w:sz w:val="21"/>
          <w:szCs w:val="21"/>
        </w:rPr>
        <w:t>S</w:t>
      </w:r>
      <w:r>
        <w:rPr>
          <w:rFonts w:hint="eastAsia" w:ascii="宋体" w:hAnsi="宋体" w:eastAsia="宋体" w:cs="宋体"/>
          <w:color w:val="auto"/>
          <w:sz w:val="21"/>
          <w:szCs w:val="21"/>
          <w:lang w:eastAsia="zh-CN"/>
        </w:rPr>
        <w:t>；</w:t>
      </w:r>
    </w:p>
    <w:p>
      <w:pPr>
        <w:pStyle w:val="9"/>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2.3</w:t>
      </w:r>
      <w:r>
        <w:rPr>
          <w:rFonts w:hint="default" w:ascii="宋体" w:hAnsi="宋体"/>
          <w:color w:val="auto"/>
          <w:sz w:val="21"/>
          <w:szCs w:val="21"/>
          <w:lang w:val="en-US" w:eastAsia="zh-CN"/>
        </w:rPr>
        <w:t>、</w:t>
      </w:r>
      <w:r>
        <w:rPr>
          <w:rFonts w:hint="eastAsia" w:ascii="宋体" w:hAnsi="宋体"/>
          <w:color w:val="auto"/>
          <w:sz w:val="21"/>
          <w:szCs w:val="21"/>
          <w:lang w:val="en-US" w:eastAsia="zh-CN"/>
        </w:rPr>
        <w:t>硬件：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尽可能使用我公司各电站的硬件通讯设备如：</w:t>
      </w:r>
      <w:r>
        <w:rPr>
          <w:rFonts w:hint="eastAsia" w:ascii="宋体" w:hAnsi="宋体" w:eastAsia="宋体" w:cs="宋体"/>
          <w:color w:val="auto"/>
          <w:sz w:val="21"/>
          <w:szCs w:val="21"/>
          <w:lang w:val="en-US" w:eastAsia="zh-CN"/>
        </w:rPr>
        <w:t>监控主机、显示器、</w:t>
      </w:r>
      <w:r>
        <w:rPr>
          <w:rFonts w:hint="eastAsia" w:ascii="宋体" w:hAnsi="宋体" w:eastAsia="宋体" w:cs="宋体"/>
          <w:color w:val="auto"/>
          <w:sz w:val="21"/>
          <w:szCs w:val="21"/>
        </w:rPr>
        <w:t>交换机、数据采集器、VPN等。如需增加或更换设备请列出设备清单及单价。</w:t>
      </w:r>
    </w:p>
    <w:p>
      <w:pPr>
        <w:pStyle w:val="9"/>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2.4</w:t>
      </w:r>
      <w:r>
        <w:rPr>
          <w:rFonts w:hint="default" w:ascii="宋体" w:hAnsi="宋体"/>
          <w:color w:val="auto"/>
          <w:sz w:val="21"/>
          <w:szCs w:val="21"/>
          <w:lang w:val="en-US" w:eastAsia="zh-CN"/>
        </w:rPr>
        <w:t>、</w:t>
      </w:r>
      <w:r>
        <w:rPr>
          <w:rFonts w:hint="eastAsia" w:ascii="宋体" w:hAnsi="宋体"/>
          <w:color w:val="auto"/>
          <w:sz w:val="21"/>
          <w:szCs w:val="21"/>
          <w:lang w:val="en-US" w:eastAsia="zh-CN"/>
        </w:rPr>
        <w:t>后期新增电站：</w:t>
      </w:r>
    </w:p>
    <w:p>
      <w:pPr>
        <w:numPr>
          <w:ilvl w:val="0"/>
          <w:numId w:val="0"/>
        </w:numPr>
        <w:ind w:firstLine="420" w:firstLineChars="200"/>
        <w:rPr>
          <w:rFonts w:ascii="方正仿宋_GBK" w:hAnsi="方正仿宋_GBK" w:eastAsia="方正仿宋_GBK" w:cs="方正仿宋_GBK"/>
          <w:color w:val="auto"/>
          <w:sz w:val="28"/>
          <w:szCs w:val="28"/>
        </w:rPr>
      </w:pPr>
      <w:r>
        <w:rPr>
          <w:rFonts w:hint="eastAsia" w:ascii="宋体" w:hAnsi="宋体" w:eastAsia="宋体" w:cs="宋体"/>
          <w:color w:val="auto"/>
          <w:sz w:val="21"/>
          <w:szCs w:val="21"/>
        </w:rPr>
        <w:t>新增站点，涉及新增能耗采集器，</w:t>
      </w:r>
      <w:r>
        <w:rPr>
          <w:rFonts w:hint="eastAsia" w:ascii="宋体" w:hAnsi="宋体" w:cs="宋体"/>
          <w:color w:val="auto"/>
          <w:sz w:val="21"/>
          <w:szCs w:val="21"/>
          <w:lang w:val="en-US" w:eastAsia="zh-CN"/>
        </w:rPr>
        <w:t>须与首次平台建设项目采购品牌一致</w:t>
      </w:r>
      <w:r>
        <w:rPr>
          <w:rFonts w:hint="eastAsia" w:ascii="宋体" w:hAnsi="宋体" w:eastAsia="宋体" w:cs="宋体"/>
          <w:color w:val="auto"/>
          <w:sz w:val="21"/>
          <w:szCs w:val="21"/>
          <w:lang w:eastAsia="zh-CN"/>
        </w:rPr>
        <w:t>。</w:t>
      </w:r>
    </w:p>
    <w:p>
      <w:pPr>
        <w:pStyle w:val="9"/>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2.5</w:t>
      </w:r>
      <w:r>
        <w:rPr>
          <w:rFonts w:hint="default" w:ascii="宋体" w:hAnsi="宋体"/>
          <w:color w:val="auto"/>
          <w:sz w:val="21"/>
          <w:szCs w:val="21"/>
          <w:lang w:val="en-US" w:eastAsia="zh-CN"/>
        </w:rPr>
        <w:t>、</w:t>
      </w:r>
      <w:r>
        <w:rPr>
          <w:rFonts w:hint="eastAsia" w:ascii="宋体" w:hAnsi="宋体"/>
          <w:color w:val="auto"/>
          <w:sz w:val="21"/>
          <w:szCs w:val="21"/>
          <w:lang w:val="en-US" w:eastAsia="zh-CN"/>
        </w:rPr>
        <w:t>日常系统维护：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color w:val="auto"/>
          <w:lang w:val="en-US" w:eastAsia="zh-CN"/>
        </w:rPr>
      </w:pPr>
      <w:r>
        <w:rPr>
          <w:rFonts w:hint="eastAsia" w:ascii="宋体" w:hAnsi="宋体" w:eastAsia="宋体" w:cs="宋体"/>
          <w:color w:val="auto"/>
          <w:sz w:val="21"/>
          <w:szCs w:val="21"/>
        </w:rPr>
        <w:t>系统</w:t>
      </w:r>
      <w:r>
        <w:rPr>
          <w:rFonts w:hint="eastAsia" w:ascii="宋体" w:hAnsi="宋体" w:cs="宋体"/>
          <w:color w:val="auto"/>
          <w:sz w:val="21"/>
          <w:szCs w:val="21"/>
          <w:lang w:val="en-US" w:eastAsia="zh-CN"/>
        </w:rPr>
        <w:t>出现运行</w:t>
      </w:r>
      <w:r>
        <w:rPr>
          <w:rFonts w:hint="eastAsia" w:ascii="宋体" w:hAnsi="宋体" w:eastAsia="宋体" w:cs="宋体"/>
          <w:color w:val="auto"/>
          <w:sz w:val="21"/>
          <w:szCs w:val="21"/>
        </w:rPr>
        <w:t>问题或硬件故障，</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需24小时响应</w:t>
      </w:r>
      <w:r>
        <w:rPr>
          <w:rFonts w:hint="eastAsia" w:ascii="宋体" w:hAnsi="宋体" w:cs="宋体"/>
          <w:color w:val="auto"/>
          <w:sz w:val="21"/>
          <w:szCs w:val="21"/>
          <w:lang w:eastAsia="zh-CN"/>
        </w:rPr>
        <w:t>。</w:t>
      </w:r>
      <w:r>
        <w:rPr>
          <w:rFonts w:hint="eastAsia" w:ascii="宋体" w:hAnsi="宋体" w:eastAsia="宋体" w:cs="宋体"/>
          <w:color w:val="auto"/>
          <w:szCs w:val="21"/>
          <w:lang w:eastAsia="zh-CN"/>
        </w:rPr>
        <w:t>监控系统平台</w:t>
      </w:r>
      <w:r>
        <w:rPr>
          <w:rFonts w:hint="eastAsia" w:ascii="宋体" w:hAnsi="宋体" w:cs="宋体"/>
          <w:color w:val="auto"/>
          <w:szCs w:val="21"/>
          <w:lang w:val="en-US" w:eastAsia="zh-CN"/>
        </w:rPr>
        <w:t>建成后使用期间</w:t>
      </w:r>
      <w:r>
        <w:rPr>
          <w:rFonts w:hint="eastAsia" w:ascii="宋体" w:hAnsi="宋体" w:eastAsia="宋体" w:cs="宋体"/>
          <w:color w:val="auto"/>
          <w:szCs w:val="21"/>
          <w:lang w:val="en-US" w:eastAsia="zh-CN"/>
        </w:rPr>
        <w:t>，需提供一次免费的移机服务。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三、其他</w:t>
      </w:r>
    </w:p>
    <w:p>
      <w:pPr>
        <w:pStyle w:val="19"/>
        <w:rPr>
          <w:rFonts w:hint="eastAsia"/>
          <w:lang w:val="en-US" w:eastAsia="zh-CN"/>
        </w:rPr>
      </w:pPr>
      <w:r>
        <w:rPr>
          <w:rFonts w:hint="eastAsia"/>
          <w:lang w:val="en-US" w:eastAsia="zh-CN"/>
        </w:rPr>
        <w:t>1、具体内容详见工程量清单</w:t>
      </w:r>
    </w:p>
    <w:p>
      <w:pPr>
        <w:widowControl/>
        <w:spacing w:line="360" w:lineRule="auto"/>
        <w:ind w:firstLine="420" w:firstLineChars="200"/>
        <w:jc w:val="left"/>
        <w:rPr>
          <w:rFonts w:hint="eastAsia" w:ascii="宋体" w:hAnsi="宋体" w:eastAsia="宋体" w:cs="宋体"/>
          <w:color w:val="000000"/>
          <w:kern w:val="0"/>
          <w:sz w:val="21"/>
          <w:szCs w:val="21"/>
          <w:lang w:bidi="ar"/>
        </w:rPr>
      </w:pPr>
      <w:r>
        <w:rPr>
          <w:rFonts w:hint="eastAsia"/>
          <w:lang w:val="en-US" w:eastAsia="zh-CN"/>
        </w:rPr>
        <w:t>2、</w:t>
      </w:r>
      <w:r>
        <w:rPr>
          <w:rFonts w:hint="eastAsia" w:ascii="宋体" w:hAnsi="宋体" w:eastAsia="宋体" w:cs="宋体"/>
          <w:i/>
          <w:color w:val="000000"/>
          <w:kern w:val="0"/>
          <w:sz w:val="21"/>
          <w:szCs w:val="21"/>
          <w:u w:val="single"/>
          <w:lang w:bidi="ar"/>
        </w:rPr>
        <w:t>供应商的磋商报价，应当包括完成提供的工程量清单范围内的所有项目以及与本项目相关的所需的全部费用，供应商已标价工程量清单中如果出现少算、漏算费用或未填单价和合价的工程项目，其费用视为已分摊在工程量清单中其他已标价的相关子目的单价或价格之中。除本采购文件或合同另有约定外，结算时不得调整。</w:t>
      </w:r>
    </w:p>
    <w:p>
      <w:pPr>
        <w:pStyle w:val="19"/>
        <w:ind w:left="0" w:leftChars="0" w:firstLine="0" w:firstLineChars="0"/>
        <w:rPr>
          <w:rFonts w:hint="eastAsia"/>
        </w:rPr>
      </w:pPr>
      <w:r>
        <w:rPr>
          <w:rFonts w:hint="eastAsia"/>
          <w:color w:val="000000"/>
          <w:sz w:val="30"/>
          <w:szCs w:val="30"/>
        </w:rPr>
        <w:br w:type="page"/>
      </w:r>
    </w:p>
    <w:p>
      <w:pPr>
        <w:pStyle w:val="2"/>
        <w:spacing w:line="579" w:lineRule="auto"/>
        <w:jc w:val="center"/>
        <w:rPr>
          <w:rFonts w:hint="eastAsia" w:ascii="宋体" w:hAnsi="宋体" w:eastAsia="宋体" w:cs="Times New Roman"/>
          <w:sz w:val="36"/>
        </w:rPr>
      </w:pPr>
      <w:bookmarkStart w:id="163" w:name="_Toc16701"/>
      <w:r>
        <w:rPr>
          <w:rFonts w:hint="eastAsia" w:ascii="宋体" w:hAnsi="宋体" w:eastAsia="宋体" w:cs="Times New Roman"/>
          <w:sz w:val="36"/>
        </w:rPr>
        <w:t>第</w:t>
      </w:r>
      <w:r>
        <w:rPr>
          <w:rFonts w:hint="eastAsia" w:ascii="宋体" w:hAnsi="宋体" w:eastAsia="宋体" w:cs="Times New Roman"/>
          <w:sz w:val="36"/>
          <w:lang w:val="en-US" w:eastAsia="zh-CN"/>
        </w:rPr>
        <w:t>五</w:t>
      </w:r>
      <w:r>
        <w:rPr>
          <w:rFonts w:hint="eastAsia" w:ascii="宋体" w:hAnsi="宋体" w:eastAsia="宋体" w:cs="Times New Roman"/>
          <w:sz w:val="36"/>
        </w:rPr>
        <w:t>章 评标方法及评标标准</w:t>
      </w:r>
      <w:bookmarkEnd w:id="163"/>
    </w:p>
    <w:p>
      <w:pPr>
        <w:keepNext w:val="0"/>
        <w:keepLines w:val="0"/>
        <w:pageBreakBefore w:val="0"/>
        <w:widowControl w:val="0"/>
        <w:spacing w:line="44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一、评标方法</w:t>
      </w:r>
    </w:p>
    <w:p>
      <w:pPr>
        <w:keepNext w:val="0"/>
        <w:keepLines w:val="0"/>
        <w:pageBreakBefore w:val="0"/>
        <w:widowControl w:val="0"/>
        <w:spacing w:line="440" w:lineRule="exact"/>
        <w:ind w:firstLine="420"/>
        <w:rPr>
          <w:rFonts w:hint="eastAsia" w:ascii="宋体" w:hAnsi="宋体" w:eastAsia="宋体" w:cs="宋体"/>
          <w:color w:val="000000"/>
          <w:highlight w:val="none"/>
        </w:rPr>
      </w:pPr>
      <w:r>
        <w:rPr>
          <w:rFonts w:hint="eastAsia" w:ascii="宋体" w:hAnsi="宋体" w:eastAsia="宋体" w:cs="宋体"/>
          <w:color w:val="000000"/>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rPr>
          <w:rFonts w:hint="eastAsia"/>
          <w:b/>
          <w:bCs/>
        </w:rPr>
      </w:pPr>
      <w:r>
        <w:rPr>
          <w:rFonts w:hint="eastAsia" w:ascii="宋体" w:hAnsi="宋体" w:cs="宋体"/>
          <w:b/>
          <w:color w:val="000000"/>
          <w:kern w:val="1"/>
          <w:szCs w:val="21"/>
          <w:highlight w:val="none"/>
        </w:rPr>
        <w:t>二、评标标准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rPr>
            </w:pPr>
            <w:r>
              <w:rPr>
                <w:rFonts w:hint="eastAsia" w:ascii="宋体" w:hAnsi="宋体" w:cs="宋体"/>
                <w:color w:val="000000"/>
                <w:szCs w:val="21"/>
              </w:rPr>
              <w:t>项目</w:t>
            </w:r>
          </w:p>
        </w:tc>
        <w:tc>
          <w:tcPr>
            <w:tcW w:w="66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rPr>
            </w:pPr>
            <w:r>
              <w:rPr>
                <w:rFonts w:hint="eastAsia" w:ascii="宋体" w:hAnsi="宋体" w:cs="宋体"/>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价格（</w:t>
            </w:r>
            <w:r>
              <w:rPr>
                <w:rFonts w:hint="eastAsia" w:ascii="宋体" w:hAnsi="宋体" w:cs="宋体"/>
                <w:color w:val="000000"/>
                <w:szCs w:val="21"/>
                <w:lang w:val="en-US" w:eastAsia="zh-CN"/>
              </w:rPr>
              <w:t>30</w:t>
            </w:r>
            <w:r>
              <w:rPr>
                <w:rFonts w:hint="eastAsia" w:ascii="宋体" w:hAnsi="宋体" w:cs="宋体"/>
                <w:color w:val="000000"/>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Cs w:val="21"/>
              </w:rPr>
            </w:pPr>
            <w:r>
              <w:rPr>
                <w:rFonts w:hint="eastAsia" w:ascii="宋体" w:hAnsi="宋体" w:cs="宋体"/>
                <w:color w:val="000000"/>
                <w:kern w:val="0"/>
                <w:szCs w:val="21"/>
              </w:rPr>
              <w:t>以满足</w:t>
            </w:r>
            <w:r>
              <w:rPr>
                <w:rFonts w:hint="eastAsia" w:ascii="宋体" w:hAnsi="宋体" w:cs="宋体"/>
                <w:color w:val="000000"/>
                <w:kern w:val="0"/>
                <w:szCs w:val="21"/>
                <w:lang w:val="en-US" w:eastAsia="zh-CN"/>
              </w:rPr>
              <w:t>磋商</w:t>
            </w:r>
            <w:r>
              <w:rPr>
                <w:rFonts w:hint="eastAsia" w:ascii="宋体" w:hAnsi="宋体" w:cs="宋体"/>
                <w:color w:val="000000"/>
                <w:kern w:val="0"/>
                <w:szCs w:val="21"/>
              </w:rPr>
              <w:t>文件要求的最低投标报价为评标基准价，得满分</w:t>
            </w:r>
            <w:r>
              <w:rPr>
                <w:rFonts w:hint="eastAsia" w:ascii="宋体" w:hAnsi="宋体" w:cs="宋体"/>
                <w:color w:val="000000"/>
                <w:kern w:val="0"/>
                <w:szCs w:val="21"/>
                <w:lang w:val="en-US" w:eastAsia="zh-CN"/>
              </w:rPr>
              <w:t>30</w:t>
            </w:r>
            <w:r>
              <w:rPr>
                <w:rFonts w:hint="eastAsia" w:ascii="宋体" w:hAnsi="宋体" w:cs="宋体"/>
                <w:color w:val="000000"/>
                <w:kern w:val="0"/>
                <w:szCs w:val="21"/>
              </w:rPr>
              <w:t>分，其他投标报价得分=（评标基准价/其他投标报价）×</w:t>
            </w:r>
            <w:r>
              <w:rPr>
                <w:rFonts w:hint="eastAsia" w:ascii="宋体" w:hAnsi="宋体" w:cs="宋体"/>
                <w:color w:val="000000"/>
                <w:kern w:val="0"/>
                <w:szCs w:val="21"/>
                <w:lang w:val="en-US" w:eastAsia="zh-CN"/>
              </w:rPr>
              <w:t>30</w:t>
            </w:r>
            <w:r>
              <w:rPr>
                <w:rFonts w:hint="eastAsia" w:ascii="宋体" w:hAnsi="宋体" w:cs="宋体"/>
                <w:color w:val="000000"/>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69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rPr>
            </w:pPr>
            <w:r>
              <w:rPr>
                <w:rFonts w:hint="eastAsia" w:ascii="宋体" w:hAnsi="宋体" w:eastAsia="宋体" w:cs="宋体"/>
                <w:b w:val="0"/>
                <w:bCs w:val="0"/>
                <w:sz w:val="21"/>
                <w:szCs w:val="21"/>
              </w:rPr>
              <w:t>系统功能与性能要求</w:t>
            </w:r>
            <w:r>
              <w:rPr>
                <w:rFonts w:hint="eastAsia" w:ascii="宋体" w:hAnsi="宋体" w:eastAsia="宋体"/>
                <w:sz w:val="21"/>
                <w:szCs w:val="21"/>
              </w:rPr>
              <w:t>（1</w:t>
            </w:r>
            <w:r>
              <w:rPr>
                <w:rFonts w:hint="eastAsia" w:ascii="宋体" w:hAnsi="宋体"/>
                <w:sz w:val="21"/>
                <w:szCs w:val="21"/>
                <w:lang w:val="en-US" w:eastAsia="zh-CN"/>
              </w:rPr>
              <w:t>4</w:t>
            </w:r>
            <w:r>
              <w:rPr>
                <w:rFonts w:hint="eastAsia" w:ascii="宋体" w:hAnsi="宋体" w:eastAsia="宋体"/>
                <w:sz w:val="21"/>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Cs w:val="21"/>
              </w:rPr>
            </w:pPr>
            <w:r>
              <w:rPr>
                <w:rFonts w:hint="eastAsia" w:eastAsia="宋体"/>
                <w:sz w:val="21"/>
                <w:lang w:val="en-US"/>
              </w:rPr>
              <w:t>根据</w:t>
            </w:r>
            <w:r>
              <w:rPr>
                <w:rFonts w:hint="eastAsia" w:eastAsia="宋体"/>
                <w:sz w:val="21"/>
                <w:lang w:val="en-US" w:eastAsia="zh-CN"/>
              </w:rPr>
              <w:t>磋商</w:t>
            </w:r>
            <w:r>
              <w:rPr>
                <w:rFonts w:hint="eastAsia" w:eastAsia="宋体"/>
                <w:sz w:val="21"/>
                <w:lang w:val="en-US"/>
              </w:rPr>
              <w:t>文件对</w:t>
            </w:r>
            <w:r>
              <w:rPr>
                <w:rFonts w:hint="eastAsia" w:ascii="宋体" w:hAnsi="宋体" w:eastAsia="宋体" w:cs="宋体"/>
                <w:b w:val="0"/>
                <w:bCs w:val="0"/>
                <w:sz w:val="21"/>
                <w:szCs w:val="21"/>
              </w:rPr>
              <w:t>系统功能与性能要求</w:t>
            </w:r>
            <w:r>
              <w:rPr>
                <w:rFonts w:hint="eastAsia" w:eastAsia="宋体"/>
                <w:sz w:val="21"/>
                <w:lang w:val="en-US"/>
              </w:rPr>
              <w:t>响应情况，完全响应得满分</w:t>
            </w:r>
            <w:r>
              <w:rPr>
                <w:rFonts w:hint="eastAsia" w:ascii="宋体" w:hAnsi="宋体" w:eastAsia="宋体"/>
                <w:sz w:val="21"/>
                <w:szCs w:val="21"/>
              </w:rPr>
              <w:t>（1</w:t>
            </w:r>
            <w:r>
              <w:rPr>
                <w:rFonts w:hint="eastAsia" w:ascii="宋体" w:hAnsi="宋体"/>
                <w:sz w:val="21"/>
                <w:szCs w:val="21"/>
                <w:lang w:val="en-US" w:eastAsia="zh-CN"/>
              </w:rPr>
              <w:t>4</w:t>
            </w:r>
            <w:r>
              <w:rPr>
                <w:rFonts w:hint="eastAsia" w:ascii="宋体" w:hAnsi="宋体" w:eastAsia="宋体"/>
                <w:sz w:val="21"/>
                <w:szCs w:val="21"/>
              </w:rPr>
              <w:t>分）</w:t>
            </w:r>
            <w:r>
              <w:rPr>
                <w:rFonts w:hint="eastAsia" w:eastAsia="宋体"/>
                <w:sz w:val="21"/>
                <w:lang w:val="en-US"/>
              </w:rPr>
              <w:t>。每有一项负偏离，扣1分，扣完为止。</w:t>
            </w:r>
            <w:r>
              <w:rPr>
                <w:rFonts w:hint="eastAsia" w:eastAsia="宋体"/>
                <w:b/>
                <w:bCs/>
                <w:sz w:val="21"/>
                <w:lang w:val="en-US"/>
              </w:rPr>
              <w:t>（注：</w:t>
            </w:r>
            <w:r>
              <w:rPr>
                <w:rFonts w:hint="eastAsia" w:eastAsia="宋体"/>
                <w:b/>
                <w:bCs/>
                <w:sz w:val="21"/>
                <w:lang w:val="en-US" w:eastAsia="zh-CN"/>
              </w:rPr>
              <w:t>投标人</w:t>
            </w:r>
            <w:r>
              <w:rPr>
                <w:rFonts w:hint="eastAsia" w:eastAsia="宋体"/>
                <w:b/>
                <w:bCs/>
                <w:sz w:val="21"/>
                <w:lang w:val="en-US"/>
              </w:rPr>
              <w:t>须进行点对点应答，必须在引用本采购文件的基础上,进行逐条逐项答复、说明和解释,特别对有具体参数要求的功能指标，</w:t>
            </w:r>
            <w:r>
              <w:rPr>
                <w:rFonts w:hint="eastAsia" w:eastAsia="宋体"/>
                <w:b/>
                <w:bCs/>
                <w:sz w:val="21"/>
                <w:lang w:val="en-US" w:eastAsia="zh-CN"/>
              </w:rPr>
              <w:t>投标人</w:t>
            </w:r>
            <w:r>
              <w:rPr>
                <w:rFonts w:hint="eastAsia" w:eastAsia="宋体"/>
                <w:b/>
                <w:bCs/>
                <w:sz w:val="21"/>
                <w:lang w:val="en-US"/>
              </w:rPr>
              <w:t>必须提供所投产品的具体参数值，不满足上述要求的视为未响应</w:t>
            </w:r>
            <w:r>
              <w:rPr>
                <w:rFonts w:hint="eastAsia" w:eastAsia="宋体"/>
                <w:b/>
                <w:bCs/>
                <w:sz w:val="21"/>
                <w:lang w:val="en-US" w:eastAsia="zh-CN"/>
              </w:rPr>
              <w:t>磋商</w:t>
            </w:r>
            <w:r>
              <w:rPr>
                <w:rFonts w:hint="eastAsia" w:eastAsia="宋体"/>
                <w:b/>
                <w:bCs/>
                <w:sz w:val="21"/>
                <w:lang w:val="en-US"/>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系统演示</w:t>
            </w:r>
          </w:p>
          <w:p>
            <w:pPr>
              <w:spacing w:line="440" w:lineRule="exact"/>
              <w:jc w:val="center"/>
              <w:rPr>
                <w:rFonts w:ascii="宋体" w:hAnsi="宋体" w:cs="宋体"/>
                <w:color w:val="000000"/>
                <w:szCs w:val="21"/>
              </w:rPr>
            </w:pPr>
            <w:r>
              <w:rPr>
                <w:rFonts w:hint="eastAsia" w:ascii="宋体" w:hAnsi="宋体" w:eastAsia="宋体" w:cs="宋体"/>
                <w:sz w:val="21"/>
                <w:szCs w:val="21"/>
              </w:rPr>
              <w:t>（</w:t>
            </w:r>
            <w:r>
              <w:rPr>
                <w:rFonts w:hint="eastAsia" w:ascii="宋体" w:hAnsi="宋体" w:cs="宋体"/>
                <w:sz w:val="21"/>
                <w:szCs w:val="21"/>
                <w:lang w:val="en-US" w:eastAsia="zh-CN"/>
              </w:rPr>
              <w:t>25</w:t>
            </w:r>
            <w:r>
              <w:rPr>
                <w:rFonts w:hint="eastAsia" w:ascii="宋体" w:hAnsi="宋体" w:eastAsia="宋体" w:cs="宋体"/>
                <w:sz w:val="21"/>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240" w:lineRule="auto"/>
              <w:jc w:val="left"/>
              <w:rPr>
                <w:rFonts w:ascii="宋体" w:hAnsi="宋体" w:cs="宋体"/>
                <w:color w:val="000000"/>
                <w:szCs w:val="21"/>
              </w:rPr>
            </w:pPr>
            <w:r>
              <w:rPr>
                <w:rFonts w:hint="eastAsia" w:ascii="宋体" w:hAnsi="宋体" w:eastAsia="宋体" w:cs="宋体"/>
                <w:sz w:val="21"/>
                <w:szCs w:val="21"/>
              </w:rPr>
              <w:t>投标人需对本次项目系统功能进行现场演示，评标委员会根据现场讲解</w:t>
            </w:r>
            <w:r>
              <w:rPr>
                <w:rFonts w:hint="eastAsia" w:ascii="宋体" w:hAnsi="宋体" w:eastAsia="宋体" w:cs="宋体"/>
                <w:sz w:val="21"/>
                <w:szCs w:val="21"/>
                <w:lang w:eastAsia="zh-CN"/>
              </w:rPr>
              <w:t>和</w:t>
            </w:r>
            <w:r>
              <w:rPr>
                <w:rFonts w:hint="eastAsia" w:ascii="宋体" w:hAnsi="宋体" w:eastAsia="宋体" w:cs="宋体"/>
                <w:sz w:val="21"/>
                <w:szCs w:val="21"/>
              </w:rPr>
              <w:t>系统演示情况与</w:t>
            </w:r>
            <w:r>
              <w:rPr>
                <w:rFonts w:hint="eastAsia" w:ascii="宋体" w:hAnsi="宋体" w:eastAsia="宋体" w:cs="宋体"/>
                <w:sz w:val="21"/>
                <w:szCs w:val="21"/>
                <w:lang w:val="en-US" w:eastAsia="zh-CN"/>
              </w:rPr>
              <w:t>招标文件</w:t>
            </w:r>
            <w:r>
              <w:rPr>
                <w:rFonts w:hint="eastAsia" w:ascii="宋体" w:hAnsi="宋体" w:eastAsia="宋体" w:cs="宋体"/>
                <w:sz w:val="21"/>
                <w:szCs w:val="21"/>
              </w:rPr>
              <w:t>文件要求的贴合程度进行综合打分，演示时间不超过20分钟。</w:t>
            </w:r>
            <w:r>
              <w:rPr>
                <w:rFonts w:hint="eastAsia" w:ascii="宋体" w:hAnsi="宋体" w:eastAsia="宋体" w:cs="宋体"/>
                <w:b/>
                <w:bCs/>
                <w:sz w:val="21"/>
                <w:szCs w:val="21"/>
              </w:rPr>
              <w:t xml:space="preserve">(注:所有演示内容须为同一系统下的功能，使用多个系统拼凑或以PPT或系统截图演示的一律不得分) </w:t>
            </w:r>
            <w:r>
              <w:rPr>
                <w:rFonts w:hint="eastAsia" w:ascii="宋体" w:hAnsi="宋体" w:eastAsia="宋体" w:cs="宋体"/>
                <w:b w:val="0"/>
                <w:bCs w:val="0"/>
                <w:sz w:val="21"/>
                <w:szCs w:val="21"/>
              </w:rPr>
              <w:t>根据演示功能完整性、科学性评分，满分</w:t>
            </w:r>
            <w:r>
              <w:rPr>
                <w:rFonts w:hint="eastAsia" w:ascii="宋体" w:hAnsi="宋体" w:cs="宋体"/>
                <w:b w:val="0"/>
                <w:bCs w:val="0"/>
                <w:sz w:val="21"/>
                <w:szCs w:val="21"/>
                <w:lang w:val="en-US" w:eastAsia="zh-CN"/>
              </w:rPr>
              <w:t>25</w:t>
            </w:r>
            <w:r>
              <w:rPr>
                <w:rFonts w:hint="eastAsia" w:ascii="宋体" w:hAnsi="宋体" w:eastAsia="宋体" w:cs="宋体"/>
                <w:b w:val="0"/>
                <w:bCs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业绩（</w:t>
            </w:r>
            <w:r>
              <w:rPr>
                <w:rFonts w:hint="eastAsia" w:ascii="宋体" w:hAnsi="宋体" w:cs="宋体"/>
                <w:color w:val="000000"/>
                <w:szCs w:val="21"/>
                <w:lang w:val="en-US" w:eastAsia="zh-CN"/>
              </w:rPr>
              <w:t>9</w:t>
            </w:r>
            <w:r>
              <w:rPr>
                <w:rFonts w:hint="eastAsia" w:ascii="宋体" w:hAnsi="宋体" w:cs="宋体"/>
                <w:color w:val="000000"/>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年1月1日以来</w:t>
            </w:r>
            <w:r>
              <w:rPr>
                <w:rFonts w:hint="eastAsia" w:ascii="宋体" w:hAnsi="宋体" w:cs="宋体"/>
                <w:kern w:val="0"/>
                <w:szCs w:val="21"/>
                <w:lang w:bidi="ar"/>
              </w:rPr>
              <w:t>供应商（生产商或代理商）</w:t>
            </w:r>
            <w:r>
              <w:rPr>
                <w:rFonts w:hint="eastAsia" w:ascii="宋体" w:hAnsi="宋体" w:cs="宋体"/>
                <w:color w:val="000000"/>
                <w:szCs w:val="21"/>
              </w:rPr>
              <w:t>具备类似项目业绩的，有1份合同得</w:t>
            </w:r>
            <w:r>
              <w:rPr>
                <w:rFonts w:hint="eastAsia" w:ascii="宋体" w:hAnsi="宋体" w:cs="宋体"/>
                <w:color w:val="000000"/>
                <w:szCs w:val="21"/>
                <w:lang w:val="en-US" w:eastAsia="zh-CN"/>
              </w:rPr>
              <w:t>3</w:t>
            </w:r>
            <w:r>
              <w:rPr>
                <w:rFonts w:hint="eastAsia" w:ascii="宋体" w:hAnsi="宋体" w:cs="宋体"/>
                <w:color w:val="000000"/>
                <w:szCs w:val="21"/>
              </w:rPr>
              <w:t>分，满分</w:t>
            </w:r>
            <w:r>
              <w:rPr>
                <w:rFonts w:hint="eastAsia" w:ascii="宋体" w:hAnsi="宋体" w:cs="宋体"/>
                <w:color w:val="000000"/>
                <w:szCs w:val="21"/>
                <w:lang w:val="en-US" w:eastAsia="zh-CN"/>
              </w:rPr>
              <w:t>9</w:t>
            </w:r>
            <w:r>
              <w:rPr>
                <w:rFonts w:hint="eastAsia" w:ascii="宋体" w:hAnsi="宋体" w:cs="宋体"/>
                <w:color w:val="000000"/>
                <w:szCs w:val="21"/>
              </w:rPr>
              <w:t>分。（提供合同复印件加盖公章，原件现场备查）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运维服务</w:t>
            </w:r>
          </w:p>
          <w:p>
            <w:pPr>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lang w:val="en-US" w:eastAsia="zh-CN"/>
              </w:rPr>
              <w:t>1、</w:t>
            </w:r>
            <w:r>
              <w:rPr>
                <w:rFonts w:hint="eastAsia"/>
              </w:rPr>
              <w:t>投标人应有完善的应急处置预案，详细阐述当设备出现故障时，修复故障的时间、方式，以及当48小时不能恢复正常能够以手工方式等方式开展应急监测的形式、设备等。应急预案实用、合理、科学、完整，设备先进的，得</w:t>
            </w:r>
            <w:r>
              <w:rPr>
                <w:rFonts w:hint="eastAsia"/>
                <w:lang w:val="en-US" w:eastAsia="zh-CN"/>
              </w:rPr>
              <w:t>3</w:t>
            </w:r>
            <w:r>
              <w:rPr>
                <w:rFonts w:hint="eastAsia"/>
              </w:rPr>
              <w:t>分；应急方案较为实用、合理、科学、完整，设备较为先进的，得</w:t>
            </w:r>
            <w:r>
              <w:rPr>
                <w:rFonts w:hint="eastAsia"/>
                <w:lang w:val="en-US" w:eastAsia="zh-CN"/>
              </w:rPr>
              <w:t>2</w:t>
            </w:r>
            <w:r>
              <w:rPr>
                <w:rFonts w:hint="eastAsia"/>
              </w:rPr>
              <w:t>分；应急方案实用性、合理性、科学性、完整性，设备先进性一般的，得1分；应急预案无参考价值的不得分。</w:t>
            </w:r>
          </w:p>
          <w:p>
            <w:r>
              <w:rPr>
                <w:rFonts w:hint="eastAsia"/>
                <w:lang w:val="en-US" w:eastAsia="zh-CN"/>
              </w:rPr>
              <w:t>2、</w:t>
            </w:r>
            <w:r>
              <w:rPr>
                <w:rFonts w:hint="eastAsia"/>
              </w:rPr>
              <w:t>投标人应有完善的售后服务及运营维护方案；详细阐述售后服务保障体系，说明可提供售后服务内容、售后服务周期、响应时间、备品配件价格等方面内容；售后服务、运营维护及质控方案实用、合理、完整，售后服务期长，得</w:t>
            </w:r>
            <w:r>
              <w:rPr>
                <w:rFonts w:hint="eastAsia"/>
                <w:lang w:val="en-US" w:eastAsia="zh-CN"/>
              </w:rPr>
              <w:t>3</w:t>
            </w:r>
            <w:r>
              <w:rPr>
                <w:rFonts w:hint="eastAsia"/>
              </w:rPr>
              <w:t>分；售后服务、运营维护及质控方案较为实用、合理、完整，售后服务期较长的，得</w:t>
            </w:r>
            <w:r>
              <w:rPr>
                <w:rFonts w:hint="eastAsia"/>
                <w:lang w:val="en-US" w:eastAsia="zh-CN"/>
              </w:rPr>
              <w:t>2</w:t>
            </w:r>
            <w:r>
              <w:rPr>
                <w:rFonts w:hint="eastAsia"/>
              </w:rPr>
              <w:t>分；售后服务、运营维护及质控方案实用性、合理性、完整性一般，售后服务期较短的，得1分；方案无参考价值的不得分。</w:t>
            </w:r>
          </w:p>
          <w:p>
            <w:pPr>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、培训服务方案：培训承诺符合要求，安排合理得</w:t>
            </w:r>
            <w:r>
              <w:rPr>
                <w:rFonts w:hint="eastAsia" w:ascii="宋体" w:hAnsi="宋体" w:cs="宋体"/>
                <w:color w:val="000000"/>
                <w:szCs w:val="21"/>
                <w:lang w:val="en-US" w:eastAsia="zh-CN"/>
              </w:rPr>
              <w:t>3</w:t>
            </w:r>
            <w:r>
              <w:rPr>
                <w:rFonts w:hint="eastAsia" w:ascii="宋体" w:hAnsi="宋体" w:cs="宋体"/>
                <w:color w:val="000000"/>
                <w:szCs w:val="21"/>
              </w:rPr>
              <w:t>分；培训承诺符合要求，安排一般得1分；培训承诺不符合要求不得分。</w:t>
            </w:r>
          </w:p>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r>
              <w:rPr>
                <w:rFonts w:hint="eastAsia" w:ascii="宋体" w:hAnsi="宋体" w:cs="宋体"/>
                <w:color w:val="000000"/>
                <w:szCs w:val="21"/>
              </w:rPr>
              <w:t>、服务响应时间：承诺服务响应时间在1小时以内的得3分，服务响应时间在2小时以内的得2分，服务响应时间在2小时以上的得1分，未承诺的不得分。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color w:val="000000"/>
                <w:szCs w:val="21"/>
                <w:lang w:val="en-US" w:eastAsia="zh-CN"/>
              </w:rPr>
            </w:pPr>
            <w:r>
              <w:rPr>
                <w:rFonts w:hint="eastAsia" w:ascii="宋体" w:hAnsi="宋体" w:cs="宋体"/>
                <w:color w:val="000000"/>
                <w:szCs w:val="21"/>
                <w:lang w:val="en-US" w:eastAsia="zh-CN"/>
              </w:rPr>
              <w:t>企业实力（5分）</w:t>
            </w:r>
          </w:p>
        </w:tc>
        <w:tc>
          <w:tcPr>
            <w:tcW w:w="66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default" w:ascii="宋体" w:hAnsi="宋体" w:eastAsia="宋体" w:cs="宋体"/>
                <w:kern w:val="0"/>
                <w:szCs w:val="21"/>
                <w:lang w:val="en-US" w:eastAsia="zh-CN" w:bidi="ar"/>
              </w:rPr>
            </w:pPr>
            <w:r>
              <w:rPr>
                <w:rFonts w:hint="eastAsia" w:ascii="宋体" w:hAnsi="宋体" w:cs="宋体"/>
                <w:kern w:val="0"/>
                <w:szCs w:val="21"/>
                <w:lang w:bidi="ar"/>
              </w:rPr>
              <w:t>供应商（生产商或代理商）需提供厂商的分布式光伏软件著作权证书</w:t>
            </w:r>
            <w:r>
              <w:rPr>
                <w:rFonts w:hint="eastAsia" w:ascii="宋体" w:hAnsi="宋体" w:cs="宋体"/>
                <w:kern w:val="0"/>
                <w:szCs w:val="21"/>
                <w:lang w:val="en-US" w:eastAsia="zh-CN" w:bidi="ar"/>
              </w:rPr>
              <w:t>的得2.5分</w:t>
            </w:r>
            <w:r>
              <w:rPr>
                <w:rFonts w:hint="eastAsia" w:ascii="宋体" w:hAnsi="宋体" w:cs="宋体"/>
                <w:kern w:val="0"/>
                <w:szCs w:val="21"/>
                <w:lang w:bidi="ar"/>
              </w:rPr>
              <w:t>、具有分布式光伏系统监控软件著作证书</w:t>
            </w:r>
            <w:r>
              <w:rPr>
                <w:rFonts w:hint="eastAsia" w:ascii="宋体" w:hAnsi="宋体" w:cs="宋体"/>
                <w:kern w:val="0"/>
                <w:szCs w:val="21"/>
                <w:lang w:val="en-US" w:eastAsia="zh-CN" w:bidi="ar"/>
              </w:rPr>
              <w:t>的得2.5分；满分5分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sz w:val="21"/>
                <w:highlight w:val="none"/>
                <w:lang w:val="en-US" w:eastAsia="zh-CN"/>
              </w:rPr>
              <w:t>运维</w:t>
            </w:r>
            <w:r>
              <w:rPr>
                <w:rFonts w:hint="eastAsia" w:ascii="宋体" w:hAnsi="宋体" w:cs="宋体"/>
                <w:sz w:val="21"/>
                <w:highlight w:val="none"/>
                <w:lang w:val="en-US" w:eastAsia="zh-CN"/>
              </w:rPr>
              <w:t>质保</w:t>
            </w:r>
            <w:r>
              <w:rPr>
                <w:rFonts w:hint="eastAsia" w:ascii="宋体" w:hAnsi="宋体" w:cs="宋体"/>
                <w:color w:val="000000"/>
                <w:szCs w:val="21"/>
                <w:lang w:val="en-US" w:eastAsia="zh-CN"/>
              </w:rPr>
              <w:t>期满后续服务收费承诺</w:t>
            </w:r>
          </w:p>
          <w:p>
            <w:pPr>
              <w:jc w:val="center"/>
              <w:rPr>
                <w:rFonts w:hint="default" w:ascii="宋体" w:hAnsi="宋体" w:eastAsia="宋体" w:cs="宋体"/>
                <w:color w:val="000000"/>
                <w:szCs w:val="21"/>
                <w:lang w:val="en-US" w:eastAsia="zh-CN"/>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分）</w:t>
            </w:r>
          </w:p>
        </w:tc>
        <w:tc>
          <w:tcPr>
            <w:tcW w:w="660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kern w:val="0"/>
                <w:szCs w:val="21"/>
                <w:highlight w:val="yellow"/>
                <w:lang w:val="en-US" w:eastAsia="zh-CN"/>
              </w:rPr>
            </w:pPr>
            <w:r>
              <w:rPr>
                <w:rFonts w:hint="eastAsia" w:ascii="宋体" w:hAnsi="宋体" w:cs="宋体"/>
                <w:color w:val="000000"/>
                <w:kern w:val="0"/>
                <w:szCs w:val="21"/>
              </w:rPr>
              <w:t>公司承诺将对所供设备以及平台提供终身服务:保修期满后公司维修响应时间、服务质量承诺不变;保修期满后，针对提供的设备，公司仍提供免费技术咨询但提供有偿维修服务</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愿以500元每人每天为标准。</w:t>
            </w:r>
          </w:p>
          <w:p>
            <w:pP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注：提供承诺书原件加盖供应商公章</w:t>
            </w:r>
          </w:p>
        </w:tc>
      </w:tr>
    </w:tbl>
    <w:p>
      <w:pPr>
        <w:ind w:firstLine="420" w:firstLineChars="200"/>
      </w:pPr>
      <w:r>
        <w:rPr>
          <w:rFonts w:hint="eastAsia" w:ascii="宋体" w:hAnsi="宋体" w:cs="宋体"/>
          <w:color w:val="000000"/>
          <w:kern w:val="0"/>
          <w:szCs w:val="21"/>
          <w:lang w:val="en-US" w:eastAsia="zh-CN"/>
        </w:rPr>
        <w:t xml:space="preserve">                 </w:t>
      </w:r>
      <w:r>
        <w:rPr>
          <w:rFonts w:hint="eastAsia" w:ascii="宋体" w:hAnsi="宋体" w:cs="宋体"/>
          <w:sz w:val="36"/>
        </w:rPr>
        <w:br w:type="page"/>
      </w:r>
    </w:p>
    <w:bookmarkEnd w:id="160"/>
    <w:bookmarkEnd w:id="161"/>
    <w:p>
      <w:pPr>
        <w:pStyle w:val="2"/>
        <w:spacing w:before="0" w:after="0" w:line="360" w:lineRule="auto"/>
        <w:jc w:val="center"/>
        <w:rPr>
          <w:rFonts w:ascii="宋体" w:hAnsi="宋体" w:cs="宋体"/>
          <w:color w:val="000000"/>
          <w:sz w:val="36"/>
          <w:highlight w:val="none"/>
        </w:rPr>
      </w:pPr>
      <w:bookmarkStart w:id="164" w:name="_Toc128131373"/>
      <w:bookmarkStart w:id="165" w:name="_Toc128562209"/>
      <w:bookmarkStart w:id="166" w:name="_Toc12969"/>
      <w:bookmarkStart w:id="167" w:name="_Toc128562194"/>
      <w:bookmarkStart w:id="168" w:name="_Toc90652389"/>
      <w:bookmarkStart w:id="169" w:name="_Toc87196909"/>
      <w:bookmarkStart w:id="170" w:name="_Toc128562063"/>
      <w:r>
        <w:rPr>
          <w:rFonts w:ascii="宋体" w:hAnsi="宋体" w:cs="宋体"/>
          <w:color w:val="000000"/>
          <w:sz w:val="36"/>
          <w:highlight w:val="none"/>
        </w:rPr>
        <w:t>第六章 竞争性磋商响应文件格式</w:t>
      </w:r>
      <w:bookmarkEnd w:id="164"/>
      <w:bookmarkEnd w:id="165"/>
      <w:bookmarkEnd w:id="166"/>
      <w:bookmarkEnd w:id="167"/>
      <w:bookmarkEnd w:id="168"/>
      <w:bookmarkEnd w:id="169"/>
      <w:bookmarkEnd w:id="170"/>
    </w:p>
    <w:p>
      <w:pPr>
        <w:jc w:val="center"/>
        <w:rPr>
          <w:rFonts w:ascii="宋体" w:hAnsi="宋体" w:cs="宋体"/>
          <w:b/>
          <w:color w:val="000000"/>
          <w:kern w:val="1"/>
          <w:sz w:val="22"/>
          <w:szCs w:val="21"/>
          <w:highlight w:val="none"/>
        </w:rPr>
      </w:pPr>
    </w:p>
    <w:p>
      <w:pPr>
        <w:jc w:val="center"/>
        <w:rPr>
          <w:rFonts w:ascii="宋体" w:hAnsi="宋体" w:cs="宋体"/>
          <w:b/>
          <w:color w:val="000000"/>
          <w:kern w:val="1"/>
          <w:sz w:val="22"/>
          <w:szCs w:val="21"/>
          <w:highlight w:val="none"/>
        </w:rPr>
      </w:pPr>
    </w:p>
    <w:p>
      <w:pPr>
        <w:jc w:val="center"/>
        <w:rPr>
          <w:rFonts w:ascii="宋体" w:hAnsi="宋体" w:cs="宋体"/>
          <w:b/>
          <w:color w:val="000000"/>
          <w:kern w:val="1"/>
          <w:sz w:val="22"/>
          <w:szCs w:val="21"/>
          <w:highlight w:val="none"/>
        </w:rPr>
      </w:pPr>
    </w:p>
    <w:p>
      <w:pPr>
        <w:jc w:val="center"/>
        <w:rPr>
          <w:rFonts w:hint="eastAsia" w:ascii="宋体" w:hAnsi="宋体" w:cs="宋体"/>
          <w:b/>
          <w:color w:val="000000"/>
          <w:kern w:val="1"/>
          <w:sz w:val="22"/>
          <w:szCs w:val="21"/>
          <w:highlight w:val="none"/>
        </w:rPr>
      </w:pPr>
    </w:p>
    <w:p>
      <w:pPr>
        <w:jc w:val="center"/>
        <w:rPr>
          <w:rFonts w:ascii="宋体" w:hAnsi="宋体" w:cs="Arial"/>
          <w:b/>
          <w:color w:val="000000"/>
          <w:kern w:val="1"/>
          <w:sz w:val="44"/>
          <w:szCs w:val="44"/>
          <w:highlight w:val="none"/>
        </w:rPr>
      </w:pPr>
      <w:r>
        <w:rPr>
          <w:rFonts w:ascii="宋体" w:hAnsi="宋体" w:cs="Arial"/>
          <w:b/>
          <w:color w:val="000000"/>
          <w:kern w:val="1"/>
          <w:sz w:val="44"/>
          <w:szCs w:val="44"/>
          <w:highlight w:val="none"/>
        </w:rPr>
        <w:t>竞争性磋商响应文件</w:t>
      </w:r>
    </w:p>
    <w:p>
      <w:pPr>
        <w:jc w:val="center"/>
        <w:rPr>
          <w:rFonts w:ascii="宋体" w:hAnsi="宋体" w:cs="宋体"/>
          <w:b/>
          <w:color w:val="000000"/>
          <w:kern w:val="1"/>
          <w:sz w:val="72"/>
          <w:highlight w:val="none"/>
        </w:rPr>
      </w:pPr>
    </w:p>
    <w:p>
      <w:pPr>
        <w:jc w:val="center"/>
        <w:rPr>
          <w:rFonts w:ascii="宋体" w:hAnsi="宋体" w:cs="宋体"/>
          <w:b/>
          <w:color w:val="000000"/>
          <w:kern w:val="1"/>
          <w:sz w:val="44"/>
          <w:szCs w:val="44"/>
          <w:highlight w:val="none"/>
        </w:rPr>
      </w:pPr>
      <w:r>
        <w:rPr>
          <w:rFonts w:ascii="宋体" w:hAnsi="宋体" w:cs="Arial"/>
          <w:b/>
          <w:bCs/>
          <w:color w:val="000000"/>
          <w:kern w:val="1"/>
          <w:sz w:val="44"/>
          <w:szCs w:val="44"/>
          <w:highlight w:val="none"/>
        </w:rPr>
        <w:t>（正或副本）</w:t>
      </w:r>
    </w:p>
    <w:p>
      <w:pPr>
        <w:jc w:val="center"/>
        <w:rPr>
          <w:rFonts w:ascii="宋体" w:hAnsi="宋体" w:cs="宋体"/>
          <w:b/>
          <w:color w:val="000000"/>
          <w:kern w:val="1"/>
          <w:sz w:val="72"/>
          <w:highlight w:val="none"/>
        </w:rPr>
      </w:pPr>
    </w:p>
    <w:p>
      <w:pPr>
        <w:jc w:val="center"/>
        <w:rPr>
          <w:rFonts w:ascii="宋体" w:hAnsi="宋体" w:cs="宋体"/>
          <w:b/>
          <w:color w:val="000000"/>
          <w:kern w:val="1"/>
          <w:sz w:val="72"/>
          <w:highlight w:val="none"/>
        </w:rPr>
      </w:pPr>
    </w:p>
    <w:p>
      <w:pPr>
        <w:jc w:val="center"/>
        <w:rPr>
          <w:rFonts w:ascii="宋体" w:hAnsi="宋体" w:cs="宋体"/>
          <w:b/>
          <w:color w:val="000000"/>
          <w:kern w:val="1"/>
          <w:sz w:val="36"/>
          <w:highlight w:val="none"/>
        </w:rPr>
      </w:pPr>
    </w:p>
    <w:p>
      <w:pPr>
        <w:jc w:val="center"/>
        <w:rPr>
          <w:rFonts w:ascii="宋体" w:hAnsi="宋体" w:cs="宋体"/>
          <w:b/>
          <w:color w:val="000000"/>
          <w:kern w:val="1"/>
          <w:sz w:val="36"/>
          <w:highlight w:val="none"/>
        </w:rPr>
      </w:pPr>
    </w:p>
    <w:p>
      <w:pPr>
        <w:pStyle w:val="19"/>
        <w:ind w:firstLine="420"/>
        <w:rPr>
          <w:color w:val="000000"/>
          <w:highlight w:val="none"/>
        </w:rPr>
      </w:pPr>
    </w:p>
    <w:p>
      <w:pPr>
        <w:pStyle w:val="19"/>
        <w:ind w:firstLine="420"/>
        <w:rPr>
          <w:color w:val="000000"/>
          <w:highlight w:val="none"/>
        </w:rPr>
      </w:pPr>
    </w:p>
    <w:p>
      <w:pPr>
        <w:ind w:firstLine="1400"/>
        <w:rPr>
          <w:rFonts w:ascii="宋体" w:hAnsi="宋体" w:cs="宋体"/>
          <w:color w:val="000000"/>
          <w:kern w:val="1"/>
          <w:sz w:val="28"/>
          <w:szCs w:val="28"/>
          <w:highlight w:val="none"/>
          <w:u w:val="single"/>
        </w:rPr>
      </w:pPr>
      <w:r>
        <w:rPr>
          <w:rFonts w:ascii="宋体" w:hAnsi="宋体" w:cs="宋体"/>
          <w:color w:val="000000"/>
          <w:kern w:val="1"/>
          <w:sz w:val="28"/>
          <w:szCs w:val="28"/>
          <w:highlight w:val="none"/>
        </w:rPr>
        <w:t>项  目  名  称：</w:t>
      </w:r>
      <w:r>
        <w:rPr>
          <w:rFonts w:ascii="宋体" w:hAnsi="宋体" w:cs="宋体"/>
          <w:color w:val="000000"/>
          <w:kern w:val="1"/>
          <w:sz w:val="28"/>
          <w:szCs w:val="28"/>
          <w:highlight w:val="none"/>
          <w:u w:val="single"/>
        </w:rPr>
        <w:t xml:space="preserve">                           </w:t>
      </w:r>
    </w:p>
    <w:p>
      <w:pPr>
        <w:ind w:firstLine="1400"/>
        <w:rPr>
          <w:rFonts w:ascii="宋体" w:hAnsi="宋体" w:cs="宋体"/>
          <w:color w:val="000000"/>
          <w:kern w:val="1"/>
          <w:sz w:val="28"/>
          <w:szCs w:val="28"/>
          <w:highlight w:val="none"/>
          <w:u w:val="single"/>
        </w:rPr>
      </w:pPr>
      <w:r>
        <w:rPr>
          <w:rFonts w:ascii="宋体" w:hAnsi="宋体" w:cs="宋体"/>
          <w:color w:val="000000"/>
          <w:kern w:val="1"/>
          <w:sz w:val="28"/>
          <w:szCs w:val="28"/>
          <w:highlight w:val="none"/>
        </w:rPr>
        <w:t>项  目  编  号：</w:t>
      </w:r>
      <w:r>
        <w:rPr>
          <w:rFonts w:ascii="宋体" w:hAnsi="宋体" w:cs="宋体"/>
          <w:color w:val="000000"/>
          <w:kern w:val="1"/>
          <w:sz w:val="28"/>
          <w:szCs w:val="28"/>
          <w:highlight w:val="none"/>
          <w:u w:val="single"/>
        </w:rPr>
        <w:t xml:space="preserve">                           </w:t>
      </w:r>
    </w:p>
    <w:p>
      <w:pPr>
        <w:ind w:firstLine="1400"/>
        <w:rPr>
          <w:rFonts w:ascii="宋体" w:hAnsi="宋体" w:cs="宋体"/>
          <w:color w:val="000000"/>
          <w:kern w:val="1"/>
          <w:sz w:val="28"/>
          <w:szCs w:val="28"/>
          <w:highlight w:val="none"/>
          <w:u w:val="single"/>
        </w:rPr>
      </w:pPr>
      <w:r>
        <w:rPr>
          <w:rFonts w:ascii="宋体" w:hAnsi="宋体" w:cs="宋体"/>
          <w:color w:val="000000"/>
          <w:kern w:val="1"/>
          <w:sz w:val="28"/>
          <w:szCs w:val="28"/>
          <w:highlight w:val="none"/>
        </w:rPr>
        <w:t>磋商供应商名称：</w:t>
      </w:r>
      <w:r>
        <w:rPr>
          <w:rFonts w:ascii="宋体" w:hAnsi="宋体" w:cs="宋体"/>
          <w:color w:val="000000"/>
          <w:kern w:val="1"/>
          <w:sz w:val="28"/>
          <w:szCs w:val="28"/>
          <w:highlight w:val="none"/>
          <w:u w:val="single"/>
        </w:rPr>
        <w:t xml:space="preserve">                           </w:t>
      </w:r>
    </w:p>
    <w:p>
      <w:pPr>
        <w:ind w:firstLine="1400"/>
      </w:pPr>
      <w:r>
        <w:rPr>
          <w:rFonts w:ascii="宋体" w:hAnsi="宋体" w:cs="宋体"/>
          <w:color w:val="000000"/>
          <w:kern w:val="1"/>
          <w:sz w:val="28"/>
          <w:szCs w:val="28"/>
          <w:highlight w:val="none"/>
        </w:rPr>
        <w:t>日         期 ：</w:t>
      </w:r>
      <w:r>
        <w:rPr>
          <w:rFonts w:ascii="宋体" w:hAnsi="宋体" w:cs="宋体"/>
          <w:color w:val="000000"/>
          <w:kern w:val="1"/>
          <w:sz w:val="28"/>
          <w:szCs w:val="28"/>
          <w:highlight w:val="none"/>
          <w:u w:val="single"/>
        </w:rPr>
        <w:t xml:space="preserve">                           </w:t>
      </w:r>
      <w:r>
        <w:rPr>
          <w:rFonts w:hint="eastAsia" w:ascii="宋体" w:hAnsi="宋体" w:cs="宋体"/>
          <w:b/>
          <w:sz w:val="36"/>
        </w:rPr>
        <w:t xml:space="preserve">     </w:t>
      </w:r>
    </w:p>
    <w:p>
      <w:pPr>
        <w:spacing w:line="440" w:lineRule="exact"/>
        <w:jc w:val="center"/>
        <w:rPr>
          <w:rFonts w:ascii="宋体" w:hAnsi="宋体" w:cs="宋体"/>
          <w:b/>
          <w:bCs/>
          <w:sz w:val="32"/>
          <w:szCs w:val="32"/>
        </w:rPr>
      </w:pPr>
    </w:p>
    <w:p>
      <w:pPr>
        <w:spacing w:line="440" w:lineRule="exact"/>
        <w:rPr>
          <w:rFonts w:ascii="宋体" w:hAnsi="宋体" w:cs="宋体"/>
          <w:sz w:val="24"/>
        </w:rPr>
      </w:pPr>
    </w:p>
    <w:p>
      <w:pPr>
        <w:spacing w:before="312" w:beforeLines="100" w:after="312"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评分索引表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jc w:val="center"/>
              <w:rPr>
                <w:rFonts w:ascii="宋体" w:hAnsi="宋体" w:cs="宋体"/>
                <w:b/>
                <w:bCs/>
                <w:szCs w:val="21"/>
              </w:rPr>
            </w:pPr>
            <w:r>
              <w:rPr>
                <w:rFonts w:hint="eastAsia" w:ascii="宋体" w:hAnsi="宋体" w:cs="宋体"/>
                <w:b/>
                <w:szCs w:val="21"/>
              </w:rPr>
              <w:t>评分项目</w:t>
            </w: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rPr>
                <w:rFonts w:ascii="宋体" w:hAnsi="宋体" w:cs="宋体"/>
                <w:b/>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rPr>
                <w:rFonts w:ascii="宋体" w:hAnsi="宋体" w:cs="宋体"/>
                <w:b/>
                <w:bCs/>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rPr>
                <w:rFonts w:ascii="宋体" w:hAnsi="宋体" w:cs="宋体"/>
                <w:b/>
                <w:bCs/>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left="420" w:firstLine="422"/>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firstLine="420"/>
              <w:rPr>
                <w:rFonts w:ascii="宋体" w:hAnsi="宋体" w:cs="宋体"/>
                <w:szCs w:val="21"/>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68" w:type="pct"/>
            <w:tcBorders>
              <w:top w:val="single" w:color="auto" w:sz="4" w:space="0"/>
              <w:left w:val="single" w:color="auto" w:sz="4" w:space="0"/>
              <w:bottom w:val="single" w:color="auto" w:sz="4" w:space="0"/>
              <w:right w:val="single" w:color="auto" w:sz="4" w:space="0"/>
            </w:tcBorders>
          </w:tcPr>
          <w:p>
            <w:pPr>
              <w:pStyle w:val="36"/>
              <w:shd w:val="clear" w:color="auto" w:fill="FFFFFF"/>
              <w:spacing w:line="265" w:lineRule="atLeast"/>
              <w:ind w:firstLine="420"/>
              <w:rPr>
                <w:rFonts w:ascii="宋体" w:hAnsi="宋体" w:cs="宋体"/>
              </w:rPr>
            </w:pPr>
          </w:p>
        </w:tc>
        <w:tc>
          <w:tcPr>
            <w:tcW w:w="1931" w:type="pct"/>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s="宋体"/>
              </w:rPr>
            </w:pPr>
          </w:p>
        </w:tc>
      </w:tr>
    </w:tbl>
    <w:p>
      <w:pPr>
        <w:rPr>
          <w:rFonts w:ascii="宋体" w:hAnsi="宋体" w:cs="宋体"/>
        </w:rPr>
      </w:pPr>
    </w:p>
    <w:p>
      <w:pPr>
        <w:spacing w:after="312" w:afterLines="100" w:line="360" w:lineRule="auto"/>
        <w:jc w:val="center"/>
        <w:rPr>
          <w:rFonts w:ascii="宋体" w:hAnsi="宋体" w:cs="宋体"/>
          <w:b/>
          <w:bCs/>
          <w:kern w:val="0"/>
          <w:szCs w:val="21"/>
        </w:rPr>
      </w:pPr>
      <w:r>
        <w:rPr>
          <w:rFonts w:hint="eastAsia" w:ascii="宋体" w:hAnsi="宋体" w:cs="宋体"/>
          <w:b/>
          <w:sz w:val="36"/>
          <w:u w:val="single"/>
        </w:rPr>
        <w:br w:type="page"/>
      </w:r>
      <w:r>
        <w:rPr>
          <w:rFonts w:ascii="宋体" w:hAnsi="宋体" w:cs="宋体"/>
          <w:b/>
          <w:color w:val="000000"/>
          <w:kern w:val="1"/>
          <w:szCs w:val="21"/>
          <w:highlight w:val="none"/>
        </w:rPr>
        <w:t>响应文件主要目录</w:t>
      </w:r>
    </w:p>
    <w:p>
      <w:pPr>
        <w:ind w:firstLine="420" w:firstLineChars="200"/>
        <w:rPr>
          <w:rFonts w:hint="eastAsia" w:ascii="宋体" w:hAnsi="宋体"/>
          <w:szCs w:val="21"/>
        </w:rPr>
      </w:pPr>
      <w:r>
        <w:rPr>
          <w:rFonts w:hint="eastAsia" w:ascii="宋体" w:hAnsi="宋体"/>
          <w:szCs w:val="21"/>
        </w:rPr>
        <w:t>一、资格性和符合性检查响应对照表</w:t>
      </w:r>
    </w:p>
    <w:p>
      <w:pPr>
        <w:ind w:firstLine="420" w:firstLineChars="200"/>
        <w:rPr>
          <w:rFonts w:hint="eastAsia" w:ascii="宋体" w:hAnsi="宋体"/>
          <w:szCs w:val="21"/>
        </w:rPr>
      </w:pPr>
    </w:p>
    <w:p>
      <w:pPr>
        <w:ind w:firstLine="422" w:firstLineChars="200"/>
        <w:rPr>
          <w:rFonts w:hint="eastAsia"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hint="eastAsia" w:ascii="宋体" w:hAnsi="宋体"/>
          <w:bCs/>
          <w:sz w:val="24"/>
          <w:szCs w:val="24"/>
        </w:rPr>
      </w:pPr>
    </w:p>
    <w:p>
      <w:pPr>
        <w:ind w:firstLine="420" w:firstLineChars="200"/>
        <w:rPr>
          <w:rFonts w:hint="eastAsia" w:ascii="宋体" w:hAnsi="宋体"/>
          <w:szCs w:val="21"/>
        </w:rPr>
      </w:pPr>
      <w:r>
        <w:rPr>
          <w:rFonts w:hint="eastAsia" w:ascii="宋体" w:hAnsi="宋体"/>
          <w:szCs w:val="21"/>
        </w:rPr>
        <w:t>三、开标一览表</w:t>
      </w:r>
    </w:p>
    <w:p>
      <w:pPr>
        <w:ind w:firstLine="420" w:firstLineChars="2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四</w:t>
      </w:r>
      <w:r>
        <w:rPr>
          <w:rFonts w:hint="eastAsia" w:ascii="宋体" w:hAnsi="宋体"/>
          <w:b/>
          <w:bCs/>
          <w:szCs w:val="21"/>
        </w:rPr>
        <w:t>、</w:t>
      </w:r>
      <w:r>
        <w:rPr>
          <w:rFonts w:hint="eastAsia" w:ascii="宋体" w:hAnsi="宋体"/>
          <w:szCs w:val="21"/>
        </w:rPr>
        <w:t>投标分项报价表</w:t>
      </w:r>
    </w:p>
    <w:p>
      <w:pPr>
        <w:ind w:firstLine="420" w:firstLineChars="2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五</w:t>
      </w:r>
      <w:r>
        <w:rPr>
          <w:rFonts w:hint="eastAsia" w:ascii="宋体" w:hAnsi="宋体" w:cs="Courier New"/>
          <w:szCs w:val="21"/>
        </w:rPr>
        <w:t>、</w:t>
      </w:r>
      <w:r>
        <w:rPr>
          <w:rFonts w:hint="eastAsia" w:ascii="宋体" w:hAnsi="宋体"/>
          <w:szCs w:val="21"/>
        </w:rPr>
        <w:t>技术参数响应及偏离表</w:t>
      </w:r>
    </w:p>
    <w:p>
      <w:pPr>
        <w:ind w:firstLine="420" w:firstLineChars="2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六、商务条款响应及偏离表</w:t>
      </w: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lang w:val="en-US" w:eastAsia="zh-CN"/>
        </w:rPr>
        <w:t>七</w:t>
      </w:r>
      <w:r>
        <w:rPr>
          <w:rFonts w:hint="eastAsia" w:ascii="宋体" w:hAnsi="宋体"/>
          <w:szCs w:val="21"/>
        </w:rPr>
        <w:t>、……</w:t>
      </w:r>
    </w:p>
    <w:p>
      <w:pPr>
        <w:pStyle w:val="3"/>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jc w:val="left"/>
        <w:rPr>
          <w:rFonts w:ascii="宋体" w:hAnsi="宋体" w:cs="宋体"/>
          <w:b/>
          <w:szCs w:val="21"/>
        </w:rPr>
      </w:pPr>
    </w:p>
    <w:p>
      <w:pPr>
        <w:rPr>
          <w:rFonts w:hint="eastAsia" w:ascii="宋体" w:hAnsi="宋体" w:cs="宋体"/>
          <w:b/>
          <w:szCs w:val="21"/>
        </w:rPr>
      </w:pPr>
      <w:r>
        <w:rPr>
          <w:rFonts w:hint="eastAsia" w:ascii="宋体" w:hAnsi="宋体" w:cs="宋体"/>
          <w:b/>
          <w:szCs w:val="21"/>
        </w:rPr>
        <w:br w:type="page"/>
      </w:r>
    </w:p>
    <w:p>
      <w:pPr>
        <w:spacing w:after="312" w:afterLines="100" w:line="360" w:lineRule="auto"/>
        <w:jc w:val="center"/>
        <w:rPr>
          <w:rFonts w:ascii="宋体" w:hAnsi="宋体" w:cs="宋体"/>
          <w:b/>
          <w:szCs w:val="21"/>
        </w:rPr>
      </w:pPr>
      <w:r>
        <w:rPr>
          <w:rFonts w:hint="eastAsia" w:ascii="宋体" w:hAnsi="宋体" w:cs="宋体"/>
          <w:b/>
          <w:szCs w:val="21"/>
        </w:rPr>
        <w:t>一、资格性和符合性检查响应对照表</w:t>
      </w:r>
    </w:p>
    <w:p>
      <w:pPr>
        <w:spacing w:line="360" w:lineRule="auto"/>
        <w:ind w:firstLine="309"/>
        <w:rPr>
          <w:rFonts w:ascii="宋体" w:hAnsi="宋体" w:cs="宋体"/>
          <w:color w:val="000000"/>
          <w:kern w:val="1"/>
          <w:szCs w:val="21"/>
          <w:highlight w:val="none"/>
        </w:rPr>
      </w:pPr>
      <w:r>
        <w:rPr>
          <w:rFonts w:ascii="宋体" w:hAnsi="宋体" w:cs="宋体"/>
          <w:color w:val="000000"/>
          <w:kern w:val="1"/>
          <w:szCs w:val="21"/>
          <w:highlight w:val="none"/>
        </w:rPr>
        <w:t>磋商供应商全称（加盖公章）：</w:t>
      </w:r>
    </w:p>
    <w:tbl>
      <w:tblPr>
        <w:tblStyle w:val="16"/>
        <w:tblW w:w="9558" w:type="dxa"/>
        <w:jc w:val="center"/>
        <w:tblLayout w:type="autofit"/>
        <w:tblCellMar>
          <w:top w:w="0" w:type="dxa"/>
          <w:left w:w="108" w:type="dxa"/>
          <w:bottom w:w="0" w:type="dxa"/>
          <w:right w:w="108" w:type="dxa"/>
        </w:tblCellMar>
      </w:tblPr>
      <w:tblGrid>
        <w:gridCol w:w="646"/>
        <w:gridCol w:w="5447"/>
        <w:gridCol w:w="1680"/>
        <w:gridCol w:w="1785"/>
      </w:tblGrid>
      <w:tr>
        <w:tblPrEx>
          <w:tblCellMar>
            <w:top w:w="0" w:type="dxa"/>
            <w:left w:w="108" w:type="dxa"/>
            <w:bottom w:w="0" w:type="dxa"/>
            <w:right w:w="108" w:type="dxa"/>
          </w:tblCellMar>
        </w:tblPrEx>
        <w:trPr>
          <w:trHeight w:val="882"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kern w:val="1"/>
                <w:szCs w:val="21"/>
                <w:highlight w:val="none"/>
              </w:rPr>
            </w:pPr>
            <w:r>
              <w:rPr>
                <w:rFonts w:ascii="宋体" w:hAnsi="宋体" w:cs="宋体"/>
                <w:color w:val="000000"/>
                <w:kern w:val="1"/>
                <w:szCs w:val="21"/>
                <w:highlight w:val="none"/>
              </w:rPr>
              <w:t>序号</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kern w:val="1"/>
                <w:szCs w:val="21"/>
                <w:highlight w:val="none"/>
              </w:rPr>
            </w:pPr>
            <w:r>
              <w:rPr>
                <w:rFonts w:ascii="宋体" w:hAnsi="宋体" w:cs="宋体"/>
                <w:color w:val="000000"/>
                <w:kern w:val="1"/>
                <w:szCs w:val="21"/>
                <w:highlight w:val="none"/>
              </w:rPr>
              <w:t>资格和符合性检查响应内容</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kern w:val="1"/>
                <w:szCs w:val="21"/>
                <w:highlight w:val="none"/>
              </w:rPr>
            </w:pPr>
            <w:r>
              <w:rPr>
                <w:rFonts w:ascii="宋体" w:hAnsi="宋体" w:cs="宋体"/>
                <w:color w:val="000000"/>
                <w:kern w:val="1"/>
                <w:szCs w:val="21"/>
                <w:highlight w:val="none"/>
              </w:rPr>
              <w:t>是否响应</w:t>
            </w:r>
          </w:p>
          <w:p>
            <w:pPr>
              <w:spacing w:line="360" w:lineRule="auto"/>
              <w:jc w:val="center"/>
              <w:rPr>
                <w:rFonts w:ascii="宋体" w:hAnsi="宋体" w:cs="宋体"/>
                <w:color w:val="000000"/>
                <w:kern w:val="1"/>
                <w:szCs w:val="21"/>
                <w:highlight w:val="none"/>
              </w:rPr>
            </w:pPr>
            <w:r>
              <w:rPr>
                <w:rFonts w:ascii="宋体" w:hAnsi="宋体" w:cs="宋体"/>
                <w:color w:val="000000"/>
                <w:kern w:val="1"/>
                <w:szCs w:val="21"/>
                <w:highlight w:val="none"/>
              </w:rPr>
              <w:t>（填是或者否）</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kern w:val="1"/>
                <w:szCs w:val="21"/>
                <w:highlight w:val="none"/>
              </w:rPr>
            </w:pPr>
            <w:r>
              <w:rPr>
                <w:rFonts w:ascii="宋体" w:hAnsi="宋体" w:cs="宋体"/>
                <w:color w:val="000000"/>
                <w:kern w:val="1"/>
                <w:szCs w:val="21"/>
                <w:highlight w:val="none"/>
              </w:rPr>
              <w:t>响应文件中的页码位置</w:t>
            </w:r>
          </w:p>
        </w:tc>
      </w:tr>
      <w:tr>
        <w:tblPrEx>
          <w:tblCellMar>
            <w:top w:w="0" w:type="dxa"/>
            <w:left w:w="108" w:type="dxa"/>
            <w:bottom w:w="0" w:type="dxa"/>
            <w:right w:w="108" w:type="dxa"/>
          </w:tblCellMar>
        </w:tblPrEx>
        <w:trPr>
          <w:trHeight w:val="585"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u w:val="single"/>
              </w:rPr>
              <w:t>1</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585"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u w:val="single"/>
              </w:rPr>
              <w:t>2</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585"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u w:val="single"/>
              </w:rPr>
              <w:t>3</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2596"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u w:val="single"/>
              </w:rPr>
              <w:t>4</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1575"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u w:val="single"/>
              </w:rPr>
              <w:t>5</w:t>
            </w: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90"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color w:val="000000"/>
                <w:kern w:val="1"/>
                <w:szCs w:val="21"/>
                <w:highlight w:val="none"/>
                <w:u w:val="single"/>
              </w:rPr>
            </w:pPr>
            <w:r>
              <w:rPr>
                <w:rFonts w:ascii="宋体" w:hAnsi="宋体" w:cs="宋体"/>
                <w:i/>
                <w:color w:val="000000"/>
                <w:kern w:val="1"/>
                <w:szCs w:val="21"/>
                <w:highlight w:val="none"/>
              </w:rPr>
              <w:t>...</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r>
        <w:tblPrEx>
          <w:tblCellMar>
            <w:top w:w="0" w:type="dxa"/>
            <w:left w:w="108" w:type="dxa"/>
            <w:bottom w:w="0" w:type="dxa"/>
            <w:right w:w="108" w:type="dxa"/>
          </w:tblCellMar>
        </w:tblPrEx>
        <w:trPr>
          <w:trHeight w:val="400"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p>
        </w:tc>
        <w:tc>
          <w:tcPr>
            <w:tcW w:w="54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i/>
                <w:color w:val="000000"/>
                <w:kern w:val="1"/>
                <w:szCs w:val="21"/>
                <w:highlight w:val="none"/>
                <w:u w:val="single"/>
              </w:rPr>
            </w:pPr>
            <w:r>
              <w:rPr>
                <w:rFonts w:ascii="宋体" w:hAnsi="宋体" w:cs="宋体"/>
                <w:i/>
                <w:color w:val="000000"/>
                <w:kern w:val="1"/>
                <w:szCs w:val="21"/>
                <w:highlight w:val="none"/>
                <w:u w:val="single"/>
              </w:rPr>
              <w:t>磋商文件中的其他实质性要求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kern w:val="1"/>
                <w:szCs w:val="21"/>
                <w:highlight w:val="none"/>
              </w:rPr>
            </w:pPr>
          </w:p>
        </w:tc>
      </w:tr>
    </w:tbl>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before="50" w:after="50"/>
        <w:rPr>
          <w:rFonts w:ascii="宋体" w:hAnsi="宋体" w:cs="宋体"/>
          <w:szCs w:val="21"/>
        </w:rPr>
      </w:pPr>
    </w:p>
    <w:p>
      <w:pPr>
        <w:spacing w:after="240" w:line="360" w:lineRule="auto"/>
        <w:ind w:left="3363"/>
        <w:rPr>
          <w:rFonts w:ascii="宋体" w:hAnsi="宋体" w:cs="宋体"/>
          <w:b/>
          <w:bCs/>
          <w:szCs w:val="21"/>
        </w:rPr>
      </w:pPr>
      <w:r>
        <w:rPr>
          <w:rFonts w:hint="eastAsia" w:ascii="宋体" w:hAnsi="宋体" w:cs="宋体"/>
          <w:b/>
          <w:bCs/>
          <w:szCs w:val="21"/>
        </w:rPr>
        <w:br w:type="page"/>
      </w:r>
      <w:r>
        <w:rPr>
          <w:rFonts w:hint="eastAsia" w:ascii="宋体" w:hAnsi="宋体" w:cs="宋体"/>
          <w:b/>
          <w:bCs/>
          <w:szCs w:val="21"/>
        </w:rPr>
        <w:t>二、资信证明文件要求</w:t>
      </w:r>
    </w:p>
    <w:p>
      <w:pPr>
        <w:spacing w:line="360" w:lineRule="auto"/>
        <w:ind w:firstLine="420" w:firstLineChars="200"/>
        <w:rPr>
          <w:rFonts w:ascii="仿宋_GB2312" w:hAnsi="宋体" w:cs="Arial"/>
          <w:szCs w:val="21"/>
        </w:rPr>
      </w:pPr>
      <w:r>
        <w:rPr>
          <w:rFonts w:hint="eastAsia" w:ascii="仿宋_GB2312" w:hAnsi="宋体" w:cs="Arial"/>
          <w:szCs w:val="21"/>
          <w:lang w:val="en-US" w:eastAsia="zh-CN"/>
        </w:rPr>
        <w:t>1、</w:t>
      </w:r>
      <w:r>
        <w:rPr>
          <w:rFonts w:hint="eastAsia" w:ascii="仿宋_GB2312" w:hAnsi="宋体" w:cs="Arial"/>
          <w:szCs w:val="21"/>
        </w:rPr>
        <w:t>符合相关法律法规规定的条件：</w:t>
      </w:r>
    </w:p>
    <w:p>
      <w:pPr>
        <w:spacing w:line="360" w:lineRule="auto"/>
        <w:ind w:firstLine="420" w:firstLineChars="200"/>
        <w:rPr>
          <w:rFonts w:hint="eastAsia" w:ascii="宋体" w:hAnsi="宋体" w:eastAsia="宋体" w:cs="宋体"/>
          <w:b w:val="0"/>
          <w:bCs w:val="0"/>
          <w:i/>
          <w:iCs/>
          <w:color w:val="000000" w:themeColor="text1"/>
          <w:sz w:val="21"/>
          <w:szCs w:val="21"/>
          <w:u w:val="single"/>
          <w14:textFill>
            <w14:solidFill>
              <w14:schemeClr w14:val="tx1"/>
            </w14:solidFill>
          </w14:textFill>
        </w:rPr>
      </w:pPr>
      <w:r>
        <w:rPr>
          <w:rFonts w:hint="eastAsia" w:ascii="宋体" w:hAnsi="宋体" w:cs="宋体"/>
          <w:i/>
          <w:iCs/>
          <w:szCs w:val="21"/>
          <w:u w:val="single"/>
          <w:lang w:val="en-US" w:eastAsia="zh-CN"/>
        </w:rPr>
        <w:t>1.1</w:t>
      </w:r>
      <w:r>
        <w:rPr>
          <w:rFonts w:hint="eastAsia" w:ascii="宋体" w:hAnsi="宋体" w:eastAsia="宋体" w:cs="宋体"/>
          <w:i/>
          <w:iCs/>
          <w:color w:val="000000" w:themeColor="text1"/>
          <w:sz w:val="21"/>
          <w:szCs w:val="21"/>
          <w:u w:val="single"/>
          <w14:textFill>
            <w14:solidFill>
              <w14:schemeClr w14:val="tx1"/>
            </w14:solidFill>
          </w14:textFill>
        </w:rPr>
        <w:t>磋商响应函</w:t>
      </w:r>
      <w:r>
        <w:rPr>
          <w:rFonts w:hint="eastAsia" w:ascii="宋体" w:hAnsi="宋体" w:eastAsia="宋体" w:cs="宋体"/>
          <w:b w:val="0"/>
          <w:bCs w:val="0"/>
          <w:i/>
          <w:iCs/>
          <w:color w:val="000000" w:themeColor="text1"/>
          <w:sz w:val="21"/>
          <w:szCs w:val="21"/>
          <w:u w:val="single"/>
          <w14:textFill>
            <w14:solidFill>
              <w14:schemeClr w14:val="tx1"/>
            </w14:solidFill>
          </w14:textFill>
        </w:rPr>
        <w:t>(原件)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1.2 资格声明(原件)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1.4 营业执照副本(复印件加盖供应商公章)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1.5依法缴纳职工社会保障资金的证明材料(复印件加盖投标人公章)(税务、银行或社会保险基金管理部门出具的近三个月内任意一月（2024年4月-2024年6月）缴纳职工社会保障资金的缴款凭证或缴款证明)</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1.6供应商近三个月内任意一个月（2024年4月-2024年6月）依法纳税的缴款凭证(复印件加盖投标人公章)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1.7与第（1.6）条相对应的纳税申报表或经会计师事务所审计的2022或2023年度财务报告(复印件加盖供应商公章)</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1.8 供应商参加本次政府采购活动前3年内在经营活动中没有重大违法记录的书面声明（原件）</w:t>
      </w:r>
    </w:p>
    <w:p>
      <w:pPr>
        <w:spacing w:line="360" w:lineRule="auto"/>
        <w:ind w:firstLine="420" w:firstLineChars="200"/>
        <w:rPr>
          <w:rFonts w:hint="eastAsia" w:ascii="宋体" w:hAnsi="宋体" w:cs="宋体"/>
          <w:i/>
          <w:iCs/>
          <w:szCs w:val="21"/>
          <w:u w:val="single"/>
          <w:lang w:val="en-US" w:eastAsia="zh-CN"/>
        </w:rPr>
      </w:pPr>
      <w:r>
        <w:rPr>
          <w:rFonts w:hint="eastAsia" w:ascii="宋体" w:hAnsi="宋体" w:cs="宋体"/>
          <w:i/>
          <w:iCs/>
          <w:szCs w:val="21"/>
          <w:u w:val="single"/>
          <w:lang w:val="en-US" w:eastAsia="zh-CN"/>
        </w:rPr>
        <w:t>1.9供应商信用承诺书（原件）</w:t>
      </w:r>
    </w:p>
    <w:p>
      <w:pPr>
        <w:spacing w:line="360" w:lineRule="auto"/>
        <w:ind w:firstLine="420" w:firstLineChars="200"/>
        <w:rPr>
          <w:rFonts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10</w:t>
      </w:r>
      <w:r>
        <w:rPr>
          <w:rFonts w:hint="eastAsia" w:ascii="宋体" w:hAnsi="宋体" w:cs="宋体"/>
          <w:i/>
          <w:iCs/>
          <w:szCs w:val="21"/>
          <w:u w:val="single"/>
        </w:rPr>
        <w:t>未被“信用中国”网站、“中国政府采购网"列入失信被执行人、重大税收违法案件当事人名单、政府采购严重违法失信行为记录名单（提供网页截图加盖供应商公章）</w:t>
      </w:r>
    </w:p>
    <w:p>
      <w:pPr>
        <w:numPr>
          <w:ilvl w:val="0"/>
          <w:numId w:val="4"/>
        </w:numPr>
        <w:spacing w:line="360" w:lineRule="auto"/>
        <w:ind w:firstLine="420" w:firstLineChars="200"/>
        <w:rPr>
          <w:rFonts w:hint="eastAsia" w:ascii="宋体" w:hAnsi="宋体" w:cs="宋体"/>
          <w:i/>
          <w:iCs/>
          <w:szCs w:val="21"/>
          <w:u w:val="single"/>
          <w:lang w:val="en-US" w:eastAsia="zh-CN"/>
        </w:rPr>
      </w:pPr>
      <w:r>
        <w:rPr>
          <w:rFonts w:hint="eastAsia" w:ascii="宋体" w:hAnsi="宋体" w:cs="宋体"/>
          <w:szCs w:val="21"/>
          <w:highlight w:val="none"/>
        </w:rPr>
        <w:t>本项目的特定资格要求：</w:t>
      </w:r>
      <w:r>
        <w:rPr>
          <w:rFonts w:hint="eastAsia" w:ascii="宋体" w:hAnsi="宋体" w:cs="宋体"/>
          <w:i/>
          <w:iCs/>
          <w:szCs w:val="21"/>
          <w:u w:val="single"/>
          <w:lang w:val="en-US" w:eastAsia="zh-CN"/>
        </w:rPr>
        <w:t>无</w:t>
      </w:r>
    </w:p>
    <w:p>
      <w:pPr>
        <w:numPr>
          <w:ilvl w:val="0"/>
          <w:numId w:val="0"/>
        </w:numPr>
        <w:spacing w:line="360" w:lineRule="auto"/>
        <w:ind w:firstLine="630" w:firstLineChars="300"/>
        <w:rPr>
          <w:rFonts w:hint="default" w:ascii="宋体" w:hAnsi="宋体" w:cs="宋体"/>
          <w:i/>
          <w:iCs/>
          <w:szCs w:val="21"/>
          <w:u w:val="single"/>
          <w:lang w:val="en-US" w:eastAsia="zh-CN"/>
        </w:rPr>
      </w:pPr>
      <w:r>
        <w:rPr>
          <w:rFonts w:hint="eastAsia" w:ascii="宋体" w:hAnsi="宋体" w:cs="宋体"/>
          <w:i/>
          <w:iCs/>
          <w:szCs w:val="21"/>
          <w:u w:val="single"/>
          <w:lang w:val="en-US" w:eastAsia="zh-CN"/>
        </w:rPr>
        <w:t>备注：如投标人为代理商，需提供生产商对本项目的唯一授权函或代理协议</w:t>
      </w:r>
    </w:p>
    <w:p>
      <w:pPr>
        <w:spacing w:line="360" w:lineRule="auto"/>
        <w:ind w:right="312" w:firstLine="420" w:firstLineChars="200"/>
        <w:rPr>
          <w:rFonts w:ascii="宋体" w:hAnsi="宋体" w:cs="宋体"/>
          <w:szCs w:val="21"/>
        </w:rPr>
      </w:pPr>
      <w:r>
        <w:rPr>
          <w:rFonts w:hint="eastAsia" w:ascii="宋体" w:hAnsi="宋体" w:cs="宋体"/>
          <w:szCs w:val="21"/>
        </w:rPr>
        <w:t>备注：投标文件的正本和副本中均须提供上述资信证明文件。资信证明文件须清晰可辨，若有缺失或不清晰，将导致投标被拒绝且不允许在开标后补正。</w:t>
      </w:r>
    </w:p>
    <w:p>
      <w:pPr>
        <w:widowControl/>
        <w:jc w:val="left"/>
        <w:rPr>
          <w:rFonts w:ascii="宋体" w:hAnsi="宋体" w:cs="宋体"/>
          <w:b/>
          <w:bCs/>
          <w:szCs w:val="21"/>
        </w:rPr>
      </w:pPr>
      <w:r>
        <w:rPr>
          <w:rFonts w:ascii="宋体" w:hAnsi="宋体" w:cs="宋体"/>
          <w:b/>
          <w:bCs/>
          <w:szCs w:val="21"/>
        </w:rPr>
        <w:br w:type="page"/>
      </w:r>
    </w:p>
    <w:p>
      <w:pPr>
        <w:spacing w:after="156" w:line="360" w:lineRule="auto"/>
        <w:jc w:val="center"/>
        <w:rPr>
          <w:rFonts w:ascii="宋体" w:hAnsi="宋体" w:eastAsia="宋体" w:cs="宋体"/>
          <w:b/>
          <w:color w:val="000000"/>
          <w:kern w:val="1"/>
          <w:szCs w:val="21"/>
          <w:highlight w:val="none"/>
        </w:rPr>
      </w:pPr>
      <w:r>
        <w:rPr>
          <w:rFonts w:ascii="宋体" w:hAnsi="宋体" w:eastAsia="宋体" w:cs="宋体"/>
          <w:b/>
          <w:color w:val="000000"/>
          <w:kern w:val="1"/>
          <w:szCs w:val="21"/>
          <w:highlight w:val="none"/>
        </w:rPr>
        <w:t>磋商响应函</w:t>
      </w:r>
    </w:p>
    <w:p>
      <w:pPr>
        <w:widowControl w:val="0"/>
        <w:spacing w:line="360" w:lineRule="auto"/>
        <w:ind w:firstLine="0"/>
        <w:jc w:val="both"/>
        <w:rPr>
          <w:rFonts w:hint="eastAsia"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致：</w:t>
      </w:r>
      <w:r>
        <w:rPr>
          <w:rFonts w:hint="eastAsia" w:ascii="宋体" w:hAnsi="宋体" w:eastAsia="宋体" w:cs="宋体"/>
          <w:color w:val="000000"/>
          <w:kern w:val="1"/>
          <w:sz w:val="21"/>
          <w:szCs w:val="21"/>
          <w:highlight w:val="none"/>
          <w:u w:val="single"/>
          <w:lang w:val="en-US" w:eastAsia="zh-CN" w:bidi="ar-SA"/>
        </w:rPr>
        <w:t>永明项目管理有限公司</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根据贵方的</w:t>
      </w:r>
      <w:r>
        <w:rPr>
          <w:rFonts w:ascii="宋体" w:hAnsi="宋体" w:eastAsia="宋体" w:cs="宋体"/>
          <w:color w:val="000000"/>
          <w:kern w:val="1"/>
          <w:sz w:val="21"/>
          <w:szCs w:val="21"/>
          <w:highlight w:val="none"/>
          <w:u w:val="single"/>
          <w:lang w:val="en-US" w:eastAsia="zh-CN" w:bidi="ar-SA"/>
        </w:rPr>
        <w:t xml:space="preserve">    </w:t>
      </w:r>
      <w:r>
        <w:rPr>
          <w:rFonts w:ascii="宋体" w:hAnsi="宋体" w:eastAsia="宋体" w:cs="宋体"/>
          <w:color w:val="000000"/>
          <w:kern w:val="1"/>
          <w:sz w:val="21"/>
          <w:szCs w:val="21"/>
          <w:highlight w:val="none"/>
          <w:lang w:val="en-US" w:eastAsia="zh-CN" w:bidi="ar-SA"/>
        </w:rPr>
        <w:t>号磋商文件，正式授权下述签字人_____ (姓名和职务)代表我方______（供应商的名称），全权处理本次项目磋商采购的有关事宜。</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据此函，__________（签字人）兹宣布同意如下：</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1.按磋商文件规定的各项要求，向买方提供所需服务。</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2.我们已详细审核全部磋商文件及其有效补充文件，我们知道必须放弃提出含糊不清或误解问题的权利。</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3.我们同意从规定的响应文件接收截止时间起遵循本响应文件，并在规定的磋商有效期期满之前均具有约束力。</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4.如果在响应文件接收截止时间后规定的磋商有效期内撤回响应文件或成交后拒绝签订合同，</w:t>
      </w:r>
      <w:r>
        <w:rPr>
          <w:rFonts w:hint="eastAsia" w:ascii="宋体" w:hAnsi="宋体" w:eastAsia="宋体" w:cs="宋体"/>
          <w:color w:val="000000"/>
          <w:kern w:val="1"/>
          <w:sz w:val="21"/>
          <w:szCs w:val="21"/>
          <w:highlight w:val="none"/>
          <w:lang w:val="en-US" w:eastAsia="zh-CN" w:bidi="ar-SA"/>
        </w:rPr>
        <w:t>将被列入失信名单</w:t>
      </w:r>
      <w:r>
        <w:rPr>
          <w:rFonts w:ascii="宋体" w:hAnsi="宋体" w:eastAsia="宋体" w:cs="宋体"/>
          <w:color w:val="000000"/>
          <w:kern w:val="1"/>
          <w:sz w:val="21"/>
          <w:szCs w:val="21"/>
          <w:highlight w:val="none"/>
          <w:lang w:val="en-US" w:eastAsia="zh-CN" w:bidi="ar-SA"/>
        </w:rPr>
        <w:t>。</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5.同意向贵方提供贵方可能另外要求的与磋商采购有关的任何证据或资料，并保证我方已提供和将要提供的文件是真实的、准确的。</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6.一旦我方成交，我方将根据磋商文件的规定，严格履行合同的责任和义务，并保证在磋商文件规定的时间完成项目，交付买方验收、使用。</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7.遵守磋商文件中要求的收费项目和标准。</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8.与本磋商采购有关的正式通讯地址为：</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地 址：                         邮 编：</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电 话：                         传 真：</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 xml:space="preserve">供应商开户行：                  账 户： </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hint="eastAsia" w:ascii="宋体" w:hAnsi="宋体" w:eastAsia="宋体" w:cs="宋体"/>
          <w:color w:val="000000"/>
          <w:kern w:val="1"/>
          <w:sz w:val="21"/>
          <w:szCs w:val="21"/>
          <w:highlight w:val="none"/>
          <w:lang w:val="en-US" w:eastAsia="zh-CN" w:bidi="ar-SA"/>
        </w:rPr>
        <w:t>法定代表人或授权代表（签字或盖章）</w:t>
      </w:r>
      <w:r>
        <w:rPr>
          <w:rFonts w:ascii="宋体" w:hAnsi="宋体" w:eastAsia="宋体" w:cs="宋体"/>
          <w:color w:val="000000"/>
          <w:kern w:val="1"/>
          <w:sz w:val="21"/>
          <w:szCs w:val="21"/>
          <w:highlight w:val="none"/>
          <w:lang w:val="en-US" w:eastAsia="zh-CN" w:bidi="ar-SA"/>
        </w:rPr>
        <w:t>：     联系电话：</w:t>
      </w:r>
    </w:p>
    <w:p>
      <w:pPr>
        <w:widowControl w:val="0"/>
        <w:spacing w:line="360" w:lineRule="auto"/>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 xml:space="preserve">供应商名称（公章）：            </w:t>
      </w:r>
    </w:p>
    <w:p>
      <w:pPr>
        <w:widowControl w:val="0"/>
        <w:ind w:firstLine="420"/>
        <w:jc w:val="both"/>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t>日 期：________年____月____日</w:t>
      </w:r>
    </w:p>
    <w:p>
      <w:pPr>
        <w:widowControl w:val="0"/>
        <w:ind w:firstLine="420"/>
        <w:jc w:val="center"/>
        <w:rPr>
          <w:rFonts w:ascii="宋体" w:hAnsi="宋体" w:eastAsia="宋体" w:cs="宋体"/>
          <w:color w:val="000000"/>
          <w:kern w:val="1"/>
          <w:sz w:val="21"/>
          <w:szCs w:val="21"/>
          <w:highlight w:val="none"/>
          <w:lang w:val="en-US" w:eastAsia="zh-CN" w:bidi="ar-SA"/>
        </w:rPr>
      </w:pPr>
      <w:r>
        <w:rPr>
          <w:rFonts w:ascii="宋体" w:hAnsi="宋体" w:eastAsia="宋体" w:cs="宋体"/>
          <w:color w:val="000000"/>
          <w:kern w:val="1"/>
          <w:sz w:val="21"/>
          <w:szCs w:val="21"/>
          <w:highlight w:val="none"/>
          <w:lang w:val="en-US" w:eastAsia="zh-CN" w:bidi="ar-SA"/>
        </w:rPr>
        <w:br w:type="page"/>
      </w:r>
      <w:r>
        <w:rPr>
          <w:rFonts w:ascii="宋体" w:hAnsi="宋体" w:eastAsia="宋体" w:cs="宋体"/>
          <w:b/>
          <w:color w:val="000000"/>
          <w:kern w:val="1"/>
          <w:sz w:val="21"/>
          <w:szCs w:val="21"/>
          <w:highlight w:val="none"/>
          <w:lang w:val="en-US" w:eastAsia="zh-CN" w:bidi="ar-SA"/>
        </w:rPr>
        <w:t>资 格 声 明</w:t>
      </w:r>
    </w:p>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1、名称及其它情况：</w:t>
      </w:r>
    </w:p>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（1）供应商名称：</w:t>
      </w:r>
      <w:r>
        <w:rPr>
          <w:rFonts w:ascii="宋体" w:hAnsi="宋体" w:eastAsia="宋体" w:cs="宋体"/>
          <w:color w:val="000000"/>
          <w:kern w:val="1"/>
          <w:szCs w:val="21"/>
          <w:highlight w:val="none"/>
          <w:u w:val="single"/>
        </w:rPr>
        <w:t xml:space="preserve">                         </w:t>
      </w:r>
    </w:p>
    <w:p>
      <w:pPr>
        <w:tabs>
          <w:tab w:val="left" w:pos="4740"/>
        </w:tabs>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（2）地址：</w:t>
      </w:r>
      <w:r>
        <w:rPr>
          <w:rFonts w:ascii="宋体" w:hAnsi="宋体" w:eastAsia="宋体" w:cs="宋体"/>
          <w:color w:val="000000"/>
          <w:kern w:val="1"/>
          <w:szCs w:val="21"/>
          <w:highlight w:val="none"/>
          <w:u w:val="single"/>
        </w:rPr>
        <w:t xml:space="preserve">                               </w:t>
      </w:r>
      <w:r>
        <w:rPr>
          <w:rFonts w:ascii="宋体" w:hAnsi="宋体" w:eastAsia="宋体" w:cs="宋体"/>
          <w:color w:val="000000"/>
          <w:kern w:val="1"/>
          <w:szCs w:val="21"/>
          <w:highlight w:val="none"/>
        </w:rPr>
        <w:tab/>
      </w:r>
      <w:r>
        <w:rPr>
          <w:rFonts w:ascii="宋体" w:hAnsi="宋体" w:eastAsia="宋体" w:cs="宋体"/>
          <w:color w:val="000000"/>
          <w:kern w:val="1"/>
          <w:szCs w:val="21"/>
          <w:highlight w:val="none"/>
        </w:rPr>
        <w:t>邮编：</w:t>
      </w:r>
      <w:r>
        <w:rPr>
          <w:rFonts w:ascii="宋体" w:hAnsi="宋体" w:eastAsia="宋体" w:cs="宋体"/>
          <w:color w:val="000000"/>
          <w:kern w:val="1"/>
          <w:szCs w:val="21"/>
          <w:highlight w:val="none"/>
          <w:u w:val="single"/>
        </w:rPr>
        <w:t xml:space="preserve">                  </w:t>
      </w:r>
      <w:r>
        <w:rPr>
          <w:rFonts w:ascii="宋体" w:hAnsi="宋体" w:eastAsia="宋体" w:cs="宋体"/>
          <w:color w:val="000000"/>
          <w:kern w:val="1"/>
          <w:szCs w:val="21"/>
          <w:highlight w:val="none"/>
        </w:rPr>
        <w:t xml:space="preserve"> </w:t>
      </w:r>
    </w:p>
    <w:p>
      <w:pPr>
        <w:tabs>
          <w:tab w:val="left" w:pos="600"/>
          <w:tab w:val="left" w:pos="4320"/>
        </w:tabs>
        <w:spacing w:line="360" w:lineRule="auto"/>
        <w:ind w:firstLine="525"/>
        <w:rPr>
          <w:rFonts w:ascii="宋体" w:hAnsi="宋体" w:eastAsia="宋体" w:cs="宋体"/>
          <w:color w:val="000000"/>
          <w:kern w:val="1"/>
          <w:szCs w:val="21"/>
          <w:highlight w:val="none"/>
        </w:rPr>
      </w:pPr>
      <w:r>
        <w:rPr>
          <w:rFonts w:ascii="宋体" w:hAnsi="宋体" w:eastAsia="宋体" w:cs="宋体"/>
          <w:color w:val="000000"/>
          <w:kern w:val="1"/>
          <w:szCs w:val="21"/>
          <w:highlight w:val="none"/>
        </w:rPr>
        <w:t>电话：</w:t>
      </w:r>
      <w:r>
        <w:rPr>
          <w:rFonts w:ascii="宋体" w:hAnsi="宋体" w:eastAsia="宋体" w:cs="宋体"/>
          <w:color w:val="000000"/>
          <w:kern w:val="1"/>
          <w:szCs w:val="21"/>
          <w:highlight w:val="none"/>
          <w:u w:val="single"/>
        </w:rPr>
        <w:t xml:space="preserve">                               </w:t>
      </w:r>
      <w:r>
        <w:rPr>
          <w:rFonts w:ascii="宋体" w:hAnsi="宋体" w:eastAsia="宋体" w:cs="宋体"/>
          <w:color w:val="000000"/>
          <w:kern w:val="1"/>
          <w:szCs w:val="21"/>
          <w:highlight w:val="none"/>
        </w:rPr>
        <w:t xml:space="preserve">   传真：</w:t>
      </w:r>
      <w:r>
        <w:rPr>
          <w:rFonts w:ascii="宋体" w:hAnsi="宋体" w:eastAsia="宋体" w:cs="宋体"/>
          <w:color w:val="000000"/>
          <w:kern w:val="1"/>
          <w:szCs w:val="21"/>
          <w:highlight w:val="none"/>
          <w:u w:val="single"/>
        </w:rPr>
        <w:t xml:space="preserve">                  </w:t>
      </w:r>
    </w:p>
    <w:p>
      <w:pPr>
        <w:spacing w:line="360" w:lineRule="auto"/>
        <w:rPr>
          <w:rFonts w:ascii="宋体" w:hAnsi="宋体" w:eastAsia="宋体" w:cs="宋体"/>
          <w:color w:val="000000"/>
          <w:kern w:val="1"/>
          <w:szCs w:val="21"/>
          <w:highlight w:val="none"/>
          <w:u w:val="single"/>
        </w:rPr>
      </w:pPr>
      <w:r>
        <w:rPr>
          <w:rFonts w:ascii="宋体" w:hAnsi="宋体" w:eastAsia="宋体" w:cs="宋体"/>
          <w:color w:val="000000"/>
          <w:kern w:val="1"/>
          <w:szCs w:val="21"/>
          <w:highlight w:val="none"/>
        </w:rPr>
        <w:t>（3）成立和/或注册日期：</w:t>
      </w:r>
      <w:r>
        <w:rPr>
          <w:rFonts w:ascii="宋体" w:hAnsi="宋体" w:eastAsia="宋体" w:cs="宋体"/>
          <w:color w:val="000000"/>
          <w:kern w:val="1"/>
          <w:szCs w:val="21"/>
          <w:highlight w:val="none"/>
          <w:u w:val="single"/>
        </w:rPr>
        <w:t xml:space="preserve">                  </w:t>
      </w:r>
    </w:p>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（4）法定代表人：</w:t>
      </w:r>
      <w:r>
        <w:rPr>
          <w:rFonts w:ascii="宋体" w:hAnsi="宋体" w:eastAsia="宋体" w:cs="宋体"/>
          <w:color w:val="000000"/>
          <w:kern w:val="1"/>
          <w:szCs w:val="21"/>
          <w:highlight w:val="none"/>
          <w:u w:val="single"/>
        </w:rPr>
        <w:t xml:space="preserve">                         </w:t>
      </w:r>
    </w:p>
    <w:p>
      <w:pPr>
        <w:spacing w:line="360" w:lineRule="auto"/>
        <w:rPr>
          <w:rFonts w:ascii="宋体" w:hAnsi="宋体" w:eastAsia="宋体" w:cs="宋体"/>
          <w:color w:val="000000"/>
          <w:kern w:val="1"/>
          <w:szCs w:val="21"/>
          <w:highlight w:val="none"/>
          <w:u w:val="single"/>
        </w:rPr>
      </w:pPr>
      <w:r>
        <w:rPr>
          <w:rFonts w:ascii="宋体" w:hAnsi="宋体" w:eastAsia="宋体" w:cs="宋体"/>
          <w:color w:val="000000"/>
          <w:kern w:val="1"/>
          <w:szCs w:val="21"/>
          <w:highlight w:val="none"/>
        </w:rPr>
        <w:t>（5）实收资本：</w:t>
      </w:r>
      <w:r>
        <w:rPr>
          <w:rFonts w:ascii="宋体" w:hAnsi="宋体" w:eastAsia="宋体" w:cs="宋体"/>
          <w:color w:val="000000"/>
          <w:kern w:val="1"/>
          <w:szCs w:val="21"/>
          <w:highlight w:val="none"/>
          <w:u w:val="single"/>
        </w:rPr>
        <w:t xml:space="preserve">                           </w:t>
      </w:r>
    </w:p>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（6）近期资产负债表：（到</w:t>
      </w:r>
      <w:r>
        <w:rPr>
          <w:rFonts w:ascii="宋体" w:hAnsi="宋体" w:eastAsia="宋体" w:cs="宋体"/>
          <w:color w:val="000000"/>
          <w:kern w:val="1"/>
          <w:szCs w:val="21"/>
          <w:highlight w:val="none"/>
          <w:u w:val="single"/>
        </w:rPr>
        <w:t>20  年12月31日</w:t>
      </w:r>
      <w:r>
        <w:rPr>
          <w:rFonts w:ascii="宋体" w:hAnsi="宋体" w:eastAsia="宋体" w:cs="宋体"/>
          <w:color w:val="000000"/>
          <w:kern w:val="1"/>
          <w:szCs w:val="21"/>
          <w:highlight w:val="none"/>
        </w:rPr>
        <w:t>）</w:t>
      </w:r>
    </w:p>
    <w:p>
      <w:pPr>
        <w:spacing w:line="360" w:lineRule="auto"/>
        <w:ind w:firstLine="240"/>
        <w:rPr>
          <w:rFonts w:ascii="宋体" w:hAnsi="宋体" w:eastAsia="宋体" w:cs="宋体"/>
          <w:color w:val="000000"/>
          <w:kern w:val="1"/>
          <w:szCs w:val="21"/>
          <w:highlight w:val="none"/>
        </w:rPr>
      </w:pPr>
      <w:r>
        <w:rPr>
          <w:rFonts w:ascii="宋体" w:hAnsi="宋体" w:eastAsia="宋体" w:cs="宋体"/>
          <w:color w:val="000000"/>
          <w:kern w:val="1"/>
          <w:szCs w:val="21"/>
          <w:highlight w:val="none"/>
        </w:rPr>
        <w:t>&lt;1&gt; 固定资产：</w:t>
      </w:r>
      <w:r>
        <w:rPr>
          <w:rFonts w:ascii="宋体" w:hAnsi="宋体" w:eastAsia="宋体" w:cs="宋体"/>
          <w:color w:val="000000"/>
          <w:kern w:val="1"/>
          <w:szCs w:val="21"/>
          <w:highlight w:val="none"/>
          <w:u w:val="single"/>
        </w:rPr>
        <w:t xml:space="preserve">                          </w:t>
      </w:r>
    </w:p>
    <w:p>
      <w:pPr>
        <w:spacing w:line="360" w:lineRule="auto"/>
        <w:ind w:firstLine="240"/>
        <w:rPr>
          <w:rFonts w:ascii="宋体" w:hAnsi="宋体" w:eastAsia="宋体" w:cs="宋体"/>
          <w:color w:val="000000"/>
          <w:kern w:val="1"/>
          <w:szCs w:val="21"/>
          <w:highlight w:val="none"/>
        </w:rPr>
      </w:pPr>
      <w:r>
        <w:rPr>
          <w:rFonts w:ascii="宋体" w:hAnsi="宋体" w:eastAsia="宋体" w:cs="宋体"/>
          <w:color w:val="000000"/>
          <w:kern w:val="1"/>
          <w:szCs w:val="21"/>
          <w:highlight w:val="none"/>
        </w:rPr>
        <w:t>&lt;2&gt; 流动资金：</w:t>
      </w:r>
      <w:r>
        <w:rPr>
          <w:rFonts w:ascii="宋体" w:hAnsi="宋体" w:eastAsia="宋体" w:cs="宋体"/>
          <w:color w:val="000000"/>
          <w:kern w:val="1"/>
          <w:szCs w:val="21"/>
          <w:highlight w:val="none"/>
          <w:u w:val="single"/>
        </w:rPr>
        <w:t xml:space="preserve">                          </w:t>
      </w:r>
    </w:p>
    <w:p>
      <w:pPr>
        <w:spacing w:line="360" w:lineRule="auto"/>
        <w:ind w:firstLine="240"/>
        <w:rPr>
          <w:rFonts w:ascii="宋体" w:hAnsi="宋体" w:eastAsia="宋体" w:cs="宋体"/>
          <w:color w:val="000000"/>
          <w:kern w:val="1"/>
          <w:szCs w:val="21"/>
          <w:highlight w:val="none"/>
        </w:rPr>
      </w:pPr>
      <w:r>
        <w:rPr>
          <w:rFonts w:ascii="宋体" w:hAnsi="宋体" w:eastAsia="宋体" w:cs="宋体"/>
          <w:color w:val="000000"/>
          <w:kern w:val="1"/>
          <w:szCs w:val="21"/>
          <w:highlight w:val="none"/>
        </w:rPr>
        <w:t>&lt;3&gt; 长期负债：</w:t>
      </w:r>
      <w:r>
        <w:rPr>
          <w:rFonts w:ascii="宋体" w:hAnsi="宋体" w:eastAsia="宋体" w:cs="宋体"/>
          <w:color w:val="000000"/>
          <w:kern w:val="1"/>
          <w:szCs w:val="21"/>
          <w:highlight w:val="none"/>
          <w:u w:val="single"/>
        </w:rPr>
        <w:t xml:space="preserve">                          </w:t>
      </w:r>
    </w:p>
    <w:p>
      <w:pPr>
        <w:spacing w:line="360" w:lineRule="auto"/>
        <w:ind w:firstLine="240"/>
        <w:rPr>
          <w:rFonts w:ascii="宋体" w:hAnsi="宋体" w:eastAsia="宋体" w:cs="宋体"/>
          <w:color w:val="000000"/>
          <w:kern w:val="1"/>
          <w:szCs w:val="21"/>
          <w:highlight w:val="none"/>
        </w:rPr>
      </w:pPr>
      <w:r>
        <w:rPr>
          <w:rFonts w:ascii="宋体" w:hAnsi="宋体" w:eastAsia="宋体" w:cs="宋体"/>
          <w:color w:val="000000"/>
          <w:kern w:val="1"/>
          <w:szCs w:val="21"/>
          <w:highlight w:val="none"/>
        </w:rPr>
        <w:t>&lt;4&gt; 短期负债：</w:t>
      </w:r>
      <w:r>
        <w:rPr>
          <w:rFonts w:ascii="宋体" w:hAnsi="宋体" w:eastAsia="宋体" w:cs="宋体"/>
          <w:color w:val="000000"/>
          <w:kern w:val="1"/>
          <w:szCs w:val="21"/>
          <w:highlight w:val="none"/>
          <w:u w:val="single"/>
        </w:rPr>
        <w:t xml:space="preserve">                          </w:t>
      </w:r>
    </w:p>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rPr>
        <w:t>2、近三年同类</w:t>
      </w:r>
      <w:r>
        <w:rPr>
          <w:rFonts w:hint="eastAsia" w:ascii="宋体" w:hAnsi="宋体" w:eastAsia="宋体" w:cs="宋体"/>
          <w:color w:val="000000"/>
          <w:kern w:val="1"/>
          <w:szCs w:val="21"/>
          <w:highlight w:val="none"/>
        </w:rPr>
        <w:t>工程</w:t>
      </w:r>
      <w:r>
        <w:rPr>
          <w:rFonts w:ascii="宋体" w:hAnsi="宋体" w:eastAsia="宋体" w:cs="宋体"/>
          <w:color w:val="000000"/>
          <w:kern w:val="1"/>
          <w:szCs w:val="21"/>
          <w:highlight w:val="none"/>
        </w:rPr>
        <w:t>和服务的主要销售业绩（无有效联系人、联系方式和合同复印件的视为未填报本项目）：</w:t>
      </w:r>
    </w:p>
    <w:tbl>
      <w:tblPr>
        <w:tblStyle w:val="16"/>
        <w:tblW w:w="8522" w:type="dxa"/>
        <w:jc w:val="center"/>
        <w:tblLayout w:type="autofit"/>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noWrap w:val="0"/>
            <w:vAlign w:val="top"/>
          </w:tcPr>
          <w:p>
            <w:pPr>
              <w:spacing w:line="360" w:lineRule="auto"/>
              <w:jc w:val="center"/>
              <w:rPr>
                <w:rFonts w:ascii="宋体" w:hAnsi="宋体" w:eastAsia="宋体" w:cs="宋体"/>
                <w:color w:val="000000"/>
                <w:kern w:val="1"/>
                <w:szCs w:val="21"/>
                <w:highlight w:val="none"/>
                <w:u w:val="single"/>
              </w:rPr>
            </w:pPr>
            <w:r>
              <w:rPr>
                <w:rFonts w:ascii="宋体" w:hAnsi="宋体" w:eastAsia="宋体" w:cs="宋体"/>
                <w:color w:val="000000"/>
                <w:kern w:val="1"/>
                <w:szCs w:val="21"/>
                <w:highlight w:val="none"/>
                <w:u w:val="single"/>
              </w:rPr>
              <w:t>甲方名称、联系人、联系方式</w:t>
            </w:r>
          </w:p>
        </w:tc>
        <w:tc>
          <w:tcPr>
            <w:tcW w:w="4251" w:type="dxa"/>
            <w:noWrap w:val="0"/>
            <w:vAlign w:val="top"/>
          </w:tcPr>
          <w:p>
            <w:pPr>
              <w:spacing w:line="360" w:lineRule="auto"/>
              <w:jc w:val="center"/>
              <w:rPr>
                <w:rFonts w:ascii="宋体" w:hAnsi="宋体" w:eastAsia="宋体" w:cs="宋体"/>
                <w:color w:val="000000"/>
                <w:kern w:val="1"/>
                <w:szCs w:val="21"/>
                <w:highlight w:val="none"/>
                <w:u w:val="single"/>
              </w:rPr>
            </w:pPr>
            <w:r>
              <w:rPr>
                <w:rFonts w:ascii="宋体" w:hAnsi="宋体" w:eastAsia="宋体" w:cs="宋体"/>
                <w:color w:val="000000"/>
                <w:kern w:val="1"/>
                <w:szCs w:val="21"/>
                <w:highlight w:val="none"/>
                <w:u w:val="single"/>
              </w:rPr>
              <w:t>项   目   名   称</w:t>
            </w:r>
          </w:p>
        </w:tc>
      </w:tr>
      <w:tr>
        <w:tblPrEx>
          <w:tblCellMar>
            <w:top w:w="0" w:type="dxa"/>
            <w:left w:w="108" w:type="dxa"/>
            <w:bottom w:w="0" w:type="dxa"/>
            <w:right w:w="108" w:type="dxa"/>
          </w:tblCellMar>
        </w:tblPrEx>
        <w:trPr>
          <w:jc w:val="center"/>
        </w:trPr>
        <w:tc>
          <w:tcPr>
            <w:tcW w:w="4271" w:type="dxa"/>
            <w:noWrap w:val="0"/>
            <w:vAlign w:val="top"/>
          </w:tcPr>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u w:val="single"/>
              </w:rPr>
              <w:t xml:space="preserve">                                                    </w:t>
            </w:r>
          </w:p>
        </w:tc>
        <w:tc>
          <w:tcPr>
            <w:tcW w:w="4251" w:type="dxa"/>
            <w:noWrap w:val="0"/>
            <w:vAlign w:val="top"/>
          </w:tcPr>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u w:val="single"/>
              </w:rPr>
              <w:t xml:space="preserve">                                          </w:t>
            </w:r>
          </w:p>
        </w:tc>
      </w:tr>
      <w:tr>
        <w:tblPrEx>
          <w:tblCellMar>
            <w:top w:w="0" w:type="dxa"/>
            <w:left w:w="108" w:type="dxa"/>
            <w:bottom w:w="0" w:type="dxa"/>
            <w:right w:w="108" w:type="dxa"/>
          </w:tblCellMar>
        </w:tblPrEx>
        <w:trPr>
          <w:jc w:val="center"/>
        </w:trPr>
        <w:tc>
          <w:tcPr>
            <w:tcW w:w="4271" w:type="dxa"/>
            <w:noWrap w:val="0"/>
            <w:vAlign w:val="top"/>
          </w:tcPr>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u w:val="single"/>
              </w:rPr>
              <w:t xml:space="preserve">                                          </w:t>
            </w:r>
          </w:p>
        </w:tc>
        <w:tc>
          <w:tcPr>
            <w:tcW w:w="4251" w:type="dxa"/>
            <w:noWrap w:val="0"/>
            <w:vAlign w:val="top"/>
          </w:tcPr>
          <w:p>
            <w:pPr>
              <w:spacing w:line="360" w:lineRule="auto"/>
              <w:rPr>
                <w:rFonts w:ascii="宋体" w:hAnsi="宋体" w:eastAsia="宋体" w:cs="宋体"/>
                <w:color w:val="000000"/>
                <w:kern w:val="1"/>
                <w:szCs w:val="21"/>
                <w:highlight w:val="none"/>
              </w:rPr>
            </w:pPr>
            <w:r>
              <w:rPr>
                <w:rFonts w:ascii="宋体" w:hAnsi="宋体" w:eastAsia="宋体" w:cs="宋体"/>
                <w:color w:val="000000"/>
                <w:kern w:val="1"/>
                <w:szCs w:val="21"/>
                <w:highlight w:val="none"/>
                <w:u w:val="single"/>
              </w:rPr>
              <w:t xml:space="preserve">                                          </w:t>
            </w:r>
          </w:p>
        </w:tc>
      </w:tr>
    </w:tbl>
    <w:p>
      <w:pPr>
        <w:spacing w:line="360" w:lineRule="auto"/>
        <w:ind w:left="410" w:hanging="410"/>
        <w:rPr>
          <w:rFonts w:ascii="宋体" w:hAnsi="宋体" w:eastAsia="宋体" w:cs="宋体"/>
          <w:color w:val="000000"/>
          <w:kern w:val="1"/>
          <w:szCs w:val="21"/>
          <w:highlight w:val="none"/>
        </w:rPr>
      </w:pPr>
      <w:r>
        <w:rPr>
          <w:rFonts w:ascii="宋体" w:hAnsi="宋体" w:eastAsia="宋体" w:cs="宋体"/>
          <w:color w:val="000000"/>
          <w:kern w:val="1"/>
          <w:szCs w:val="21"/>
          <w:highlight w:val="none"/>
        </w:rPr>
        <w:t>3、本次采购要求的其他资格文件以及供应商认为需要声明的其他情况：</w:t>
      </w:r>
      <w:r>
        <w:rPr>
          <w:rFonts w:ascii="宋体" w:hAnsi="宋体" w:eastAsia="宋体" w:cs="宋体"/>
          <w:color w:val="000000"/>
          <w:kern w:val="1"/>
          <w:szCs w:val="21"/>
          <w:highlight w:val="none"/>
          <w:u w:val="single"/>
        </w:rPr>
        <w:t xml:space="preserve">                         </w:t>
      </w:r>
    </w:p>
    <w:p>
      <w:pPr>
        <w:spacing w:line="360" w:lineRule="auto"/>
        <w:ind w:firstLine="420"/>
        <w:rPr>
          <w:rFonts w:ascii="宋体" w:hAnsi="宋体" w:eastAsia="宋体" w:cs="宋体"/>
          <w:color w:val="000000"/>
          <w:kern w:val="1"/>
          <w:szCs w:val="21"/>
          <w:highlight w:val="none"/>
        </w:rPr>
      </w:pPr>
      <w:r>
        <w:rPr>
          <w:rFonts w:ascii="宋体" w:hAnsi="宋体" w:eastAsia="宋体" w:cs="宋体"/>
          <w:color w:val="000000"/>
          <w:kern w:val="1"/>
          <w:szCs w:val="21"/>
          <w:highlight w:val="none"/>
        </w:rPr>
        <w:t>兹证明上述声明是真实的、正确的，并提供了全部能提供的资料和数据，我们同意遵照贵方要求出示有关证明文件，如有虚假，自愿丧失成交资格，一年内退出扬州政府采购市场。</w:t>
      </w:r>
    </w:p>
    <w:p>
      <w:pPr>
        <w:spacing w:line="360" w:lineRule="auto"/>
        <w:ind w:firstLine="420"/>
        <w:rPr>
          <w:rFonts w:ascii="宋体" w:hAnsi="宋体" w:eastAsia="宋体" w:cs="宋体"/>
          <w:color w:val="000000"/>
          <w:kern w:val="1"/>
          <w:szCs w:val="21"/>
          <w:highlight w:val="none"/>
        </w:rPr>
      </w:pPr>
      <w:r>
        <w:rPr>
          <w:rFonts w:ascii="宋体" w:hAnsi="宋体" w:eastAsia="宋体" w:cs="宋体"/>
          <w:color w:val="000000"/>
          <w:kern w:val="1"/>
          <w:szCs w:val="21"/>
          <w:highlight w:val="none"/>
        </w:rPr>
        <w:t>供应商公章：</w:t>
      </w:r>
      <w:r>
        <w:rPr>
          <w:rFonts w:ascii="宋体" w:hAnsi="宋体" w:eastAsia="宋体" w:cs="宋体"/>
          <w:color w:val="000000"/>
          <w:kern w:val="1"/>
          <w:szCs w:val="21"/>
          <w:highlight w:val="none"/>
          <w:u w:val="single"/>
        </w:rPr>
        <w:t xml:space="preserve">                                 </w:t>
      </w:r>
    </w:p>
    <w:p>
      <w:pPr>
        <w:spacing w:line="360" w:lineRule="auto"/>
        <w:ind w:firstLine="420"/>
        <w:rPr>
          <w:rFonts w:ascii="宋体" w:hAnsi="宋体" w:eastAsia="宋体" w:cs="宋体"/>
          <w:color w:val="000000"/>
          <w:kern w:val="1"/>
          <w:szCs w:val="21"/>
          <w:highlight w:val="none"/>
        </w:rPr>
      </w:pPr>
      <w:r>
        <w:rPr>
          <w:rFonts w:hint="eastAsia" w:ascii="宋体" w:hAnsi="宋体" w:eastAsia="宋体" w:cs="Times New Roman"/>
          <w:color w:val="000000"/>
          <w:kern w:val="2"/>
          <w:szCs w:val="21"/>
          <w:highlight w:val="none"/>
        </w:rPr>
        <w:t>法定代表人或授权代表（签字或盖章）</w:t>
      </w:r>
      <w:r>
        <w:rPr>
          <w:rFonts w:ascii="宋体" w:hAnsi="宋体" w:eastAsia="宋体" w:cs="宋体"/>
          <w:color w:val="000000"/>
          <w:kern w:val="1"/>
          <w:szCs w:val="21"/>
          <w:highlight w:val="none"/>
        </w:rPr>
        <w:t>：</w:t>
      </w:r>
      <w:r>
        <w:rPr>
          <w:rFonts w:ascii="宋体" w:hAnsi="宋体" w:eastAsia="宋体" w:cs="宋体"/>
          <w:color w:val="000000"/>
          <w:kern w:val="1"/>
          <w:szCs w:val="21"/>
          <w:highlight w:val="none"/>
          <w:u w:val="single"/>
        </w:rPr>
        <w:t xml:space="preserve">                   </w:t>
      </w:r>
    </w:p>
    <w:p>
      <w:pPr>
        <w:pStyle w:val="37"/>
        <w:spacing w:after="312" w:afterLines="100" w:line="360" w:lineRule="auto"/>
        <w:ind w:firstLine="0" w:firstLineChars="0"/>
        <w:jc w:val="center"/>
        <w:rPr>
          <w:rFonts w:ascii="宋体" w:hAnsi="宋体" w:cs="宋体"/>
          <w:b/>
          <w:sz w:val="21"/>
          <w:szCs w:val="21"/>
        </w:rPr>
      </w:pPr>
      <w:r>
        <w:rPr>
          <w:rFonts w:ascii="宋体" w:hAnsi="宋体" w:eastAsia="宋体" w:cs="宋体"/>
          <w:color w:val="000000"/>
          <w:kern w:val="1"/>
          <w:sz w:val="21"/>
          <w:szCs w:val="21"/>
          <w:highlight w:val="none"/>
          <w:lang w:val="en-US" w:eastAsia="zh-CN" w:bidi="ar-SA"/>
        </w:rPr>
        <w:t>日期：</w:t>
      </w:r>
      <w:r>
        <w:rPr>
          <w:rFonts w:ascii="宋体" w:hAnsi="宋体" w:eastAsia="宋体" w:cs="宋体"/>
          <w:color w:val="000000"/>
          <w:kern w:val="1"/>
          <w:sz w:val="21"/>
          <w:szCs w:val="21"/>
          <w:highlight w:val="none"/>
          <w:u w:val="single"/>
          <w:lang w:val="en-US" w:eastAsia="zh-CN" w:bidi="ar-SA"/>
        </w:rPr>
        <w:t xml:space="preserve">    </w:t>
      </w:r>
      <w:r>
        <w:rPr>
          <w:rFonts w:ascii="宋体" w:hAnsi="宋体" w:eastAsia="宋体" w:cs="宋体"/>
          <w:color w:val="000000"/>
          <w:kern w:val="1"/>
          <w:sz w:val="21"/>
          <w:szCs w:val="21"/>
          <w:highlight w:val="none"/>
          <w:lang w:val="en-US" w:eastAsia="zh-CN" w:bidi="ar-SA"/>
        </w:rPr>
        <w:t>年</w:t>
      </w:r>
      <w:r>
        <w:rPr>
          <w:rFonts w:ascii="宋体" w:hAnsi="宋体" w:eastAsia="宋体" w:cs="宋体"/>
          <w:color w:val="000000"/>
          <w:kern w:val="1"/>
          <w:sz w:val="21"/>
          <w:szCs w:val="21"/>
          <w:highlight w:val="none"/>
          <w:u w:val="single"/>
          <w:lang w:val="en-US" w:eastAsia="zh-CN" w:bidi="ar-SA"/>
        </w:rPr>
        <w:t xml:space="preserve">    </w:t>
      </w:r>
      <w:r>
        <w:rPr>
          <w:rFonts w:ascii="宋体" w:hAnsi="宋体" w:eastAsia="宋体" w:cs="宋体"/>
          <w:color w:val="000000"/>
          <w:kern w:val="1"/>
          <w:sz w:val="21"/>
          <w:szCs w:val="21"/>
          <w:highlight w:val="none"/>
          <w:lang w:val="en-US" w:eastAsia="zh-CN" w:bidi="ar-SA"/>
        </w:rPr>
        <w:t>月</w:t>
      </w:r>
      <w:r>
        <w:rPr>
          <w:rFonts w:ascii="宋体" w:hAnsi="宋体" w:eastAsia="宋体" w:cs="宋体"/>
          <w:color w:val="000000"/>
          <w:kern w:val="1"/>
          <w:sz w:val="21"/>
          <w:szCs w:val="21"/>
          <w:highlight w:val="none"/>
          <w:u w:val="single"/>
          <w:lang w:val="en-US" w:eastAsia="zh-CN" w:bidi="ar-SA"/>
        </w:rPr>
        <w:t xml:space="preserve">    </w:t>
      </w:r>
      <w:r>
        <w:rPr>
          <w:rFonts w:ascii="宋体" w:hAnsi="宋体" w:eastAsia="宋体" w:cs="宋体"/>
          <w:color w:val="000000"/>
          <w:kern w:val="1"/>
          <w:sz w:val="21"/>
          <w:szCs w:val="21"/>
          <w:highlight w:val="none"/>
          <w:lang w:val="en-US" w:eastAsia="zh-CN" w:bidi="ar-SA"/>
        </w:rPr>
        <w:t xml:space="preserve">日 </w:t>
      </w:r>
      <w:r>
        <w:rPr>
          <w:rFonts w:ascii="宋体" w:hAnsi="宋体" w:eastAsia="宋体" w:cs="宋体"/>
          <w:color w:val="000000"/>
          <w:kern w:val="1"/>
          <w:sz w:val="21"/>
          <w:szCs w:val="21"/>
          <w:highlight w:val="none"/>
          <w:lang w:val="en-US" w:eastAsia="zh-CN" w:bidi="ar-SA"/>
        </w:rPr>
        <w:br w:type="page"/>
      </w:r>
      <w:r>
        <w:rPr>
          <w:rFonts w:hint="eastAsia" w:ascii="宋体" w:hAnsi="宋体" w:cs="宋体"/>
          <w:b/>
          <w:sz w:val="21"/>
          <w:szCs w:val="21"/>
        </w:rPr>
        <w:t>法人授权书</w:t>
      </w:r>
    </w:p>
    <w:p>
      <w:pPr>
        <w:pStyle w:val="37"/>
        <w:spacing w:line="360" w:lineRule="auto"/>
        <w:ind w:firstLine="420"/>
        <w:rPr>
          <w:rFonts w:ascii="宋体" w:hAnsi="宋体" w:cs="宋体"/>
          <w:sz w:val="21"/>
          <w:szCs w:val="21"/>
        </w:rPr>
      </w:pPr>
      <w:r>
        <w:rPr>
          <w:rFonts w:hint="eastAsia" w:ascii="宋体" w:hAnsi="宋体" w:cs="宋体"/>
          <w:sz w:val="21"/>
          <w:szCs w:val="21"/>
        </w:rPr>
        <w:t>本授权书声明：________________（投标人名称）授权________________（被授权人的姓名）为我方就                 号采购活动的合法代理人，以本公司名义全权处理一切与该项目采购有关的事务。</w:t>
      </w:r>
    </w:p>
    <w:p>
      <w:pPr>
        <w:pStyle w:val="37"/>
        <w:spacing w:line="360" w:lineRule="auto"/>
        <w:ind w:firstLine="420"/>
        <w:rPr>
          <w:rFonts w:ascii="宋体" w:hAnsi="宋体" w:cs="宋体"/>
          <w:sz w:val="21"/>
          <w:szCs w:val="21"/>
        </w:rPr>
      </w:pPr>
      <w:r>
        <w:rPr>
          <w:rFonts w:hint="eastAsia" w:ascii="宋体" w:hAnsi="宋体" w:cs="宋体"/>
          <w:sz w:val="21"/>
          <w:szCs w:val="21"/>
        </w:rPr>
        <w:t>本授权书于______年____月____日起生效，特此声明。</w:t>
      </w:r>
    </w:p>
    <w:p>
      <w:pPr>
        <w:pStyle w:val="37"/>
        <w:spacing w:line="360" w:lineRule="auto"/>
        <w:ind w:firstLine="0" w:firstLineChars="0"/>
        <w:rPr>
          <w:rFonts w:ascii="宋体" w:hAnsi="宋体" w:cs="宋体"/>
          <w:sz w:val="21"/>
          <w:szCs w:val="21"/>
        </w:rPr>
      </w:pPr>
    </w:p>
    <w:p>
      <w:pPr>
        <w:pStyle w:val="37"/>
        <w:spacing w:line="360" w:lineRule="auto"/>
        <w:ind w:firstLine="420"/>
        <w:rPr>
          <w:rFonts w:ascii="宋体" w:hAnsi="宋体" w:cs="宋体"/>
          <w:sz w:val="21"/>
          <w:szCs w:val="21"/>
        </w:rPr>
      </w:pPr>
      <w:r>
        <w:rPr>
          <w:rFonts w:hint="eastAsia" w:ascii="宋体" w:hAnsi="宋体" w:cs="宋体"/>
          <w:sz w:val="21"/>
          <w:szCs w:val="21"/>
        </w:rPr>
        <w:t>被授权人签字：</w:t>
      </w:r>
    </w:p>
    <w:p>
      <w:pPr>
        <w:pStyle w:val="37"/>
        <w:spacing w:line="360" w:lineRule="auto"/>
        <w:ind w:firstLine="420"/>
        <w:rPr>
          <w:rFonts w:ascii="宋体" w:hAnsi="宋体" w:cs="宋体"/>
          <w:sz w:val="21"/>
          <w:szCs w:val="21"/>
          <w:u w:val="single"/>
        </w:rPr>
      </w:pPr>
      <w:r>
        <w:rPr>
          <w:rFonts w:hint="eastAsia" w:ascii="宋体" w:hAnsi="宋体" w:cs="宋体"/>
          <w:sz w:val="21"/>
          <w:szCs w:val="21"/>
        </w:rPr>
        <w:t>联系电话（手机）：</w:t>
      </w:r>
    </w:p>
    <w:p>
      <w:pPr>
        <w:pStyle w:val="37"/>
        <w:spacing w:line="360" w:lineRule="auto"/>
        <w:ind w:firstLine="0" w:firstLineChars="0"/>
        <w:rPr>
          <w:rFonts w:ascii="宋体" w:hAnsi="宋体" w:cs="宋体"/>
          <w:sz w:val="21"/>
          <w:szCs w:val="21"/>
        </w:rPr>
      </w:pPr>
      <w:r>
        <w:rPr>
          <w:rFonts w:hint="eastAsia" w:ascii="宋体" w:hAnsi="宋体" w:cs="宋体"/>
          <w:sz w:val="21"/>
          <w:szCs w:val="21"/>
        </w:rPr>
        <w:t xml:space="preserve">    单位名称：_____________________________________</w:t>
      </w:r>
    </w:p>
    <w:p>
      <w:pPr>
        <w:pStyle w:val="37"/>
        <w:spacing w:line="360" w:lineRule="auto"/>
        <w:ind w:firstLine="0" w:firstLineChars="0"/>
        <w:rPr>
          <w:rFonts w:ascii="宋体" w:hAnsi="宋体" w:cs="宋体"/>
          <w:sz w:val="21"/>
          <w:szCs w:val="21"/>
        </w:rPr>
      </w:pPr>
      <w:r>
        <w:rPr>
          <w:rFonts w:hint="eastAsia" w:ascii="宋体" w:hAnsi="宋体" w:cs="宋体"/>
          <w:sz w:val="21"/>
          <w:szCs w:val="21"/>
        </w:rPr>
        <w:t xml:space="preserve">    授权单位盖章：_________________________________</w:t>
      </w:r>
    </w:p>
    <w:p>
      <w:pPr>
        <w:pStyle w:val="37"/>
        <w:spacing w:line="360" w:lineRule="auto"/>
        <w:ind w:firstLine="420"/>
        <w:rPr>
          <w:rFonts w:ascii="宋体" w:hAnsi="宋体" w:cs="宋体"/>
          <w:sz w:val="21"/>
          <w:szCs w:val="21"/>
          <w:u w:val="single"/>
        </w:rPr>
      </w:pPr>
      <w:r>
        <w:rPr>
          <w:rFonts w:hint="eastAsia" w:ascii="宋体" w:hAnsi="宋体" w:cs="宋体"/>
          <w:sz w:val="21"/>
          <w:szCs w:val="21"/>
        </w:rPr>
        <w:t>地址：</w:t>
      </w:r>
    </w:p>
    <w:p>
      <w:pPr>
        <w:pStyle w:val="37"/>
        <w:spacing w:line="360" w:lineRule="auto"/>
        <w:ind w:firstLine="420"/>
        <w:rPr>
          <w:rFonts w:ascii="宋体" w:hAnsi="宋体" w:cs="宋体"/>
          <w:bCs/>
          <w:szCs w:val="21"/>
        </w:rPr>
      </w:pPr>
      <w:r>
        <w:rPr>
          <w:rFonts w:hint="eastAsia" w:ascii="宋体" w:hAnsi="宋体" w:cs="宋体"/>
          <w:sz w:val="21"/>
          <w:szCs w:val="21"/>
        </w:rPr>
        <w:t>日期：</w:t>
      </w:r>
    </w:p>
    <w:p>
      <w:pPr>
        <w:spacing w:line="460" w:lineRule="exact"/>
        <w:rPr>
          <w:rFonts w:ascii="宋体" w:hAnsi="宋体" w:cs="宋体"/>
          <w:bCs/>
          <w:szCs w:val="21"/>
        </w:rPr>
      </w:pPr>
      <w:r>
        <w:rPr>
          <w:rFonts w:hint="eastAsia" w:ascii="宋体" w:hAnsi="宋体" w:cs="宋体"/>
          <w:bCs/>
          <w:szCs w:val="21"/>
        </w:rPr>
        <w:t>法人身份证复印件：</w:t>
      </w:r>
    </w:p>
    <w:p>
      <w:pPr>
        <w:spacing w:line="460" w:lineRule="exact"/>
        <w:rPr>
          <w:rFonts w:ascii="宋体" w:hAnsi="宋体" w:cs="宋体"/>
          <w:bCs/>
          <w:szCs w:val="21"/>
        </w:rPr>
      </w:pPr>
    </w:p>
    <w:p>
      <w:pPr>
        <w:spacing w:line="460" w:lineRule="exact"/>
        <w:rPr>
          <w:rFonts w:ascii="宋体" w:hAnsi="宋体" w:cs="宋体"/>
          <w:bCs/>
          <w:szCs w:val="21"/>
        </w:rPr>
      </w:pPr>
    </w:p>
    <w:p>
      <w:pPr>
        <w:spacing w:line="460" w:lineRule="exact"/>
        <w:rPr>
          <w:rFonts w:ascii="宋体" w:hAnsi="宋体" w:cs="宋体"/>
          <w:bCs/>
          <w:szCs w:val="21"/>
        </w:rPr>
      </w:pPr>
    </w:p>
    <w:p>
      <w:pPr>
        <w:spacing w:line="460" w:lineRule="exact"/>
        <w:rPr>
          <w:rFonts w:ascii="宋体" w:hAnsi="宋体" w:cs="宋体"/>
          <w:bCs/>
          <w:szCs w:val="21"/>
        </w:rPr>
      </w:pPr>
    </w:p>
    <w:p>
      <w:pPr>
        <w:spacing w:line="460" w:lineRule="exact"/>
        <w:rPr>
          <w:rFonts w:ascii="宋体" w:hAnsi="宋体" w:cs="宋体"/>
          <w:bCs/>
          <w:szCs w:val="21"/>
        </w:rPr>
      </w:pPr>
    </w:p>
    <w:p>
      <w:pPr>
        <w:spacing w:line="460" w:lineRule="exact"/>
        <w:rPr>
          <w:rFonts w:ascii="宋体" w:hAnsi="宋体" w:cs="宋体"/>
          <w:bCs/>
          <w:szCs w:val="21"/>
        </w:rPr>
      </w:pPr>
    </w:p>
    <w:p>
      <w:pPr>
        <w:spacing w:line="460" w:lineRule="exact"/>
        <w:rPr>
          <w:rFonts w:ascii="宋体" w:hAnsi="宋体" w:cs="宋体"/>
          <w:bCs/>
          <w:szCs w:val="21"/>
        </w:rPr>
      </w:pPr>
      <w:r>
        <w:rPr>
          <w:rFonts w:hint="eastAsia" w:ascii="宋体" w:hAnsi="宋体" w:cs="宋体"/>
          <w:bCs/>
          <w:szCs w:val="21"/>
        </w:rPr>
        <w:t>被授权人身份证复印件：</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360" w:lineRule="auto"/>
        <w:jc w:val="center"/>
        <w:rPr>
          <w:rFonts w:ascii="宋体" w:hAnsi="宋体" w:cs="宋体"/>
          <w:b/>
          <w:bCs/>
          <w:szCs w:val="21"/>
        </w:rPr>
      </w:pPr>
      <w:r>
        <w:rPr>
          <w:rFonts w:hint="eastAsia" w:ascii="宋体" w:hAnsi="宋体" w:cs="宋体"/>
          <w:b/>
          <w:bCs/>
          <w:szCs w:val="21"/>
        </w:rPr>
        <w:t>本次政府采购活动前 3 年内在经营活动中没有重大违法记录的书面声明</w:t>
      </w:r>
    </w:p>
    <w:p>
      <w:pPr>
        <w:spacing w:line="360" w:lineRule="auto"/>
        <w:rPr>
          <w:rFonts w:ascii="宋体" w:hAnsi="宋体" w:cs="宋体"/>
          <w:szCs w:val="21"/>
        </w:rPr>
      </w:pPr>
    </w:p>
    <w:p>
      <w:pPr>
        <w:spacing w:after="312" w:afterLines="100" w:line="360" w:lineRule="auto"/>
        <w:jc w:val="center"/>
        <w:rPr>
          <w:rFonts w:ascii="宋体" w:hAnsi="宋体" w:cs="宋体"/>
          <w:b/>
          <w:bCs/>
          <w:szCs w:val="21"/>
        </w:rPr>
      </w:pPr>
      <w:r>
        <w:rPr>
          <w:rFonts w:hint="eastAsia" w:ascii="宋体" w:hAnsi="宋体" w:cs="宋体"/>
          <w:b/>
          <w:bCs/>
          <w:szCs w:val="21"/>
        </w:rPr>
        <w:t>声  明</w:t>
      </w:r>
    </w:p>
    <w:p>
      <w:pPr>
        <w:spacing w:line="360" w:lineRule="auto"/>
        <w:rPr>
          <w:rFonts w:ascii="宋体" w:hAnsi="宋体" w:cs="宋体"/>
          <w:bCs/>
          <w:szCs w:val="21"/>
        </w:rPr>
      </w:pPr>
      <w:r>
        <w:rPr>
          <w:rFonts w:hint="eastAsia" w:ascii="宋体" w:hAnsi="宋体" w:cs="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cs="宋体"/>
          <w:bCs/>
          <w:szCs w:val="21"/>
        </w:rPr>
      </w:pPr>
      <w:r>
        <w:rPr>
          <w:rFonts w:hint="eastAsia" w:ascii="宋体" w:hAnsi="宋体" w:cs="宋体"/>
          <w:bCs/>
          <w:szCs w:val="21"/>
        </w:rPr>
        <w:t xml:space="preserve">                               供应商名称（公章）：</w:t>
      </w:r>
    </w:p>
    <w:p>
      <w:pPr>
        <w:spacing w:line="360" w:lineRule="auto"/>
        <w:rPr>
          <w:rFonts w:ascii="宋体" w:hAnsi="宋体" w:cs="宋体"/>
          <w:bCs/>
          <w:szCs w:val="21"/>
        </w:rPr>
      </w:pPr>
      <w:r>
        <w:rPr>
          <w:rFonts w:hint="eastAsia" w:ascii="宋体" w:hAnsi="宋体" w:cs="宋体"/>
          <w:bCs/>
          <w:szCs w:val="21"/>
        </w:rPr>
        <w:t xml:space="preserve">                               法定代表人或授权代表签字：_______________________</w:t>
      </w:r>
    </w:p>
    <w:p>
      <w:pPr>
        <w:spacing w:line="360" w:lineRule="auto"/>
        <w:rPr>
          <w:rFonts w:ascii="宋体" w:hAnsi="宋体" w:cs="宋体"/>
          <w:bCs/>
          <w:szCs w:val="21"/>
        </w:rPr>
      </w:pPr>
      <w:r>
        <w:rPr>
          <w:rFonts w:hint="eastAsia" w:ascii="宋体" w:hAnsi="宋体" w:cs="宋体"/>
          <w:bCs/>
          <w:szCs w:val="21"/>
        </w:rPr>
        <w:t xml:space="preserve">                               日期：______年</w:t>
      </w:r>
      <w:r>
        <w:rPr>
          <w:rFonts w:hint="eastAsia" w:ascii="宋体" w:hAnsi="宋体" w:cs="宋体"/>
          <w:bCs/>
          <w:szCs w:val="21"/>
          <w:u w:val="single"/>
          <w:lang w:val="en-US" w:eastAsia="zh-CN"/>
        </w:rPr>
        <w:t xml:space="preserve">     </w:t>
      </w:r>
      <w:r>
        <w:rPr>
          <w:rFonts w:hint="eastAsia" w:ascii="宋体" w:hAnsi="宋体" w:cs="宋体"/>
          <w:bCs/>
          <w:szCs w:val="21"/>
        </w:rPr>
        <w:t>月</w:t>
      </w:r>
      <w:r>
        <w:rPr>
          <w:rFonts w:hint="eastAsia" w:ascii="宋体" w:hAnsi="宋体" w:cs="宋体"/>
          <w:bCs/>
          <w:szCs w:val="21"/>
          <w:u w:val="single"/>
          <w:lang w:val="en-US" w:eastAsia="zh-CN"/>
        </w:rPr>
        <w:t xml:space="preserve">        </w:t>
      </w:r>
      <w:r>
        <w:rPr>
          <w:rFonts w:hint="eastAsia" w:ascii="宋体" w:hAnsi="宋体" w:cs="宋体"/>
          <w:bCs/>
          <w:szCs w:val="21"/>
        </w:rPr>
        <w:t>日</w:t>
      </w: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spacing w:line="460" w:lineRule="exact"/>
        <w:rPr>
          <w:rFonts w:ascii="宋体" w:hAnsi="宋体" w:cs="宋体"/>
          <w:bCs/>
          <w:sz w:val="24"/>
        </w:rPr>
      </w:pPr>
    </w:p>
    <w:p>
      <w:pPr>
        <w:pStyle w:val="8"/>
        <w:numPr>
          <w:ilvl w:val="0"/>
          <w:numId w:val="0"/>
        </w:numPr>
        <w:rPr>
          <w:rFonts w:ascii="宋体" w:hAnsi="宋体" w:cs="宋体"/>
          <w:bCs/>
          <w:sz w:val="24"/>
        </w:rPr>
      </w:pPr>
    </w:p>
    <w:p>
      <w:pPr>
        <w:pStyle w:val="8"/>
        <w:numPr>
          <w:ilvl w:val="0"/>
          <w:numId w:val="0"/>
        </w:numPr>
        <w:rPr>
          <w:rFonts w:ascii="宋体" w:hAnsi="宋体" w:cs="宋体"/>
          <w:bCs/>
          <w:sz w:val="24"/>
        </w:rPr>
      </w:pPr>
    </w:p>
    <w:p>
      <w:pPr>
        <w:pStyle w:val="8"/>
        <w:numPr>
          <w:ilvl w:val="0"/>
          <w:numId w:val="0"/>
        </w:numPr>
        <w:rPr>
          <w:rFonts w:ascii="宋体" w:hAnsi="宋体" w:cs="宋体"/>
          <w:bCs/>
          <w:sz w:val="24"/>
        </w:rPr>
      </w:pPr>
    </w:p>
    <w:p>
      <w:pPr>
        <w:pStyle w:val="8"/>
        <w:numPr>
          <w:ilvl w:val="0"/>
          <w:numId w:val="0"/>
        </w:numPr>
        <w:rPr>
          <w:rFonts w:ascii="宋体" w:hAnsi="宋体" w:cs="宋体"/>
          <w:bCs/>
          <w:sz w:val="24"/>
        </w:rPr>
      </w:pPr>
    </w:p>
    <w:p>
      <w:pPr>
        <w:spacing w:line="460" w:lineRule="exact"/>
        <w:rPr>
          <w:rFonts w:ascii="宋体" w:hAnsi="宋体" w:cs="宋体"/>
          <w:bCs/>
          <w:sz w:val="24"/>
        </w:rPr>
      </w:pPr>
    </w:p>
    <w:p>
      <w:pPr>
        <w:pStyle w:val="8"/>
        <w:numPr>
          <w:ilvl w:val="0"/>
          <w:numId w:val="0"/>
        </w:numPr>
        <w:rPr>
          <w:rFonts w:ascii="宋体" w:hAnsi="宋体" w:cs="宋体"/>
          <w:bCs/>
          <w:sz w:val="24"/>
        </w:rPr>
      </w:pPr>
    </w:p>
    <w:p>
      <w:pPr>
        <w:pStyle w:val="8"/>
        <w:numPr>
          <w:ilvl w:val="0"/>
          <w:numId w:val="0"/>
        </w:numPr>
        <w:rPr>
          <w:rFonts w:ascii="宋体" w:hAnsi="宋体" w:cs="宋体"/>
          <w:bCs/>
          <w:sz w:val="24"/>
        </w:rPr>
      </w:pPr>
    </w:p>
    <w:p>
      <w:pPr>
        <w:jc w:val="center"/>
        <w:rPr>
          <w:rFonts w:ascii="宋体" w:hAnsi="宋体"/>
          <w:b/>
          <w:szCs w:val="21"/>
        </w:rPr>
      </w:pPr>
      <w:r>
        <w:rPr>
          <w:rFonts w:hint="eastAsia" w:ascii="宋体" w:hAnsi="宋体"/>
          <w:b/>
          <w:szCs w:val="21"/>
        </w:rPr>
        <w:br w:type="page"/>
      </w:r>
      <w:r>
        <w:rPr>
          <w:rFonts w:hint="eastAsia" w:ascii="宋体" w:hAnsi="宋体"/>
          <w:b/>
          <w:szCs w:val="21"/>
        </w:rPr>
        <w:t>供应商信用承诺书</w:t>
      </w:r>
    </w:p>
    <w:p>
      <w:pPr>
        <w:spacing w:line="560" w:lineRule="exact"/>
        <w:rPr>
          <w:rFonts w:ascii="宋体" w:hAnsi="宋体" w:cs="宋体"/>
          <w:szCs w:val="32"/>
        </w:rPr>
      </w:pPr>
      <w:r>
        <w:rPr>
          <w:rFonts w:hint="eastAsia" w:ascii="宋体" w:hAnsi="宋体" w:cs="宋体"/>
          <w:szCs w:val="32"/>
        </w:rPr>
        <w:t>承诺主体名称：</w:t>
      </w:r>
    </w:p>
    <w:p>
      <w:pPr>
        <w:spacing w:line="560" w:lineRule="exact"/>
        <w:rPr>
          <w:rFonts w:ascii="宋体" w:hAnsi="宋体" w:cs="宋体"/>
          <w:szCs w:val="32"/>
        </w:rPr>
      </w:pPr>
      <w:r>
        <w:rPr>
          <w:rFonts w:hint="eastAsia" w:ascii="宋体" w:hAnsi="宋体" w:cs="宋体"/>
          <w:szCs w:val="32"/>
        </w:rPr>
        <w:t>统一社会信用代码：</w:t>
      </w:r>
    </w:p>
    <w:p>
      <w:pPr>
        <w:spacing w:line="560" w:lineRule="exact"/>
        <w:rPr>
          <w:rFonts w:ascii="宋体" w:hAnsi="宋体" w:cs="宋体"/>
          <w:szCs w:val="32"/>
        </w:rPr>
      </w:pPr>
    </w:p>
    <w:p>
      <w:pPr>
        <w:spacing w:line="360" w:lineRule="auto"/>
        <w:ind w:firstLine="420" w:firstLineChars="200"/>
        <w:rPr>
          <w:rFonts w:ascii="宋体" w:hAnsi="宋体"/>
          <w:bCs/>
          <w:szCs w:val="21"/>
        </w:rPr>
      </w:pPr>
      <w:r>
        <w:rPr>
          <w:rFonts w:hint="eastAsia" w:ascii="宋体" w:hAnsi="宋体"/>
          <w:bCs/>
          <w:szCs w:val="21"/>
        </w:rPr>
        <w:t>为维护公平竞争、规范有序的市场秩序，营造诚实守信的信用环境，共同推进社会信用体系建设完善，树立企业诚信守法形象，本企业对________________________项目采购活动郑重承诺如下:</w:t>
      </w:r>
    </w:p>
    <w:p>
      <w:pPr>
        <w:spacing w:line="360" w:lineRule="auto"/>
        <w:ind w:firstLine="420" w:firstLineChars="200"/>
        <w:rPr>
          <w:rFonts w:ascii="宋体" w:hAnsi="宋体"/>
          <w:bCs/>
          <w:szCs w:val="21"/>
        </w:rPr>
      </w:pPr>
      <w:r>
        <w:rPr>
          <w:rFonts w:hint="eastAsia" w:ascii="宋体" w:hAnsi="宋体"/>
          <w:bCs/>
          <w:szCs w:val="21"/>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ascii="宋体" w:hAnsi="宋体"/>
          <w:bCs/>
          <w:szCs w:val="21"/>
        </w:rPr>
      </w:pPr>
      <w:r>
        <w:rPr>
          <w:rFonts w:hint="eastAsia" w:ascii="宋体" w:hAnsi="宋体"/>
          <w:bCs/>
          <w:szCs w:val="21"/>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ascii="宋体" w:hAnsi="宋体"/>
          <w:bCs/>
          <w:szCs w:val="21"/>
        </w:rPr>
      </w:pPr>
      <w:r>
        <w:rPr>
          <w:rFonts w:hint="eastAsia" w:ascii="宋体" w:hAnsi="宋体"/>
          <w:bCs/>
          <w:szCs w:val="21"/>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ascii="宋体" w:hAnsi="宋体"/>
          <w:bCs/>
          <w:szCs w:val="21"/>
        </w:rPr>
      </w:pPr>
      <w:r>
        <w:rPr>
          <w:rFonts w:hint="eastAsia" w:ascii="宋体" w:hAnsi="宋体"/>
          <w:bCs/>
          <w:szCs w:val="21"/>
        </w:rPr>
        <w:t>四、自觉接受行政管理部门、行业组织、社会公众、新闻舆论的监督；</w:t>
      </w:r>
    </w:p>
    <w:p>
      <w:pPr>
        <w:spacing w:line="360" w:lineRule="auto"/>
        <w:ind w:firstLine="420" w:firstLineChars="200"/>
        <w:rPr>
          <w:rFonts w:ascii="宋体" w:hAnsi="宋体"/>
          <w:bCs/>
          <w:szCs w:val="21"/>
        </w:rPr>
      </w:pPr>
      <w:r>
        <w:rPr>
          <w:rFonts w:hint="eastAsia" w:ascii="宋体" w:hAnsi="宋体"/>
          <w:bCs/>
          <w:szCs w:val="21"/>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ascii="宋体" w:hAnsi="宋体"/>
          <w:bCs/>
          <w:szCs w:val="21"/>
        </w:rPr>
      </w:pPr>
      <w:r>
        <w:rPr>
          <w:rFonts w:hint="eastAsia" w:ascii="宋体" w:hAnsi="宋体"/>
          <w:bCs/>
          <w:szCs w:val="21"/>
        </w:rPr>
        <w:t>六、提出政府采购质疑和投诉坚持依法依规、诚实信用原则，在全国范围12个月内没有三次以上查无实据的政府采购投诉；</w:t>
      </w:r>
    </w:p>
    <w:p>
      <w:pPr>
        <w:spacing w:line="360" w:lineRule="auto"/>
        <w:ind w:firstLine="420" w:firstLineChars="200"/>
        <w:rPr>
          <w:rFonts w:ascii="宋体" w:hAnsi="宋体"/>
          <w:bCs/>
          <w:szCs w:val="21"/>
        </w:rPr>
      </w:pPr>
      <w:r>
        <w:rPr>
          <w:rFonts w:hint="eastAsia" w:ascii="宋体" w:hAnsi="宋体"/>
          <w:bCs/>
          <w:szCs w:val="21"/>
        </w:rPr>
        <w:t>七、严格遵守信用信息公示相关规定，向社会公示信用信息；</w:t>
      </w:r>
    </w:p>
    <w:p>
      <w:pPr>
        <w:spacing w:line="360" w:lineRule="auto"/>
        <w:ind w:firstLine="420" w:firstLineChars="200"/>
        <w:rPr>
          <w:rFonts w:ascii="宋体" w:hAnsi="宋体"/>
          <w:bCs/>
          <w:szCs w:val="21"/>
        </w:rPr>
      </w:pPr>
      <w:r>
        <w:rPr>
          <w:rFonts w:hint="eastAsia" w:ascii="宋体" w:hAnsi="宋体"/>
          <w:bCs/>
          <w:szCs w:val="21"/>
        </w:rPr>
        <w:t>八、在“信用中国”和“中国政府采购网”网站中无违法违规、较重或严重失信记录；</w:t>
      </w:r>
    </w:p>
    <w:p>
      <w:pPr>
        <w:spacing w:line="360" w:lineRule="auto"/>
        <w:ind w:firstLine="420" w:firstLineChars="200"/>
        <w:rPr>
          <w:rFonts w:ascii="宋体" w:hAnsi="宋体"/>
          <w:bCs/>
          <w:szCs w:val="21"/>
        </w:rPr>
      </w:pPr>
      <w:r>
        <w:rPr>
          <w:rFonts w:hint="eastAsia" w:ascii="宋体" w:hAnsi="宋体"/>
          <w:bCs/>
          <w:szCs w:val="21"/>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ascii="宋体" w:hAnsi="宋体"/>
          <w:bCs/>
          <w:szCs w:val="21"/>
        </w:rPr>
      </w:pPr>
      <w:r>
        <w:rPr>
          <w:rFonts w:hint="eastAsia" w:ascii="宋体" w:hAnsi="宋体"/>
          <w:bCs/>
          <w:szCs w:val="21"/>
        </w:rPr>
        <w:t>十、本承诺书自签订之日起生效。</w:t>
      </w:r>
    </w:p>
    <w:p>
      <w:pPr>
        <w:spacing w:line="360" w:lineRule="auto"/>
        <w:ind w:firstLine="420" w:firstLineChars="200"/>
        <w:rPr>
          <w:rFonts w:ascii="宋体" w:hAnsi="宋体"/>
          <w:bCs/>
          <w:szCs w:val="21"/>
        </w:rPr>
      </w:pPr>
      <w:r>
        <w:rPr>
          <w:rFonts w:hint="eastAsia" w:ascii="宋体" w:hAnsi="宋体"/>
          <w:bCs/>
          <w:szCs w:val="21"/>
        </w:rPr>
        <w:t>（注：法定代表人或负责人、主体名称发生变更的应当重新做出承诺。）</w:t>
      </w:r>
    </w:p>
    <w:p>
      <w:pPr>
        <w:spacing w:line="560" w:lineRule="exact"/>
        <w:rPr>
          <w:rFonts w:ascii="宋体" w:hAnsi="宋体" w:cs="宋体"/>
          <w:szCs w:val="32"/>
        </w:rPr>
      </w:pPr>
    </w:p>
    <w:p>
      <w:pPr>
        <w:spacing w:line="560" w:lineRule="exact"/>
        <w:jc w:val="center"/>
        <w:rPr>
          <w:rFonts w:ascii="宋体" w:hAnsi="宋体" w:cs="宋体"/>
          <w:szCs w:val="32"/>
        </w:rPr>
      </w:pPr>
      <w:r>
        <w:rPr>
          <w:rFonts w:hint="eastAsia" w:ascii="宋体" w:hAnsi="宋体" w:cs="宋体"/>
          <w:szCs w:val="32"/>
        </w:rPr>
        <w:t xml:space="preserve">　　　　　　　　　　  承诺单位（签章）：           </w:t>
      </w:r>
    </w:p>
    <w:p>
      <w:pPr>
        <w:spacing w:line="560" w:lineRule="exact"/>
        <w:jc w:val="center"/>
        <w:rPr>
          <w:rFonts w:ascii="宋体" w:hAnsi="宋体" w:cs="宋体"/>
          <w:szCs w:val="32"/>
        </w:rPr>
      </w:pPr>
      <w:r>
        <w:rPr>
          <w:rFonts w:hint="eastAsia" w:ascii="宋体" w:hAnsi="宋体" w:cs="宋体"/>
          <w:szCs w:val="32"/>
        </w:rPr>
        <w:t>　　　　　　　　　   　  法定代表人（负责人）：</w:t>
      </w:r>
    </w:p>
    <w:p>
      <w:pPr>
        <w:spacing w:line="560" w:lineRule="exact"/>
        <w:jc w:val="center"/>
        <w:rPr>
          <w:rFonts w:ascii="宋体" w:hAnsi="宋体" w:cs="宋体"/>
          <w:szCs w:val="32"/>
        </w:rPr>
      </w:pPr>
      <w:r>
        <w:rPr>
          <w:rFonts w:hint="eastAsia" w:ascii="宋体" w:hAnsi="宋体" w:cs="宋体"/>
          <w:szCs w:val="32"/>
        </w:rPr>
        <w:t>　　　　　　　　　      　年    月    日</w:t>
      </w:r>
    </w:p>
    <w:p>
      <w:pPr>
        <w:rPr>
          <w:rFonts w:ascii="宋体" w:hAnsi="宋体" w:cs="宋体"/>
          <w:b/>
          <w:szCs w:val="21"/>
        </w:rPr>
      </w:pP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211" w:firstLineChars="100"/>
        <w:jc w:val="center"/>
        <w:textAlignment w:val="auto"/>
        <w:rPr>
          <w:rFonts w:hint="eastAsia" w:ascii="宋体" w:hAnsi="宋体" w:cs="宋体"/>
          <w:b/>
          <w:color w:val="000000"/>
          <w:kern w:val="1"/>
          <w:szCs w:val="21"/>
          <w:highlight w:val="none"/>
        </w:rPr>
      </w:pPr>
      <w:r>
        <w:rPr>
          <w:rFonts w:hint="eastAsia" w:ascii="宋体" w:hAnsi="宋体" w:cs="宋体"/>
          <w:b/>
          <w:color w:val="000000"/>
          <w:kern w:val="1"/>
          <w:szCs w:val="21"/>
          <w:highlight w:val="none"/>
        </w:rPr>
        <w:t>磋商响应报价表</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pPr>
      <w:r>
        <w:rPr>
          <w:rFonts w:hint="eastAsia"/>
        </w:rPr>
        <w:t>项目编号：</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300" w:lineRule="auto"/>
              <w:rPr>
                <w:rFonts w:ascii="宋体" w:hAnsi="宋体" w:eastAsia="宋体" w:cs="宋体"/>
                <w:sz w:val="21"/>
                <w:szCs w:val="21"/>
              </w:rPr>
            </w:pPr>
            <w:r>
              <w:rPr>
                <w:rFonts w:hint="eastAsia" w:ascii="宋体" w:hAnsi="宋体" w:eastAsia="宋体" w:cs="宋体"/>
                <w:sz w:val="21"/>
                <w:szCs w:val="21"/>
              </w:rPr>
              <w:t xml:space="preserve">  服务项目名称</w:t>
            </w:r>
          </w:p>
        </w:tc>
        <w:tc>
          <w:tcPr>
            <w:tcW w:w="64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cs="宋体"/>
                <w:szCs w:val="21"/>
              </w:rPr>
              <w:t xml:space="preserve">                      </w:t>
            </w: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300" w:lineRule="auto"/>
              <w:rPr>
                <w:rFonts w:ascii="宋体" w:hAnsi="宋体" w:eastAsia="宋体" w:cs="宋体"/>
                <w:sz w:val="21"/>
                <w:szCs w:val="21"/>
              </w:rPr>
            </w:pPr>
          </w:p>
        </w:tc>
        <w:tc>
          <w:tcPr>
            <w:tcW w:w="6405"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300" w:lineRule="auto"/>
              <w:rPr>
                <w:rFonts w:ascii="宋体" w:hAnsi="宋体" w:eastAsia="宋体" w:cs="宋体"/>
                <w:sz w:val="21"/>
                <w:szCs w:val="21"/>
              </w:rPr>
            </w:pPr>
            <w:r>
              <w:rPr>
                <w:rFonts w:hint="eastAsia" w:ascii="宋体" w:hAnsi="宋体" w:eastAsia="宋体" w:cs="宋体"/>
                <w:sz w:val="21"/>
                <w:szCs w:val="21"/>
              </w:rPr>
              <w:t>大写：</w:t>
            </w:r>
          </w:p>
          <w:p>
            <w:pPr>
              <w:pStyle w:val="35"/>
              <w:spacing w:before="0" w:after="0" w:line="500" w:lineRule="exact"/>
              <w:ind w:firstLine="0"/>
              <w:rPr>
                <w:rFonts w:ascii="宋体" w:hAnsi="宋体"/>
                <w:kern w:val="2"/>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300" w:lineRule="auto"/>
              <w:rPr>
                <w:rFonts w:ascii="宋体" w:hAnsi="宋体" w:eastAsia="宋体" w:cs="宋体"/>
                <w:sz w:val="21"/>
                <w:szCs w:val="21"/>
              </w:rPr>
            </w:pPr>
          </w:p>
        </w:tc>
        <w:tc>
          <w:tcPr>
            <w:tcW w:w="6405" w:type="dxa"/>
            <w:tcBorders>
              <w:top w:val="single" w:color="auto" w:sz="4" w:space="0"/>
              <w:left w:val="single" w:color="auto" w:sz="4" w:space="0"/>
              <w:bottom w:val="single" w:color="auto" w:sz="4" w:space="0"/>
              <w:right w:val="single" w:color="auto" w:sz="4" w:space="0"/>
            </w:tcBorders>
            <w:noWrap w:val="0"/>
            <w:vAlign w:val="center"/>
          </w:tcPr>
          <w:p>
            <w:pPr>
              <w:pStyle w:val="5"/>
              <w:adjustRightInd w:val="0"/>
              <w:snapToGrid w:val="0"/>
              <w:spacing w:line="300" w:lineRule="auto"/>
              <w:ind w:firstLine="1365" w:firstLineChars="650"/>
              <w:rPr>
                <w:rFonts w:ascii="宋体" w:hAnsi="宋体" w:eastAsia="宋体" w:cs="宋体"/>
                <w:sz w:val="21"/>
                <w:szCs w:val="21"/>
              </w:rPr>
            </w:pPr>
          </w:p>
        </w:tc>
      </w:tr>
    </w:tbl>
    <w:p>
      <w:pPr>
        <w:spacing w:line="360" w:lineRule="auto"/>
        <w:ind w:firstLine="567" w:firstLineChars="270"/>
        <w:rPr>
          <w:rFonts w:ascii="宋体" w:hAnsi="宋体"/>
          <w:color w:val="000000"/>
          <w:szCs w:val="21"/>
          <w:highlight w:val="none"/>
          <w:u w:val="single"/>
        </w:rPr>
      </w:pPr>
      <w:r>
        <w:rPr>
          <w:rFonts w:hint="eastAsia" w:ascii="宋体" w:hAnsi="宋体"/>
          <w:color w:val="000000"/>
          <w:szCs w:val="21"/>
          <w:highlight w:val="none"/>
        </w:rPr>
        <w:t>磋商供应商全称（盖章）：</w:t>
      </w:r>
    </w:p>
    <w:p>
      <w:pPr>
        <w:spacing w:line="360" w:lineRule="auto"/>
        <w:ind w:firstLine="567" w:firstLineChars="270"/>
        <w:rPr>
          <w:rFonts w:ascii="宋体" w:hAnsi="宋体"/>
          <w:color w:val="000000"/>
          <w:szCs w:val="21"/>
          <w:highlight w:val="none"/>
        </w:rPr>
      </w:pPr>
      <w:r>
        <w:rPr>
          <w:rFonts w:hint="eastAsia" w:ascii="宋体" w:hAnsi="宋体"/>
          <w:color w:val="000000"/>
          <w:szCs w:val="21"/>
          <w:highlight w:val="none"/>
        </w:rPr>
        <w:t>法定代表人或者授权代表（签字或盖章）：</w:t>
      </w:r>
    </w:p>
    <w:p>
      <w:pPr>
        <w:spacing w:line="360" w:lineRule="auto"/>
        <w:ind w:firstLine="567" w:firstLineChars="270"/>
        <w:rPr>
          <w:rFonts w:ascii="宋体" w:hAnsi="宋体"/>
          <w:color w:val="000000"/>
          <w:szCs w:val="21"/>
          <w:highlight w:val="none"/>
          <w:u w:val="single"/>
        </w:rPr>
      </w:pPr>
    </w:p>
    <w:p>
      <w:pPr>
        <w:ind w:firstLine="567" w:firstLineChars="270"/>
        <w:rPr>
          <w:rFonts w:ascii="宋体" w:hAnsi="宋体"/>
          <w:color w:val="000000"/>
          <w:szCs w:val="21"/>
          <w:highlight w:val="none"/>
        </w:rPr>
      </w:pPr>
      <w:r>
        <w:rPr>
          <w:rFonts w:hint="eastAsia" w:ascii="宋体" w:hAnsi="宋体"/>
          <w:color w:val="000000"/>
          <w:szCs w:val="21"/>
          <w:highlight w:val="none"/>
        </w:rPr>
        <w:t>日期：    年   月    日</w:t>
      </w:r>
    </w:p>
    <w:p>
      <w:pPr>
        <w:spacing w:line="360" w:lineRule="auto"/>
        <w:ind w:firstLine="420" w:firstLineChars="200"/>
        <w:rPr>
          <w:rFonts w:ascii="宋体" w:hAnsi="宋体"/>
          <w:color w:val="000000"/>
          <w:kern w:val="2"/>
          <w:szCs w:val="21"/>
          <w:highlight w:val="none"/>
        </w:rPr>
      </w:pPr>
    </w:p>
    <w:p>
      <w:pPr>
        <w:spacing w:line="360" w:lineRule="auto"/>
        <w:ind w:firstLine="480"/>
        <w:rPr>
          <w:rFonts w:ascii="宋体" w:hAnsi="宋体" w:cs="宋体"/>
          <w:color w:val="000000"/>
          <w:kern w:val="2"/>
          <w:szCs w:val="21"/>
          <w:highlight w:val="none"/>
        </w:rPr>
      </w:pPr>
      <w:r>
        <w:rPr>
          <w:rFonts w:hint="eastAsia" w:ascii="宋体" w:hAnsi="宋体"/>
          <w:color w:val="000000"/>
          <w:kern w:val="2"/>
          <w:szCs w:val="21"/>
          <w:highlight w:val="none"/>
        </w:rPr>
        <w:t>注：</w:t>
      </w:r>
      <w:r>
        <w:rPr>
          <w:rFonts w:hint="eastAsia" w:ascii="宋体" w:hAnsi="宋体" w:cs="宋体"/>
          <w:color w:val="000000"/>
          <w:kern w:val="2"/>
          <w:szCs w:val="21"/>
          <w:highlight w:val="none"/>
        </w:rPr>
        <w:t>1、响应报价表必须加盖供应商公章（复印件无效）。</w:t>
      </w:r>
    </w:p>
    <w:p>
      <w:pPr>
        <w:spacing w:line="360" w:lineRule="auto"/>
        <w:ind w:firstLine="480"/>
        <w:rPr>
          <w:rFonts w:hint="eastAsia" w:ascii="宋体" w:hAnsi="宋体"/>
          <w:color w:val="000000"/>
          <w:szCs w:val="21"/>
          <w:highlight w:val="none"/>
        </w:rPr>
      </w:pPr>
      <w:r>
        <w:rPr>
          <w:rFonts w:ascii="宋体" w:hAnsi="宋体" w:cs="宋体"/>
          <w:color w:val="000000"/>
          <w:kern w:val="2"/>
          <w:szCs w:val="21"/>
          <w:highlight w:val="none"/>
        </w:rPr>
        <w:t>2</w:t>
      </w:r>
      <w:r>
        <w:rPr>
          <w:rFonts w:hint="eastAsia" w:ascii="宋体" w:hAnsi="宋体" w:cs="宋体"/>
          <w:color w:val="000000"/>
          <w:kern w:val="2"/>
          <w:szCs w:val="21"/>
          <w:highlight w:val="none"/>
        </w:rPr>
        <w:t>、</w:t>
      </w:r>
      <w:r>
        <w:rPr>
          <w:rFonts w:hint="eastAsia" w:ascii="宋体" w:hAnsi="宋体"/>
          <w:color w:val="000000"/>
          <w:kern w:val="2"/>
          <w:szCs w:val="21"/>
          <w:highlight w:val="none"/>
        </w:rPr>
        <w:t>该表报价非本次磋商中的最后报价。</w:t>
      </w:r>
    </w:p>
    <w:p>
      <w:pPr>
        <w:rPr>
          <w:rFonts w:ascii="宋体" w:hAnsi="宋体" w:cs="宋体"/>
          <w:b/>
          <w:szCs w:val="21"/>
        </w:rPr>
      </w:pPr>
      <w:r>
        <w:rPr>
          <w:rFonts w:hint="eastAsia" w:ascii="宋体" w:hAnsi="宋体" w:cs="宋体"/>
          <w:b/>
          <w:szCs w:val="21"/>
        </w:rPr>
        <w:br w:type="page"/>
      </w:r>
    </w:p>
    <w:p>
      <w:pPr>
        <w:spacing w:after="312" w:afterLines="100" w:line="360" w:lineRule="auto"/>
        <w:jc w:val="center"/>
        <w:rPr>
          <w:rFonts w:hint="eastAsia" w:ascii="宋体" w:hAnsi="宋体"/>
          <w:b/>
          <w:szCs w:val="21"/>
        </w:rPr>
      </w:pPr>
      <w:r>
        <w:rPr>
          <w:rFonts w:hint="eastAsia" w:ascii="宋体" w:hAnsi="宋体" w:cs="宋体"/>
          <w:b/>
          <w:szCs w:val="21"/>
          <w:lang w:val="en-US" w:eastAsia="zh-CN"/>
        </w:rPr>
        <w:t>四</w:t>
      </w:r>
      <w:r>
        <w:rPr>
          <w:rFonts w:hint="eastAsia" w:ascii="宋体" w:hAnsi="宋体" w:cs="宋体"/>
          <w:b/>
          <w:szCs w:val="21"/>
        </w:rPr>
        <w:t>、</w:t>
      </w:r>
      <w:r>
        <w:rPr>
          <w:rFonts w:hint="eastAsia" w:ascii="宋体" w:hAnsi="宋体"/>
          <w:b/>
          <w:szCs w:val="21"/>
        </w:rPr>
        <w:t>投标分项报价表</w:t>
      </w:r>
    </w:p>
    <w:p>
      <w:pPr>
        <w:widowControl w:val="0"/>
        <w:ind w:firstLine="420" w:firstLineChars="200"/>
        <w:jc w:val="center"/>
        <w:rPr>
          <w:rFonts w:hint="eastAsia" w:ascii="宋体" w:hAnsi="宋体" w:eastAsia="宋体" w:cs="Times New Roman"/>
          <w:color w:val="000000"/>
          <w:kern w:val="2"/>
          <w:sz w:val="21"/>
          <w:szCs w:val="22"/>
          <w:lang w:val="en-US" w:eastAsia="zh-CN" w:bidi="ar-SA"/>
        </w:rPr>
      </w:pPr>
      <w:r>
        <w:rPr>
          <w:rFonts w:hint="eastAsia" w:ascii="宋体" w:hAnsi="宋体" w:eastAsia="宋体" w:cs="Times New Roman"/>
          <w:color w:val="000000"/>
          <w:kern w:val="2"/>
          <w:sz w:val="21"/>
          <w:szCs w:val="22"/>
          <w:lang w:val="en-US" w:eastAsia="zh-CN" w:bidi="ar-SA"/>
        </w:rPr>
        <w:t>分项报价表</w:t>
      </w:r>
    </w:p>
    <w:p>
      <w:pPr>
        <w:ind w:firstLine="525" w:firstLineChars="250"/>
        <w:rPr>
          <w:rFonts w:ascii="宋体" w:hAnsi="宋体" w:eastAsia="宋体" w:cs="Times New Roman"/>
          <w:color w:val="000000"/>
          <w:sz w:val="21"/>
          <w:szCs w:val="21"/>
        </w:rPr>
      </w:pPr>
      <w:r>
        <w:rPr>
          <w:rFonts w:hint="eastAsia" w:ascii="宋体" w:hAnsi="宋体" w:eastAsia="宋体" w:cs="Times New Roman"/>
          <w:color w:val="000000"/>
          <w:sz w:val="21"/>
          <w:szCs w:val="21"/>
        </w:rPr>
        <w:t>分项报价表即按照附件提供的</w:t>
      </w:r>
      <w:r>
        <w:rPr>
          <w:rFonts w:hint="eastAsia" w:ascii="宋体" w:hAnsi="宋体" w:eastAsia="宋体" w:cs="Times New Roman"/>
          <w:b/>
          <w:color w:val="000000"/>
          <w:sz w:val="21"/>
          <w:szCs w:val="21"/>
        </w:rPr>
        <w:t>工程量清单的格式进行填报</w:t>
      </w:r>
      <w:r>
        <w:rPr>
          <w:rFonts w:hint="eastAsia" w:ascii="宋体" w:hAnsi="宋体" w:eastAsia="宋体" w:cs="Times New Roman"/>
          <w:color w:val="000000"/>
          <w:sz w:val="21"/>
          <w:szCs w:val="21"/>
        </w:rPr>
        <w:t>，分别填报单价和合价，要求填报完整，漏报项视为价格已分摊到其他清单项中。</w:t>
      </w:r>
    </w:p>
    <w:p>
      <w:pPr>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1、供应商必须按表中规定格式完整、清晰、正确填写，没有的应注明“无”字样, 不得缺项。</w:t>
      </w:r>
    </w:p>
    <w:p>
      <w:pPr>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2、报价表中不得填报有选择性报价方案，该表中的报价应与磋商文件中的报价完全一致。若有优惠条件请注明。报价表应由法定代表人或授权代表签字并加盖公章。</w:t>
      </w:r>
    </w:p>
    <w:p>
      <w:pPr>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3、单价和总价均应包括但不限于报价应包括施工、安装、调试结束，直至交付买方使用的价格。即包括全部设备、材料的价格、随设备提供的备品配件及专用工具的价格、包装费、运杂费、保险费、安装费、配合费、调试费，竣工检测费、买方有关人员培训费、配合费、本工程税金及投标人认为需要的其他费用等。</w:t>
      </w:r>
    </w:p>
    <w:p>
      <w:pPr>
        <w:ind w:firstLine="420" w:firstLineChars="200"/>
        <w:rPr>
          <w:rFonts w:ascii="宋体" w:hAnsi="宋体" w:eastAsia="宋体" w:cs="宋体"/>
          <w:b/>
          <w:bCs/>
          <w:kern w:val="0"/>
          <w:sz w:val="21"/>
          <w:szCs w:val="21"/>
        </w:rPr>
      </w:pPr>
      <w:r>
        <w:rPr>
          <w:rFonts w:hint="eastAsia" w:ascii="宋体" w:hAnsi="宋体" w:eastAsia="宋体" w:cs="Times New Roman"/>
          <w:color w:val="000000"/>
          <w:sz w:val="21"/>
          <w:szCs w:val="21"/>
        </w:rPr>
        <w:t>4、供应商成交后根据本单位的最终总报价和首轮明细报价，自行调整各明细单价（原则上除不可竞争费外，其他各分项报价同比例下浮）直至合价和最终总报价（以万元为单位，保留两位小数）相符，报采购人和预算编制单位审核，审核通过后，后期根据审核后的明细报价，按实结算。</w:t>
      </w:r>
    </w:p>
    <w:p>
      <w:pPr>
        <w:rPr>
          <w:rFonts w:ascii="宋体" w:hAnsi="宋体" w:cs="宋体"/>
          <w:b/>
          <w:szCs w:val="21"/>
        </w:rPr>
      </w:pPr>
    </w:p>
    <w:p>
      <w:pPr>
        <w:rPr>
          <w:rFonts w:ascii="宋体" w:hAnsi="宋体" w:cs="宋体"/>
          <w:b/>
          <w:szCs w:val="21"/>
        </w:rPr>
      </w:pPr>
      <w:r>
        <w:rPr>
          <w:rFonts w:hint="eastAsia" w:ascii="宋体" w:hAnsi="宋体" w:cs="宋体"/>
          <w:b/>
          <w:szCs w:val="21"/>
        </w:rPr>
        <w:br w:type="page"/>
      </w:r>
    </w:p>
    <w:p>
      <w:pPr>
        <w:numPr>
          <w:ilvl w:val="0"/>
          <w:numId w:val="5"/>
        </w:numPr>
        <w:spacing w:line="360" w:lineRule="auto"/>
        <w:ind w:left="0" w:leftChars="0" w:firstLine="422" w:firstLineChars="200"/>
        <w:jc w:val="center"/>
        <w:rPr>
          <w:rFonts w:hint="eastAsia" w:ascii="宋体" w:hAnsi="宋体" w:cs="宋体"/>
          <w:b/>
          <w:szCs w:val="21"/>
        </w:rPr>
      </w:pPr>
      <w:r>
        <w:rPr>
          <w:rFonts w:hint="eastAsia" w:ascii="宋体" w:hAnsi="宋体" w:cs="宋体"/>
          <w:b/>
          <w:szCs w:val="21"/>
        </w:rPr>
        <w:t>技术参数响应及偏离表</w:t>
      </w:r>
    </w:p>
    <w:p>
      <w:pPr>
        <w:pStyle w:val="33"/>
        <w:rPr>
          <w:sz w:val="21"/>
        </w:rPr>
      </w:pPr>
      <w:r>
        <w:rPr>
          <w:sz w:val="21"/>
        </w:rPr>
        <w:t xml:space="preserve">供应商全称（加盖公章）： </w:t>
      </w:r>
    </w:p>
    <w:p>
      <w:pPr>
        <w:pStyle w:val="33"/>
      </w:pPr>
      <w:r>
        <w:rPr>
          <w:sz w:val="21"/>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eastAsia="宋体" w:cs="Times New Roman"/>
                <w:color w:val="000000"/>
                <w:sz w:val="21"/>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eastAsia="宋体" w:cs="Times New Roman"/>
                <w:color w:val="000000"/>
                <w:sz w:val="21"/>
                <w:szCs w:val="21"/>
              </w:rPr>
              <w:t>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eastAsia="宋体" w:cs="Times New Roman"/>
                <w:color w:val="000000"/>
                <w:sz w:val="21"/>
                <w:szCs w:val="21"/>
              </w:rPr>
              <w:t>磋商要求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eastAsia="宋体" w:cs="Times New Roman"/>
                <w:color w:val="000000"/>
                <w:sz w:val="21"/>
                <w:szCs w:val="21"/>
              </w:rPr>
              <w:t>响应承诺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超出、符</w:t>
            </w:r>
          </w:p>
          <w:p>
            <w:pPr>
              <w:spacing w:line="360" w:lineRule="auto"/>
              <w:jc w:val="center"/>
              <w:rPr>
                <w:rFonts w:ascii="宋体" w:hAnsi="宋体"/>
                <w:szCs w:val="21"/>
              </w:rPr>
            </w:pPr>
            <w:r>
              <w:rPr>
                <w:rFonts w:hint="eastAsia" w:ascii="宋体" w:hAnsi="宋体" w:eastAsia="宋体" w:cs="Times New Roman"/>
                <w:color w:val="000000"/>
                <w:sz w:val="21"/>
                <w:szCs w:val="21"/>
              </w:rPr>
              <w:t>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eastAsia="宋体" w:cs="Times New Roman"/>
                <w:color w:val="000000"/>
                <w:sz w:val="21"/>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微软雅黑"/>
          <w:szCs w:val="21"/>
        </w:rPr>
      </w:pPr>
      <w:r>
        <w:rPr>
          <w:rFonts w:hint="eastAsia" w:ascii="宋体" w:hAnsi="宋体"/>
          <w:szCs w:val="21"/>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Cs w:val="21"/>
        </w:rPr>
      </w:pPr>
      <w:r>
        <w:rPr>
          <w:rFonts w:hint="eastAsia" w:ascii="宋体" w:hAnsi="宋体" w:eastAsia="宋体" w:cs="Times New Roman"/>
          <w:szCs w:val="21"/>
        </w:rPr>
        <w:t>日期：    年   月    日</w:t>
      </w:r>
    </w:p>
    <w:p>
      <w:pPr>
        <w:jc w:val="left"/>
        <w:rPr>
          <w:rFonts w:ascii="宋体" w:hAnsi="宋体" w:cs="宋体"/>
          <w:b/>
          <w:sz w:val="36"/>
        </w:rPr>
      </w:pPr>
    </w:p>
    <w:p>
      <w:pPr>
        <w:jc w:val="left"/>
        <w:rPr>
          <w:rFonts w:ascii="宋体" w:hAnsi="宋体" w:cs="宋体"/>
          <w:b/>
          <w:sz w:val="36"/>
        </w:rPr>
      </w:pPr>
    </w:p>
    <w:p>
      <w:pPr>
        <w:jc w:val="left"/>
        <w:rPr>
          <w:rFonts w:ascii="宋体" w:hAnsi="宋体" w:cs="宋体"/>
          <w:b/>
          <w:sz w:val="36"/>
        </w:rPr>
      </w:pPr>
    </w:p>
    <w:p>
      <w:pPr>
        <w:jc w:val="left"/>
        <w:rPr>
          <w:rFonts w:ascii="宋体" w:hAnsi="宋体" w:cs="宋体"/>
          <w:b/>
          <w:sz w:val="36"/>
        </w:rPr>
      </w:pPr>
    </w:p>
    <w:p>
      <w:pPr>
        <w:jc w:val="left"/>
        <w:rPr>
          <w:rFonts w:ascii="宋体" w:hAnsi="宋体" w:cs="宋体"/>
          <w:b/>
          <w:sz w:val="36"/>
        </w:rPr>
      </w:pPr>
    </w:p>
    <w:p>
      <w:pPr>
        <w:spacing w:line="460" w:lineRule="exact"/>
        <w:rPr>
          <w:rFonts w:ascii="宋体" w:hAnsi="宋体" w:cs="宋体"/>
          <w:bCs/>
          <w:sz w:val="24"/>
        </w:rPr>
      </w:pPr>
    </w:p>
    <w:p>
      <w:pPr>
        <w:spacing w:line="460" w:lineRule="exact"/>
        <w:rPr>
          <w:rFonts w:ascii="宋体" w:hAnsi="宋体" w:cs="宋体"/>
          <w:bCs/>
          <w:sz w:val="24"/>
        </w:rPr>
      </w:pPr>
    </w:p>
    <w:p>
      <w:pPr>
        <w:numPr>
          <w:ilvl w:val="0"/>
          <w:numId w:val="5"/>
        </w:numPr>
        <w:spacing w:line="360" w:lineRule="auto"/>
        <w:ind w:left="0" w:leftChars="0" w:firstLine="643" w:firstLineChars="200"/>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商务条款响应及偏离表</w:t>
      </w:r>
    </w:p>
    <w:p>
      <w:pPr>
        <w:pStyle w:val="33"/>
        <w:rPr>
          <w:sz w:val="21"/>
        </w:rPr>
      </w:pPr>
      <w:r>
        <w:rPr>
          <w:sz w:val="21"/>
        </w:rPr>
        <w:t xml:space="preserve">供应商全称（加盖公章）： </w:t>
      </w:r>
    </w:p>
    <w:p>
      <w:pPr>
        <w:pStyle w:val="33"/>
      </w:pPr>
      <w:r>
        <w:rPr>
          <w:sz w:val="21"/>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1197"/>
        <w:gridCol w:w="21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szCs w:val="21"/>
              </w:rPr>
            </w:pPr>
            <w:bookmarkStart w:id="171" w:name="_Toc14190"/>
            <w:bookmarkStart w:id="172" w:name="_Toc13836"/>
            <w:bookmarkStart w:id="173" w:name="_Toc4467"/>
            <w:r>
              <w:rPr>
                <w:rFonts w:hint="eastAsia" w:ascii="宋体" w:hAnsi="宋体" w:eastAsia="宋体" w:cs="Times New Roman"/>
                <w:color w:val="000000"/>
                <w:sz w:val="21"/>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b/>
                <w:bCs/>
                <w:szCs w:val="21"/>
              </w:rPr>
            </w:pPr>
            <w:r>
              <w:rPr>
                <w:rFonts w:hint="eastAsia" w:ascii="宋体" w:hAnsi="宋体" w:eastAsia="宋体" w:cs="Times New Roman"/>
                <w:color w:val="000000"/>
                <w:sz w:val="21"/>
                <w:szCs w:val="21"/>
              </w:rPr>
              <w:t>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b/>
                <w:bCs/>
                <w:szCs w:val="21"/>
              </w:rPr>
            </w:pPr>
            <w:r>
              <w:rPr>
                <w:rFonts w:hint="eastAsia" w:ascii="宋体" w:hAnsi="宋体" w:eastAsia="宋体" w:cs="Times New Roman"/>
                <w:color w:val="000000"/>
                <w:sz w:val="21"/>
                <w:szCs w:val="21"/>
              </w:rPr>
              <w:t>磋商要求</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b/>
                <w:bCs/>
                <w:szCs w:val="21"/>
              </w:rPr>
            </w:pPr>
            <w:r>
              <w:rPr>
                <w:rFonts w:hint="eastAsia" w:ascii="宋体" w:hAnsi="宋体" w:eastAsia="宋体" w:cs="Times New Roman"/>
                <w:color w:val="000000"/>
                <w:sz w:val="21"/>
                <w:szCs w:val="21"/>
              </w:rPr>
              <w:t>响应承诺</w:t>
            </w:r>
          </w:p>
        </w:tc>
        <w:tc>
          <w:tcPr>
            <w:tcW w:w="211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超出、符</w:t>
            </w:r>
          </w:p>
          <w:p>
            <w:pPr>
              <w:spacing w:line="360" w:lineRule="auto"/>
              <w:jc w:val="center"/>
              <w:rPr>
                <w:rFonts w:ascii="仿宋_GB2312" w:hAnsi="宋体" w:eastAsia="仿宋_GB2312"/>
                <w:b/>
                <w:bCs/>
                <w:szCs w:val="21"/>
              </w:rPr>
            </w:pPr>
            <w:r>
              <w:rPr>
                <w:rFonts w:hint="eastAsia" w:ascii="宋体" w:hAnsi="宋体" w:eastAsia="宋体" w:cs="Times New Roman"/>
                <w:color w:val="000000"/>
                <w:sz w:val="21"/>
                <w:szCs w:val="21"/>
              </w:rPr>
              <w:t>合或偏离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免费维保期</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售后技术服务要求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1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1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微软雅黑"/>
          <w:szCs w:val="21"/>
        </w:rPr>
      </w:pPr>
      <w:r>
        <w:rPr>
          <w:rFonts w:hint="eastAsia" w:ascii="宋体" w:hAnsi="宋体"/>
          <w:szCs w:val="21"/>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Cs w:val="21"/>
        </w:rPr>
      </w:pPr>
      <w:r>
        <w:rPr>
          <w:rFonts w:hint="eastAsia" w:ascii="宋体" w:hAnsi="宋体" w:eastAsia="宋体" w:cs="Times New Roman"/>
          <w:szCs w:val="21"/>
        </w:rPr>
        <w:t>日期：    年   月    日</w:t>
      </w:r>
    </w:p>
    <w:p>
      <w:pPr>
        <w:rPr>
          <w:rFonts w:hint="eastAsia" w:ascii="宋体" w:hAnsi="宋体" w:eastAsia="宋体" w:cs="Times New Roman"/>
          <w:szCs w:val="21"/>
        </w:rPr>
      </w:pPr>
      <w:r>
        <w:rPr>
          <w:rFonts w:hint="eastAsia" w:ascii="宋体" w:hAnsi="宋体" w:eastAsia="宋体" w:cs="Times New Roman"/>
          <w:szCs w:val="21"/>
        </w:rPr>
        <w:br w:type="page"/>
      </w:r>
    </w:p>
    <w:p>
      <w:pPr>
        <w:pStyle w:val="5"/>
        <w:jc w:val="center"/>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七、其他</w:t>
      </w:r>
    </w:p>
    <w:p>
      <w:pPr>
        <w:spacing w:after="312" w:afterLines="100" w:line="360" w:lineRule="auto"/>
        <w:jc w:val="center"/>
        <w:rPr>
          <w:rFonts w:hint="eastAsia" w:ascii="黑体" w:hAnsi="Arial" w:eastAsia="黑体"/>
          <w:b/>
          <w:sz w:val="36"/>
        </w:rPr>
      </w:pPr>
    </w:p>
    <w:bookmarkEnd w:id="171"/>
    <w:bookmarkEnd w:id="172"/>
    <w:bookmarkEnd w:id="173"/>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732242583"/>
                          </w:sdtPr>
                          <w:sdtContent>
                            <w:p>
                              <w:pPr>
                                <w:pStyle w:val="10"/>
                                <w:jc w:val="center"/>
                              </w:pPr>
                              <w:r>
                                <w:fldChar w:fldCharType="begin"/>
                              </w:r>
                              <w:r>
                                <w:instrText xml:space="preserve">PAGE   \* MERGEFORMAT</w:instrText>
                              </w:r>
                              <w:r>
                                <w:fldChar w:fldCharType="separate"/>
                              </w:r>
                              <w:r>
                                <w:rPr>
                                  <w:lang w:val="zh-CN"/>
                                </w:rPr>
                                <w:t>62</w:t>
                              </w:r>
                              <w:r>
                                <w:rPr>
                                  <w:lang w:val="zh-CN"/>
                                </w:rPr>
                                <w:fldChar w:fldCharType="end"/>
                              </w:r>
                            </w:p>
                          </w:sdtContent>
                        </w:sdt>
                        <w:p>
                          <w:pPr>
                            <w:pStyle w:val="1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732242583"/>
                    </w:sdtPr>
                    <w:sdtContent>
                      <w:p>
                        <w:pPr>
                          <w:pStyle w:val="10"/>
                          <w:jc w:val="center"/>
                        </w:pPr>
                        <w:r>
                          <w:fldChar w:fldCharType="begin"/>
                        </w:r>
                        <w:r>
                          <w:instrText xml:space="preserve">PAGE   \* MERGEFORMAT</w:instrText>
                        </w:r>
                        <w:r>
                          <w:fldChar w:fldCharType="separate"/>
                        </w:r>
                        <w:r>
                          <w:rPr>
                            <w:lang w:val="zh-CN"/>
                          </w:rPr>
                          <w:t>62</w:t>
                        </w:r>
                        <w:r>
                          <w:rPr>
                            <w:lang w:val="zh-CN"/>
                          </w:rPr>
                          <w:fldChar w:fldCharType="end"/>
                        </w:r>
                      </w:p>
                    </w:sdtContent>
                  </w:sdt>
                  <w:p>
                    <w:pPr>
                      <w:pStyle w:val="19"/>
                      <w:ind w:firstLine="420"/>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r>
      <w:rPr>
        <w:rFonts w:hint="eastAsia" w:ascii="宋体" w:hAnsi="宋体" w:cs="宋体"/>
      </w:rPr>
      <w:t xml:space="preserve"> </w:t>
    </w:r>
    <w:r>
      <w:rPr>
        <w:rFonts w:hint="eastAsia" w:ascii="宋体" w:hAnsi="宋体" w:cs="宋体"/>
        <w:lang w:eastAsia="zh-CN"/>
      </w:rPr>
      <w:t>YMXMGLZC-20240630</w:t>
    </w:r>
    <w:r>
      <w:rPr>
        <w:rFonts w:hint="eastAsia" w:ascii="宋体" w:hAnsi="宋体" w:cs="宋体"/>
      </w:rPr>
      <w:t xml:space="preserve">                                                  </w:t>
    </w:r>
    <w:r>
      <w:rPr>
        <w:rFonts w:hint="eastAsia"/>
      </w:rPr>
      <w:t>永明项目管理有限公司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cs="宋体"/>
      </w:rPr>
      <w:t xml:space="preserve"> </w:t>
    </w:r>
    <w:r>
      <w:rPr>
        <w:rFonts w:hint="eastAsia" w:ascii="宋体" w:hAnsi="宋体" w:cs="宋体"/>
        <w:lang w:eastAsia="zh-CN"/>
      </w:rPr>
      <w:t>YMXMGLZC-20240630</w:t>
    </w:r>
    <w:r>
      <w:rPr>
        <w:rFonts w:hint="eastAsia" w:ascii="宋体" w:hAnsi="宋体" w:cs="宋体"/>
      </w:rPr>
      <w:t xml:space="preserve"> </w:t>
    </w:r>
    <w:r>
      <w:rPr>
        <w:rFonts w:hint="eastAsia"/>
      </w:rPr>
      <w:t>永明项目管理有限公司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200"/>
      <w:jc w:val="both"/>
    </w:pPr>
    <w:r>
      <w:rPr>
        <w:rFonts w:hint="eastAsia" w:ascii="宋体" w:hAnsi="宋体" w:cs="宋体"/>
        <w:lang w:eastAsia="zh-CN"/>
      </w:rPr>
      <w:t>YMXMGLZC-20240630</w:t>
    </w:r>
    <w:r>
      <w:rPr>
        <w:rFonts w:hint="eastAsia" w:ascii="宋体" w:hAnsi="宋体" w:cs="宋体"/>
      </w:rPr>
      <w:t xml:space="preserve">                                                  </w:t>
    </w:r>
    <w:r>
      <w:rPr>
        <w:rFonts w:hint="eastAsia"/>
      </w:rPr>
      <w:t>永明项目管理有限公司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43E34"/>
    <w:multiLevelType w:val="singleLevel"/>
    <w:tmpl w:val="95443E34"/>
    <w:lvl w:ilvl="0" w:tentative="0">
      <w:start w:val="4"/>
      <w:numFmt w:val="chineseCounting"/>
      <w:suff w:val="nothing"/>
      <w:lvlText w:val="%1、"/>
      <w:lvlJc w:val="left"/>
      <w:rPr>
        <w:rFonts w:hint="eastAsia"/>
      </w:rPr>
    </w:lvl>
  </w:abstractNum>
  <w:abstractNum w:abstractNumId="1">
    <w:nsid w:val="A7328592"/>
    <w:multiLevelType w:val="singleLevel"/>
    <w:tmpl w:val="A7328592"/>
    <w:lvl w:ilvl="0" w:tentative="0">
      <w:start w:val="2"/>
      <w:numFmt w:val="chineseCounting"/>
      <w:suff w:val="nothing"/>
      <w:lvlText w:val="（%1）"/>
      <w:lvlJc w:val="left"/>
      <w:rPr>
        <w:rFonts w:hint="eastAsia"/>
      </w:rPr>
    </w:lvl>
  </w:abstractNum>
  <w:abstractNum w:abstractNumId="2">
    <w:nsid w:val="F98E012F"/>
    <w:multiLevelType w:val="singleLevel"/>
    <w:tmpl w:val="F98E012F"/>
    <w:lvl w:ilvl="0" w:tentative="0">
      <w:start w:val="3"/>
      <w:numFmt w:val="chineseCounting"/>
      <w:suff w:val="nothing"/>
      <w:lvlText w:val="%1、"/>
      <w:lvlJc w:val="left"/>
      <w:rPr>
        <w:rFonts w:hint="eastAsia"/>
      </w:rPr>
    </w:lvl>
  </w:abstractNum>
  <w:abstractNum w:abstractNumId="3">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26"/>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3818D188"/>
    <w:multiLevelType w:val="singleLevel"/>
    <w:tmpl w:val="3818D188"/>
    <w:lvl w:ilvl="0" w:tentative="0">
      <w:start w:val="4"/>
      <w:numFmt w:val="chineseCounting"/>
      <w:suff w:val="space"/>
      <w:lvlText w:val="第%1章"/>
      <w:lvlJc w:val="left"/>
      <w:rPr>
        <w:rFonts w:hint="eastAsia"/>
      </w:rPr>
    </w:lvl>
  </w:abstractNum>
  <w:abstractNum w:abstractNumId="5">
    <w:nsid w:val="46335E6F"/>
    <w:multiLevelType w:val="multilevel"/>
    <w:tmpl w:val="46335E6F"/>
    <w:lvl w:ilvl="0" w:tentative="0">
      <w:start w:val="1"/>
      <w:numFmt w:val="decimal"/>
      <w:pStyle w:val="2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674A7110"/>
    <w:multiLevelType w:val="singleLevel"/>
    <w:tmpl w:val="674A7110"/>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YxYWIxZGRhYzEzZGM1NTYxNWRkMzNlNzFjMDMifQ=="/>
  </w:docVars>
  <w:rsids>
    <w:rsidRoot w:val="15895B20"/>
    <w:rsid w:val="05C17368"/>
    <w:rsid w:val="104A6951"/>
    <w:rsid w:val="15895B20"/>
    <w:rsid w:val="160E07BD"/>
    <w:rsid w:val="160F3C99"/>
    <w:rsid w:val="19624616"/>
    <w:rsid w:val="1AEB6F83"/>
    <w:rsid w:val="1B8C27E2"/>
    <w:rsid w:val="202C3EC3"/>
    <w:rsid w:val="20BE47F2"/>
    <w:rsid w:val="23AA26DF"/>
    <w:rsid w:val="24DB2B05"/>
    <w:rsid w:val="27B923E1"/>
    <w:rsid w:val="2E7B3CBF"/>
    <w:rsid w:val="39BE4B16"/>
    <w:rsid w:val="3AFC129B"/>
    <w:rsid w:val="3B875DAE"/>
    <w:rsid w:val="3C6E41FF"/>
    <w:rsid w:val="46112BA7"/>
    <w:rsid w:val="47886A44"/>
    <w:rsid w:val="4EC14021"/>
    <w:rsid w:val="4FDA77C9"/>
    <w:rsid w:val="523416CD"/>
    <w:rsid w:val="52976ACD"/>
    <w:rsid w:val="54A61249"/>
    <w:rsid w:val="585478AA"/>
    <w:rsid w:val="5BC47AAE"/>
    <w:rsid w:val="5CCA2238"/>
    <w:rsid w:val="5E483371"/>
    <w:rsid w:val="5EC92956"/>
    <w:rsid w:val="68EF720B"/>
    <w:rsid w:val="69F81D01"/>
    <w:rsid w:val="6A2276DF"/>
    <w:rsid w:val="6D5E04BB"/>
    <w:rsid w:val="6DC35865"/>
    <w:rsid w:val="6DF130DE"/>
    <w:rsid w:val="6E750A32"/>
    <w:rsid w:val="6FA60DAB"/>
    <w:rsid w:val="724B2BE1"/>
    <w:rsid w:val="72E41A66"/>
    <w:rsid w:val="795364E2"/>
    <w:rsid w:val="7A90411E"/>
    <w:rsid w:val="7D3F20B7"/>
    <w:rsid w:val="7E9B3185"/>
    <w:rsid w:val="7ED700CE"/>
    <w:rsid w:val="7F83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overflowPunct w:val="0"/>
      <w:autoSpaceDE w:val="0"/>
      <w:autoSpaceDN w:val="0"/>
      <w:adjustRightInd w:val="0"/>
      <w:spacing w:line="360" w:lineRule="auto"/>
      <w:ind w:firstLine="85"/>
      <w:textAlignment w:val="baseline"/>
      <w:outlineLvl w:val="2"/>
    </w:pPr>
    <w:rPr>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rPr>
      <w:rFonts w:ascii="楷体_GB2312" w:hAnsi="Arial" w:eastAsia="楷体_GB2312"/>
      <w:kern w:val="0"/>
      <w:sz w:val="28"/>
      <w:szCs w:val="28"/>
    </w:rPr>
  </w:style>
  <w:style w:type="paragraph" w:styleId="6">
    <w:name w:val="toc 8"/>
    <w:basedOn w:val="1"/>
    <w:next w:val="1"/>
    <w:unhideWhenUsed/>
    <w:qFormat/>
    <w:uiPriority w:val="39"/>
    <w:pPr>
      <w:ind w:left="2940"/>
    </w:pPr>
    <w:rPr>
      <w:rFonts w:ascii="等线" w:hAnsi="等线" w:eastAsia="等线" w:cs="黑体"/>
    </w:rPr>
  </w:style>
  <w:style w:type="paragraph" w:styleId="7">
    <w:name w:val="Body Text Indent"/>
    <w:basedOn w:val="1"/>
    <w:next w:val="1"/>
    <w:qFormat/>
    <w:uiPriority w:val="99"/>
    <w:pPr>
      <w:spacing w:after="120"/>
      <w:ind w:left="420" w:leftChars="200"/>
    </w:pPr>
    <w:rPr>
      <w:kern w:val="0"/>
      <w:sz w:val="20"/>
      <w:szCs w:val="24"/>
    </w:rPr>
  </w:style>
  <w:style w:type="paragraph" w:styleId="8">
    <w:name w:val="List Bullet 2"/>
    <w:basedOn w:val="1"/>
    <w:qFormat/>
    <w:uiPriority w:val="0"/>
    <w:pPr>
      <w:numPr>
        <w:ilvl w:val="0"/>
        <w:numId w:val="1"/>
      </w:numPr>
    </w:pPr>
  </w:style>
  <w:style w:type="paragraph" w:styleId="9">
    <w:name w:val="Plain Text"/>
    <w:basedOn w:val="1"/>
    <w:qFormat/>
    <w:uiPriority w:val="99"/>
    <w:rPr>
      <w:rFonts w:ascii="宋体" w:hAnsi="Courier New" w:eastAsiaTheme="minorEastAsia" w:cstheme="minorBidi"/>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jc w:val="center"/>
    </w:pPr>
    <w:rPr>
      <w:rFonts w:ascii="宋体" w:hAnsi="宋体" w:cs="宋体"/>
      <w:sz w:val="28"/>
      <w:szCs w:val="28"/>
    </w:rPr>
  </w:style>
  <w:style w:type="paragraph" w:styleId="13">
    <w:name w:val="toc 9"/>
    <w:basedOn w:val="1"/>
    <w:next w:val="1"/>
    <w:qFormat/>
    <w:uiPriority w:val="0"/>
    <w:pPr>
      <w:ind w:left="3360" w:leftChars="1600"/>
    </w:pPr>
    <w:rPr>
      <w:color w:val="auto"/>
      <w:kern w:val="2"/>
    </w:r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Autospacing="1" w:afterAutospacing="1"/>
      <w:jc w:val="left"/>
    </w:pPr>
    <w:rPr>
      <w:kern w:val="0"/>
      <w:sz w:val="24"/>
    </w:rPr>
  </w:style>
  <w:style w:type="character" w:styleId="18">
    <w:name w:val="annotation reference"/>
    <w:unhideWhenUsed/>
    <w:qFormat/>
    <w:uiPriority w:val="0"/>
    <w:rPr>
      <w:sz w:val="21"/>
      <w:szCs w:val="21"/>
    </w:rPr>
  </w:style>
  <w:style w:type="paragraph" w:customStyle="1" w:styleId="19">
    <w:name w:val="正文（缩进）"/>
    <w:basedOn w:val="1"/>
    <w:next w:val="20"/>
    <w:qFormat/>
    <w:uiPriority w:val="0"/>
    <w:pPr>
      <w:spacing w:before="156" w:after="156"/>
      <w:ind w:firstLine="480" w:firstLineChars="200"/>
    </w:pPr>
  </w:style>
  <w:style w:type="paragraph" w:customStyle="1" w:styleId="20">
    <w:name w:val="Char Char Char Char Char Char Char Char Char"/>
    <w:basedOn w:val="1"/>
    <w:next w:val="21"/>
    <w:qFormat/>
    <w:uiPriority w:val="0"/>
    <w:pPr>
      <w:ind w:left="360" w:firstLine="5784"/>
    </w:pPr>
    <w:rPr>
      <w:rFonts w:ascii="Times New Roman" w:hAnsi="Times New Roman"/>
      <w:color w:val="auto"/>
      <w:kern w:val="2"/>
    </w:rPr>
  </w:style>
  <w:style w:type="paragraph" w:customStyle="1" w:styleId="21">
    <w:name w:val="正文文本 21"/>
    <w:basedOn w:val="1"/>
    <w:next w:val="22"/>
    <w:qFormat/>
    <w:uiPriority w:val="0"/>
    <w:pPr>
      <w:widowControl/>
      <w:autoSpaceDE w:val="0"/>
      <w:autoSpaceDN w:val="0"/>
      <w:ind w:left="720" w:firstLine="5680"/>
    </w:pPr>
    <w:rPr>
      <w:rFonts w:ascii="Times New Roman" w:hAnsi="Times New Roman"/>
      <w:color w:val="auto"/>
      <w:kern w:val="2"/>
    </w:rPr>
  </w:style>
  <w:style w:type="paragraph" w:customStyle="1" w:styleId="22">
    <w:name w:val="默认段落字体 Para Char Char Char Char Char Char Char"/>
    <w:basedOn w:val="1"/>
    <w:next w:val="23"/>
    <w:qFormat/>
    <w:uiPriority w:val="0"/>
    <w:pPr>
      <w:ind w:firstLine="200" w:firstLineChars="200"/>
    </w:pPr>
    <w:rPr>
      <w:rFonts w:ascii="Times New Roman" w:hAnsi="Times New Roman" w:cs="Arial"/>
      <w:color w:val="auto"/>
      <w:kern w:val="2"/>
    </w:rPr>
  </w:style>
  <w:style w:type="paragraph" w:customStyle="1" w:styleId="23">
    <w:name w:val="样式 首行缩进:  2 字符"/>
    <w:basedOn w:val="1"/>
    <w:next w:val="24"/>
    <w:qFormat/>
    <w:uiPriority w:val="0"/>
    <w:pPr>
      <w:spacing w:line="360" w:lineRule="auto"/>
      <w:ind w:left="480" w:firstLine="5856"/>
    </w:pPr>
    <w:rPr>
      <w:rFonts w:ascii="Times New Roman" w:hAnsi="Times New Roman"/>
      <w:color w:val="auto"/>
      <w:kern w:val="2"/>
    </w:rPr>
  </w:style>
  <w:style w:type="paragraph" w:customStyle="1" w:styleId="24">
    <w:name w:val="样式 段后: 0.25 行"/>
    <w:basedOn w:val="1"/>
    <w:next w:val="25"/>
    <w:qFormat/>
    <w:uiPriority w:val="0"/>
    <w:pPr>
      <w:widowControl/>
      <w:spacing w:line="300" w:lineRule="auto"/>
      <w:ind w:left="420" w:firstLine="5796"/>
    </w:pPr>
    <w:rPr>
      <w:rFonts w:ascii="Times New Roman" w:hAnsi="Times New Roman"/>
      <w:color w:val="auto"/>
      <w:kern w:val="2"/>
    </w:rPr>
  </w:style>
  <w:style w:type="paragraph" w:customStyle="1" w:styleId="25">
    <w:name w:val="正文 New New New New New New New New New New New New New New"/>
    <w:next w:val="13"/>
    <w:qFormat/>
    <w:uiPriority w:val="0"/>
    <w:pPr>
      <w:widowControl w:val="0"/>
      <w:ind w:firstLine="2048"/>
      <w:jc w:val="both"/>
    </w:pPr>
    <w:rPr>
      <w:rFonts w:ascii="Calibri" w:hAnsi="Calibri" w:eastAsia="宋体" w:cs="Times New Roman"/>
      <w:lang w:val="en-US" w:eastAsia="zh-CN" w:bidi="ar-SA"/>
    </w:rPr>
  </w:style>
  <w:style w:type="paragraph" w:customStyle="1" w:styleId="26">
    <w:name w:val="引言二级条标题"/>
    <w:basedOn w:val="27"/>
    <w:next w:val="28"/>
    <w:qFormat/>
    <w:uiPriority w:val="0"/>
    <w:pPr>
      <w:numPr>
        <w:ilvl w:val="1"/>
        <w:numId w:val="2"/>
      </w:numPr>
    </w:pPr>
    <w:rPr>
      <w:sz w:val="20"/>
      <w:szCs w:val="20"/>
    </w:rPr>
  </w:style>
  <w:style w:type="paragraph" w:customStyle="1" w:styleId="27">
    <w:name w:val="引言一级条标题"/>
    <w:basedOn w:val="1"/>
    <w:next w:val="28"/>
    <w:qFormat/>
    <w:uiPriority w:val="0"/>
    <w:pPr>
      <w:widowControl/>
      <w:numPr>
        <w:ilvl w:val="0"/>
        <w:numId w:val="3"/>
      </w:numPr>
    </w:pPr>
    <w:rPr>
      <w:rFonts w:ascii="Times New Roman" w:hAnsi="Times New Roman" w:eastAsia="黑体"/>
      <w:b/>
    </w:rPr>
  </w:style>
  <w:style w:type="paragraph" w:customStyle="1" w:styleId="28">
    <w:name w:val="段"/>
    <w:basedOn w:val="29"/>
    <w:qFormat/>
    <w:uiPriority w:val="0"/>
    <w:pPr>
      <w:autoSpaceDE w:val="0"/>
      <w:autoSpaceDN w:val="0"/>
      <w:ind w:firstLine="200" w:firstLineChars="200"/>
    </w:pPr>
    <w:rPr>
      <w:rFonts w:ascii="宋体"/>
    </w:rPr>
  </w:style>
  <w:style w:type="paragraph" w:customStyle="1" w:styleId="29">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font11"/>
    <w:basedOn w:val="17"/>
    <w:qFormat/>
    <w:uiPriority w:val="0"/>
    <w:rPr>
      <w:rFonts w:hint="default" w:ascii="Calibri" w:hAnsi="Calibri" w:cs="Calibri"/>
      <w:color w:val="000000"/>
      <w:sz w:val="21"/>
      <w:szCs w:val="21"/>
      <w:u w:val="none"/>
    </w:rPr>
  </w:style>
  <w:style w:type="character" w:customStyle="1" w:styleId="31">
    <w:name w:val="font51"/>
    <w:basedOn w:val="17"/>
    <w:qFormat/>
    <w:uiPriority w:val="0"/>
    <w:rPr>
      <w:rFonts w:hint="default" w:ascii="Times New Roman" w:hAnsi="Times New Roman" w:cs="Times New Roman"/>
      <w:color w:val="000000"/>
      <w:sz w:val="22"/>
      <w:szCs w:val="22"/>
      <w:u w:val="none"/>
    </w:rPr>
  </w:style>
  <w:style w:type="paragraph" w:styleId="32">
    <w:name w:val="List Paragraph"/>
    <w:basedOn w:val="1"/>
    <w:qFormat/>
    <w:uiPriority w:val="34"/>
    <w:pPr>
      <w:ind w:firstLine="420" w:firstLineChars="200"/>
    </w:pPr>
  </w:style>
  <w:style w:type="paragraph" w:customStyle="1" w:styleId="33">
    <w:name w:val="正文1"/>
    <w:next w:val="7"/>
    <w:qFormat/>
    <w:uiPriority w:val="3"/>
    <w:rPr>
      <w:rFonts w:ascii="Times New Roman" w:hAnsi="Times New Roman" w:eastAsia="宋体" w:cs="Times New Roman"/>
      <w:lang w:val="en-US" w:eastAsia="zh-CN" w:bidi="ar-SA"/>
    </w:rPr>
  </w:style>
  <w:style w:type="paragraph" w:customStyle="1" w:styleId="34">
    <w:name w:val="正文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列出段落1"/>
    <w:basedOn w:val="1"/>
    <w:qFormat/>
    <w:uiPriority w:val="0"/>
    <w:pPr>
      <w:ind w:firstLine="200" w:firstLineChars="200"/>
    </w:pPr>
    <w:rPr>
      <w:rFonts w:ascii="Calibri" w:hAnsi="Calibri"/>
    </w:rPr>
  </w:style>
  <w:style w:type="paragraph" w:customStyle="1" w:styleId="37">
    <w:name w:val="Char"/>
    <w:basedOn w:val="1"/>
    <w:qFormat/>
    <w:uiPriority w:val="0"/>
    <w:pPr>
      <w:tabs>
        <w:tab w:val="left" w:pos="360"/>
      </w:tabs>
      <w:ind w:firstLine="200" w:firstLineChars="200"/>
    </w:pPr>
    <w:rPr>
      <w:sz w:val="28"/>
      <w:szCs w:val="30"/>
    </w:rPr>
  </w:style>
  <w:style w:type="paragraph" w:customStyle="1" w:styleId="38">
    <w:name w:val="普通文字"/>
    <w:basedOn w:val="1"/>
    <w:next w:val="1"/>
    <w:qFormat/>
    <w:uiPriority w:val="0"/>
    <w:rPr>
      <w:rFonts w:ascii="宋体"/>
      <w:kern w:val="0"/>
      <w:sz w:val="24"/>
      <w:szCs w:val="20"/>
    </w:rPr>
  </w:style>
  <w:style w:type="character" w:customStyle="1" w:styleId="39">
    <w:name w:val="font21"/>
    <w:basedOn w:val="17"/>
    <w:qFormat/>
    <w:uiPriority w:val="0"/>
    <w:rPr>
      <w:rFonts w:hint="eastAsia" w:ascii="宋体" w:hAnsi="宋体" w:eastAsia="宋体" w:cs="宋体"/>
      <w:color w:val="000000"/>
      <w:sz w:val="21"/>
      <w:szCs w:val="21"/>
      <w:u w:val="none"/>
    </w:rPr>
  </w:style>
  <w:style w:type="paragraph" w:customStyle="1" w:styleId="40">
    <w:name w:val="正文 A"/>
    <w:next w:val="28"/>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41">
    <w:name w:val="标题 111"/>
    <w:basedOn w:val="1"/>
    <w:next w:val="1"/>
    <w:qFormat/>
    <w:uiPriority w:val="99"/>
    <w:pPr>
      <w:keepNext/>
      <w:keepLines/>
      <w:spacing w:before="340" w:after="330" w:line="578" w:lineRule="auto"/>
      <w:outlineLvl w:val="0"/>
    </w:pPr>
    <w:rPr>
      <w:rFonts w:ascii="Calibri" w:hAnsi="Calibri"/>
      <w:b/>
      <w:bCs/>
      <w:sz w:val="44"/>
      <w:szCs w:val="44"/>
    </w:rPr>
  </w:style>
  <w:style w:type="paragraph" w:customStyle="1" w:styleId="42">
    <w:name w:val="正文文本缩进1"/>
    <w:basedOn w:val="1"/>
    <w:next w:val="1"/>
    <w:unhideWhenUsed/>
    <w:qFormat/>
    <w:uiPriority w:val="99"/>
    <w:pPr>
      <w:spacing w:line="400" w:lineRule="exact"/>
      <w:ind w:firstLine="540"/>
    </w:pPr>
    <w:rPr>
      <w:sz w:val="24"/>
    </w:rPr>
  </w:style>
  <w:style w:type="paragraph" w:customStyle="1" w:styleId="43">
    <w:name w:val="UserStyle_0"/>
    <w:basedOn w:val="1"/>
    <w:qFormat/>
    <w:uiPriority w:val="0"/>
    <w:pPr>
      <w:ind w:firstLine="48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19707</Words>
  <Characters>20995</Characters>
  <Lines>0</Lines>
  <Paragraphs>0</Paragraphs>
  <TotalTime>79</TotalTime>
  <ScaleCrop>false</ScaleCrop>
  <LinksUpToDate>false</LinksUpToDate>
  <CharactersWithSpaces>22288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2024-07-04T05:35:00Z</dcterms:created>
  <dc:creator>Amoureux</dc:creator>
  <cp:lastModifiedBy>老头</cp:lastModifiedBy>
  <cp:lastPrinted>2024-07-19T03:26:00Z</cp:lastPrinted>
  <dcterms:modified xsi:type="dcterms:W3CDTF">2024-07-19T07:33:12Z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461F11FF12214891A9C9D714F5E6D1BF_13</vt:lpwstr>
  </property>
</Properties>
</file>